
<file path=[Content_Types].xml><?xml version="1.0" encoding="utf-8"?>
<Types xmlns="http://schemas.openxmlformats.org/package/2006/content-types">
  <Default Extension="xml" ContentType="application/xml"/>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jc w:val="center"/>
        <w:outlineLvl w:val="0"/>
        <w:rPr>
          <w:rFonts w:ascii="方正小标宋_GBK" w:eastAsia="方正小标宋_GBK"/>
          <w:bCs/>
          <w:sz w:val="72"/>
          <w:szCs w:val="72"/>
        </w:rPr>
      </w:pPr>
      <w:bookmarkStart w:id="0" w:name="_Hlk57883707"/>
      <w:bookmarkStart w:id="5" w:name="_GoBack"/>
      <w:bookmarkEnd w:id="5"/>
    </w:p>
    <w:p>
      <w:pPr>
        <w:adjustRightInd w:val="0"/>
        <w:snapToGrid w:val="0"/>
        <w:jc w:val="center"/>
        <w:outlineLvl w:val="0"/>
        <w:rPr>
          <w:rFonts w:ascii="方正小标宋_GBK" w:eastAsia="方正小标宋_GBK"/>
          <w:bCs/>
          <w:sz w:val="72"/>
          <w:szCs w:val="72"/>
        </w:rPr>
      </w:pPr>
    </w:p>
    <w:p>
      <w:pPr>
        <w:adjustRightInd w:val="0"/>
        <w:snapToGrid w:val="0"/>
        <w:jc w:val="center"/>
        <w:outlineLvl w:val="0"/>
        <w:rPr>
          <w:rFonts w:ascii="方正小标宋_GBK" w:eastAsia="方正小标宋_GBK"/>
          <w:bCs/>
          <w:sz w:val="72"/>
          <w:szCs w:val="72"/>
        </w:rPr>
      </w:pPr>
      <w:r>
        <w:rPr>
          <w:rFonts w:hint="eastAsia" w:ascii="方正小标宋_GBK" w:eastAsia="方正小标宋_GBK"/>
          <w:bCs/>
          <w:sz w:val="72"/>
          <w:szCs w:val="72"/>
        </w:rPr>
        <w:t>建设项目环境影响报告表</w:t>
      </w:r>
    </w:p>
    <w:p>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（生态影响类）</w:t>
      </w:r>
    </w:p>
    <w:p>
      <w:pPr>
        <w:adjustRightInd w:val="0"/>
        <w:snapToGrid w:val="0"/>
        <w:spacing w:before="192" w:beforeLines="80"/>
        <w:jc w:val="center"/>
        <w:rPr>
          <w:rFonts w:ascii="楷体_GB2312" w:eastAsia="楷体_GB2312"/>
          <w:bCs/>
          <w:sz w:val="48"/>
          <w:szCs w:val="48"/>
        </w:rPr>
      </w:pPr>
      <w:r>
        <w:rPr>
          <w:rFonts w:hint="eastAsia" w:ascii="楷体_GB2312" w:eastAsia="楷体_GB2312"/>
          <w:bCs/>
          <w:sz w:val="48"/>
          <w:szCs w:val="48"/>
        </w:rPr>
        <w:t>（报批稿）</w:t>
      </w:r>
    </w:p>
    <w:p>
      <w:bookmarkStart w:id="1" w:name="_Hlk57883728"/>
    </w:p>
    <w:p>
      <w:pPr>
        <w:jc w:val="center"/>
        <w:rPr>
          <w:rFonts w:eastAsia="仿宋"/>
          <w:sz w:val="52"/>
          <w:szCs w:val="52"/>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p>
      <w:pPr>
        <w:ind w:firstLine="1040"/>
        <w:rPr>
          <w:rFonts w:eastAsia="仿宋"/>
          <w:sz w:val="44"/>
          <w:szCs w:val="44"/>
        </w:rPr>
      </w:pPr>
    </w:p>
    <w:bookmarkEnd w:id="1"/>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 xml:space="preserve">项目名称： </w:t>
      </w:r>
      <w:r>
        <w:rPr>
          <w:rFonts w:hint="eastAsia" w:ascii="仿宋_GB2312" w:eastAsia="仿宋_GB2312"/>
          <w:sz w:val="36"/>
          <w:szCs w:val="36"/>
          <w:u w:val="single"/>
        </w:rPr>
        <w:t xml:space="preserve">    新疆木垒县</w:t>
      </w:r>
      <w:r>
        <w:rPr>
          <w:rFonts w:ascii="仿宋_GB2312" w:eastAsia="仿宋_GB2312"/>
          <w:sz w:val="36"/>
          <w:szCs w:val="36"/>
          <w:u w:val="single"/>
        </w:rPr>
        <w:t>红山嘴水库</w:t>
      </w:r>
      <w:r>
        <w:rPr>
          <w:rFonts w:hint="eastAsia" w:ascii="仿宋_GB2312" w:eastAsia="仿宋_GB2312"/>
          <w:sz w:val="36"/>
          <w:szCs w:val="36"/>
          <w:u w:val="single"/>
        </w:rPr>
        <w:t xml:space="preserve">工程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建设单位（盖章）：</w:t>
      </w:r>
      <w:r>
        <w:rPr>
          <w:rFonts w:hint="eastAsia" w:ascii="仿宋_GB2312" w:eastAsia="仿宋_GB2312"/>
          <w:sz w:val="36"/>
          <w:szCs w:val="36"/>
          <w:u w:val="single"/>
        </w:rPr>
        <w:t xml:space="preserve">    木垒哈萨克自治县 </w:t>
      </w:r>
      <w:r>
        <w:rPr>
          <w:rFonts w:ascii="仿宋_GB2312" w:eastAsia="仿宋_GB2312"/>
          <w:sz w:val="36"/>
          <w:szCs w:val="36"/>
          <w:u w:val="single"/>
        </w:rPr>
        <w:t xml:space="preserve">     </w:t>
      </w:r>
    </w:p>
    <w:p>
      <w:pPr>
        <w:wordWrap w:val="0"/>
        <w:adjustRightInd w:val="0"/>
        <w:snapToGrid w:val="0"/>
        <w:spacing w:line="288" w:lineRule="auto"/>
        <w:ind w:firstLine="1040"/>
        <w:jc w:val="right"/>
        <w:rPr>
          <w:rFonts w:ascii="仿宋_GB2312" w:eastAsia="仿宋_GB2312"/>
          <w:sz w:val="36"/>
          <w:szCs w:val="36"/>
          <w:u w:val="single"/>
        </w:rPr>
      </w:pPr>
      <w:r>
        <w:rPr>
          <w:rFonts w:ascii="仿宋_GB2312" w:eastAsia="仿宋_GB2312"/>
          <w:sz w:val="36"/>
          <w:szCs w:val="36"/>
          <w:u w:val="single"/>
        </w:rPr>
        <w:t xml:space="preserve">       </w:t>
      </w:r>
      <w:r>
        <w:rPr>
          <w:rFonts w:hint="eastAsia" w:ascii="仿宋_GB2312" w:eastAsia="仿宋_GB2312"/>
          <w:sz w:val="36"/>
          <w:szCs w:val="36"/>
          <w:u w:val="single"/>
        </w:rPr>
        <w:t xml:space="preserve">水利管理总站 </w:t>
      </w:r>
      <w:r>
        <w:rPr>
          <w:rFonts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r>
        <w:rPr>
          <w:rFonts w:hint="eastAsia" w:ascii="仿宋_GB2312" w:eastAsia="仿宋_GB2312"/>
          <w:sz w:val="36"/>
          <w:szCs w:val="36"/>
        </w:rPr>
        <w:t>编制日期：</w:t>
      </w:r>
      <w:r>
        <w:rPr>
          <w:rFonts w:ascii="仿宋_GB2312" w:eastAsia="仿宋_GB2312"/>
          <w:sz w:val="36"/>
          <w:szCs w:val="36"/>
          <w:u w:val="single"/>
        </w:rPr>
        <w:t xml:space="preserve">            2023</w:t>
      </w:r>
      <w:r>
        <w:rPr>
          <w:rFonts w:hint="eastAsia" w:ascii="仿宋_GB2312" w:eastAsia="仿宋_GB2312"/>
          <w:sz w:val="36"/>
          <w:szCs w:val="36"/>
          <w:u w:val="single"/>
        </w:rPr>
        <w:t>年</w:t>
      </w:r>
      <w:r>
        <w:rPr>
          <w:rFonts w:ascii="仿宋_GB2312" w:eastAsia="仿宋_GB2312"/>
          <w:sz w:val="36"/>
          <w:szCs w:val="36"/>
          <w:u w:val="single"/>
        </w:rPr>
        <w:t>7</w:t>
      </w:r>
      <w:r>
        <w:rPr>
          <w:rFonts w:hint="eastAsia" w:ascii="仿宋_GB2312" w:eastAsia="仿宋_GB2312"/>
          <w:sz w:val="36"/>
          <w:szCs w:val="36"/>
          <w:u w:val="single"/>
        </w:rPr>
        <w:t>月</w:t>
      </w:r>
      <w:r>
        <w:rPr>
          <w:rFonts w:ascii="仿宋_GB2312" w:eastAsia="仿宋_GB2312"/>
          <w:sz w:val="36"/>
          <w:szCs w:val="36"/>
          <w:u w:val="single"/>
        </w:rPr>
        <w:t xml:space="preserve">             </w:t>
      </w:r>
      <w:r>
        <w:rPr>
          <w:rFonts w:hint="eastAsia" w:ascii="仿宋_GB2312" w:eastAsia="仿宋_GB2312"/>
          <w:sz w:val="36"/>
          <w:szCs w:val="36"/>
          <w:u w:val="single"/>
        </w:rPr>
        <w:t xml:space="preserve"> </w:t>
      </w:r>
    </w:p>
    <w:p>
      <w:pPr>
        <w:adjustRightInd w:val="0"/>
        <w:snapToGrid w:val="0"/>
        <w:spacing w:line="288" w:lineRule="auto"/>
        <w:ind w:firstLine="1040"/>
        <w:rPr>
          <w:rFonts w:ascii="仿宋_GB2312" w:eastAsia="仿宋_GB2312"/>
          <w:sz w:val="36"/>
          <w:szCs w:val="36"/>
          <w:u w:val="single"/>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rPr>
          <w:rFonts w:ascii="仿宋_GB2312" w:eastAsia="仿宋_GB2312"/>
          <w:sz w:val="36"/>
          <w:szCs w:val="36"/>
        </w:rPr>
      </w:pPr>
    </w:p>
    <w:p>
      <w:pPr>
        <w:adjustRightInd w:val="0"/>
        <w:snapToGrid w:val="0"/>
        <w:spacing w:line="288" w:lineRule="auto"/>
        <w:ind w:firstLine="1040"/>
        <w:rPr>
          <w:rFonts w:ascii="仿宋_GB2312" w:eastAsia="仿宋_GB2312"/>
          <w:sz w:val="36"/>
          <w:szCs w:val="36"/>
        </w:rPr>
      </w:pPr>
    </w:p>
    <w:p>
      <w:pPr>
        <w:adjustRightInd w:val="0"/>
        <w:snapToGrid w:val="0"/>
        <w:spacing w:line="288" w:lineRule="auto"/>
        <w:jc w:val="center"/>
        <w:rPr>
          <w:rFonts w:ascii="楷体_GB2312" w:eastAsia="楷体_GB2312"/>
          <w:sz w:val="36"/>
          <w:szCs w:val="36"/>
        </w:rPr>
      </w:pPr>
      <w:r>
        <w:rPr>
          <w:rFonts w:hint="eastAsia" w:ascii="楷体_GB2312" w:eastAsia="楷体_GB2312"/>
          <w:sz w:val="36"/>
          <w:szCs w:val="36"/>
        </w:rPr>
        <w:t>中华人民共和国生态环境部制</w:t>
      </w:r>
    </w:p>
    <w:p>
      <w:pPr>
        <w:adjustRightInd w:val="0"/>
        <w:snapToGrid w:val="0"/>
        <w:spacing w:line="288" w:lineRule="auto"/>
        <w:ind w:firstLine="1040"/>
        <w:rPr>
          <w:rFonts w:ascii="仿宋_GB2312" w:eastAsia="仿宋_GB2312"/>
          <w:sz w:val="36"/>
          <w:szCs w:val="36"/>
        </w:rPr>
        <w:sectPr>
          <w:footerReference r:id="rId3" w:type="default"/>
          <w:pgSz w:w="11906" w:h="16838"/>
          <w:pgMar w:top="1701" w:right="1531" w:bottom="1701" w:left="1531" w:header="851" w:footer="1077" w:gutter="0"/>
          <w:pgNumType w:start="1"/>
          <w:cols w:space="720" w:num="1"/>
          <w:docGrid w:linePitch="312" w:charSpace="0"/>
        </w:sectPr>
      </w:pPr>
    </w:p>
    <w:bookmarkEnd w:id="0"/>
    <w:p>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一、建设项目基本情况</w:t>
      </w:r>
    </w:p>
    <w:tbl>
      <w:tblPr>
        <w:tblStyle w:val="21"/>
        <w:tblW w:w="903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2226"/>
        <w:gridCol w:w="2043"/>
        <w:gridCol w:w="2218"/>
        <w:gridCol w:w="10"/>
        <w:gridCol w:w="2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ascii="宋体" w:hAnsi="宋体" w:cs="宋体"/>
                <w:b/>
                <w:bCs/>
                <w:szCs w:val="21"/>
              </w:rPr>
            </w:pPr>
            <w:r>
              <w:rPr>
                <w:rFonts w:hint="eastAsia" w:ascii="宋体" w:hAnsi="宋体" w:cs="宋体"/>
                <w:szCs w:val="21"/>
              </w:rPr>
              <w:t>建设项目名称</w:t>
            </w:r>
          </w:p>
        </w:tc>
        <w:tc>
          <w:tcPr>
            <w:tcW w:w="6813" w:type="dxa"/>
            <w:gridSpan w:val="4"/>
            <w:vAlign w:val="center"/>
          </w:tcPr>
          <w:p>
            <w:pPr>
              <w:adjustRightInd w:val="0"/>
              <w:snapToGrid w:val="0"/>
              <w:jc w:val="center"/>
              <w:rPr>
                <w:rFonts w:ascii="宋体" w:hAnsi="宋体" w:cs="宋体"/>
                <w:b/>
                <w:bCs/>
                <w:szCs w:val="21"/>
              </w:rPr>
            </w:pPr>
            <w:r>
              <w:rPr>
                <w:rFonts w:hint="eastAsia"/>
              </w:rPr>
              <w:t>新疆木垒县</w:t>
            </w:r>
            <w:r>
              <w:t>红山嘴水库工程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项目代码</w:t>
            </w:r>
          </w:p>
        </w:tc>
        <w:tc>
          <w:tcPr>
            <w:tcW w:w="6813" w:type="dxa"/>
            <w:gridSpan w:val="4"/>
            <w:vAlign w:val="center"/>
          </w:tcPr>
          <w:p>
            <w:pPr>
              <w:adjustRightInd w:val="0"/>
              <w:snapToGrid w:val="0"/>
              <w:jc w:val="center"/>
              <w:rPr>
                <w:rFonts w:ascii="宋体" w:hAnsi="宋体" w:cs="宋体"/>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建设单位联系人</w:t>
            </w:r>
          </w:p>
        </w:tc>
        <w:tc>
          <w:tcPr>
            <w:tcW w:w="2043" w:type="dxa"/>
            <w:vAlign w:val="center"/>
          </w:tcPr>
          <w:p>
            <w:pPr>
              <w:adjustRightInd w:val="0"/>
              <w:snapToGrid w:val="0"/>
              <w:jc w:val="center"/>
              <w:rPr>
                <w:rFonts w:ascii="宋体" w:hAnsi="宋体" w:cs="宋体"/>
                <w:szCs w:val="21"/>
              </w:rPr>
            </w:pPr>
            <w:r>
              <w:rPr>
                <w:rFonts w:hint="eastAsia" w:ascii="宋体" w:hAnsi="宋体" w:cs="宋体"/>
                <w:szCs w:val="21"/>
              </w:rPr>
              <w:t>畅</w:t>
            </w:r>
            <w:r>
              <w:rPr>
                <w:rFonts w:hint="eastAsia" w:ascii="宋体" w:hAnsi="宋体" w:cs="宋体"/>
                <w:szCs w:val="21"/>
                <w:lang w:val="en-US" w:eastAsia="zh-CN"/>
              </w:rPr>
              <w:t>*</w:t>
            </w:r>
            <w:r>
              <w:rPr>
                <w:rFonts w:hint="eastAsia" w:ascii="宋体" w:hAnsi="宋体" w:cs="宋体"/>
                <w:szCs w:val="21"/>
              </w:rPr>
              <w:t>生</w:t>
            </w:r>
          </w:p>
        </w:tc>
        <w:tc>
          <w:tcPr>
            <w:tcW w:w="2228" w:type="dxa"/>
            <w:gridSpan w:val="2"/>
            <w:vAlign w:val="center"/>
          </w:tcPr>
          <w:p>
            <w:pPr>
              <w:adjustRightInd w:val="0"/>
              <w:snapToGrid w:val="0"/>
              <w:jc w:val="center"/>
              <w:rPr>
                <w:rFonts w:ascii="宋体" w:hAnsi="宋体" w:cs="宋体"/>
                <w:szCs w:val="21"/>
              </w:rPr>
            </w:pPr>
            <w:r>
              <w:rPr>
                <w:rFonts w:hint="eastAsia" w:ascii="宋体" w:hAnsi="宋体" w:cs="宋体"/>
                <w:szCs w:val="21"/>
              </w:rPr>
              <w:t>联系方式</w:t>
            </w:r>
          </w:p>
        </w:tc>
        <w:tc>
          <w:tcPr>
            <w:tcW w:w="2542" w:type="dxa"/>
            <w:vAlign w:val="center"/>
          </w:tcPr>
          <w:p>
            <w:pPr>
              <w:adjustRightInd w:val="0"/>
              <w:snapToGrid w:val="0"/>
              <w:jc w:val="center"/>
              <w:rPr>
                <w:rFonts w:ascii="宋体" w:hAnsi="宋体" w:cs="宋体"/>
                <w:szCs w:val="21"/>
              </w:rPr>
            </w:pPr>
            <w:r>
              <w:rPr>
                <w:rFonts w:ascii="宋体" w:hAnsi="宋体" w:cs="宋体"/>
                <w:szCs w:val="21"/>
              </w:rPr>
              <w:t>133</w:t>
            </w:r>
            <w:r>
              <w:rPr>
                <w:rFonts w:hint="eastAsia" w:ascii="宋体" w:hAnsi="宋体" w:cs="宋体"/>
                <w:szCs w:val="21"/>
                <w:lang w:val="en-US" w:eastAsia="zh-CN"/>
              </w:rPr>
              <w:t>****</w:t>
            </w:r>
            <w:r>
              <w:rPr>
                <w:rFonts w:ascii="宋体" w:hAnsi="宋体" w:cs="宋体"/>
                <w:szCs w:val="21"/>
              </w:rPr>
              <w:t>3997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2"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建设地点</w:t>
            </w:r>
          </w:p>
        </w:tc>
        <w:tc>
          <w:tcPr>
            <w:tcW w:w="6813" w:type="dxa"/>
            <w:gridSpan w:val="4"/>
            <w:vAlign w:val="center"/>
          </w:tcPr>
          <w:p>
            <w:pPr>
              <w:adjustRightInd w:val="0"/>
              <w:snapToGrid w:val="0"/>
              <w:jc w:val="center"/>
              <w:rPr>
                <w:rFonts w:ascii="宋体" w:hAnsi="宋体" w:cs="宋体"/>
                <w:b/>
                <w:bCs/>
                <w:szCs w:val="21"/>
              </w:rPr>
            </w:pPr>
            <w:r>
              <w:t>新疆维吾尔自治区</w:t>
            </w:r>
            <w:r>
              <w:rPr>
                <w:rFonts w:hint="eastAsia"/>
              </w:rPr>
              <w:t>昌吉回族</w:t>
            </w:r>
            <w:r>
              <w:t>自治州木垒哈萨克自治县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地理坐标</w:t>
            </w:r>
          </w:p>
        </w:tc>
        <w:tc>
          <w:tcPr>
            <w:tcW w:w="6813" w:type="dxa"/>
            <w:gridSpan w:val="4"/>
            <w:vAlign w:val="center"/>
          </w:tcPr>
          <w:p>
            <w:pPr>
              <w:adjustRightInd w:val="0"/>
              <w:snapToGrid w:val="0"/>
              <w:jc w:val="center"/>
              <w:rPr>
                <w:rFonts w:ascii="宋体" w:hAnsi="宋体" w:cs="宋体"/>
                <w:bCs/>
                <w:szCs w:val="21"/>
              </w:rPr>
            </w:pPr>
            <w:r>
              <w:rPr>
                <w:rFonts w:hint="eastAsia"/>
                <w:szCs w:val="21"/>
              </w:rPr>
              <w:t>北纬</w:t>
            </w:r>
            <w:r>
              <w:rPr>
                <w:szCs w:val="21"/>
                <w:u w:val="single"/>
              </w:rPr>
              <w:t>90</w:t>
            </w:r>
            <w:r>
              <w:rPr>
                <w:rFonts w:hint="eastAsia" w:ascii="宋体" w:hAnsi="宋体" w:cs="宋体"/>
                <w:bCs/>
                <w:szCs w:val="21"/>
              </w:rPr>
              <w:t>度</w:t>
            </w:r>
            <w:r>
              <w:rPr>
                <w:szCs w:val="21"/>
                <w:u w:val="single"/>
              </w:rPr>
              <w:t>10</w:t>
            </w:r>
            <w:r>
              <w:rPr>
                <w:rFonts w:hint="eastAsia" w:ascii="宋体" w:hAnsi="宋体" w:cs="宋体"/>
                <w:bCs/>
                <w:szCs w:val="21"/>
              </w:rPr>
              <w:t>分</w:t>
            </w:r>
            <w:r>
              <w:rPr>
                <w:szCs w:val="21"/>
                <w:u w:val="single"/>
              </w:rPr>
              <w:t>39</w:t>
            </w:r>
            <w:r>
              <w:rPr>
                <w:rFonts w:hint="eastAsia" w:ascii="宋体" w:hAnsi="宋体" w:cs="宋体"/>
                <w:bCs/>
                <w:szCs w:val="21"/>
              </w:rPr>
              <w:t>秒，东经</w:t>
            </w:r>
            <w:r>
              <w:rPr>
                <w:szCs w:val="21"/>
                <w:u w:val="single"/>
              </w:rPr>
              <w:t>43</w:t>
            </w:r>
            <w:r>
              <w:rPr>
                <w:rFonts w:hint="eastAsia" w:ascii="宋体" w:hAnsi="宋体" w:cs="宋体"/>
                <w:bCs/>
                <w:szCs w:val="21"/>
              </w:rPr>
              <w:t>度</w:t>
            </w:r>
            <w:r>
              <w:rPr>
                <w:rFonts w:hint="eastAsia"/>
                <w:szCs w:val="21"/>
                <w:u w:val="single"/>
              </w:rPr>
              <w:t>44</w:t>
            </w:r>
            <w:r>
              <w:rPr>
                <w:rFonts w:hint="eastAsia" w:ascii="宋体" w:hAnsi="宋体" w:cs="宋体"/>
                <w:bCs/>
                <w:szCs w:val="21"/>
              </w:rPr>
              <w:t>分</w:t>
            </w:r>
            <w:r>
              <w:rPr>
                <w:szCs w:val="21"/>
                <w:u w:val="single"/>
              </w:rPr>
              <w:t>54</w:t>
            </w:r>
            <w:r>
              <w:rPr>
                <w:rFonts w:hint="eastAsia" w:ascii="宋体" w:hAnsi="宋体" w:cs="宋体"/>
                <w:bCs/>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15"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行业类别</w:t>
            </w:r>
          </w:p>
        </w:tc>
        <w:tc>
          <w:tcPr>
            <w:tcW w:w="2043" w:type="dxa"/>
            <w:vAlign w:val="center"/>
          </w:tcPr>
          <w:p>
            <w:pPr>
              <w:adjustRightInd w:val="0"/>
              <w:snapToGrid w:val="0"/>
              <w:jc w:val="center"/>
              <w:rPr>
                <w:rFonts w:ascii="宋体" w:hAnsi="宋体" w:cs="宋体"/>
                <w:szCs w:val="21"/>
              </w:rPr>
            </w:pPr>
            <w:r>
              <w:rPr>
                <w:szCs w:val="21"/>
              </w:rPr>
              <w:t>124.</w:t>
            </w:r>
            <w:r>
              <w:rPr>
                <w:rFonts w:hAnsi="宋体"/>
                <w:szCs w:val="21"/>
              </w:rPr>
              <w:t>水库</w:t>
            </w:r>
          </w:p>
        </w:tc>
        <w:tc>
          <w:tcPr>
            <w:tcW w:w="2218" w:type="dxa"/>
            <w:vAlign w:val="center"/>
          </w:tcPr>
          <w:p>
            <w:pPr>
              <w:adjustRightInd w:val="0"/>
              <w:snapToGrid w:val="0"/>
              <w:jc w:val="center"/>
              <w:rPr>
                <w:rFonts w:ascii="宋体" w:hAnsi="宋体" w:cs="宋体"/>
                <w:szCs w:val="21"/>
              </w:rPr>
            </w:pPr>
            <w:r>
              <w:rPr>
                <w:rFonts w:hint="eastAsia" w:ascii="宋体" w:hAnsi="宋体" w:cs="宋体"/>
                <w:szCs w:val="21"/>
              </w:rPr>
              <w:t>用地（用海）面积（</w:t>
            </w:r>
            <w:r>
              <w:rPr>
                <w:rFonts w:ascii="宋体" w:hAnsi="宋体" w:cs="宋体"/>
                <w:szCs w:val="21"/>
              </w:rPr>
              <w:t>m</w:t>
            </w:r>
            <w:r>
              <w:rPr>
                <w:rFonts w:ascii="宋体" w:hAnsi="宋体" w:cs="宋体"/>
                <w:szCs w:val="21"/>
                <w:vertAlign w:val="superscript"/>
              </w:rPr>
              <w:t>2</w:t>
            </w:r>
            <w:r>
              <w:rPr>
                <w:rFonts w:hint="eastAsia" w:ascii="宋体" w:hAnsi="宋体" w:cs="宋体"/>
                <w:szCs w:val="21"/>
              </w:rPr>
              <w:t>）</w:t>
            </w:r>
            <w:r>
              <w:rPr>
                <w:rFonts w:ascii="宋体" w:hAnsi="宋体" w:cs="宋体"/>
                <w:szCs w:val="21"/>
              </w:rPr>
              <w:t>/</w:t>
            </w:r>
            <w:r>
              <w:rPr>
                <w:rFonts w:hint="eastAsia" w:ascii="宋体" w:hAnsi="宋体" w:cs="宋体"/>
                <w:szCs w:val="21"/>
              </w:rPr>
              <w:t>长度（</w:t>
            </w:r>
            <w:r>
              <w:rPr>
                <w:rFonts w:ascii="宋体" w:hAnsi="宋体" w:cs="宋体"/>
                <w:szCs w:val="21"/>
              </w:rPr>
              <w:t>km</w:t>
            </w:r>
            <w:r>
              <w:rPr>
                <w:rFonts w:hint="eastAsia" w:ascii="宋体" w:hAnsi="宋体" w:cs="宋体"/>
                <w:szCs w:val="21"/>
              </w:rPr>
              <w:t>）</w:t>
            </w:r>
          </w:p>
        </w:tc>
        <w:tc>
          <w:tcPr>
            <w:tcW w:w="2552" w:type="dxa"/>
            <w:gridSpan w:val="2"/>
            <w:vAlign w:val="center"/>
          </w:tcPr>
          <w:p>
            <w:pPr>
              <w:adjustRightInd w:val="0"/>
              <w:snapToGrid w:val="0"/>
              <w:jc w:val="center"/>
              <w:rPr>
                <w:szCs w:val="21"/>
                <w:vertAlign w:val="superscript"/>
              </w:rPr>
            </w:pPr>
            <w:r>
              <w:rPr>
                <w:szCs w:val="21"/>
              </w:rPr>
              <w:t>755086.6m</w:t>
            </w:r>
            <w:r>
              <w:rPr>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4"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建设性质</w:t>
            </w:r>
          </w:p>
        </w:tc>
        <w:tc>
          <w:tcPr>
            <w:tcW w:w="2043" w:type="dxa"/>
            <w:vAlign w:val="center"/>
          </w:tcPr>
          <w:p>
            <w:pPr>
              <w:adjustRightInd w:val="0"/>
              <w:snapToGrid w:val="0"/>
              <w:jc w:val="left"/>
              <w:rPr>
                <w:rFonts w:ascii="宋体" w:hAnsi="宋体" w:cs="宋体"/>
                <w:bCs/>
                <w:szCs w:val="21"/>
              </w:rPr>
            </w:pPr>
            <w:r>
              <w:rPr>
                <w:szCs w:val="21"/>
              </w:rPr>
              <w:sym w:font="Wingdings 2" w:char="F052"/>
            </w:r>
            <w:r>
              <w:rPr>
                <w:rFonts w:hint="eastAsia" w:ascii="宋体" w:hAnsi="宋体" w:cs="宋体"/>
                <w:bCs/>
                <w:szCs w:val="21"/>
              </w:rPr>
              <w:t>新建（迁建）</w:t>
            </w:r>
          </w:p>
          <w:p>
            <w:pPr>
              <w:adjustRightInd w:val="0"/>
              <w:snapToGrid w:val="0"/>
              <w:jc w:val="left"/>
              <w:rPr>
                <w:rFonts w:ascii="宋体" w:hAnsi="宋体" w:cs="宋体"/>
                <w:bCs/>
                <w:szCs w:val="21"/>
              </w:rPr>
            </w:pPr>
            <w:r>
              <w:rPr>
                <w:rFonts w:hint="eastAsia" w:ascii="宋体" w:hAnsi="宋体" w:cs="宋体"/>
                <w:bCs/>
                <w:szCs w:val="21"/>
              </w:rPr>
              <w:t>□改建</w:t>
            </w:r>
          </w:p>
          <w:p>
            <w:pPr>
              <w:adjustRightInd w:val="0"/>
              <w:snapToGrid w:val="0"/>
              <w:jc w:val="left"/>
              <w:rPr>
                <w:rFonts w:ascii="宋体" w:hAnsi="宋体" w:cs="宋体"/>
                <w:bCs/>
                <w:szCs w:val="21"/>
              </w:rPr>
            </w:pPr>
            <w:r>
              <w:rPr>
                <w:rFonts w:hint="eastAsia" w:ascii="宋体" w:hAnsi="宋体" w:cs="宋体"/>
                <w:bCs/>
                <w:szCs w:val="21"/>
              </w:rPr>
              <w:t>□扩建</w:t>
            </w:r>
          </w:p>
          <w:p>
            <w:pPr>
              <w:adjustRightInd w:val="0"/>
              <w:snapToGrid w:val="0"/>
              <w:jc w:val="left"/>
              <w:rPr>
                <w:rFonts w:ascii="宋体" w:hAnsi="宋体" w:cs="宋体"/>
                <w:szCs w:val="21"/>
              </w:rPr>
            </w:pPr>
            <w:r>
              <w:rPr>
                <w:rFonts w:hint="eastAsia" w:ascii="宋体" w:hAnsi="宋体" w:cs="宋体"/>
                <w:bCs/>
                <w:szCs w:val="21"/>
              </w:rPr>
              <w:t>□技术改造</w:t>
            </w:r>
          </w:p>
        </w:tc>
        <w:tc>
          <w:tcPr>
            <w:tcW w:w="2218" w:type="dxa"/>
            <w:vAlign w:val="center"/>
          </w:tcPr>
          <w:p>
            <w:pPr>
              <w:adjustRightInd w:val="0"/>
              <w:snapToGrid w:val="0"/>
              <w:jc w:val="center"/>
              <w:rPr>
                <w:rFonts w:ascii="宋体" w:hAnsi="宋体" w:cs="宋体"/>
                <w:szCs w:val="21"/>
              </w:rPr>
            </w:pPr>
            <w:r>
              <w:rPr>
                <w:rFonts w:hint="eastAsia" w:ascii="宋体" w:hAnsi="宋体" w:cs="宋体"/>
                <w:szCs w:val="21"/>
              </w:rPr>
              <w:t>建设项目</w:t>
            </w:r>
          </w:p>
          <w:p>
            <w:pPr>
              <w:adjustRightInd w:val="0"/>
              <w:snapToGrid w:val="0"/>
              <w:jc w:val="center"/>
              <w:rPr>
                <w:rFonts w:ascii="宋体" w:hAnsi="宋体" w:cs="宋体"/>
                <w:szCs w:val="21"/>
              </w:rPr>
            </w:pPr>
            <w:r>
              <w:rPr>
                <w:rFonts w:hint="eastAsia" w:ascii="宋体" w:hAnsi="宋体" w:cs="宋体"/>
                <w:szCs w:val="21"/>
              </w:rPr>
              <w:t>申报情形</w:t>
            </w:r>
          </w:p>
        </w:tc>
        <w:tc>
          <w:tcPr>
            <w:tcW w:w="2552" w:type="dxa"/>
            <w:gridSpan w:val="2"/>
            <w:vAlign w:val="center"/>
          </w:tcPr>
          <w:p>
            <w:pPr>
              <w:adjustRightInd w:val="0"/>
              <w:snapToGrid w:val="0"/>
              <w:jc w:val="left"/>
              <w:rPr>
                <w:rFonts w:ascii="宋体" w:hAnsi="宋体" w:cs="宋体"/>
                <w:bCs/>
                <w:szCs w:val="21"/>
              </w:rPr>
            </w:pPr>
            <w:r>
              <w:rPr>
                <w:szCs w:val="21"/>
              </w:rPr>
              <w:sym w:font="Wingdings 2" w:char="F052"/>
            </w:r>
            <w:r>
              <w:rPr>
                <w:rFonts w:hint="eastAsia" w:ascii="宋体" w:hAnsi="宋体" w:cs="宋体"/>
                <w:bCs/>
                <w:szCs w:val="21"/>
              </w:rPr>
              <w:t>首次申报项目</w:t>
            </w:r>
          </w:p>
          <w:p>
            <w:pPr>
              <w:adjustRightInd w:val="0"/>
              <w:snapToGrid w:val="0"/>
              <w:jc w:val="left"/>
              <w:rPr>
                <w:rFonts w:ascii="宋体" w:hAnsi="宋体" w:cs="宋体"/>
                <w:bCs/>
                <w:szCs w:val="21"/>
              </w:rPr>
            </w:pPr>
            <w:r>
              <w:rPr>
                <w:rFonts w:hint="eastAsia" w:ascii="宋体" w:hAnsi="宋体" w:cs="宋体"/>
                <w:bCs/>
                <w:szCs w:val="21"/>
              </w:rPr>
              <w:t>□不予批准后再次申报项目</w:t>
            </w:r>
          </w:p>
          <w:p>
            <w:pPr>
              <w:adjustRightInd w:val="0"/>
              <w:snapToGrid w:val="0"/>
              <w:jc w:val="left"/>
              <w:rPr>
                <w:rFonts w:ascii="宋体" w:hAnsi="宋体" w:cs="宋体"/>
                <w:bCs/>
                <w:szCs w:val="21"/>
              </w:rPr>
            </w:pPr>
            <w:r>
              <w:rPr>
                <w:rFonts w:hint="eastAsia" w:ascii="宋体" w:hAnsi="宋体" w:cs="宋体"/>
                <w:bCs/>
                <w:szCs w:val="21"/>
              </w:rPr>
              <w:t>□超五年重新审核项目</w:t>
            </w:r>
          </w:p>
          <w:p>
            <w:pPr>
              <w:adjustRightInd w:val="0"/>
              <w:snapToGrid w:val="0"/>
              <w:rPr>
                <w:rFonts w:ascii="宋体" w:hAnsi="宋体" w:cs="宋体"/>
                <w:szCs w:val="21"/>
              </w:rPr>
            </w:pPr>
            <w:r>
              <w:rPr>
                <w:rFonts w:hint="eastAsia" w:ascii="宋体" w:hAnsi="宋体" w:cs="宋体"/>
                <w:bCs/>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2"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备案）部门（选填）</w:t>
            </w:r>
          </w:p>
        </w:tc>
        <w:tc>
          <w:tcPr>
            <w:tcW w:w="2043" w:type="dxa"/>
            <w:vAlign w:val="center"/>
          </w:tcPr>
          <w:p>
            <w:pPr>
              <w:adjustRightInd w:val="0"/>
              <w:snapToGrid w:val="0"/>
              <w:jc w:val="center"/>
              <w:rPr>
                <w:rFonts w:ascii="宋体" w:hAnsi="宋体" w:cs="宋体"/>
                <w:szCs w:val="21"/>
              </w:rPr>
            </w:pPr>
          </w:p>
        </w:tc>
        <w:tc>
          <w:tcPr>
            <w:tcW w:w="2218" w:type="dxa"/>
            <w:vAlign w:val="center"/>
          </w:tcPr>
          <w:p>
            <w:pPr>
              <w:adjustRightInd w:val="0"/>
              <w:snapToGrid w:val="0"/>
              <w:jc w:val="center"/>
              <w:rPr>
                <w:rFonts w:ascii="宋体" w:hAnsi="宋体" w:cs="宋体"/>
                <w:szCs w:val="21"/>
              </w:rPr>
            </w:pPr>
            <w:r>
              <w:rPr>
                <w:rFonts w:hint="eastAsia" w:ascii="宋体" w:hAnsi="宋体" w:cs="宋体"/>
                <w:szCs w:val="21"/>
              </w:rPr>
              <w:t>项目审批（核准</w:t>
            </w:r>
            <w:r>
              <w:rPr>
                <w:rFonts w:ascii="宋体" w:hAnsi="宋体" w:cs="宋体"/>
                <w:szCs w:val="21"/>
              </w:rPr>
              <w:t>/</w:t>
            </w:r>
          </w:p>
          <w:p>
            <w:pPr>
              <w:adjustRightInd w:val="0"/>
              <w:snapToGrid w:val="0"/>
              <w:jc w:val="center"/>
              <w:rPr>
                <w:rFonts w:ascii="宋体" w:hAnsi="宋体" w:cs="宋体"/>
                <w:szCs w:val="21"/>
              </w:rPr>
            </w:pPr>
            <w:r>
              <w:rPr>
                <w:rFonts w:hint="eastAsia" w:ascii="宋体" w:hAnsi="宋体" w:cs="宋体"/>
                <w:szCs w:val="21"/>
              </w:rPr>
              <w:t>备案）文号（选填）</w:t>
            </w:r>
          </w:p>
        </w:tc>
        <w:tc>
          <w:tcPr>
            <w:tcW w:w="2552" w:type="dxa"/>
            <w:gridSpan w:val="2"/>
            <w:vAlign w:val="center"/>
          </w:tcPr>
          <w:p>
            <w:pPr>
              <w:adjustRightInd w:val="0"/>
              <w:snapToGrid w:val="0"/>
              <w:jc w:val="center"/>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55"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总投资（万元）</w:t>
            </w:r>
          </w:p>
        </w:tc>
        <w:tc>
          <w:tcPr>
            <w:tcW w:w="2043" w:type="dxa"/>
            <w:vAlign w:val="center"/>
          </w:tcPr>
          <w:p>
            <w:pPr>
              <w:adjustRightInd w:val="0"/>
              <w:snapToGrid w:val="0"/>
              <w:jc w:val="center"/>
              <w:rPr>
                <w:rFonts w:ascii="宋体" w:hAnsi="宋体" w:cs="宋体"/>
                <w:szCs w:val="21"/>
              </w:rPr>
            </w:pPr>
            <w:r>
              <w:rPr>
                <w:szCs w:val="21"/>
              </w:rPr>
              <w:t>21100.18</w:t>
            </w:r>
          </w:p>
        </w:tc>
        <w:tc>
          <w:tcPr>
            <w:tcW w:w="2218"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环保投资（万元）</w:t>
            </w:r>
          </w:p>
        </w:tc>
        <w:tc>
          <w:tcPr>
            <w:tcW w:w="2552" w:type="dxa"/>
            <w:gridSpan w:val="2"/>
            <w:vAlign w:val="center"/>
          </w:tcPr>
          <w:p>
            <w:pPr>
              <w:adjustRightInd w:val="0"/>
              <w:snapToGrid w:val="0"/>
              <w:jc w:val="center"/>
              <w:rPr>
                <w:szCs w:val="21"/>
              </w:rPr>
            </w:pPr>
            <w:r>
              <w:rPr>
                <w:szCs w:val="21"/>
              </w:rPr>
              <w:t>803.03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364"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2043" w:type="dxa"/>
            <w:vAlign w:val="center"/>
          </w:tcPr>
          <w:p>
            <w:pPr>
              <w:adjustRightInd w:val="0"/>
              <w:snapToGrid w:val="0"/>
              <w:jc w:val="center"/>
              <w:rPr>
                <w:szCs w:val="21"/>
              </w:rPr>
            </w:pPr>
            <w:r>
              <w:rPr>
                <w:bCs/>
                <w:szCs w:val="21"/>
              </w:rPr>
              <w:t>3.80%</w:t>
            </w:r>
          </w:p>
        </w:tc>
        <w:tc>
          <w:tcPr>
            <w:tcW w:w="2218"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施工工期</w:t>
            </w:r>
          </w:p>
        </w:tc>
        <w:tc>
          <w:tcPr>
            <w:tcW w:w="2552" w:type="dxa"/>
            <w:gridSpan w:val="2"/>
            <w:vAlign w:val="center"/>
          </w:tcPr>
          <w:p>
            <w:pPr>
              <w:adjustRightInd w:val="0"/>
              <w:snapToGrid w:val="0"/>
              <w:jc w:val="center"/>
              <w:rPr>
                <w:szCs w:val="21"/>
              </w:rPr>
            </w:pPr>
            <w:r>
              <w:rPr>
                <w:szCs w:val="21"/>
              </w:rPr>
              <w:t>22</w:t>
            </w:r>
            <w:r>
              <w:rPr>
                <w:rFonts w:hint="eastAsia"/>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djustRightInd w:val="0"/>
              <w:snapToGrid w:val="0"/>
              <w:jc w:val="center"/>
              <w:rPr>
                <w:rFonts w:ascii="宋体" w:hAnsi="宋体" w:cs="宋体"/>
                <w:szCs w:val="21"/>
              </w:rPr>
            </w:pPr>
            <w:r>
              <w:rPr>
                <w:rFonts w:hint="eastAsia" w:ascii="宋体" w:hAnsi="宋体" w:cs="宋体"/>
                <w:szCs w:val="21"/>
              </w:rPr>
              <w:t>是否开工建设</w:t>
            </w:r>
          </w:p>
        </w:tc>
        <w:tc>
          <w:tcPr>
            <w:tcW w:w="6813" w:type="dxa"/>
            <w:gridSpan w:val="4"/>
            <w:vAlign w:val="center"/>
          </w:tcPr>
          <w:p>
            <w:pPr>
              <w:adjustRightInd w:val="0"/>
              <w:snapToGrid w:val="0"/>
              <w:ind w:firstLine="105"/>
              <w:jc w:val="center"/>
              <w:rPr>
                <w:rFonts w:ascii="宋体" w:hAnsi="宋体" w:cs="宋体"/>
                <w:szCs w:val="21"/>
              </w:rPr>
            </w:pPr>
            <w:r>
              <w:rPr>
                <w:szCs w:val="21"/>
              </w:rPr>
              <w:sym w:font="Wingdings 2" w:char="F052"/>
            </w:r>
            <w:r>
              <w:rPr>
                <w:rFonts w:hint="eastAsia" w:ascii="宋体" w:hAnsi="宋体" w:cs="宋体"/>
                <w:szCs w:val="21"/>
              </w:rPr>
              <w:t>否</w:t>
            </w:r>
          </w:p>
          <w:p>
            <w:pPr>
              <w:adjustRightInd w:val="0"/>
              <w:snapToGrid w:val="0"/>
              <w:ind w:firstLine="92"/>
              <w:jc w:val="center"/>
              <w:rPr>
                <w:rFonts w:ascii="宋体" w:hAnsi="宋体" w:cs="宋体"/>
                <w:szCs w:val="21"/>
              </w:rPr>
            </w:pPr>
            <w:r>
              <w:rPr>
                <w:rFonts w:hint="eastAsia" w:ascii="宋体" w:hAnsi="宋体" w:cs="宋体"/>
                <w:szCs w:val="21"/>
              </w:rPr>
              <w:t>□是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专项评价设置情况</w:t>
            </w:r>
          </w:p>
        </w:tc>
        <w:tc>
          <w:tcPr>
            <w:tcW w:w="6813" w:type="dxa"/>
            <w:gridSpan w:val="4"/>
            <w:tcMar>
              <w:top w:w="16" w:type="dxa"/>
              <w:left w:w="16" w:type="dxa"/>
              <w:right w:w="16" w:type="dxa"/>
            </w:tcMar>
            <w:vAlign w:val="center"/>
          </w:tcPr>
          <w:p>
            <w:pPr>
              <w:autoSpaceDE w:val="0"/>
              <w:autoSpaceDN w:val="0"/>
              <w:adjustRightInd w:val="0"/>
              <w:snapToGrid w:val="0"/>
              <w:jc w:val="center"/>
              <w:rPr>
                <w:rFonts w:ascii="宋体" w:hAnsi="宋体" w:cs="宋体"/>
                <w:kern w:val="0"/>
                <w:sz w:val="24"/>
              </w:rPr>
            </w:pPr>
            <w:r>
              <w:rPr>
                <w:rFonts w:hint="eastAsia" w:hAnsi="宋体"/>
                <w:kern w:val="0"/>
                <w:sz w:val="24"/>
              </w:rPr>
              <w:t>地表水环境影响专项评价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szCs w:val="21"/>
              </w:rPr>
              <w:t>规划情况</w:t>
            </w:r>
          </w:p>
        </w:tc>
        <w:tc>
          <w:tcPr>
            <w:tcW w:w="6813"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jc w:val="left"/>
              <w:rPr>
                <w:sz w:val="24"/>
                <w:highlight w:val="cyan"/>
              </w:rPr>
            </w:pPr>
            <w:r>
              <w:rPr>
                <w:rFonts w:hAnsi="宋体"/>
                <w:kern w:val="0"/>
                <w:sz w:val="24"/>
              </w:rPr>
              <w:t>《新疆</w:t>
            </w:r>
            <w:r>
              <w:rPr>
                <w:rFonts w:hint="eastAsia" w:hAnsi="宋体"/>
                <w:kern w:val="0"/>
                <w:sz w:val="24"/>
              </w:rPr>
              <w:t>木垒县东城河</w:t>
            </w:r>
            <w:r>
              <w:rPr>
                <w:rFonts w:hAnsi="宋体"/>
                <w:kern w:val="0"/>
                <w:sz w:val="24"/>
              </w:rPr>
              <w:t>流域规划》</w:t>
            </w:r>
            <w:r>
              <w:rPr>
                <w:rFonts w:hint="eastAsia" w:hAnsi="宋体"/>
                <w:kern w:val="0"/>
                <w:sz w:val="24"/>
              </w:rPr>
              <w:t>已通过昌吉回族</w:t>
            </w:r>
            <w:r>
              <w:rPr>
                <w:rFonts w:hAnsi="宋体"/>
                <w:kern w:val="0"/>
                <w:sz w:val="24"/>
              </w:rPr>
              <w:t>自治州水利局</w:t>
            </w:r>
            <w:r>
              <w:rPr>
                <w:rFonts w:hint="eastAsia" w:hAnsi="宋体"/>
                <w:kern w:val="0"/>
                <w:sz w:val="24"/>
              </w:rPr>
              <w:t>审查，并</w:t>
            </w:r>
            <w:r>
              <w:rPr>
                <w:rFonts w:hAnsi="宋体"/>
                <w:kern w:val="0"/>
                <w:sz w:val="24"/>
              </w:rPr>
              <w:t>于2023</w:t>
            </w:r>
            <w:r>
              <w:rPr>
                <w:rFonts w:hint="eastAsia" w:hAnsi="宋体"/>
                <w:kern w:val="0"/>
                <w:sz w:val="24"/>
              </w:rPr>
              <w:t>年1月1</w:t>
            </w:r>
            <w:r>
              <w:rPr>
                <w:rFonts w:hAnsi="宋体"/>
                <w:kern w:val="0"/>
                <w:sz w:val="24"/>
              </w:rPr>
              <w:t>3</w:t>
            </w:r>
            <w:r>
              <w:rPr>
                <w:rFonts w:hint="eastAsia" w:hAnsi="宋体"/>
                <w:kern w:val="0"/>
                <w:sz w:val="24"/>
              </w:rPr>
              <w:t>日</w:t>
            </w:r>
            <w:r>
              <w:rPr>
                <w:rFonts w:hAnsi="宋体"/>
                <w:kern w:val="0"/>
                <w:sz w:val="24"/>
              </w:rPr>
              <w:t>取得了</w:t>
            </w:r>
            <w:r>
              <w:rPr>
                <w:rFonts w:hint="eastAsia" w:hAnsi="宋体"/>
                <w:kern w:val="0"/>
                <w:sz w:val="24"/>
              </w:rPr>
              <w:t>《木垒哈萨克自治县人民政府关于木垒县东城河流域规划报告的批复》</w:t>
            </w:r>
            <w:r>
              <w:rPr>
                <w:rFonts w:hAnsi="宋体"/>
                <w:kern w:val="0"/>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911"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szCs w:val="21"/>
              </w:rPr>
            </w:pPr>
            <w:r>
              <w:rPr>
                <w:rFonts w:hint="eastAsia" w:ascii="宋体" w:hAnsi="宋体" w:cs="宋体"/>
                <w:szCs w:val="21"/>
              </w:rPr>
              <w:t>规划环境影响</w:t>
            </w:r>
          </w:p>
          <w:p>
            <w:pPr>
              <w:autoSpaceDE w:val="0"/>
              <w:autoSpaceDN w:val="0"/>
              <w:adjustRightInd w:val="0"/>
              <w:snapToGrid w:val="0"/>
              <w:jc w:val="center"/>
              <w:rPr>
                <w:rFonts w:ascii="宋体" w:hAnsi="宋体" w:cs="宋体"/>
                <w:kern w:val="0"/>
                <w:szCs w:val="21"/>
              </w:rPr>
            </w:pPr>
            <w:r>
              <w:rPr>
                <w:rFonts w:hint="eastAsia" w:ascii="宋体" w:hAnsi="宋体" w:cs="宋体"/>
                <w:szCs w:val="21"/>
              </w:rPr>
              <w:t>评价情况</w:t>
            </w:r>
          </w:p>
        </w:tc>
        <w:tc>
          <w:tcPr>
            <w:tcW w:w="6813"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rPr>
                <w:sz w:val="24"/>
                <w:highlight w:val="cyan"/>
              </w:rPr>
            </w:pPr>
            <w:r>
              <w:rPr>
                <w:rFonts w:hAnsi="宋体"/>
                <w:kern w:val="0"/>
                <w:sz w:val="24"/>
              </w:rPr>
              <w:t>《</w:t>
            </w:r>
            <w:r>
              <w:rPr>
                <w:rFonts w:hint="eastAsia" w:hAnsi="宋体"/>
                <w:kern w:val="0"/>
                <w:sz w:val="24"/>
              </w:rPr>
              <w:t>新疆木垒县</w:t>
            </w:r>
            <w:r>
              <w:rPr>
                <w:rFonts w:hAnsi="宋体"/>
                <w:kern w:val="0"/>
                <w:sz w:val="24"/>
              </w:rPr>
              <w:t>东城河流域规划环境影响报告书》</w:t>
            </w:r>
            <w:r>
              <w:rPr>
                <w:rFonts w:hint="eastAsia" w:hAnsi="宋体"/>
                <w:kern w:val="0"/>
                <w:sz w:val="24"/>
              </w:rPr>
              <w:t>已通过昌吉</w:t>
            </w:r>
            <w:r>
              <w:rPr>
                <w:rFonts w:hAnsi="宋体"/>
                <w:kern w:val="0"/>
                <w:sz w:val="24"/>
              </w:rPr>
              <w:t>回族自治州生态环境局审查，</w:t>
            </w:r>
            <w:r>
              <w:rPr>
                <w:rFonts w:hint="eastAsia" w:hAnsi="宋体"/>
                <w:kern w:val="0"/>
                <w:sz w:val="24"/>
              </w:rPr>
              <w:t>并于2023年3月27日取得“关于</w:t>
            </w:r>
            <w:r>
              <w:rPr>
                <w:rFonts w:hAnsi="宋体"/>
                <w:kern w:val="0"/>
                <w:sz w:val="24"/>
              </w:rPr>
              <w:t>《</w:t>
            </w:r>
            <w:r>
              <w:rPr>
                <w:rFonts w:hint="eastAsia" w:hAnsi="宋体"/>
                <w:kern w:val="0"/>
                <w:sz w:val="24"/>
              </w:rPr>
              <w:t>新疆</w:t>
            </w:r>
            <w:r>
              <w:rPr>
                <w:rFonts w:hAnsi="宋体"/>
                <w:kern w:val="0"/>
                <w:sz w:val="24"/>
              </w:rPr>
              <w:t>木垒县东城河流域规划环境影响报告书》</w:t>
            </w:r>
            <w:r>
              <w:rPr>
                <w:rFonts w:hint="eastAsia" w:hAnsi="宋体"/>
                <w:kern w:val="0"/>
                <w:sz w:val="24"/>
              </w:rPr>
              <w:t>的</w:t>
            </w:r>
            <w:r>
              <w:rPr>
                <w:rFonts w:hAnsi="宋体"/>
                <w:kern w:val="0"/>
                <w:sz w:val="24"/>
              </w:rPr>
              <w:t>审查意见</w:t>
            </w:r>
            <w:r>
              <w:rPr>
                <w:rFonts w:hint="eastAsia" w:hAnsi="宋体"/>
                <w:kern w:val="0"/>
                <w:sz w:val="24"/>
              </w:rPr>
              <w:t>”（昌州</w:t>
            </w:r>
            <w:r>
              <w:rPr>
                <w:rFonts w:hAnsi="宋体"/>
                <w:kern w:val="0"/>
                <w:sz w:val="24"/>
              </w:rPr>
              <w:t>环函</w:t>
            </w:r>
            <w:r>
              <w:rPr>
                <w:rFonts w:hint="eastAsia" w:hAnsi="宋体"/>
                <w:kern w:val="0"/>
                <w:sz w:val="24"/>
              </w:rPr>
              <w:t>[2023]9号）。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003"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kern w:val="0"/>
                <w:szCs w:val="21"/>
              </w:rPr>
            </w:pPr>
            <w:r>
              <w:rPr>
                <w:rFonts w:hint="eastAsia" w:ascii="宋体" w:hAnsi="宋体" w:cs="宋体"/>
                <w:kern w:val="0"/>
                <w:szCs w:val="21"/>
              </w:rPr>
              <w:t>规划及</w:t>
            </w:r>
            <w:r>
              <w:rPr>
                <w:rFonts w:hint="eastAsia" w:ascii="宋体" w:hAnsi="宋体" w:cs="宋体"/>
                <w:szCs w:val="21"/>
              </w:rPr>
              <w:t>规划环境影响评价</w:t>
            </w:r>
            <w:r>
              <w:rPr>
                <w:rFonts w:hint="eastAsia" w:ascii="宋体" w:hAnsi="宋体" w:cs="宋体"/>
                <w:kern w:val="0"/>
                <w:szCs w:val="21"/>
              </w:rPr>
              <w:t>符合性分析</w:t>
            </w:r>
          </w:p>
        </w:tc>
        <w:tc>
          <w:tcPr>
            <w:tcW w:w="6813" w:type="dxa"/>
            <w:gridSpan w:val="4"/>
            <w:tcMar>
              <w:top w:w="16" w:type="dxa"/>
              <w:left w:w="16" w:type="dxa"/>
              <w:right w:w="16" w:type="dxa"/>
            </w:tcMar>
            <w:vAlign w:val="center"/>
          </w:tcPr>
          <w:p>
            <w:pPr>
              <w:autoSpaceDE w:val="0"/>
              <w:autoSpaceDN w:val="0"/>
              <w:adjustRightInd w:val="0"/>
              <w:snapToGrid w:val="0"/>
              <w:spacing w:line="360" w:lineRule="auto"/>
              <w:ind w:firstLine="480" w:firstLineChars="200"/>
              <w:rPr>
                <w:sz w:val="24"/>
              </w:rPr>
            </w:pPr>
            <w:r>
              <w:rPr>
                <w:rFonts w:hint="eastAsia"/>
                <w:sz w:val="24"/>
              </w:rPr>
              <w:t>《</w:t>
            </w:r>
            <w:r>
              <w:rPr>
                <w:sz w:val="24"/>
              </w:rPr>
              <w:t>新疆</w:t>
            </w:r>
            <w:r>
              <w:rPr>
                <w:rFonts w:hint="eastAsia"/>
                <w:sz w:val="24"/>
              </w:rPr>
              <w:t>木垒县</w:t>
            </w:r>
            <w:r>
              <w:rPr>
                <w:sz w:val="24"/>
              </w:rPr>
              <w:t>东城河流域</w:t>
            </w:r>
            <w:r>
              <w:rPr>
                <w:rFonts w:hint="eastAsia"/>
                <w:sz w:val="24"/>
              </w:rPr>
              <w:t>规划》</w:t>
            </w:r>
            <w:r>
              <w:rPr>
                <w:sz w:val="24"/>
              </w:rPr>
              <w:t>提出</w:t>
            </w:r>
            <w:r>
              <w:rPr>
                <w:sz w:val="24"/>
                <w:lang w:val="zh-CN"/>
              </w:rPr>
              <w:t>规划近期水平年</w:t>
            </w:r>
            <w:r>
              <w:rPr>
                <w:rFonts w:hint="eastAsia"/>
                <w:sz w:val="24"/>
                <w:lang w:val="zh-CN"/>
              </w:rPr>
              <w:t>为</w:t>
            </w:r>
            <w:r>
              <w:rPr>
                <w:sz w:val="24"/>
                <w:lang w:val="zh-CN"/>
              </w:rPr>
              <w:t>2025年，</w:t>
            </w:r>
            <w:r>
              <w:rPr>
                <w:rFonts w:hint="eastAsia"/>
                <w:sz w:val="24"/>
              </w:rPr>
              <w:t>红山嘴</w:t>
            </w:r>
            <w:r>
              <w:rPr>
                <w:sz w:val="24"/>
              </w:rPr>
              <w:t>水库为流域规划中重大水工程，</w:t>
            </w:r>
            <w:r>
              <w:rPr>
                <w:rFonts w:hint="eastAsia"/>
                <w:sz w:val="24"/>
              </w:rPr>
              <w:t>是规划推荐近期工程之一</w:t>
            </w:r>
            <w:r>
              <w:rPr>
                <w:rFonts w:hint="eastAsia"/>
                <w:sz w:val="24"/>
                <w:lang w:val="zh-CN"/>
              </w:rPr>
              <w:t>。</w:t>
            </w:r>
            <w:r>
              <w:rPr>
                <w:rFonts w:hint="eastAsia"/>
                <w:sz w:val="24"/>
              </w:rPr>
              <w:t>规划阶段工程任务为灌溉及</w:t>
            </w:r>
            <w:r>
              <w:rPr>
                <w:sz w:val="24"/>
              </w:rPr>
              <w:t>供水</w:t>
            </w:r>
            <w:r>
              <w:rPr>
                <w:rFonts w:hint="eastAsia"/>
                <w:sz w:val="24"/>
              </w:rPr>
              <w:t>，</w:t>
            </w:r>
            <w:r>
              <w:rPr>
                <w:rFonts w:hint="eastAsia"/>
                <w:sz w:val="24"/>
                <w:lang w:val="zh-CN"/>
              </w:rPr>
              <w:t>总库容</w:t>
            </w:r>
            <w:r>
              <w:rPr>
                <w:sz w:val="24"/>
                <w:lang w:val="zh-CN"/>
              </w:rPr>
              <w:t>270.29</w:t>
            </w:r>
            <w:r>
              <w:rPr>
                <w:rFonts w:hint="eastAsia"/>
                <w:sz w:val="24"/>
                <w:lang w:val="zh-CN"/>
              </w:rPr>
              <w:t>万</w:t>
            </w:r>
            <w:r>
              <w:rPr>
                <w:sz w:val="24"/>
                <w:lang w:val="zh-CN"/>
              </w:rPr>
              <w:t>m</w:t>
            </w:r>
            <w:r>
              <w:rPr>
                <w:sz w:val="24"/>
                <w:vertAlign w:val="superscript"/>
                <w:lang w:val="zh-CN"/>
              </w:rPr>
              <w:t>3</w:t>
            </w:r>
            <w:r>
              <w:rPr>
                <w:rFonts w:hint="eastAsia"/>
                <w:sz w:val="24"/>
                <w:lang w:val="zh-CN"/>
              </w:rPr>
              <w:t>，</w:t>
            </w:r>
            <w:r>
              <w:rPr>
                <w:sz w:val="24"/>
              </w:rPr>
              <w:t>属Ⅳ等小（1）型工程。</w:t>
            </w:r>
            <w:r>
              <w:rPr>
                <w:rFonts w:hint="eastAsia"/>
                <w:sz w:val="24"/>
              </w:rPr>
              <w:t>同时</w:t>
            </w:r>
            <w:r>
              <w:rPr>
                <w:sz w:val="24"/>
              </w:rPr>
              <w:t>规划中提出“</w:t>
            </w:r>
            <w:r>
              <w:rPr>
                <w:rFonts w:hint="eastAsia"/>
                <w:sz w:val="24"/>
              </w:rPr>
              <w:t>为满足东城流域人畜安全饮水、灌溉以及流域防洪要求，需在河道上游修建控制性水利工程，通过初步分析论证，选择修建红山嘴水库。</w:t>
            </w:r>
            <w:r>
              <w:rPr>
                <w:sz w:val="24"/>
              </w:rPr>
              <w:t>”</w:t>
            </w:r>
          </w:p>
          <w:p>
            <w:pPr>
              <w:autoSpaceDE w:val="0"/>
              <w:autoSpaceDN w:val="0"/>
              <w:adjustRightInd w:val="0"/>
              <w:snapToGrid w:val="0"/>
              <w:spacing w:line="360" w:lineRule="auto"/>
              <w:ind w:firstLine="480" w:firstLineChars="200"/>
              <w:rPr>
                <w:rFonts w:hAnsi="宋体"/>
                <w:kern w:val="0"/>
                <w:sz w:val="24"/>
              </w:rPr>
            </w:pPr>
            <w:r>
              <w:rPr>
                <w:rFonts w:hAnsi="宋体"/>
                <w:kern w:val="0"/>
                <w:sz w:val="24"/>
              </w:rPr>
              <w:t>《</w:t>
            </w:r>
            <w:r>
              <w:rPr>
                <w:rFonts w:hint="eastAsia" w:hAnsi="宋体"/>
                <w:kern w:val="0"/>
                <w:sz w:val="24"/>
              </w:rPr>
              <w:t>新疆</w:t>
            </w:r>
            <w:r>
              <w:rPr>
                <w:rFonts w:hAnsi="宋体"/>
                <w:kern w:val="0"/>
                <w:sz w:val="24"/>
              </w:rPr>
              <w:t>木垒县东城河流域规划</w:t>
            </w:r>
            <w:r>
              <w:rPr>
                <w:rFonts w:hint="eastAsia" w:hAnsi="宋体"/>
                <w:kern w:val="0"/>
                <w:sz w:val="24"/>
              </w:rPr>
              <w:t>环境影响报告书</w:t>
            </w:r>
            <w:r>
              <w:rPr>
                <w:rFonts w:hAnsi="宋体"/>
                <w:kern w:val="0"/>
                <w:sz w:val="24"/>
              </w:rPr>
              <w:t>》</w:t>
            </w:r>
            <w:r>
              <w:rPr>
                <w:rFonts w:hint="eastAsia" w:hAnsi="宋体"/>
                <w:kern w:val="0"/>
                <w:sz w:val="24"/>
              </w:rPr>
              <w:t>及其</w:t>
            </w:r>
            <w:r>
              <w:rPr>
                <w:rFonts w:hAnsi="宋体"/>
                <w:kern w:val="0"/>
                <w:sz w:val="24"/>
              </w:rPr>
              <w:t>审查</w:t>
            </w:r>
            <w:r>
              <w:rPr>
                <w:rFonts w:hint="eastAsia" w:hAnsi="宋体"/>
                <w:kern w:val="0"/>
                <w:sz w:val="24"/>
              </w:rPr>
              <w:t>意见</w:t>
            </w:r>
            <w:r>
              <w:rPr>
                <w:rFonts w:hAnsi="宋体"/>
                <w:kern w:val="0"/>
                <w:sz w:val="24"/>
              </w:rPr>
              <w:t>中</w:t>
            </w:r>
            <w:r>
              <w:rPr>
                <w:rFonts w:hint="eastAsia" w:hAnsi="宋体"/>
                <w:kern w:val="0"/>
                <w:sz w:val="24"/>
              </w:rPr>
              <w:t>主要提出“①</w:t>
            </w:r>
            <w:r>
              <w:rPr>
                <w:rFonts w:hAnsi="宋体"/>
                <w:kern w:val="0"/>
                <w:sz w:val="24"/>
              </w:rPr>
              <w:t>红山嘴水库坝址段断面</w:t>
            </w:r>
            <w:r>
              <w:rPr>
                <w:rFonts w:hint="eastAsia" w:hAnsi="宋体"/>
                <w:kern w:val="0"/>
                <w:sz w:val="24"/>
              </w:rPr>
              <w:t>应</w:t>
            </w:r>
            <w:r>
              <w:rPr>
                <w:rFonts w:hAnsi="宋体"/>
                <w:kern w:val="0"/>
                <w:sz w:val="24"/>
              </w:rPr>
              <w:t>确保生态流量下泄，即</w:t>
            </w:r>
            <w:r>
              <w:rPr>
                <w:rFonts w:hint="eastAsia" w:hAnsi="宋体"/>
                <w:kern w:val="0"/>
                <w:sz w:val="24"/>
              </w:rPr>
              <w:t>4月～9月下泄流量</w:t>
            </w:r>
            <w:r>
              <w:rPr>
                <w:rFonts w:hAnsi="宋体"/>
                <w:kern w:val="0"/>
                <w:sz w:val="24"/>
              </w:rPr>
              <w:t>为坝址断面多年平均流量</w:t>
            </w:r>
            <w:r>
              <w:rPr>
                <w:rFonts w:hint="eastAsia" w:hAnsi="宋体"/>
                <w:kern w:val="0"/>
                <w:sz w:val="24"/>
              </w:rPr>
              <w:t>的30</w:t>
            </w:r>
            <w:r>
              <w:rPr>
                <w:rFonts w:hAnsi="宋体"/>
                <w:kern w:val="0"/>
                <w:sz w:val="24"/>
              </w:rPr>
              <w:t>%</w:t>
            </w:r>
            <w:r>
              <w:rPr>
                <w:rFonts w:hint="eastAsia" w:hAnsi="宋体"/>
                <w:kern w:val="0"/>
                <w:sz w:val="24"/>
              </w:rPr>
              <w:t>（0.</w:t>
            </w:r>
            <w:r>
              <w:rPr>
                <w:rFonts w:hAnsi="宋体"/>
                <w:kern w:val="0"/>
                <w:sz w:val="24"/>
              </w:rPr>
              <w:t>0</w:t>
            </w:r>
            <w:r>
              <w:rPr>
                <w:rFonts w:hint="eastAsia" w:hAnsi="宋体"/>
                <w:kern w:val="0"/>
                <w:sz w:val="24"/>
              </w:rPr>
              <w:t>66</w:t>
            </w:r>
            <w:r>
              <w:rPr>
                <w:rFonts w:hAnsi="宋体"/>
                <w:kern w:val="0"/>
                <w:sz w:val="24"/>
              </w:rPr>
              <w:t>m</w:t>
            </w:r>
            <w:r>
              <w:rPr>
                <w:rFonts w:hAnsi="宋体"/>
                <w:kern w:val="0"/>
                <w:sz w:val="24"/>
                <w:vertAlign w:val="superscript"/>
              </w:rPr>
              <w:t>3</w:t>
            </w:r>
            <w:r>
              <w:rPr>
                <w:rFonts w:hAnsi="宋体"/>
                <w:kern w:val="0"/>
                <w:sz w:val="24"/>
              </w:rPr>
              <w:t>/s</w:t>
            </w:r>
            <w:r>
              <w:rPr>
                <w:rFonts w:hint="eastAsia" w:hAnsi="宋体"/>
                <w:kern w:val="0"/>
                <w:sz w:val="24"/>
              </w:rPr>
              <w:t>），10月</w:t>
            </w:r>
            <w:r>
              <w:rPr>
                <w:rFonts w:hAnsi="宋体"/>
                <w:kern w:val="0"/>
                <w:sz w:val="24"/>
              </w:rPr>
              <w:t>～次年</w:t>
            </w:r>
            <w:r>
              <w:rPr>
                <w:rFonts w:hint="eastAsia" w:hAnsi="宋体"/>
                <w:kern w:val="0"/>
                <w:sz w:val="24"/>
              </w:rPr>
              <w:t>3月</w:t>
            </w:r>
            <w:r>
              <w:rPr>
                <w:rFonts w:hAnsi="宋体"/>
                <w:kern w:val="0"/>
                <w:sz w:val="24"/>
              </w:rPr>
              <w:t>下泄流量为坝址断面多年</w:t>
            </w:r>
            <w:r>
              <w:rPr>
                <w:rFonts w:hint="eastAsia" w:hAnsi="宋体"/>
                <w:kern w:val="0"/>
                <w:sz w:val="24"/>
              </w:rPr>
              <w:t>平均</w:t>
            </w:r>
            <w:r>
              <w:rPr>
                <w:rFonts w:hAnsi="宋体"/>
                <w:kern w:val="0"/>
                <w:sz w:val="24"/>
              </w:rPr>
              <w:t>流量</w:t>
            </w:r>
            <w:r>
              <w:rPr>
                <w:rFonts w:hint="eastAsia" w:hAnsi="宋体"/>
                <w:kern w:val="0"/>
                <w:sz w:val="24"/>
              </w:rPr>
              <w:t>的10</w:t>
            </w:r>
            <w:r>
              <w:rPr>
                <w:rFonts w:hAnsi="宋体"/>
                <w:kern w:val="0"/>
                <w:sz w:val="24"/>
              </w:rPr>
              <w:t>%</w:t>
            </w:r>
            <w:r>
              <w:rPr>
                <w:rFonts w:hint="eastAsia" w:hAnsi="宋体"/>
                <w:kern w:val="0"/>
                <w:sz w:val="24"/>
              </w:rPr>
              <w:t>（0.</w:t>
            </w:r>
            <w:r>
              <w:rPr>
                <w:rFonts w:hAnsi="宋体"/>
                <w:kern w:val="0"/>
                <w:sz w:val="24"/>
              </w:rPr>
              <w:t>0</w:t>
            </w:r>
            <w:r>
              <w:rPr>
                <w:rFonts w:hint="eastAsia" w:hAnsi="宋体"/>
                <w:kern w:val="0"/>
                <w:sz w:val="24"/>
              </w:rPr>
              <w:t>22</w:t>
            </w:r>
            <w:r>
              <w:rPr>
                <w:rFonts w:hAnsi="宋体"/>
                <w:kern w:val="0"/>
                <w:sz w:val="24"/>
              </w:rPr>
              <w:t>m</w:t>
            </w:r>
            <w:r>
              <w:rPr>
                <w:rFonts w:hAnsi="宋体"/>
                <w:kern w:val="0"/>
                <w:sz w:val="24"/>
                <w:vertAlign w:val="superscript"/>
              </w:rPr>
              <w:t>3</w:t>
            </w:r>
            <w:r>
              <w:rPr>
                <w:rFonts w:hAnsi="宋体"/>
                <w:kern w:val="0"/>
                <w:sz w:val="24"/>
              </w:rPr>
              <w:t>/s</w:t>
            </w:r>
            <w:r>
              <w:rPr>
                <w:rFonts w:hint="eastAsia" w:hAnsi="宋体"/>
                <w:kern w:val="0"/>
                <w:sz w:val="24"/>
              </w:rPr>
              <w:t>）；②</w:t>
            </w:r>
            <w:r>
              <w:rPr>
                <w:rFonts w:hAnsi="宋体"/>
                <w:kern w:val="0"/>
                <w:sz w:val="24"/>
              </w:rPr>
              <w:t>水库供水灌区引水量及引水过程须满足规划提出的水资源</w:t>
            </w:r>
            <w:r>
              <w:rPr>
                <w:rFonts w:hint="eastAsia" w:hAnsi="宋体"/>
                <w:kern w:val="0"/>
                <w:sz w:val="24"/>
              </w:rPr>
              <w:t>配置</w:t>
            </w:r>
            <w:r>
              <w:rPr>
                <w:rFonts w:hAnsi="宋体"/>
                <w:kern w:val="0"/>
                <w:sz w:val="24"/>
              </w:rPr>
              <w:t>方案要求，以及‘</w:t>
            </w:r>
            <w:r>
              <w:rPr>
                <w:rFonts w:hint="eastAsia" w:hAnsi="宋体"/>
                <w:kern w:val="0"/>
                <w:sz w:val="24"/>
              </w:rPr>
              <w:t>三条</w:t>
            </w:r>
            <w:r>
              <w:rPr>
                <w:rFonts w:hAnsi="宋体"/>
                <w:kern w:val="0"/>
                <w:sz w:val="24"/>
              </w:rPr>
              <w:t>红线’</w:t>
            </w:r>
            <w:r>
              <w:rPr>
                <w:rFonts w:hint="eastAsia" w:hAnsi="宋体"/>
                <w:kern w:val="0"/>
                <w:sz w:val="24"/>
              </w:rPr>
              <w:t>用水</w:t>
            </w:r>
            <w:r>
              <w:rPr>
                <w:rFonts w:hAnsi="宋体"/>
                <w:kern w:val="0"/>
                <w:sz w:val="24"/>
              </w:rPr>
              <w:t>总量控制指标，避免超引水，也要避免因水库建成后增引水造成</w:t>
            </w:r>
            <w:r>
              <w:rPr>
                <w:rFonts w:hint="eastAsia" w:hAnsi="宋体"/>
                <w:kern w:val="0"/>
                <w:sz w:val="24"/>
              </w:rPr>
              <w:t>供水</w:t>
            </w:r>
            <w:r>
              <w:rPr>
                <w:rFonts w:hAnsi="宋体"/>
                <w:kern w:val="0"/>
                <w:sz w:val="24"/>
              </w:rPr>
              <w:t>灌区灌溉面积增加，避免引发社会经济用水挤占生态</w:t>
            </w:r>
            <w:r>
              <w:rPr>
                <w:rFonts w:hint="eastAsia" w:hAnsi="宋体"/>
                <w:kern w:val="0"/>
                <w:sz w:val="24"/>
              </w:rPr>
              <w:t>水</w:t>
            </w:r>
            <w:r>
              <w:rPr>
                <w:rFonts w:hAnsi="宋体"/>
                <w:kern w:val="0"/>
                <w:sz w:val="24"/>
              </w:rPr>
              <w:t>的问题</w:t>
            </w:r>
            <w:r>
              <w:rPr>
                <w:rFonts w:hint="eastAsia" w:hAnsi="宋体"/>
                <w:kern w:val="0"/>
                <w:sz w:val="24"/>
              </w:rPr>
              <w:t>。”</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根据“2022年</w:t>
            </w:r>
            <w:r>
              <w:rPr>
                <w:rFonts w:hAnsi="宋体"/>
                <w:kern w:val="0"/>
                <w:sz w:val="24"/>
              </w:rPr>
              <w:t>木垒哈萨克自治县供水量表</w:t>
            </w:r>
            <w:r>
              <w:rPr>
                <w:rFonts w:hint="eastAsia" w:hAnsi="宋体"/>
                <w:kern w:val="0"/>
                <w:sz w:val="24"/>
              </w:rPr>
              <w:t>”</w:t>
            </w:r>
            <w:r>
              <w:rPr>
                <w:rFonts w:hAnsi="宋体"/>
                <w:kern w:val="0"/>
                <w:sz w:val="24"/>
              </w:rPr>
              <w:t>，</w:t>
            </w:r>
            <w:r>
              <w:rPr>
                <w:rFonts w:hint="eastAsia" w:hAnsi="宋体"/>
                <w:kern w:val="0"/>
                <w:sz w:val="24"/>
              </w:rPr>
              <w:t>木垒县2022年总</w:t>
            </w:r>
            <w:r>
              <w:rPr>
                <w:rFonts w:hAnsi="宋体"/>
                <w:kern w:val="0"/>
                <w:sz w:val="24"/>
              </w:rPr>
              <w:t>供水量</w:t>
            </w:r>
            <w:r>
              <w:rPr>
                <w:rFonts w:hint="eastAsia" w:hAnsi="宋体"/>
                <w:kern w:val="0"/>
                <w:sz w:val="24"/>
              </w:rPr>
              <w:t>5326.25万m</w:t>
            </w:r>
            <w:r>
              <w:rPr>
                <w:rFonts w:hAnsi="宋体"/>
                <w:kern w:val="0"/>
                <w:sz w:val="24"/>
                <w:vertAlign w:val="superscript"/>
              </w:rPr>
              <w:t>3</w:t>
            </w:r>
            <w:r>
              <w:rPr>
                <w:rFonts w:hint="eastAsia" w:hAnsi="宋体"/>
                <w:kern w:val="0"/>
                <w:sz w:val="24"/>
              </w:rPr>
              <w:t>，</w:t>
            </w:r>
            <w:r>
              <w:rPr>
                <w:rFonts w:hAnsi="宋体"/>
                <w:kern w:val="0"/>
                <w:sz w:val="24"/>
              </w:rPr>
              <w:t>其中地表水供水量</w:t>
            </w:r>
            <w:r>
              <w:rPr>
                <w:rFonts w:hint="eastAsia" w:hAnsi="宋体"/>
                <w:kern w:val="0"/>
                <w:sz w:val="24"/>
              </w:rPr>
              <w:t>1758.50万</w:t>
            </w:r>
            <w:r>
              <w:rPr>
                <w:rFonts w:hAnsi="宋体"/>
                <w:kern w:val="0"/>
                <w:sz w:val="24"/>
              </w:rPr>
              <w:t>m</w:t>
            </w:r>
            <w:r>
              <w:rPr>
                <w:rFonts w:hAnsi="宋体"/>
                <w:kern w:val="0"/>
                <w:sz w:val="24"/>
                <w:vertAlign w:val="superscript"/>
              </w:rPr>
              <w:t>3</w:t>
            </w:r>
            <w:r>
              <w:rPr>
                <w:rFonts w:hint="eastAsia" w:hAnsi="宋体"/>
                <w:kern w:val="0"/>
                <w:sz w:val="24"/>
              </w:rPr>
              <w:t>，</w:t>
            </w:r>
            <w:r>
              <w:rPr>
                <w:rFonts w:hAnsi="宋体"/>
                <w:kern w:val="0"/>
                <w:sz w:val="24"/>
              </w:rPr>
              <w:t>地下水供水量</w:t>
            </w:r>
            <w:r>
              <w:rPr>
                <w:rFonts w:hint="eastAsia" w:hAnsi="宋体"/>
                <w:kern w:val="0"/>
                <w:sz w:val="24"/>
              </w:rPr>
              <w:t>3462.87万</w:t>
            </w:r>
            <w:r>
              <w:rPr>
                <w:rFonts w:hAnsi="宋体"/>
                <w:kern w:val="0"/>
                <w:sz w:val="24"/>
              </w:rPr>
              <w:t>m</w:t>
            </w:r>
            <w:r>
              <w:rPr>
                <w:rFonts w:hAnsi="宋体"/>
                <w:kern w:val="0"/>
                <w:sz w:val="24"/>
                <w:vertAlign w:val="superscript"/>
              </w:rPr>
              <w:t>3</w:t>
            </w:r>
            <w:r>
              <w:rPr>
                <w:rFonts w:hint="eastAsia" w:hAnsi="宋体"/>
                <w:kern w:val="0"/>
                <w:sz w:val="24"/>
              </w:rPr>
              <w:t>，</w:t>
            </w:r>
            <w:r>
              <w:rPr>
                <w:rFonts w:hAnsi="宋体"/>
                <w:kern w:val="0"/>
                <w:sz w:val="24"/>
              </w:rPr>
              <w:t>其他水源供水量</w:t>
            </w:r>
            <w:r>
              <w:rPr>
                <w:rFonts w:hint="eastAsia" w:hAnsi="宋体"/>
                <w:kern w:val="0"/>
                <w:sz w:val="24"/>
              </w:rPr>
              <w:t>104.88万</w:t>
            </w:r>
            <w:r>
              <w:rPr>
                <w:rFonts w:hAnsi="宋体"/>
                <w:kern w:val="0"/>
                <w:sz w:val="24"/>
              </w:rPr>
              <w:t>m</w:t>
            </w:r>
            <w:r>
              <w:rPr>
                <w:rFonts w:hAnsi="宋体"/>
                <w:kern w:val="0"/>
                <w:sz w:val="24"/>
                <w:vertAlign w:val="superscript"/>
              </w:rPr>
              <w:t>3</w:t>
            </w:r>
            <w:r>
              <w:rPr>
                <w:rFonts w:hint="eastAsia" w:hAnsi="宋体"/>
                <w:kern w:val="0"/>
                <w:sz w:val="24"/>
              </w:rPr>
              <w:t>。符合昌吉州下达</w:t>
            </w:r>
            <w:r>
              <w:rPr>
                <w:rFonts w:hAnsi="宋体"/>
                <w:kern w:val="0"/>
                <w:sz w:val="24"/>
              </w:rPr>
              <w:t>的</w:t>
            </w:r>
            <w:r>
              <w:rPr>
                <w:rFonts w:hint="eastAsia" w:hAnsi="宋体"/>
                <w:kern w:val="0"/>
                <w:sz w:val="24"/>
              </w:rPr>
              <w:t>木垒县“三条红线”的分解指标中2020年总用水量</w:t>
            </w:r>
            <w:r>
              <w:rPr>
                <w:rFonts w:hAnsi="宋体"/>
                <w:kern w:val="0"/>
                <w:sz w:val="24"/>
              </w:rPr>
              <w:t>10469</w:t>
            </w:r>
            <w:r>
              <w:rPr>
                <w:rFonts w:hint="eastAsia" w:hAnsi="宋体"/>
                <w:kern w:val="0"/>
                <w:sz w:val="24"/>
              </w:rPr>
              <w:t>万m</w:t>
            </w:r>
            <w:r>
              <w:rPr>
                <w:rFonts w:hint="eastAsia" w:hAnsi="宋体"/>
                <w:kern w:val="0"/>
                <w:sz w:val="24"/>
                <w:vertAlign w:val="superscript"/>
              </w:rPr>
              <w:t>3</w:t>
            </w:r>
            <w:r>
              <w:rPr>
                <w:rFonts w:hint="eastAsia" w:hAnsi="宋体"/>
                <w:kern w:val="0"/>
                <w:sz w:val="24"/>
              </w:rPr>
              <w:t>，其中地表水用水总额</w:t>
            </w:r>
            <w:r>
              <w:rPr>
                <w:rFonts w:hAnsi="宋体"/>
                <w:kern w:val="0"/>
                <w:sz w:val="24"/>
              </w:rPr>
              <w:t>5720</w:t>
            </w:r>
            <w:r>
              <w:rPr>
                <w:rFonts w:hint="eastAsia" w:hAnsi="宋体"/>
                <w:kern w:val="0"/>
                <w:sz w:val="24"/>
              </w:rPr>
              <w:t>万m</w:t>
            </w:r>
            <w:r>
              <w:rPr>
                <w:rFonts w:hint="eastAsia" w:hAnsi="宋体"/>
                <w:kern w:val="0"/>
                <w:sz w:val="24"/>
                <w:vertAlign w:val="superscript"/>
              </w:rPr>
              <w:t>3</w:t>
            </w:r>
            <w:r>
              <w:rPr>
                <w:rFonts w:hint="eastAsia" w:hAnsi="宋体"/>
                <w:kern w:val="0"/>
                <w:sz w:val="24"/>
              </w:rPr>
              <w:t>，地下水用水总额</w:t>
            </w:r>
            <w:r>
              <w:rPr>
                <w:rFonts w:hAnsi="宋体"/>
                <w:kern w:val="0"/>
                <w:sz w:val="24"/>
              </w:rPr>
              <w:t>4579</w:t>
            </w:r>
            <w:r>
              <w:rPr>
                <w:rFonts w:hint="eastAsia" w:hAnsi="宋体"/>
                <w:kern w:val="0"/>
                <w:sz w:val="24"/>
              </w:rPr>
              <w:t>万m</w:t>
            </w:r>
            <w:r>
              <w:rPr>
                <w:rFonts w:hint="eastAsia" w:hAnsi="宋体"/>
                <w:kern w:val="0"/>
                <w:sz w:val="24"/>
                <w:vertAlign w:val="superscript"/>
              </w:rPr>
              <w:t>3</w:t>
            </w:r>
            <w:r>
              <w:rPr>
                <w:rFonts w:hint="eastAsia" w:hAnsi="宋体"/>
                <w:kern w:val="0"/>
                <w:sz w:val="24"/>
              </w:rPr>
              <w:t>，其他</w:t>
            </w:r>
            <w:r>
              <w:rPr>
                <w:rFonts w:hAnsi="宋体"/>
                <w:kern w:val="0"/>
                <w:sz w:val="24"/>
              </w:rPr>
              <w:t>水源</w:t>
            </w:r>
            <w:r>
              <w:rPr>
                <w:rFonts w:hint="eastAsia" w:hAnsi="宋体"/>
                <w:kern w:val="0"/>
                <w:sz w:val="24"/>
              </w:rPr>
              <w:t>用水</w:t>
            </w:r>
            <w:r>
              <w:rPr>
                <w:rFonts w:hAnsi="宋体"/>
                <w:kern w:val="0"/>
                <w:sz w:val="24"/>
              </w:rPr>
              <w:t>总额169</w:t>
            </w:r>
            <w:r>
              <w:rPr>
                <w:rFonts w:hint="eastAsia" w:hAnsi="宋体"/>
                <w:kern w:val="0"/>
                <w:sz w:val="24"/>
              </w:rPr>
              <w:t>万m</w:t>
            </w:r>
            <w:r>
              <w:rPr>
                <w:rFonts w:hint="eastAsia" w:hAnsi="宋体"/>
                <w:kern w:val="0"/>
                <w:sz w:val="24"/>
                <w:vertAlign w:val="superscript"/>
              </w:rPr>
              <w:t>3</w:t>
            </w:r>
            <w:r>
              <w:rPr>
                <w:rFonts w:hint="eastAsia" w:hAnsi="宋体"/>
                <w:kern w:val="0"/>
                <w:sz w:val="24"/>
              </w:rPr>
              <w:t>。</w:t>
            </w:r>
          </w:p>
          <w:p>
            <w:pPr>
              <w:autoSpaceDE w:val="0"/>
              <w:autoSpaceDN w:val="0"/>
              <w:adjustRightInd w:val="0"/>
              <w:snapToGrid w:val="0"/>
              <w:spacing w:line="360" w:lineRule="auto"/>
              <w:ind w:firstLine="480" w:firstLineChars="200"/>
              <w:rPr>
                <w:rFonts w:hAnsi="宋体"/>
                <w:kern w:val="0"/>
                <w:sz w:val="24"/>
              </w:rPr>
            </w:pPr>
            <w:r>
              <w:rPr>
                <w:rFonts w:hint="eastAsia" w:hAnsi="宋体"/>
                <w:kern w:val="0"/>
                <w:sz w:val="24"/>
              </w:rPr>
              <w:t>红山嘴</w:t>
            </w:r>
            <w:r>
              <w:rPr>
                <w:rFonts w:hAnsi="宋体"/>
                <w:kern w:val="0"/>
                <w:sz w:val="24"/>
              </w:rPr>
              <w:t>水库工程的工程任务为灌溉和供水</w:t>
            </w:r>
            <w:r>
              <w:rPr>
                <w:rFonts w:hint="eastAsia" w:hAnsi="宋体"/>
                <w:kern w:val="0"/>
                <w:sz w:val="24"/>
              </w:rPr>
              <w:t>，虽然</w:t>
            </w:r>
            <w:r>
              <w:rPr>
                <w:rFonts w:hAnsi="宋体"/>
                <w:kern w:val="0"/>
                <w:sz w:val="24"/>
              </w:rPr>
              <w:t>不承担下游防洪任务，</w:t>
            </w:r>
            <w:r>
              <w:rPr>
                <w:rFonts w:hint="eastAsia" w:hAnsi="宋体"/>
                <w:kern w:val="0"/>
                <w:sz w:val="24"/>
              </w:rPr>
              <w:t>但</w:t>
            </w:r>
            <w:r>
              <w:rPr>
                <w:rFonts w:hAnsi="宋体"/>
                <w:kern w:val="0"/>
                <w:sz w:val="24"/>
              </w:rPr>
              <w:t>建成后</w:t>
            </w:r>
            <w:r>
              <w:rPr>
                <w:rFonts w:hint="eastAsia" w:hAnsi="宋体"/>
                <w:kern w:val="0"/>
                <w:sz w:val="24"/>
              </w:rPr>
              <w:t>在</w:t>
            </w:r>
            <w:r>
              <w:rPr>
                <w:rFonts w:hAnsi="宋体"/>
                <w:kern w:val="0"/>
                <w:sz w:val="24"/>
              </w:rPr>
              <w:t>运行期内具有</w:t>
            </w:r>
            <w:r>
              <w:rPr>
                <w:rFonts w:hint="eastAsia" w:hAnsi="宋体"/>
                <w:kern w:val="0"/>
                <w:sz w:val="24"/>
              </w:rPr>
              <w:t>一定</w:t>
            </w:r>
            <w:r>
              <w:rPr>
                <w:rFonts w:hAnsi="宋体"/>
                <w:kern w:val="0"/>
                <w:sz w:val="24"/>
              </w:rPr>
              <w:t>的消减洪峰、延滞洪水下泄的能力，符合流域防洪要求。</w:t>
            </w:r>
          </w:p>
          <w:p>
            <w:pPr>
              <w:autoSpaceDE w:val="0"/>
              <w:autoSpaceDN w:val="0"/>
              <w:adjustRightInd w:val="0"/>
              <w:snapToGrid w:val="0"/>
              <w:spacing w:line="360" w:lineRule="auto"/>
              <w:ind w:firstLine="480" w:firstLineChars="200"/>
              <w:rPr>
                <w:rFonts w:hAnsi="宋体"/>
                <w:kern w:val="0"/>
                <w:sz w:val="24"/>
                <w:highlight w:val="cyan"/>
              </w:rPr>
            </w:pPr>
            <w:r>
              <w:rPr>
                <w:rFonts w:hint="eastAsia" w:hAnsi="宋体"/>
                <w:kern w:val="0"/>
                <w:sz w:val="24"/>
              </w:rPr>
              <w:t>随着</w:t>
            </w:r>
            <w:r>
              <w:rPr>
                <w:rFonts w:hAnsi="宋体"/>
                <w:kern w:val="0"/>
                <w:sz w:val="24"/>
              </w:rPr>
              <w:t>设计深度的深化，通过充分论证及实际勘察测量后，对</w:t>
            </w:r>
            <w:r>
              <w:rPr>
                <w:rFonts w:hint="eastAsia" w:hAnsi="宋体"/>
                <w:kern w:val="0"/>
                <w:sz w:val="24"/>
              </w:rPr>
              <w:t>部分</w:t>
            </w:r>
            <w:r>
              <w:rPr>
                <w:rFonts w:hAnsi="宋体"/>
                <w:kern w:val="0"/>
                <w:sz w:val="24"/>
              </w:rPr>
              <w:t>指标进行了</w:t>
            </w:r>
            <w:r>
              <w:rPr>
                <w:rFonts w:hint="eastAsia" w:hAnsi="宋体"/>
                <w:kern w:val="0"/>
                <w:sz w:val="24"/>
              </w:rPr>
              <w:t>优化</w:t>
            </w:r>
            <w:r>
              <w:rPr>
                <w:rFonts w:hAnsi="宋体"/>
                <w:kern w:val="0"/>
                <w:sz w:val="24"/>
              </w:rPr>
              <w:t>调整</w:t>
            </w:r>
            <w:r>
              <w:rPr>
                <w:rFonts w:hint="eastAsia" w:hAnsi="宋体"/>
                <w:kern w:val="0"/>
                <w:sz w:val="24"/>
              </w:rPr>
              <w:t>，总库容由</w:t>
            </w:r>
            <w:r>
              <w:rPr>
                <w:rFonts w:hAnsi="宋体"/>
                <w:kern w:val="0"/>
                <w:sz w:val="24"/>
              </w:rPr>
              <w:t>流域规划中</w:t>
            </w:r>
            <w:r>
              <w:rPr>
                <w:rFonts w:hint="eastAsia" w:hAnsi="宋体"/>
                <w:kern w:val="0"/>
                <w:sz w:val="24"/>
              </w:rPr>
              <w:t>的270.29万</w:t>
            </w:r>
            <w:r>
              <w:rPr>
                <w:rFonts w:hAnsi="宋体"/>
                <w:kern w:val="0"/>
                <w:sz w:val="24"/>
              </w:rPr>
              <w:t>m</w:t>
            </w:r>
            <w:r>
              <w:rPr>
                <w:rFonts w:hAnsi="宋体"/>
                <w:kern w:val="0"/>
                <w:sz w:val="24"/>
                <w:vertAlign w:val="superscript"/>
              </w:rPr>
              <w:t>3</w:t>
            </w:r>
            <w:r>
              <w:rPr>
                <w:rFonts w:hint="eastAsia" w:hAnsi="宋体"/>
                <w:kern w:val="0"/>
                <w:sz w:val="24"/>
              </w:rPr>
              <w:t>增加</w:t>
            </w:r>
            <w:r>
              <w:rPr>
                <w:rFonts w:hAnsi="宋体"/>
                <w:kern w:val="0"/>
                <w:sz w:val="24"/>
              </w:rPr>
              <w:t>至</w:t>
            </w:r>
            <w:r>
              <w:rPr>
                <w:rFonts w:hint="eastAsia" w:hAnsi="宋体"/>
                <w:kern w:val="0"/>
                <w:sz w:val="24"/>
              </w:rPr>
              <w:t>294.69万</w:t>
            </w:r>
            <w:r>
              <w:rPr>
                <w:rFonts w:hAnsi="宋体"/>
                <w:kern w:val="0"/>
                <w:sz w:val="24"/>
              </w:rPr>
              <w:t>m</w:t>
            </w:r>
            <w:r>
              <w:rPr>
                <w:rFonts w:hAnsi="宋体"/>
                <w:kern w:val="0"/>
                <w:sz w:val="24"/>
                <w:vertAlign w:val="superscript"/>
              </w:rPr>
              <w:t>3</w:t>
            </w:r>
            <w:r>
              <w:rPr>
                <w:rFonts w:hint="eastAsia" w:hAnsi="宋体"/>
                <w:kern w:val="0"/>
                <w:sz w:val="24"/>
              </w:rPr>
              <w:t>；</w:t>
            </w:r>
            <w:r>
              <w:rPr>
                <w:rFonts w:hAnsi="宋体"/>
                <w:kern w:val="0"/>
                <w:sz w:val="24"/>
              </w:rPr>
              <w:t>正常蓄水位由</w:t>
            </w:r>
            <w:r>
              <w:rPr>
                <w:rFonts w:hint="eastAsia" w:hAnsi="宋体"/>
                <w:kern w:val="0"/>
                <w:sz w:val="24"/>
              </w:rPr>
              <w:t>1334.0</w:t>
            </w:r>
            <w:r>
              <w:rPr>
                <w:rFonts w:hAnsi="宋体"/>
                <w:kern w:val="0"/>
                <w:sz w:val="24"/>
              </w:rPr>
              <w:t>m</w:t>
            </w:r>
            <w:r>
              <w:rPr>
                <w:rFonts w:hint="eastAsia" w:hAnsi="宋体"/>
                <w:kern w:val="0"/>
                <w:sz w:val="24"/>
              </w:rPr>
              <w:t>降</w:t>
            </w:r>
            <w:r>
              <w:rPr>
                <w:rFonts w:hAnsi="宋体"/>
                <w:kern w:val="0"/>
                <w:sz w:val="24"/>
              </w:rPr>
              <w:t>至1333.82m</w:t>
            </w:r>
            <w:r>
              <w:rPr>
                <w:rFonts w:hint="eastAsia" w:hAnsi="宋体"/>
                <w:kern w:val="0"/>
                <w:sz w:val="24"/>
              </w:rPr>
              <w:t>；死水位未</w:t>
            </w:r>
            <w:r>
              <w:rPr>
                <w:rFonts w:hAnsi="宋体"/>
                <w:kern w:val="0"/>
                <w:sz w:val="24"/>
              </w:rPr>
              <w:t>发生变化，为</w:t>
            </w:r>
            <w:r>
              <w:rPr>
                <w:rFonts w:hint="eastAsia" w:hAnsi="宋体"/>
                <w:kern w:val="0"/>
                <w:sz w:val="24"/>
              </w:rPr>
              <w:t>1317.7</w:t>
            </w:r>
            <w:r>
              <w:rPr>
                <w:rFonts w:hAnsi="宋体"/>
                <w:kern w:val="0"/>
                <w:sz w:val="24"/>
              </w:rPr>
              <w:t>m。</w:t>
            </w:r>
            <w:r>
              <w:rPr>
                <w:rFonts w:hint="eastAsia" w:hAnsi="宋体"/>
                <w:kern w:val="0"/>
                <w:sz w:val="24"/>
              </w:rPr>
              <w:t>本阶段工程方案贯彻了规划阶段对水库任务的要求，水库坝址断面4～9月下泄流量为坝址断面多年平均流量的30%，10月～次年3月下泄流量为坝址断面多年平均流量的10%；设计</w:t>
            </w:r>
            <w:r>
              <w:rPr>
                <w:rFonts w:hAnsi="宋体"/>
                <w:kern w:val="0"/>
                <w:sz w:val="24"/>
              </w:rPr>
              <w:t>水平年用水总量符合“</w:t>
            </w:r>
            <w:r>
              <w:rPr>
                <w:rFonts w:hint="eastAsia" w:hAnsi="宋体"/>
                <w:kern w:val="0"/>
                <w:sz w:val="24"/>
              </w:rPr>
              <w:t>三条</w:t>
            </w:r>
            <w:r>
              <w:rPr>
                <w:rFonts w:hAnsi="宋体"/>
                <w:kern w:val="0"/>
                <w:sz w:val="24"/>
              </w:rPr>
              <w:t>红线”</w:t>
            </w:r>
            <w:r>
              <w:rPr>
                <w:rFonts w:hint="eastAsia" w:hAnsi="宋体"/>
                <w:kern w:val="0"/>
                <w:sz w:val="24"/>
              </w:rPr>
              <w:t>用水</w:t>
            </w:r>
            <w:r>
              <w:rPr>
                <w:rFonts w:hAnsi="宋体"/>
                <w:kern w:val="0"/>
                <w:sz w:val="24"/>
              </w:rPr>
              <w:t>总量控制指标。</w:t>
            </w:r>
          </w:p>
          <w:p>
            <w:pPr>
              <w:autoSpaceDE w:val="0"/>
              <w:autoSpaceDN w:val="0"/>
              <w:adjustRightInd w:val="0"/>
              <w:snapToGrid w:val="0"/>
              <w:spacing w:line="360" w:lineRule="auto"/>
              <w:ind w:firstLine="480" w:firstLineChars="200"/>
              <w:rPr>
                <w:rFonts w:hAnsi="宋体"/>
                <w:sz w:val="24"/>
              </w:rPr>
            </w:pPr>
            <w:r>
              <w:rPr>
                <w:rFonts w:hint="eastAsia" w:hAnsi="宋体"/>
                <w:kern w:val="0"/>
                <w:sz w:val="24"/>
              </w:rPr>
              <w:t>经本次预测评价，本工程方案对环境影响较小，通过采取相应不利影响环境减缓对策，可将环境影响降低至可接受范围内。</w:t>
            </w:r>
            <w:r>
              <w:rPr>
                <w:rFonts w:hint="eastAsia"/>
                <w:sz w:val="24"/>
              </w:rPr>
              <w:t>因此，</w:t>
            </w:r>
            <w:r>
              <w:rPr>
                <w:sz w:val="24"/>
              </w:rPr>
              <w:t>本工程建设符合综合规划及规划环评的相关要求。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431" w:hRule="atLeast"/>
        </w:trPr>
        <w:tc>
          <w:tcPr>
            <w:tcW w:w="2226" w:type="dxa"/>
            <w:tcMar>
              <w:top w:w="16" w:type="dxa"/>
              <w:left w:w="16" w:type="dxa"/>
              <w:right w:w="16" w:type="dxa"/>
            </w:tcMar>
            <w:vAlign w:val="center"/>
          </w:tcPr>
          <w:p>
            <w:pPr>
              <w:autoSpaceDE w:val="0"/>
              <w:autoSpaceDN w:val="0"/>
              <w:adjustRightInd w:val="0"/>
              <w:snapToGrid w:val="0"/>
              <w:jc w:val="center"/>
              <w:rPr>
                <w:rFonts w:ascii="宋体" w:hAnsi="宋体" w:cs="宋体"/>
                <w:kern w:val="0"/>
                <w:szCs w:val="21"/>
              </w:rPr>
            </w:pPr>
            <w:bookmarkStart w:id="2" w:name="_Hlk56690880"/>
            <w:r>
              <w:rPr>
                <w:rFonts w:hint="eastAsia" w:ascii="宋体" w:hAnsi="宋体" w:cs="宋体"/>
                <w:kern w:val="0"/>
                <w:szCs w:val="21"/>
              </w:rPr>
              <w:t>其他符合性分析</w:t>
            </w:r>
            <w:bookmarkEnd w:id="2"/>
          </w:p>
        </w:tc>
        <w:tc>
          <w:tcPr>
            <w:tcW w:w="6813" w:type="dxa"/>
            <w:gridSpan w:val="4"/>
            <w:tcMar>
              <w:top w:w="16" w:type="dxa"/>
              <w:left w:w="16" w:type="dxa"/>
              <w:right w:w="16" w:type="dxa"/>
            </w:tcMar>
            <w:vAlign w:val="center"/>
          </w:tcPr>
          <w:p>
            <w:pPr>
              <w:autoSpaceDE w:val="0"/>
              <w:autoSpaceDN w:val="0"/>
              <w:adjustRightInd w:val="0"/>
              <w:snapToGrid w:val="0"/>
              <w:spacing w:line="360" w:lineRule="auto"/>
              <w:rPr>
                <w:b/>
                <w:kern w:val="0"/>
                <w:sz w:val="24"/>
              </w:rPr>
            </w:pPr>
            <w:r>
              <w:rPr>
                <w:rFonts w:hAnsi="宋体"/>
                <w:b/>
                <w:kern w:val="0"/>
                <w:sz w:val="24"/>
              </w:rPr>
              <w:t>一、产业政策符合性分析</w:t>
            </w:r>
          </w:p>
          <w:p>
            <w:pPr>
              <w:autoSpaceDE w:val="0"/>
              <w:autoSpaceDN w:val="0"/>
              <w:adjustRightInd w:val="0"/>
              <w:spacing w:line="360" w:lineRule="auto"/>
              <w:ind w:firstLine="480" w:firstLineChars="200"/>
              <w:rPr>
                <w:rFonts w:hAnsi="宋体"/>
                <w:kern w:val="0"/>
                <w:sz w:val="24"/>
              </w:rPr>
            </w:pPr>
            <w:r>
              <w:rPr>
                <w:rFonts w:hAnsi="宋体"/>
                <w:kern w:val="0"/>
                <w:sz w:val="24"/>
              </w:rPr>
              <w:t>本工程属于</w:t>
            </w:r>
            <w:r>
              <w:rPr>
                <w:rFonts w:hint="eastAsia" w:hAnsi="宋体"/>
                <w:kern w:val="0"/>
                <w:sz w:val="24"/>
              </w:rPr>
              <w:t>水利类</w:t>
            </w:r>
            <w:r>
              <w:rPr>
                <w:rFonts w:hAnsi="宋体"/>
                <w:kern w:val="0"/>
                <w:sz w:val="24"/>
              </w:rPr>
              <w:t>工程，开发</w:t>
            </w:r>
            <w:r>
              <w:rPr>
                <w:rFonts w:hint="eastAsia" w:hAnsi="宋体"/>
                <w:kern w:val="0"/>
                <w:sz w:val="24"/>
              </w:rPr>
              <w:t>任务为</w:t>
            </w:r>
            <w:r>
              <w:rPr>
                <w:rFonts w:hAnsi="宋体"/>
                <w:kern w:val="0"/>
                <w:sz w:val="24"/>
              </w:rPr>
              <w:t>灌溉和供水</w:t>
            </w:r>
            <w:r>
              <w:rPr>
                <w:rFonts w:hAnsi="宋体"/>
                <w:sz w:val="24"/>
              </w:rPr>
              <w:t>。</w:t>
            </w:r>
            <w:r>
              <w:rPr>
                <w:rFonts w:hint="eastAsia" w:hAnsi="宋体"/>
                <w:kern w:val="0"/>
                <w:sz w:val="24"/>
              </w:rPr>
              <w:t>根据</w:t>
            </w:r>
            <w:r>
              <w:rPr>
                <w:rFonts w:hAnsi="宋体"/>
                <w:kern w:val="0"/>
                <w:sz w:val="24"/>
              </w:rPr>
              <w:t>《产业结构调整指导目录（</w:t>
            </w:r>
            <w:r>
              <w:rPr>
                <w:kern w:val="0"/>
                <w:sz w:val="24"/>
              </w:rPr>
              <w:t>2019</w:t>
            </w:r>
            <w:r>
              <w:rPr>
                <w:rFonts w:hAnsi="宋体"/>
                <w:kern w:val="0"/>
                <w:sz w:val="24"/>
              </w:rPr>
              <w:t>年本）》</w:t>
            </w:r>
            <w:r>
              <w:rPr>
                <w:rFonts w:hint="eastAsia"/>
                <w:sz w:val="24"/>
              </w:rPr>
              <w:t>（2021年</w:t>
            </w:r>
            <w:r>
              <w:rPr>
                <w:sz w:val="24"/>
              </w:rPr>
              <w:t>修正</w:t>
            </w:r>
            <w:r>
              <w:rPr>
                <w:rFonts w:hint="eastAsia"/>
                <w:sz w:val="24"/>
              </w:rPr>
              <w:t>）（2021年</w:t>
            </w:r>
            <w:r>
              <w:rPr>
                <w:sz w:val="24"/>
              </w:rPr>
              <w:t>第</w:t>
            </w:r>
            <w:r>
              <w:rPr>
                <w:rFonts w:hint="eastAsia"/>
                <w:sz w:val="24"/>
              </w:rPr>
              <w:t>49号</w:t>
            </w:r>
            <w:r>
              <w:rPr>
                <w:sz w:val="24"/>
              </w:rPr>
              <w:t>令</w:t>
            </w:r>
            <w:r>
              <w:rPr>
                <w:rFonts w:hint="eastAsia"/>
                <w:sz w:val="24"/>
              </w:rPr>
              <w:t>）</w:t>
            </w:r>
            <w:r>
              <w:rPr>
                <w:rFonts w:hAnsi="宋体"/>
                <w:kern w:val="0"/>
                <w:sz w:val="24"/>
              </w:rPr>
              <w:t>中的内容，本工程属于鼓励类中</w:t>
            </w:r>
            <w:r>
              <w:rPr>
                <w:rFonts w:hint="eastAsia" w:hAnsi="宋体"/>
                <w:kern w:val="0"/>
                <w:sz w:val="24"/>
              </w:rPr>
              <w:t>“</w:t>
            </w:r>
            <w:r>
              <w:rPr>
                <w:rFonts w:hAnsi="宋体"/>
                <w:kern w:val="0"/>
                <w:sz w:val="24"/>
              </w:rPr>
              <w:t>二、水利</w:t>
            </w:r>
            <w:r>
              <w:rPr>
                <w:rFonts w:hint="eastAsia" w:hAnsi="宋体"/>
                <w:kern w:val="0"/>
                <w:sz w:val="24"/>
              </w:rPr>
              <w:t>”</w:t>
            </w:r>
            <w:r>
              <w:rPr>
                <w:rFonts w:hAnsi="宋体"/>
                <w:kern w:val="0"/>
                <w:sz w:val="24"/>
              </w:rPr>
              <w:t>中的</w:t>
            </w:r>
            <w:r>
              <w:rPr>
                <w:rFonts w:ascii="宋体" w:hAnsi="宋体"/>
                <w:kern w:val="0"/>
                <w:sz w:val="24"/>
              </w:rPr>
              <w:t>“3</w:t>
            </w:r>
            <w:r>
              <w:rPr>
                <w:rFonts w:hint="eastAsia" w:ascii="宋体" w:hAnsi="宋体"/>
                <w:kern w:val="0"/>
                <w:sz w:val="24"/>
              </w:rPr>
              <w:t>、</w:t>
            </w:r>
            <w:r>
              <w:rPr>
                <w:rFonts w:ascii="宋体" w:hAnsi="宋体"/>
                <w:kern w:val="0"/>
                <w:sz w:val="24"/>
              </w:rPr>
              <w:t>城乡供水水源工程；</w:t>
            </w:r>
            <w:r>
              <w:rPr>
                <w:kern w:val="0"/>
                <w:sz w:val="24"/>
              </w:rPr>
              <w:t>11</w:t>
            </w:r>
            <w:r>
              <w:rPr>
                <w:rFonts w:hAnsi="宋体"/>
                <w:kern w:val="0"/>
                <w:sz w:val="24"/>
              </w:rPr>
              <w:t>、</w:t>
            </w:r>
            <w:r>
              <w:rPr>
                <w:rFonts w:hint="eastAsia" w:hAnsi="宋体"/>
                <w:kern w:val="0"/>
                <w:sz w:val="24"/>
              </w:rPr>
              <w:t>综合利用</w:t>
            </w:r>
            <w:r>
              <w:rPr>
                <w:rFonts w:hAnsi="宋体"/>
                <w:kern w:val="0"/>
                <w:sz w:val="24"/>
              </w:rPr>
              <w:t>水利枢纽工程</w:t>
            </w:r>
            <w:r>
              <w:rPr>
                <w:rFonts w:ascii="宋体" w:hAnsi="宋体"/>
                <w:kern w:val="0"/>
                <w:sz w:val="24"/>
              </w:rPr>
              <w:t>”</w:t>
            </w:r>
            <w:r>
              <w:rPr>
                <w:rFonts w:hint="eastAsia" w:ascii="宋体" w:hAnsi="宋体"/>
                <w:kern w:val="0"/>
                <w:sz w:val="24"/>
              </w:rPr>
              <w:t>，</w:t>
            </w:r>
            <w:r>
              <w:rPr>
                <w:rFonts w:hAnsi="宋体"/>
                <w:kern w:val="0"/>
                <w:sz w:val="24"/>
              </w:rPr>
              <w:t>符合国家产业政策。</w:t>
            </w:r>
          </w:p>
          <w:p>
            <w:pPr>
              <w:autoSpaceDE w:val="0"/>
              <w:autoSpaceDN w:val="0"/>
              <w:adjustRightInd w:val="0"/>
              <w:spacing w:line="360" w:lineRule="auto"/>
              <w:rPr>
                <w:b/>
                <w:sz w:val="24"/>
              </w:rPr>
            </w:pPr>
            <w:r>
              <w:rPr>
                <w:rFonts w:hint="eastAsia" w:hAnsi="宋体"/>
                <w:b/>
                <w:kern w:val="0"/>
                <w:sz w:val="24"/>
              </w:rPr>
              <w:t>二、</w:t>
            </w:r>
            <w:r>
              <w:rPr>
                <w:b/>
                <w:sz w:val="24"/>
              </w:rPr>
              <w:t>与《</w:t>
            </w:r>
            <w:r>
              <w:rPr>
                <w:rFonts w:hint="eastAsia"/>
                <w:b/>
                <w:sz w:val="24"/>
              </w:rPr>
              <w:t>中华人民</w:t>
            </w:r>
            <w:r>
              <w:rPr>
                <w:b/>
                <w:sz w:val="24"/>
              </w:rPr>
              <w:t>共和国河道管理条例》</w:t>
            </w:r>
            <w:r>
              <w:rPr>
                <w:rFonts w:hint="eastAsia"/>
                <w:b/>
                <w:sz w:val="24"/>
              </w:rPr>
              <w:t>的</w:t>
            </w:r>
            <w:r>
              <w:rPr>
                <w:b/>
                <w:sz w:val="24"/>
              </w:rPr>
              <w:t>符合性</w:t>
            </w:r>
          </w:p>
          <w:p>
            <w:pPr>
              <w:pStyle w:val="45"/>
              <w:ind w:firstLine="480"/>
            </w:pPr>
            <w:r>
              <w:rPr>
                <w:kern w:val="0"/>
              </w:rPr>
              <w:t>1988年6月10日中共中央国务院发布了</w:t>
            </w:r>
            <w:r>
              <w:t>《中华人民共和国河道管理条例》，该条例至2018年已开展了4次修订，条例规定：“在河道内采砂、取土</w:t>
            </w:r>
            <w:r>
              <w:rPr>
                <w:rFonts w:hint="eastAsia"/>
              </w:rPr>
              <w:t>、弃置</w:t>
            </w:r>
            <w:r>
              <w:t>砂石或</w:t>
            </w:r>
            <w:r>
              <w:rPr>
                <w:rFonts w:hint="eastAsia"/>
              </w:rPr>
              <w:t>者</w:t>
            </w:r>
            <w:r>
              <w:t>淤泥，在河道滩地存放物料、修建厂房或者其他建筑设施，需要报河道主管机关批准” “在河道管理范围内，</w:t>
            </w:r>
            <w:r>
              <w:rPr>
                <w:rFonts w:hint="eastAsia"/>
              </w:rPr>
              <w:t>禁止堆放、倾倒、掩埋、排放污染水体的物体。禁止在河道内清洗装贮过油类或者有毒污染物的车辆、容器</w:t>
            </w:r>
            <w:r>
              <w:t>。</w:t>
            </w:r>
          </w:p>
          <w:p>
            <w:pPr>
              <w:pStyle w:val="45"/>
              <w:ind w:firstLine="480"/>
            </w:pPr>
            <w:r>
              <w:rPr>
                <w:rFonts w:hint="eastAsia"/>
              </w:rPr>
              <w:t>本工程</w:t>
            </w:r>
            <w:r>
              <w:t>设置</w:t>
            </w:r>
            <w:r>
              <w:rPr>
                <w:rFonts w:hint="eastAsia"/>
              </w:rPr>
              <w:t>3处</w:t>
            </w:r>
            <w:r>
              <w:t>料场，其中</w:t>
            </w:r>
            <w:r>
              <w:rPr>
                <w:rFonts w:hint="eastAsia"/>
              </w:rPr>
              <w:t>C1-1料场</w:t>
            </w:r>
            <w:r>
              <w:t>位于</w:t>
            </w:r>
            <w:r>
              <w:rPr>
                <w:rFonts w:hint="eastAsia"/>
              </w:rPr>
              <w:t>红山嘴</w:t>
            </w:r>
            <w:r>
              <w:t>水库上游河道内，在非汛期开采，不考虑防洪工程，</w:t>
            </w:r>
            <w:r>
              <w:rPr>
                <w:rFonts w:hint="eastAsia"/>
              </w:rPr>
              <w:t>料场</w:t>
            </w:r>
            <w:r>
              <w:t>开挖不影响河道行洪，同时</w:t>
            </w:r>
            <w:r>
              <w:rPr>
                <w:rFonts w:hint="eastAsia"/>
              </w:rPr>
              <w:t>需要</w:t>
            </w:r>
            <w:r>
              <w:t>报河道主管机关批准</w:t>
            </w:r>
            <w:r>
              <w:rPr>
                <w:rFonts w:hint="eastAsia"/>
              </w:rPr>
              <w:t>。</w:t>
            </w:r>
            <w:r>
              <w:t>工程</w:t>
            </w:r>
            <w:r>
              <w:rPr>
                <w:rFonts w:hint="eastAsia"/>
              </w:rPr>
              <w:t>设置2处</w:t>
            </w:r>
            <w:r>
              <w:t>永久弃渣场</w:t>
            </w:r>
            <w:r>
              <w:rPr>
                <w:rFonts w:hint="eastAsia"/>
              </w:rPr>
              <w:t>，1#弃渣场</w:t>
            </w:r>
            <w:r>
              <w:t>位于坝后空地处，</w:t>
            </w:r>
            <w:r>
              <w:rPr>
                <w:rFonts w:hint="eastAsia"/>
              </w:rPr>
              <w:t>3</w:t>
            </w:r>
            <w:r>
              <w:t>#</w:t>
            </w:r>
            <w:r>
              <w:rPr>
                <w:rFonts w:hint="eastAsia"/>
              </w:rPr>
              <w:t>弃渣场</w:t>
            </w:r>
            <w:r>
              <w:t>位于</w:t>
            </w:r>
            <w:r>
              <w:rPr>
                <w:rFonts w:hint="eastAsia"/>
              </w:rPr>
              <w:t>报废</w:t>
            </w:r>
            <w:r>
              <w:t>的东城水库左侧</w:t>
            </w:r>
            <w:r>
              <w:rPr>
                <w:rFonts w:hint="eastAsia"/>
              </w:rPr>
              <w:t>库盘</w:t>
            </w:r>
            <w:r>
              <w:t>内，均位于河道管理范围</w:t>
            </w:r>
            <w:r>
              <w:rPr>
                <w:rFonts w:hint="eastAsia"/>
              </w:rPr>
              <w:t>内，但不在河道行洪通道范围内，全部位于 河道阶地上，弃渣后不影响行洪，现已征得河道管理部门的同意。对于</w:t>
            </w:r>
            <w:r>
              <w:t>弃渣场，</w:t>
            </w:r>
            <w:r>
              <w:rPr>
                <w:kern w:val="0"/>
              </w:rPr>
              <w:t>施工期</w:t>
            </w:r>
            <w:r>
              <w:t>采取“先拦后弃”的措施，严禁弃渣随意堆置，避免弃渣坍塌滑落入河，妨碍行洪、污染河水。对于工程施工期产生的各类生产生活废水也均采取了处理措施，处理达标后综合利用，禁止排入水体，不会对水体产生污染。</w:t>
            </w:r>
          </w:p>
          <w:p>
            <w:pPr>
              <w:pStyle w:val="45"/>
              <w:ind w:firstLine="480"/>
            </w:pPr>
            <w:r>
              <w:rPr>
                <w:rFonts w:hint="eastAsia"/>
              </w:rPr>
              <w:t>综上</w:t>
            </w:r>
            <w:r>
              <w:t>，红山嘴水库的建设符合《</w:t>
            </w:r>
            <w:r>
              <w:rPr>
                <w:rFonts w:hint="eastAsia"/>
              </w:rPr>
              <w:t>中华</w:t>
            </w:r>
            <w:r>
              <w:t>人民共和国河道管理条例》</w:t>
            </w:r>
            <w:r>
              <w:rPr>
                <w:rFonts w:hint="eastAsia"/>
              </w:rPr>
              <w:t>的</w:t>
            </w:r>
            <w:r>
              <w:t>相关要求。</w:t>
            </w:r>
          </w:p>
          <w:p>
            <w:pPr>
              <w:autoSpaceDE w:val="0"/>
              <w:autoSpaceDN w:val="0"/>
              <w:adjustRightInd w:val="0"/>
              <w:spacing w:line="360" w:lineRule="auto"/>
              <w:jc w:val="left"/>
              <w:rPr>
                <w:rFonts w:hAnsi="宋体"/>
                <w:b/>
                <w:kern w:val="0"/>
                <w:sz w:val="24"/>
              </w:rPr>
            </w:pPr>
            <w:r>
              <w:rPr>
                <w:rFonts w:hint="eastAsia" w:hAnsi="宋体"/>
                <w:b/>
                <w:kern w:val="0"/>
                <w:sz w:val="24"/>
              </w:rPr>
              <w:t>三</w:t>
            </w:r>
            <w:r>
              <w:rPr>
                <w:rFonts w:hAnsi="宋体"/>
                <w:b/>
                <w:kern w:val="0"/>
                <w:sz w:val="24"/>
              </w:rPr>
              <w:t>、</w:t>
            </w:r>
            <w:r>
              <w:rPr>
                <w:b/>
                <w:kern w:val="0"/>
                <w:sz w:val="24"/>
                <w:lang w:val="zh-CN"/>
              </w:rPr>
              <w:t>与</w:t>
            </w:r>
            <w:r>
              <w:rPr>
                <w:rFonts w:hint="eastAsia"/>
                <w:b/>
                <w:kern w:val="0"/>
                <w:sz w:val="24"/>
                <w:lang w:val="zh-CN"/>
              </w:rPr>
              <w:t>水利</w:t>
            </w:r>
            <w:r>
              <w:rPr>
                <w:b/>
                <w:kern w:val="0"/>
                <w:sz w:val="24"/>
                <w:lang w:val="zh-CN"/>
              </w:rPr>
              <w:t>相关</w:t>
            </w:r>
            <w:r>
              <w:rPr>
                <w:rFonts w:hint="eastAsia"/>
                <w:b/>
                <w:kern w:val="0"/>
                <w:sz w:val="24"/>
                <w:lang w:val="zh-CN"/>
              </w:rPr>
              <w:t>规划</w:t>
            </w:r>
            <w:r>
              <w:rPr>
                <w:b/>
                <w:kern w:val="0"/>
                <w:sz w:val="24"/>
                <w:lang w:val="zh-CN"/>
              </w:rPr>
              <w:t>的符合性分析</w:t>
            </w:r>
          </w:p>
          <w:p>
            <w:pPr>
              <w:spacing w:line="360" w:lineRule="auto"/>
              <w:ind w:firstLine="480" w:firstLineChars="200"/>
              <w:rPr>
                <w:sz w:val="24"/>
              </w:rPr>
            </w:pPr>
            <w:r>
              <w:rPr>
                <w:sz w:val="24"/>
              </w:rPr>
              <w:t>2021年9月自治区人民政府专题审议通过《新疆维吾尔自治区</w:t>
            </w:r>
            <w:r>
              <w:rPr>
                <w:rFonts w:hint="eastAsia"/>
                <w:sz w:val="24"/>
              </w:rPr>
              <w:t>“十四五”</w:t>
            </w:r>
            <w:r>
              <w:rPr>
                <w:sz w:val="24"/>
              </w:rPr>
              <w:t>水安全保障规划》。</w:t>
            </w:r>
            <w:r>
              <w:rPr>
                <w:rFonts w:hint="eastAsia"/>
                <w:sz w:val="24"/>
              </w:rPr>
              <w:t>木垒县红山嘴</w:t>
            </w:r>
            <w:r>
              <w:rPr>
                <w:sz w:val="24"/>
              </w:rPr>
              <w:t>水库已列入水资源配置工程中的小型水库项目名录，规划提出：</w:t>
            </w:r>
            <w:r>
              <w:rPr>
                <w:rFonts w:hint="eastAsia"/>
                <w:sz w:val="24"/>
              </w:rPr>
              <w:t>“</w:t>
            </w:r>
            <w:r>
              <w:rPr>
                <w:sz w:val="24"/>
              </w:rPr>
              <w:t>针对新疆水资源时空分布不均衡、工程性缺水等问题，……加快推进小型水库前期工作，条件具备的适时开工建设。</w:t>
            </w:r>
            <w:r>
              <w:rPr>
                <w:rFonts w:hint="eastAsia"/>
                <w:sz w:val="24"/>
              </w:rPr>
              <w:t>”</w:t>
            </w:r>
          </w:p>
          <w:p>
            <w:pPr>
              <w:spacing w:line="360" w:lineRule="auto"/>
              <w:ind w:firstLine="480" w:firstLineChars="200"/>
              <w:rPr>
                <w:sz w:val="24"/>
              </w:rPr>
            </w:pPr>
            <w:r>
              <w:rPr>
                <w:rFonts w:hint="eastAsia"/>
                <w:sz w:val="24"/>
              </w:rPr>
              <w:t>同时，红山嘴</w:t>
            </w:r>
            <w:r>
              <w:rPr>
                <w:sz w:val="24"/>
              </w:rPr>
              <w:t>水库</w:t>
            </w:r>
            <w:r>
              <w:rPr>
                <w:rFonts w:hint="eastAsia"/>
                <w:sz w:val="24"/>
              </w:rPr>
              <w:t>工程也被列入</w:t>
            </w:r>
            <w:r>
              <w:rPr>
                <w:sz w:val="24"/>
              </w:rPr>
              <w:t>《</w:t>
            </w:r>
            <w:r>
              <w:rPr>
                <w:rFonts w:hint="eastAsia"/>
                <w:sz w:val="24"/>
              </w:rPr>
              <w:t>木垒县“十四五”水利发展</w:t>
            </w:r>
            <w:r>
              <w:rPr>
                <w:sz w:val="24"/>
              </w:rPr>
              <w:t>规划》</w:t>
            </w:r>
            <w:r>
              <w:rPr>
                <w:rFonts w:hint="eastAsia"/>
                <w:sz w:val="24"/>
              </w:rPr>
              <w:t>防洪减灾</w:t>
            </w:r>
            <w:r>
              <w:rPr>
                <w:sz w:val="24"/>
              </w:rPr>
              <w:t>工程</w:t>
            </w:r>
            <w:r>
              <w:rPr>
                <w:rFonts w:hint="eastAsia"/>
                <w:sz w:val="24"/>
              </w:rPr>
              <w:t>清单</w:t>
            </w:r>
            <w:r>
              <w:rPr>
                <w:sz w:val="24"/>
              </w:rPr>
              <w:t>，水库总库容为311.5万m</w:t>
            </w:r>
            <w:r>
              <w:rPr>
                <w:sz w:val="24"/>
                <w:vertAlign w:val="superscript"/>
              </w:rPr>
              <w:t>3</w:t>
            </w:r>
            <w:r>
              <w:rPr>
                <w:sz w:val="24"/>
              </w:rPr>
              <w:t>，</w:t>
            </w:r>
            <w:r>
              <w:rPr>
                <w:rFonts w:hint="eastAsia"/>
                <w:sz w:val="24"/>
              </w:rPr>
              <w:t>建设大坝、涵洞、溢洪道等</w:t>
            </w:r>
            <w:r>
              <w:rPr>
                <w:sz w:val="24"/>
              </w:rPr>
              <w:t>。</w:t>
            </w:r>
            <w:r>
              <w:rPr>
                <w:rFonts w:hint="eastAsia"/>
                <w:sz w:val="24"/>
              </w:rPr>
              <w:t>规划</w:t>
            </w:r>
            <w:r>
              <w:rPr>
                <w:sz w:val="24"/>
              </w:rPr>
              <w:t>提出：</w:t>
            </w:r>
            <w:r>
              <w:rPr>
                <w:rFonts w:hint="eastAsia"/>
                <w:sz w:val="24"/>
              </w:rPr>
              <w:t>“积极践行人与自然和谐共生理念，以全面提升水安全保障能力为主线，全面推进节水型社会建设；落实最严格的水资源管理制度，实施水资源总量控制，促进经济社会发展方式转变……”。</w:t>
            </w:r>
          </w:p>
          <w:p>
            <w:pPr>
              <w:spacing w:line="360" w:lineRule="auto"/>
              <w:ind w:firstLine="480" w:firstLineChars="200"/>
              <w:rPr>
                <w:sz w:val="24"/>
              </w:rPr>
            </w:pPr>
            <w:r>
              <w:rPr>
                <w:rFonts w:hint="eastAsia"/>
                <w:sz w:val="24"/>
              </w:rPr>
              <w:t>随着设计</w:t>
            </w:r>
            <w:r>
              <w:rPr>
                <w:sz w:val="24"/>
              </w:rPr>
              <w:t>深度的深化，</w:t>
            </w:r>
            <w:r>
              <w:rPr>
                <w:rFonts w:hint="eastAsia"/>
                <w:sz w:val="24"/>
              </w:rPr>
              <w:t>通过充分论证及实际勘察测量后，对部分指标进行了优化调整，</w:t>
            </w:r>
            <w:r>
              <w:rPr>
                <w:sz w:val="24"/>
              </w:rPr>
              <w:t>红山嘴水库总库容为294.69</w:t>
            </w:r>
            <w:r>
              <w:rPr>
                <w:rFonts w:hint="eastAsia"/>
                <w:sz w:val="24"/>
              </w:rPr>
              <w:t>万</w:t>
            </w:r>
            <w:r>
              <w:rPr>
                <w:sz w:val="24"/>
              </w:rPr>
              <w:t>m</w:t>
            </w:r>
            <w:r>
              <w:rPr>
                <w:sz w:val="24"/>
                <w:vertAlign w:val="superscript"/>
              </w:rPr>
              <w:t>3</w:t>
            </w:r>
            <w:r>
              <w:rPr>
                <w:rFonts w:hint="eastAsia"/>
                <w:sz w:val="24"/>
              </w:rPr>
              <w:t>，</w:t>
            </w:r>
            <w:r>
              <w:rPr>
                <w:sz w:val="24"/>
              </w:rPr>
              <w:t>较</w:t>
            </w:r>
            <w:r>
              <w:rPr>
                <w:rFonts w:hint="eastAsia"/>
                <w:sz w:val="24"/>
              </w:rPr>
              <w:t>“十四五”水利</w:t>
            </w:r>
            <w:r>
              <w:rPr>
                <w:sz w:val="24"/>
              </w:rPr>
              <w:t>发展规划中</w:t>
            </w:r>
            <w:r>
              <w:rPr>
                <w:rFonts w:hint="eastAsia"/>
                <w:sz w:val="24"/>
              </w:rPr>
              <w:t>提出的</w:t>
            </w:r>
            <w:r>
              <w:rPr>
                <w:sz w:val="24"/>
              </w:rPr>
              <w:t>水库总库容</w:t>
            </w:r>
            <w:r>
              <w:rPr>
                <w:rFonts w:hint="eastAsia"/>
                <w:sz w:val="24"/>
              </w:rPr>
              <w:t>减小</w:t>
            </w:r>
            <w:r>
              <w:rPr>
                <w:sz w:val="24"/>
              </w:rPr>
              <w:t>了16.81</w:t>
            </w:r>
            <w:r>
              <w:rPr>
                <w:rFonts w:hint="eastAsia"/>
                <w:sz w:val="24"/>
              </w:rPr>
              <w:t>万</w:t>
            </w:r>
            <w:r>
              <w:rPr>
                <w:sz w:val="24"/>
              </w:rPr>
              <w:t>m</w:t>
            </w:r>
            <w:r>
              <w:rPr>
                <w:sz w:val="24"/>
                <w:vertAlign w:val="superscript"/>
              </w:rPr>
              <w:t>3</w:t>
            </w:r>
            <w:r>
              <w:rPr>
                <w:rFonts w:hint="eastAsia"/>
                <w:sz w:val="24"/>
              </w:rPr>
              <w:t>；红山嘴</w:t>
            </w:r>
            <w:r>
              <w:rPr>
                <w:sz w:val="24"/>
              </w:rPr>
              <w:t>水库建成后，</w:t>
            </w:r>
            <w:r>
              <w:rPr>
                <w:rFonts w:hint="eastAsia"/>
                <w:sz w:val="24"/>
              </w:rPr>
              <w:t>保证</w:t>
            </w:r>
            <w:r>
              <w:rPr>
                <w:sz w:val="24"/>
              </w:rPr>
              <w:t>了生态流量持续稳定下泄</w:t>
            </w:r>
            <w:r>
              <w:rPr>
                <w:rFonts w:hint="eastAsia"/>
                <w:sz w:val="24"/>
              </w:rPr>
              <w:t>；通过</w:t>
            </w:r>
            <w:r>
              <w:rPr>
                <w:sz w:val="24"/>
              </w:rPr>
              <w:t>水库的</w:t>
            </w:r>
            <w:r>
              <w:rPr>
                <w:rFonts w:hint="eastAsia"/>
                <w:sz w:val="24"/>
              </w:rPr>
              <w:t>调蓄</w:t>
            </w:r>
            <w:r>
              <w:rPr>
                <w:sz w:val="24"/>
              </w:rPr>
              <w:t>，可以实现流域水资源</w:t>
            </w:r>
            <w:r>
              <w:rPr>
                <w:rFonts w:hint="eastAsia"/>
                <w:sz w:val="24"/>
              </w:rPr>
              <w:t>总量</w:t>
            </w:r>
            <w:r>
              <w:rPr>
                <w:sz w:val="24"/>
              </w:rPr>
              <w:t>控制，提高了</w:t>
            </w:r>
            <w:r>
              <w:rPr>
                <w:rFonts w:hint="eastAsia"/>
                <w:sz w:val="24"/>
              </w:rPr>
              <w:t>水资源利用率，同时</w:t>
            </w:r>
            <w:r>
              <w:rPr>
                <w:sz w:val="24"/>
              </w:rPr>
              <w:t>提高了工业及人畜</w:t>
            </w:r>
            <w:r>
              <w:rPr>
                <w:rFonts w:hint="eastAsia"/>
                <w:sz w:val="24"/>
              </w:rPr>
              <w:t>安全</w:t>
            </w:r>
            <w:r>
              <w:rPr>
                <w:sz w:val="24"/>
              </w:rPr>
              <w:t>饮水的供水保证</w:t>
            </w:r>
            <w:r>
              <w:rPr>
                <w:rFonts w:hint="eastAsia"/>
                <w:sz w:val="24"/>
              </w:rPr>
              <w:t>率，为区域产业政策调整和经济社会的稳定持续发展提供保障</w:t>
            </w:r>
            <w:r>
              <w:rPr>
                <w:sz w:val="24"/>
              </w:rPr>
              <w:t>，</w:t>
            </w:r>
            <w:r>
              <w:rPr>
                <w:rFonts w:hint="eastAsia"/>
                <w:sz w:val="24"/>
              </w:rPr>
              <w:t>与</w:t>
            </w:r>
            <w:r>
              <w:rPr>
                <w:sz w:val="24"/>
              </w:rPr>
              <w:t>“</w:t>
            </w:r>
            <w:r>
              <w:rPr>
                <w:rFonts w:hint="eastAsia"/>
                <w:sz w:val="24"/>
              </w:rPr>
              <w:t>十四五</w:t>
            </w:r>
            <w:r>
              <w:rPr>
                <w:sz w:val="24"/>
              </w:rPr>
              <w:t>”</w:t>
            </w:r>
            <w:r>
              <w:rPr>
                <w:rFonts w:hint="eastAsia"/>
                <w:sz w:val="24"/>
              </w:rPr>
              <w:t>水利</w:t>
            </w:r>
            <w:r>
              <w:rPr>
                <w:sz w:val="24"/>
              </w:rPr>
              <w:t>发展规划相符。</w:t>
            </w:r>
          </w:p>
          <w:p>
            <w:pPr>
              <w:autoSpaceDE w:val="0"/>
              <w:autoSpaceDN w:val="0"/>
              <w:adjustRightInd w:val="0"/>
              <w:spacing w:line="360" w:lineRule="auto"/>
              <w:jc w:val="left"/>
              <w:rPr>
                <w:rFonts w:hAnsi="宋体"/>
                <w:b/>
                <w:kern w:val="0"/>
                <w:sz w:val="24"/>
              </w:rPr>
            </w:pPr>
            <w:r>
              <w:rPr>
                <w:rFonts w:hint="eastAsia" w:hAnsi="宋体"/>
                <w:b/>
                <w:kern w:val="0"/>
                <w:sz w:val="24"/>
              </w:rPr>
              <w:t>四</w:t>
            </w:r>
            <w:r>
              <w:rPr>
                <w:rFonts w:hAnsi="宋体"/>
                <w:b/>
                <w:kern w:val="0"/>
                <w:sz w:val="24"/>
              </w:rPr>
              <w:t>、</w:t>
            </w:r>
            <w:r>
              <w:rPr>
                <w:b/>
                <w:kern w:val="0"/>
                <w:sz w:val="24"/>
                <w:lang w:val="zh-CN"/>
              </w:rPr>
              <w:t>与</w:t>
            </w:r>
            <w:r>
              <w:rPr>
                <w:rFonts w:hint="eastAsia"/>
                <w:b/>
                <w:kern w:val="0"/>
                <w:sz w:val="24"/>
                <w:lang w:val="zh-CN"/>
              </w:rPr>
              <w:t>《木垒哈萨克自治县生态环境保护“十四五”规划》</w:t>
            </w:r>
            <w:r>
              <w:rPr>
                <w:b/>
                <w:kern w:val="0"/>
                <w:sz w:val="24"/>
                <w:lang w:val="zh-CN"/>
              </w:rPr>
              <w:t>的符合性分析</w:t>
            </w:r>
          </w:p>
          <w:p>
            <w:pPr>
              <w:spacing w:line="360" w:lineRule="auto"/>
              <w:ind w:firstLine="480" w:firstLineChars="200"/>
              <w:rPr>
                <w:sz w:val="24"/>
              </w:rPr>
            </w:pPr>
            <w:r>
              <w:rPr>
                <w:rFonts w:hint="eastAsia"/>
                <w:sz w:val="24"/>
              </w:rPr>
              <w:t>《木垒哈萨克自治县生态环境保护“十四五”规划》明确提出“到</w:t>
            </w:r>
            <w:r>
              <w:rPr>
                <w:sz w:val="24"/>
              </w:rPr>
              <w:t>2025年，木垒县生态环境质量得到持续改善。</w:t>
            </w:r>
            <w:r>
              <w:rPr>
                <w:rFonts w:hint="eastAsia"/>
                <w:sz w:val="24"/>
              </w:rPr>
              <w:t>……</w:t>
            </w:r>
            <w:r>
              <w:rPr>
                <w:sz w:val="24"/>
              </w:rPr>
              <w:t>水环境质量持续改善，水生态建设得到加强；</w:t>
            </w:r>
            <w:r>
              <w:rPr>
                <w:rFonts w:hint="eastAsia"/>
                <w:sz w:val="24"/>
              </w:rPr>
              <w:t>……</w:t>
            </w:r>
            <w:r>
              <w:rPr>
                <w:sz w:val="24"/>
              </w:rPr>
              <w:t>生态系统质量和稳定性进一步提升，社会经济发展与生态环境保护进一步融合，生态环境治理体系与治理能力现代化迈出重大步伐，治理效能得到新提升，生态文明建设实现新进步，人民群众生态环境获得感、幸福感和安全感进一步提升。”</w:t>
            </w:r>
          </w:p>
          <w:p>
            <w:pPr>
              <w:spacing w:line="360" w:lineRule="auto"/>
              <w:ind w:firstLine="480" w:firstLineChars="200"/>
              <w:rPr>
                <w:sz w:val="24"/>
              </w:rPr>
            </w:pPr>
            <w:r>
              <w:rPr>
                <w:rFonts w:hint="eastAsia"/>
                <w:sz w:val="24"/>
              </w:rPr>
              <w:t>红山嘴</w:t>
            </w:r>
            <w:r>
              <w:rPr>
                <w:sz w:val="24"/>
              </w:rPr>
              <w:t>水库建成后改善了东城河年内水量分布不均</w:t>
            </w:r>
            <w:r>
              <w:rPr>
                <w:rFonts w:hint="eastAsia"/>
                <w:sz w:val="24"/>
              </w:rPr>
              <w:t>的现象</w:t>
            </w:r>
            <w:r>
              <w:rPr>
                <w:sz w:val="24"/>
              </w:rPr>
              <w:t>，满足</w:t>
            </w:r>
            <w:r>
              <w:rPr>
                <w:rFonts w:hint="eastAsia"/>
                <w:sz w:val="24"/>
              </w:rPr>
              <w:t>生态</w:t>
            </w:r>
            <w:r>
              <w:rPr>
                <w:sz w:val="24"/>
              </w:rPr>
              <w:t>流量</w:t>
            </w:r>
            <w:r>
              <w:rPr>
                <w:rFonts w:hint="eastAsia"/>
                <w:sz w:val="24"/>
              </w:rPr>
              <w:t>下泄</w:t>
            </w:r>
            <w:r>
              <w:rPr>
                <w:sz w:val="24"/>
              </w:rPr>
              <w:t>要求，对水生态的改善有一定的促进作用</w:t>
            </w:r>
            <w:r>
              <w:rPr>
                <w:rFonts w:hint="eastAsia"/>
                <w:sz w:val="24"/>
              </w:rPr>
              <w:t>，有利于</w:t>
            </w:r>
            <w:r>
              <w:rPr>
                <w:sz w:val="24"/>
              </w:rPr>
              <w:t>维护下游生态系统稳定；同时，</w:t>
            </w:r>
            <w:r>
              <w:rPr>
                <w:rFonts w:hint="eastAsia"/>
                <w:sz w:val="24"/>
              </w:rPr>
              <w:t>由于</w:t>
            </w:r>
            <w:r>
              <w:rPr>
                <w:sz w:val="24"/>
              </w:rPr>
              <w:t>水库的调蓄作用</w:t>
            </w:r>
            <w:r>
              <w:rPr>
                <w:rFonts w:hint="eastAsia"/>
                <w:sz w:val="24"/>
              </w:rPr>
              <w:t>，</w:t>
            </w:r>
            <w:r>
              <w:rPr>
                <w:sz w:val="24"/>
              </w:rPr>
              <w:t>在满足生态流量下泄要求的同时也</w:t>
            </w:r>
            <w:r>
              <w:rPr>
                <w:rFonts w:hint="eastAsia"/>
                <w:sz w:val="24"/>
              </w:rPr>
              <w:t>保障</w:t>
            </w:r>
            <w:r>
              <w:rPr>
                <w:sz w:val="24"/>
              </w:rPr>
              <w:t>了社会经济用水，</w:t>
            </w:r>
            <w:r>
              <w:rPr>
                <w:rFonts w:hint="eastAsia"/>
                <w:sz w:val="24"/>
              </w:rPr>
              <w:t>有利于社会</w:t>
            </w:r>
            <w:r>
              <w:rPr>
                <w:sz w:val="24"/>
              </w:rPr>
              <w:t>经济发展</w:t>
            </w:r>
            <w:r>
              <w:rPr>
                <w:rFonts w:hint="eastAsia"/>
                <w:sz w:val="24"/>
              </w:rPr>
              <w:t>，</w:t>
            </w:r>
            <w:r>
              <w:rPr>
                <w:sz w:val="24"/>
              </w:rPr>
              <w:t>对社会经济发展与生态环境保护进一步融合</w:t>
            </w:r>
            <w:r>
              <w:rPr>
                <w:rFonts w:hint="eastAsia"/>
                <w:sz w:val="24"/>
              </w:rPr>
              <w:t>起到</w:t>
            </w:r>
            <w:r>
              <w:rPr>
                <w:sz w:val="24"/>
              </w:rPr>
              <w:t>促进作用。</w:t>
            </w:r>
          </w:p>
          <w:p>
            <w:pPr>
              <w:spacing w:line="360" w:lineRule="auto"/>
              <w:ind w:firstLine="480" w:firstLineChars="200"/>
              <w:rPr>
                <w:sz w:val="24"/>
              </w:rPr>
            </w:pPr>
            <w:r>
              <w:rPr>
                <w:rFonts w:hint="eastAsia"/>
                <w:sz w:val="24"/>
              </w:rPr>
              <w:t>综上</w:t>
            </w:r>
            <w:r>
              <w:rPr>
                <w:sz w:val="24"/>
              </w:rPr>
              <w:t>，</w:t>
            </w:r>
            <w:r>
              <w:rPr>
                <w:rFonts w:hint="eastAsia"/>
                <w:sz w:val="24"/>
              </w:rPr>
              <w:t>本工程</w:t>
            </w:r>
            <w:r>
              <w:rPr>
                <w:sz w:val="24"/>
              </w:rPr>
              <w:t>与</w:t>
            </w:r>
            <w:r>
              <w:rPr>
                <w:rFonts w:hint="eastAsia"/>
                <w:sz w:val="24"/>
              </w:rPr>
              <w:t>《木垒哈萨克自治县生态环境保护“十四五”规划》相符</w:t>
            </w:r>
            <w:r>
              <w:rPr>
                <w:sz w:val="24"/>
              </w:rPr>
              <w:t>。</w:t>
            </w:r>
          </w:p>
          <w:p>
            <w:pPr>
              <w:spacing w:line="360" w:lineRule="auto"/>
              <w:rPr>
                <w:b/>
                <w:sz w:val="24"/>
              </w:rPr>
            </w:pPr>
            <w:r>
              <w:rPr>
                <w:rFonts w:hint="eastAsia"/>
                <w:b/>
                <w:sz w:val="24"/>
              </w:rPr>
              <w:t>五、与《木垒县</w:t>
            </w:r>
            <w:r>
              <w:rPr>
                <w:b/>
                <w:sz w:val="24"/>
              </w:rPr>
              <w:t>国土空间总体规划（</w:t>
            </w:r>
            <w:r>
              <w:rPr>
                <w:rFonts w:hint="eastAsia"/>
                <w:b/>
                <w:sz w:val="24"/>
              </w:rPr>
              <w:t>2021-2035</w:t>
            </w:r>
            <w:r>
              <w:rPr>
                <w:b/>
                <w:sz w:val="24"/>
              </w:rPr>
              <w:t>）</w:t>
            </w:r>
            <w:r>
              <w:rPr>
                <w:rFonts w:hint="eastAsia"/>
                <w:b/>
                <w:sz w:val="24"/>
              </w:rPr>
              <w:t>》的</w:t>
            </w:r>
            <w:r>
              <w:rPr>
                <w:b/>
                <w:sz w:val="24"/>
              </w:rPr>
              <w:t>符合性分析</w:t>
            </w:r>
          </w:p>
          <w:p>
            <w:pPr>
              <w:spacing w:line="360" w:lineRule="auto"/>
              <w:ind w:firstLine="480" w:firstLineChars="200"/>
              <w:rPr>
                <w:sz w:val="24"/>
              </w:rPr>
            </w:pPr>
            <w:r>
              <w:rPr>
                <w:rFonts w:hint="eastAsia"/>
                <w:sz w:val="24"/>
              </w:rPr>
              <w:t>根据《木垒县国土空间总体规划（2021-2035）》的内容，规划项目所在地东城镇是农旅游型乡镇，主要职能是农产品基地、生态旅游。根据县域国土空间控制线规划图上的地类图斑可知，拟建红山嘴水库用地范围不占用生态保护红线、永久基本农田、城镇开发边界和二级水源保护线。同时</w:t>
            </w:r>
            <w:r>
              <w:rPr>
                <w:sz w:val="24"/>
              </w:rPr>
              <w:t>红山嘴水库建成后</w:t>
            </w:r>
            <w:r>
              <w:rPr>
                <w:rFonts w:hint="eastAsia"/>
                <w:sz w:val="24"/>
              </w:rPr>
              <w:t>，</w:t>
            </w:r>
            <w:r>
              <w:rPr>
                <w:sz w:val="24"/>
              </w:rPr>
              <w:t>由于水库调蓄作用，</w:t>
            </w:r>
            <w:r>
              <w:rPr>
                <w:rFonts w:hint="eastAsia"/>
                <w:sz w:val="24"/>
              </w:rPr>
              <w:t>提高了流域灌区灌溉保证率，解决了下游灌区季节性缺水问题</w:t>
            </w:r>
            <w:r>
              <w:rPr>
                <w:sz w:val="24"/>
              </w:rPr>
              <w:t>，有利于东城镇农业的发展</w:t>
            </w:r>
            <w:r>
              <w:rPr>
                <w:rFonts w:hint="eastAsia"/>
                <w:sz w:val="24"/>
              </w:rPr>
              <w:t>。</w:t>
            </w:r>
          </w:p>
          <w:p>
            <w:pPr>
              <w:spacing w:line="360" w:lineRule="auto"/>
              <w:ind w:firstLine="480" w:firstLineChars="200"/>
              <w:rPr>
                <w:sz w:val="24"/>
              </w:rPr>
            </w:pPr>
            <w:r>
              <w:rPr>
                <w:rFonts w:hint="eastAsia"/>
                <w:sz w:val="24"/>
              </w:rPr>
              <w:t>因此，本工程与国土</w:t>
            </w:r>
            <w:r>
              <w:rPr>
                <w:sz w:val="24"/>
              </w:rPr>
              <w:t>空间总体</w:t>
            </w:r>
            <w:r>
              <w:rPr>
                <w:rFonts w:hint="eastAsia"/>
                <w:sz w:val="24"/>
              </w:rPr>
              <w:t>规划相符。</w:t>
            </w:r>
          </w:p>
          <w:p>
            <w:pPr>
              <w:autoSpaceDE w:val="0"/>
              <w:autoSpaceDN w:val="0"/>
              <w:adjustRightInd w:val="0"/>
              <w:spacing w:line="360" w:lineRule="auto"/>
              <w:jc w:val="left"/>
              <w:rPr>
                <w:b/>
                <w:kern w:val="0"/>
                <w:sz w:val="24"/>
              </w:rPr>
            </w:pPr>
            <w:r>
              <w:rPr>
                <w:rFonts w:hint="eastAsia" w:hAnsi="宋体"/>
                <w:b/>
                <w:kern w:val="0"/>
                <w:sz w:val="24"/>
              </w:rPr>
              <w:t>六</w:t>
            </w:r>
            <w:r>
              <w:rPr>
                <w:rFonts w:hAnsi="宋体"/>
                <w:b/>
                <w:kern w:val="0"/>
                <w:sz w:val="24"/>
              </w:rPr>
              <w:t>、</w:t>
            </w:r>
            <w:r>
              <w:rPr>
                <w:rFonts w:hint="eastAsia" w:hAnsi="宋体"/>
                <w:b/>
                <w:kern w:val="0"/>
                <w:sz w:val="24"/>
              </w:rPr>
              <w:t>“</w:t>
            </w:r>
            <w:r>
              <w:rPr>
                <w:rFonts w:hAnsi="宋体"/>
                <w:b/>
                <w:kern w:val="0"/>
                <w:sz w:val="24"/>
              </w:rPr>
              <w:t>三线一单</w:t>
            </w:r>
            <w:r>
              <w:rPr>
                <w:rFonts w:hint="eastAsia" w:hAnsi="宋体"/>
                <w:b/>
                <w:kern w:val="0"/>
                <w:sz w:val="24"/>
              </w:rPr>
              <w:t>”</w:t>
            </w:r>
            <w:r>
              <w:rPr>
                <w:rFonts w:hAnsi="宋体"/>
                <w:b/>
                <w:kern w:val="0"/>
                <w:sz w:val="24"/>
              </w:rPr>
              <w:t>符合性分析</w:t>
            </w:r>
          </w:p>
          <w:p>
            <w:pPr>
              <w:autoSpaceDE w:val="0"/>
              <w:autoSpaceDN w:val="0"/>
              <w:adjustRightInd w:val="0"/>
              <w:spacing w:line="360" w:lineRule="auto"/>
              <w:ind w:firstLine="480" w:firstLineChars="200"/>
              <w:jc w:val="left"/>
              <w:rPr>
                <w:rFonts w:hAnsi="宋体"/>
                <w:kern w:val="0"/>
                <w:sz w:val="24"/>
              </w:rPr>
            </w:pPr>
            <w:r>
              <w:rPr>
                <w:rFonts w:hAnsi="宋体"/>
                <w:kern w:val="0"/>
                <w:sz w:val="24"/>
              </w:rPr>
              <w:t>根据《</w:t>
            </w:r>
            <w:r>
              <w:rPr>
                <w:rFonts w:hint="eastAsia" w:hAnsi="宋体"/>
                <w:kern w:val="0"/>
                <w:sz w:val="24"/>
              </w:rPr>
              <w:t>昌吉回族</w:t>
            </w:r>
            <w:r>
              <w:rPr>
                <w:rFonts w:hAnsi="宋体"/>
                <w:kern w:val="0"/>
                <w:sz w:val="24"/>
              </w:rPr>
              <w:t>自治</w:t>
            </w:r>
            <w:r>
              <w:rPr>
                <w:rFonts w:hint="eastAsia" w:hAnsi="宋体"/>
                <w:kern w:val="0"/>
                <w:sz w:val="24"/>
              </w:rPr>
              <w:t>州“三线一单”生态环境分区管控方案及生态环境</w:t>
            </w:r>
            <w:r>
              <w:rPr>
                <w:rFonts w:hAnsi="宋体"/>
                <w:kern w:val="0"/>
                <w:sz w:val="24"/>
              </w:rPr>
              <w:t>准入</w:t>
            </w:r>
            <w:r>
              <w:rPr>
                <w:rFonts w:hint="eastAsia" w:hAnsi="宋体"/>
                <w:kern w:val="0"/>
                <w:sz w:val="24"/>
              </w:rPr>
              <w:t>清单</w:t>
            </w:r>
            <w:r>
              <w:rPr>
                <w:rFonts w:hAnsi="宋体"/>
                <w:kern w:val="0"/>
                <w:sz w:val="24"/>
              </w:rPr>
              <w:t>》</w:t>
            </w:r>
            <w:r>
              <w:rPr>
                <w:rFonts w:hint="eastAsia" w:hAnsi="宋体"/>
                <w:kern w:val="0"/>
                <w:sz w:val="24"/>
              </w:rPr>
              <w:t>（2</w:t>
            </w:r>
            <w:r>
              <w:rPr>
                <w:rFonts w:hAnsi="宋体"/>
                <w:kern w:val="0"/>
                <w:sz w:val="24"/>
              </w:rPr>
              <w:t>021</w:t>
            </w:r>
            <w:r>
              <w:rPr>
                <w:rFonts w:hint="eastAsia" w:hAnsi="宋体"/>
                <w:kern w:val="0"/>
                <w:sz w:val="24"/>
              </w:rPr>
              <w:t>年6月）（昌</w:t>
            </w:r>
            <w:r>
              <w:rPr>
                <w:rFonts w:hAnsi="宋体"/>
                <w:kern w:val="0"/>
                <w:sz w:val="24"/>
              </w:rPr>
              <w:t>州政</w:t>
            </w:r>
            <w:r>
              <w:rPr>
                <w:rFonts w:hint="eastAsia" w:hAnsi="宋体"/>
                <w:kern w:val="0"/>
                <w:sz w:val="24"/>
              </w:rPr>
              <w:t>办</w:t>
            </w:r>
            <w:r>
              <w:rPr>
                <w:rFonts w:hAnsi="宋体"/>
                <w:kern w:val="0"/>
                <w:sz w:val="24"/>
              </w:rPr>
              <w:t>发</w:t>
            </w:r>
            <w:r>
              <w:rPr>
                <w:rFonts w:hint="eastAsia" w:hAnsi="宋体"/>
                <w:kern w:val="0"/>
                <w:sz w:val="24"/>
              </w:rPr>
              <w:t>[2021]41号），</w:t>
            </w:r>
            <w:r>
              <w:rPr>
                <w:rFonts w:hAnsi="宋体"/>
                <w:kern w:val="0"/>
                <w:sz w:val="24"/>
              </w:rPr>
              <w:t>本</w:t>
            </w:r>
            <w:r>
              <w:rPr>
                <w:rFonts w:hint="eastAsia" w:hAnsi="宋体"/>
                <w:kern w:val="0"/>
                <w:sz w:val="24"/>
              </w:rPr>
              <w:t>工程</w:t>
            </w:r>
            <w:r>
              <w:rPr>
                <w:rFonts w:hAnsi="宋体"/>
                <w:kern w:val="0"/>
                <w:sz w:val="24"/>
              </w:rPr>
              <w:t>与“三线一单”符合性情况分析见表1。</w:t>
            </w:r>
          </w:p>
          <w:p>
            <w:pPr>
              <w:autoSpaceDE w:val="0"/>
              <w:autoSpaceDN w:val="0"/>
              <w:adjustRightInd w:val="0"/>
              <w:jc w:val="left"/>
              <w:rPr>
                <w:rFonts w:ascii="黑体" w:hAnsi="黑体" w:eastAsia="黑体"/>
                <w:kern w:val="0"/>
                <w:sz w:val="24"/>
              </w:rPr>
            </w:pPr>
            <w:r>
              <w:rPr>
                <w:rFonts w:ascii="黑体" w:hAnsi="黑体" w:eastAsia="黑体"/>
                <w:kern w:val="0"/>
                <w:sz w:val="24"/>
              </w:rPr>
              <w:t>表</w:t>
            </w:r>
            <w:r>
              <w:rPr>
                <w:rFonts w:eastAsia="黑体"/>
                <w:bCs/>
                <w:kern w:val="0"/>
                <w:sz w:val="24"/>
              </w:rPr>
              <w:t>1</w:t>
            </w:r>
            <w:r>
              <w:rPr>
                <w:rFonts w:ascii="黑体" w:hAnsi="黑体" w:eastAsia="黑体"/>
                <w:bCs/>
                <w:kern w:val="0"/>
                <w:sz w:val="24"/>
              </w:rPr>
              <w:t xml:space="preserve">           </w:t>
            </w:r>
            <w:r>
              <w:rPr>
                <w:rFonts w:hint="eastAsia" w:ascii="黑体" w:hAnsi="黑体" w:eastAsia="黑体"/>
                <w:bCs/>
                <w:kern w:val="0"/>
                <w:sz w:val="24"/>
              </w:rPr>
              <w:t>工程</w:t>
            </w:r>
            <w:r>
              <w:rPr>
                <w:rFonts w:ascii="黑体" w:hAnsi="黑体" w:eastAsia="黑体"/>
                <w:kern w:val="0"/>
                <w:sz w:val="24"/>
              </w:rPr>
              <w:t>与</w:t>
            </w:r>
            <w:r>
              <w:rPr>
                <w:rFonts w:ascii="黑体" w:hAnsi="黑体" w:eastAsia="黑体"/>
                <w:bCs/>
                <w:kern w:val="0"/>
                <w:sz w:val="24"/>
              </w:rPr>
              <w:t>“</w:t>
            </w:r>
            <w:r>
              <w:rPr>
                <w:rFonts w:ascii="黑体" w:hAnsi="黑体" w:eastAsia="黑体"/>
                <w:kern w:val="0"/>
                <w:sz w:val="24"/>
              </w:rPr>
              <w:t>三线一单</w:t>
            </w:r>
            <w:r>
              <w:rPr>
                <w:rFonts w:ascii="黑体" w:hAnsi="黑体" w:eastAsia="黑体"/>
                <w:bCs/>
                <w:kern w:val="0"/>
                <w:sz w:val="24"/>
              </w:rPr>
              <w:t>”</w:t>
            </w:r>
            <w:r>
              <w:rPr>
                <w:rFonts w:ascii="黑体" w:hAnsi="黑体" w:eastAsia="黑体"/>
                <w:kern w:val="0"/>
                <w:sz w:val="24"/>
              </w:rPr>
              <w:t>符合性情况一览表</w:t>
            </w:r>
          </w:p>
          <w:tbl>
            <w:tblPr>
              <w:tblStyle w:val="21"/>
              <w:tblW w:w="67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854"/>
              <w:gridCol w:w="2256"/>
              <w:gridCol w:w="2964"/>
              <w:gridCol w:w="6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577" w:hRule="atLeast"/>
                <w:tblHeader/>
              </w:trPr>
              <w:tc>
                <w:tcPr>
                  <w:tcW w:w="854" w:type="dxa"/>
                  <w:vAlign w:val="center"/>
                </w:tcPr>
                <w:p>
                  <w:pPr>
                    <w:autoSpaceDE w:val="0"/>
                    <w:autoSpaceDN w:val="0"/>
                    <w:adjustRightInd w:val="0"/>
                    <w:jc w:val="center"/>
                    <w:rPr>
                      <w:kern w:val="0"/>
                      <w:szCs w:val="21"/>
                    </w:rPr>
                  </w:pPr>
                  <w:r>
                    <w:rPr>
                      <w:kern w:val="0"/>
                      <w:szCs w:val="21"/>
                    </w:rPr>
                    <w:t>项目</w:t>
                  </w:r>
                </w:p>
              </w:tc>
              <w:tc>
                <w:tcPr>
                  <w:tcW w:w="2256" w:type="dxa"/>
                  <w:vAlign w:val="center"/>
                </w:tcPr>
                <w:p>
                  <w:pPr>
                    <w:autoSpaceDE w:val="0"/>
                    <w:autoSpaceDN w:val="0"/>
                    <w:adjustRightInd w:val="0"/>
                    <w:jc w:val="center"/>
                    <w:rPr>
                      <w:kern w:val="0"/>
                      <w:szCs w:val="21"/>
                    </w:rPr>
                  </w:pPr>
                  <w:r>
                    <w:rPr>
                      <w:rFonts w:hint="eastAsia"/>
                      <w:kern w:val="0"/>
                      <w:szCs w:val="21"/>
                    </w:rPr>
                    <w:t>文件要求</w:t>
                  </w:r>
                </w:p>
              </w:tc>
              <w:tc>
                <w:tcPr>
                  <w:tcW w:w="2964" w:type="dxa"/>
                  <w:vAlign w:val="center"/>
                </w:tcPr>
                <w:p>
                  <w:pPr>
                    <w:autoSpaceDE w:val="0"/>
                    <w:autoSpaceDN w:val="0"/>
                    <w:adjustRightInd w:val="0"/>
                    <w:jc w:val="center"/>
                    <w:rPr>
                      <w:kern w:val="0"/>
                      <w:szCs w:val="21"/>
                    </w:rPr>
                  </w:pPr>
                  <w:r>
                    <w:rPr>
                      <w:kern w:val="0"/>
                      <w:szCs w:val="21"/>
                    </w:rPr>
                    <w:t>本</w:t>
                  </w:r>
                  <w:r>
                    <w:rPr>
                      <w:rFonts w:hint="eastAsia"/>
                      <w:kern w:val="0"/>
                      <w:szCs w:val="21"/>
                    </w:rPr>
                    <w:t>工程</w:t>
                  </w:r>
                  <w:r>
                    <w:rPr>
                      <w:kern w:val="0"/>
                      <w:szCs w:val="21"/>
                    </w:rPr>
                    <w:t>情况</w:t>
                  </w:r>
                </w:p>
              </w:tc>
              <w:tc>
                <w:tcPr>
                  <w:tcW w:w="697" w:type="dxa"/>
                  <w:vAlign w:val="center"/>
                </w:tcPr>
                <w:p>
                  <w:pPr>
                    <w:autoSpaceDE w:val="0"/>
                    <w:autoSpaceDN w:val="0"/>
                    <w:adjustRightInd w:val="0"/>
                    <w:jc w:val="center"/>
                    <w:rPr>
                      <w:kern w:val="0"/>
                      <w:szCs w:val="21"/>
                    </w:rPr>
                  </w:pPr>
                  <w:r>
                    <w:rPr>
                      <w:kern w:val="0"/>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rPr>
                <w:trHeight w:val="1849" w:hRule="atLeast"/>
              </w:trPr>
              <w:tc>
                <w:tcPr>
                  <w:tcW w:w="854" w:type="dxa"/>
                  <w:vAlign w:val="center"/>
                </w:tcPr>
                <w:p>
                  <w:pPr>
                    <w:autoSpaceDE w:val="0"/>
                    <w:autoSpaceDN w:val="0"/>
                    <w:adjustRightInd w:val="0"/>
                    <w:jc w:val="center"/>
                    <w:rPr>
                      <w:kern w:val="0"/>
                      <w:szCs w:val="21"/>
                    </w:rPr>
                  </w:pPr>
                  <w:r>
                    <w:rPr>
                      <w:kern w:val="0"/>
                      <w:szCs w:val="21"/>
                    </w:rPr>
                    <w:t>生态保护红线</w:t>
                  </w:r>
                </w:p>
              </w:tc>
              <w:tc>
                <w:tcPr>
                  <w:tcW w:w="2256" w:type="dxa"/>
                  <w:vAlign w:val="center"/>
                </w:tcPr>
                <w:p>
                  <w:pPr>
                    <w:autoSpaceDE w:val="0"/>
                    <w:autoSpaceDN w:val="0"/>
                    <w:jc w:val="center"/>
                    <w:rPr>
                      <w:kern w:val="0"/>
                      <w:szCs w:val="21"/>
                    </w:rPr>
                  </w:pPr>
                  <w:r>
                    <w:rPr>
                      <w:rFonts w:hint="eastAsia"/>
                      <w:kern w:val="0"/>
                      <w:szCs w:val="21"/>
                    </w:rPr>
                    <w:t>按照“生态功能不降低、面积不减少、性质不改变”的基本要求，对划定的生态保护红线实施严格管控，保障和维护生态安全的底线和生命线。</w:t>
                  </w:r>
                </w:p>
              </w:tc>
              <w:tc>
                <w:tcPr>
                  <w:tcW w:w="2964" w:type="dxa"/>
                  <w:vAlign w:val="center"/>
                </w:tcPr>
                <w:p>
                  <w:pPr>
                    <w:autoSpaceDE w:val="0"/>
                    <w:autoSpaceDN w:val="0"/>
                    <w:adjustRightInd w:val="0"/>
                    <w:jc w:val="center"/>
                    <w:rPr>
                      <w:kern w:val="0"/>
                      <w:szCs w:val="21"/>
                    </w:rPr>
                  </w:pPr>
                  <w:r>
                    <w:rPr>
                      <w:kern w:val="0"/>
                      <w:szCs w:val="21"/>
                    </w:rPr>
                    <w:t>经与</w:t>
                  </w:r>
                  <w:r>
                    <w:rPr>
                      <w:rFonts w:hint="eastAsia"/>
                      <w:kern w:val="0"/>
                      <w:szCs w:val="21"/>
                    </w:rPr>
                    <w:t>昌吉州</w:t>
                  </w:r>
                  <w:r>
                    <w:rPr>
                      <w:kern w:val="0"/>
                      <w:szCs w:val="21"/>
                    </w:rPr>
                    <w:t>生态保护红线</w:t>
                  </w:r>
                  <w:r>
                    <w:rPr>
                      <w:rFonts w:hint="eastAsia"/>
                      <w:kern w:val="0"/>
                      <w:szCs w:val="21"/>
                    </w:rPr>
                    <w:t>现有</w:t>
                  </w:r>
                  <w:r>
                    <w:rPr>
                      <w:kern w:val="0"/>
                      <w:szCs w:val="21"/>
                    </w:rPr>
                    <w:t>成果进行对照，工程水库淹没及占地</w:t>
                  </w:r>
                  <w:r>
                    <w:rPr>
                      <w:rFonts w:hint="eastAsia"/>
                      <w:kern w:val="0"/>
                      <w:szCs w:val="21"/>
                    </w:rPr>
                    <w:t>区域</w:t>
                  </w:r>
                  <w:r>
                    <w:rPr>
                      <w:kern w:val="0"/>
                      <w:szCs w:val="21"/>
                    </w:rPr>
                    <w:t>不在生态保护红线划定范围内。</w:t>
                  </w:r>
                </w:p>
              </w:tc>
              <w:tc>
                <w:tcPr>
                  <w:tcW w:w="697" w:type="dxa"/>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854" w:type="dxa"/>
                  <w:vAlign w:val="center"/>
                </w:tcPr>
                <w:p>
                  <w:pPr>
                    <w:autoSpaceDE w:val="0"/>
                    <w:autoSpaceDN w:val="0"/>
                    <w:adjustRightInd w:val="0"/>
                    <w:jc w:val="center"/>
                    <w:rPr>
                      <w:kern w:val="0"/>
                      <w:szCs w:val="21"/>
                    </w:rPr>
                  </w:pPr>
                  <w:r>
                    <w:rPr>
                      <w:kern w:val="0"/>
                      <w:szCs w:val="21"/>
                    </w:rPr>
                    <w:t>环境质量底线</w:t>
                  </w:r>
                </w:p>
              </w:tc>
              <w:tc>
                <w:tcPr>
                  <w:tcW w:w="2256" w:type="dxa"/>
                  <w:vAlign w:val="center"/>
                </w:tcPr>
                <w:p>
                  <w:pPr>
                    <w:autoSpaceDE w:val="0"/>
                    <w:autoSpaceDN w:val="0"/>
                    <w:jc w:val="center"/>
                    <w:rPr>
                      <w:kern w:val="0"/>
                      <w:szCs w:val="21"/>
                    </w:rPr>
                  </w:pPr>
                  <w:r>
                    <w:rPr>
                      <w:rFonts w:hint="eastAsia"/>
                      <w:kern w:val="0"/>
                      <w:szCs w:val="21"/>
                    </w:rPr>
                    <w:t>全州环境空气质量有所提升，重污染天数持续减少，已达标城市环境空气质量保持稳定，未达标城市环境空气质量持续改善；全州河流、湖库及城镇集中式饮用水水源地水质稳中向好。地下水质量考核点位水质级别保持稳定，地下水污染风险得到有效控制，地下水超采得到严格控制；全州土壤环境质量保持稳定，污染地块安全利用水平稳中有升，土壤环境风险得到进一步管控。</w:t>
                  </w:r>
                </w:p>
              </w:tc>
              <w:tc>
                <w:tcPr>
                  <w:tcW w:w="2964" w:type="dxa"/>
                  <w:vAlign w:val="center"/>
                </w:tcPr>
                <w:p>
                  <w:pPr>
                    <w:autoSpaceDE w:val="0"/>
                    <w:autoSpaceDN w:val="0"/>
                    <w:jc w:val="center"/>
                    <w:rPr>
                      <w:kern w:val="0"/>
                      <w:szCs w:val="21"/>
                    </w:rPr>
                  </w:pPr>
                  <w:r>
                    <w:rPr>
                      <w:kern w:val="0"/>
                      <w:szCs w:val="21"/>
                    </w:rPr>
                    <w:t>本工程建设对水环境的主要影响源是施工期的生产废水和施工人员生活污水，以及运行期管理人员的少量生活污水。本次评价提出，工程施工期生产废水处理后全部回用或综合利用，施工期生活污水收集后排入化粪池内，定期进行清理，运行期生活污水采用一体化成套污水处理设备</w:t>
                  </w:r>
                  <w:r>
                    <w:rPr>
                      <w:rFonts w:hint="eastAsia"/>
                      <w:kern w:val="0"/>
                      <w:szCs w:val="21"/>
                    </w:rPr>
                    <w:t>，</w:t>
                  </w:r>
                  <w:r>
                    <w:rPr>
                      <w:kern w:val="0"/>
                      <w:szCs w:val="21"/>
                    </w:rPr>
                    <w:t>处理后</w:t>
                  </w:r>
                  <w:r>
                    <w:rPr>
                      <w:rFonts w:hint="eastAsia"/>
                      <w:kern w:val="0"/>
                      <w:szCs w:val="21"/>
                    </w:rPr>
                    <w:t>进行管理区绿化、周边荒漠灌溉。</w:t>
                  </w:r>
                  <w:r>
                    <w:rPr>
                      <w:kern w:val="0"/>
                      <w:szCs w:val="21"/>
                    </w:rPr>
                    <w:t>因此，工程建设和运行产生的废污水在落实相应处置措施的基础上，不会对外环境产生污染。本工程仅施工期短暂产生大气污染物，污染物主要指标是TSP，通过洒水抑尘等可减缓其影响。工程施工期各类污废水处理后回用，生活垃圾运至垃圾填埋场处置，在采取上述措施后，施工期各类污染物对工程区土壤环境污染影响很小。综上，本工程符合环境质量底线要求。</w:t>
                  </w:r>
                </w:p>
              </w:tc>
              <w:tc>
                <w:tcPr>
                  <w:tcW w:w="697" w:type="dxa"/>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854" w:type="dxa"/>
                  <w:vAlign w:val="center"/>
                </w:tcPr>
                <w:p>
                  <w:pPr>
                    <w:autoSpaceDE w:val="0"/>
                    <w:autoSpaceDN w:val="0"/>
                    <w:adjustRightInd w:val="0"/>
                    <w:jc w:val="center"/>
                    <w:rPr>
                      <w:kern w:val="0"/>
                      <w:szCs w:val="21"/>
                    </w:rPr>
                  </w:pPr>
                  <w:r>
                    <w:rPr>
                      <w:kern w:val="0"/>
                      <w:szCs w:val="21"/>
                    </w:rPr>
                    <w:t>资源利用上线</w:t>
                  </w:r>
                </w:p>
              </w:tc>
              <w:tc>
                <w:tcPr>
                  <w:tcW w:w="2256" w:type="dxa"/>
                  <w:vAlign w:val="center"/>
                </w:tcPr>
                <w:p>
                  <w:pPr>
                    <w:autoSpaceDE w:val="0"/>
                    <w:autoSpaceDN w:val="0"/>
                    <w:jc w:val="center"/>
                    <w:rPr>
                      <w:kern w:val="0"/>
                      <w:szCs w:val="21"/>
                    </w:rPr>
                  </w:pPr>
                  <w:r>
                    <w:rPr>
                      <w:rFonts w:hint="eastAsia"/>
                      <w:kern w:val="0"/>
                      <w:szCs w:val="21"/>
                    </w:rPr>
                    <w:t>强化节约集约利用，持续提升资源能源利用效率，水资源、土地资源、能源消耗达到自治区下达的总量和强度控制目标。加快区域低碳发展，积极推动昌吉市国家级低碳试点城市发挥低碳试点示范和引领作用。</w:t>
                  </w:r>
                </w:p>
              </w:tc>
              <w:tc>
                <w:tcPr>
                  <w:tcW w:w="2964" w:type="dxa"/>
                  <w:vAlign w:val="center"/>
                </w:tcPr>
                <w:p>
                  <w:pPr>
                    <w:autoSpaceDE w:val="0"/>
                    <w:autoSpaceDN w:val="0"/>
                    <w:adjustRightInd w:val="0"/>
                    <w:jc w:val="center"/>
                    <w:rPr>
                      <w:kern w:val="0"/>
                      <w:szCs w:val="21"/>
                    </w:rPr>
                  </w:pPr>
                  <w:r>
                    <w:rPr>
                      <w:kern w:val="0"/>
                      <w:szCs w:val="21"/>
                    </w:rPr>
                    <w:t>本工程涉及资源利用上线中的水资源利用上线。工程建成后，设计水平年，通过</w:t>
                  </w:r>
                  <w:r>
                    <w:rPr>
                      <w:rFonts w:hint="eastAsia"/>
                      <w:kern w:val="0"/>
                      <w:szCs w:val="21"/>
                    </w:rPr>
                    <w:t>大力</w:t>
                  </w:r>
                  <w:r>
                    <w:rPr>
                      <w:kern w:val="0"/>
                      <w:szCs w:val="21"/>
                    </w:rPr>
                    <w:t>推进</w:t>
                  </w:r>
                  <w:r>
                    <w:rPr>
                      <w:rFonts w:hint="eastAsia"/>
                      <w:kern w:val="0"/>
                      <w:szCs w:val="21"/>
                    </w:rPr>
                    <w:t>下游灌区</w:t>
                  </w:r>
                  <w:r>
                    <w:rPr>
                      <w:kern w:val="0"/>
                      <w:szCs w:val="21"/>
                    </w:rPr>
                    <w:t>高效节水，使</w:t>
                  </w:r>
                  <w:r>
                    <w:rPr>
                      <w:rFonts w:hint="eastAsia"/>
                      <w:bCs/>
                      <w:kern w:val="0"/>
                      <w:szCs w:val="21"/>
                    </w:rPr>
                    <w:t>红山嘴水库</w:t>
                  </w:r>
                  <w:r>
                    <w:rPr>
                      <w:bCs/>
                      <w:kern w:val="0"/>
                      <w:szCs w:val="21"/>
                    </w:rPr>
                    <w:t>控制灌区</w:t>
                  </w:r>
                  <w:r>
                    <w:rPr>
                      <w:kern w:val="0"/>
                      <w:szCs w:val="21"/>
                    </w:rPr>
                    <w:t>需水量有所降低，满足用水总量控制方案中用水总量、效率、灌溉面积等指标</w:t>
                  </w:r>
                  <w:r>
                    <w:rPr>
                      <w:rFonts w:hint="eastAsia"/>
                      <w:kern w:val="0"/>
                      <w:szCs w:val="21"/>
                    </w:rPr>
                    <w:t>。因此，</w:t>
                  </w:r>
                  <w:r>
                    <w:rPr>
                      <w:kern w:val="0"/>
                      <w:szCs w:val="21"/>
                    </w:rPr>
                    <w:t>工程建设符合流域水资源开发利用上线要求。</w:t>
                  </w:r>
                </w:p>
              </w:tc>
              <w:tc>
                <w:tcPr>
                  <w:tcW w:w="697" w:type="dxa"/>
                  <w:vAlign w:val="center"/>
                </w:tcPr>
                <w:p>
                  <w:pPr>
                    <w:autoSpaceDE w:val="0"/>
                    <w:autoSpaceDN w:val="0"/>
                    <w:adjustRightInd w:val="0"/>
                    <w:jc w:val="center"/>
                    <w:rPr>
                      <w:kern w:val="0"/>
                      <w:szCs w:val="21"/>
                    </w:rPr>
                  </w:pPr>
                  <w:r>
                    <w:rPr>
                      <w:kern w:val="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Ex>
              <w:tc>
                <w:tcPr>
                  <w:tcW w:w="854" w:type="dxa"/>
                  <w:vAlign w:val="center"/>
                </w:tcPr>
                <w:p>
                  <w:pPr>
                    <w:autoSpaceDE w:val="0"/>
                    <w:autoSpaceDN w:val="0"/>
                    <w:adjustRightInd w:val="0"/>
                    <w:jc w:val="center"/>
                    <w:rPr>
                      <w:kern w:val="0"/>
                      <w:szCs w:val="21"/>
                    </w:rPr>
                  </w:pPr>
                  <w:r>
                    <w:rPr>
                      <w:rFonts w:hint="eastAsia"/>
                      <w:kern w:val="0"/>
                      <w:szCs w:val="21"/>
                    </w:rPr>
                    <w:t>环境准入清单</w:t>
                  </w:r>
                </w:p>
              </w:tc>
              <w:tc>
                <w:tcPr>
                  <w:tcW w:w="2256" w:type="dxa"/>
                  <w:vAlign w:val="center"/>
                </w:tcPr>
                <w:p>
                  <w:pPr>
                    <w:autoSpaceDE w:val="0"/>
                    <w:autoSpaceDN w:val="0"/>
                    <w:jc w:val="center"/>
                    <w:rPr>
                      <w:kern w:val="0"/>
                      <w:szCs w:val="21"/>
                    </w:rPr>
                  </w:pPr>
                  <w:r>
                    <w:rPr>
                      <w:rFonts w:hint="eastAsia"/>
                      <w:kern w:val="0"/>
                      <w:szCs w:val="21"/>
                    </w:rPr>
                    <w:t>自治州共划定119个环境管控单元，分为优先保护单元、重点管控单元和一般管控单元三类，实施分类管控。</w:t>
                  </w:r>
                </w:p>
              </w:tc>
              <w:tc>
                <w:tcPr>
                  <w:tcW w:w="2964" w:type="dxa"/>
                  <w:vAlign w:val="center"/>
                </w:tcPr>
                <w:p>
                  <w:pPr>
                    <w:autoSpaceDE w:val="0"/>
                    <w:autoSpaceDN w:val="0"/>
                    <w:adjustRightInd w:val="0"/>
                    <w:jc w:val="center"/>
                    <w:rPr>
                      <w:kern w:val="0"/>
                      <w:szCs w:val="21"/>
                    </w:rPr>
                  </w:pPr>
                  <w:r>
                    <w:rPr>
                      <w:rFonts w:hint="eastAsia"/>
                      <w:kern w:val="0"/>
                      <w:szCs w:val="21"/>
                    </w:rPr>
                    <w:t>本工程为</w:t>
                  </w:r>
                  <w:r>
                    <w:rPr>
                      <w:kern w:val="0"/>
                      <w:szCs w:val="21"/>
                    </w:rPr>
                    <w:t>水利工程</w:t>
                  </w:r>
                  <w:r>
                    <w:rPr>
                      <w:rFonts w:hint="eastAsia"/>
                      <w:kern w:val="0"/>
                      <w:szCs w:val="21"/>
                    </w:rPr>
                    <w:t>，非环境准入清单中禁止类项目；工程所在区域位于木垒县一般管控单元，工程建设对环境的不利影响可以通过采取相应的措施予以避免或减缓，符合</w:t>
                  </w:r>
                  <w:r>
                    <w:rPr>
                      <w:kern w:val="0"/>
                      <w:szCs w:val="21"/>
                    </w:rPr>
                    <w:t>《</w:t>
                  </w:r>
                  <w:r>
                    <w:rPr>
                      <w:rFonts w:hint="eastAsia"/>
                      <w:kern w:val="0"/>
                      <w:szCs w:val="21"/>
                    </w:rPr>
                    <w:t>昌吉回族自治州“三线一单”生态环境分区管控方案及生态环境准入清单</w:t>
                  </w:r>
                  <w:r>
                    <w:rPr>
                      <w:kern w:val="0"/>
                      <w:szCs w:val="21"/>
                    </w:rPr>
                    <w:t>》</w:t>
                  </w:r>
                  <w:r>
                    <w:rPr>
                      <w:rFonts w:hint="eastAsia"/>
                      <w:kern w:val="0"/>
                      <w:szCs w:val="21"/>
                    </w:rPr>
                    <w:t>要求。</w:t>
                  </w:r>
                </w:p>
              </w:tc>
              <w:tc>
                <w:tcPr>
                  <w:tcW w:w="697" w:type="dxa"/>
                  <w:vAlign w:val="center"/>
                </w:tcPr>
                <w:p>
                  <w:pPr>
                    <w:autoSpaceDE w:val="0"/>
                    <w:autoSpaceDN w:val="0"/>
                    <w:adjustRightInd w:val="0"/>
                    <w:jc w:val="center"/>
                    <w:rPr>
                      <w:kern w:val="0"/>
                      <w:szCs w:val="21"/>
                    </w:rPr>
                  </w:pPr>
                  <w:r>
                    <w:rPr>
                      <w:kern w:val="0"/>
                      <w:szCs w:val="21"/>
                    </w:rPr>
                    <w:t>符合</w:t>
                  </w:r>
                </w:p>
              </w:tc>
            </w:tr>
          </w:tbl>
          <w:p>
            <w:pPr>
              <w:autoSpaceDE w:val="0"/>
              <w:autoSpaceDN w:val="0"/>
              <w:adjustRightInd w:val="0"/>
              <w:spacing w:line="360" w:lineRule="auto"/>
              <w:ind w:firstLine="480" w:firstLineChars="200"/>
              <w:contextualSpacing/>
              <w:jc w:val="left"/>
              <w:rPr>
                <w:kern w:val="0"/>
                <w:sz w:val="24"/>
              </w:rPr>
            </w:pPr>
            <w:r>
              <w:rPr>
                <w:kern w:val="0"/>
                <w:sz w:val="24"/>
              </w:rPr>
              <w:t>综上所述，本工程从生态保护红线、环境质量底线、资源利用</w:t>
            </w:r>
            <w:r>
              <w:rPr>
                <w:rFonts w:hint="eastAsia"/>
                <w:kern w:val="0"/>
                <w:sz w:val="24"/>
              </w:rPr>
              <w:t>上线</w:t>
            </w:r>
            <w:r>
              <w:rPr>
                <w:kern w:val="0"/>
                <w:sz w:val="24"/>
              </w:rPr>
              <w:t>和</w:t>
            </w:r>
            <w:r>
              <w:rPr>
                <w:rFonts w:hint="eastAsia"/>
                <w:kern w:val="0"/>
                <w:sz w:val="24"/>
              </w:rPr>
              <w:t>环境管控单元</w:t>
            </w:r>
            <w:r>
              <w:rPr>
                <w:kern w:val="0"/>
                <w:sz w:val="24"/>
              </w:rPr>
              <w:t>方面分析，符合</w:t>
            </w:r>
            <w:r>
              <w:rPr>
                <w:rFonts w:hint="eastAsia"/>
                <w:kern w:val="0"/>
                <w:sz w:val="24"/>
              </w:rPr>
              <w:t>“</w:t>
            </w:r>
            <w:r>
              <w:rPr>
                <w:kern w:val="0"/>
                <w:sz w:val="24"/>
              </w:rPr>
              <w:t>三线一单</w:t>
            </w:r>
            <w:r>
              <w:rPr>
                <w:rFonts w:hint="eastAsia"/>
                <w:kern w:val="0"/>
                <w:sz w:val="24"/>
              </w:rPr>
              <w:t>”</w:t>
            </w:r>
            <w:r>
              <w:rPr>
                <w:kern w:val="0"/>
                <w:sz w:val="24"/>
              </w:rPr>
              <w:t>的要求。</w:t>
            </w:r>
          </w:p>
        </w:tc>
      </w:tr>
    </w:tbl>
    <w:p>
      <w:pPr>
        <w:spacing w:line="360" w:lineRule="auto"/>
        <w:outlineLvl w:val="0"/>
        <w:rPr>
          <w:rFonts w:eastAsia="黑体"/>
          <w:sz w:val="30"/>
        </w:rPr>
        <w:sectPr>
          <w:pgSz w:w="11906" w:h="16838"/>
          <w:pgMar w:top="1701" w:right="1531" w:bottom="1701" w:left="1531" w:header="851" w:footer="1077" w:gutter="0"/>
          <w:cols w:space="720" w:num="1"/>
          <w:docGrid w:linePitch="312" w:charSpace="0"/>
        </w:sectPr>
      </w:pPr>
    </w:p>
    <w:p>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二、建设内容</w:t>
      </w:r>
    </w:p>
    <w:tbl>
      <w:tblPr>
        <w:tblStyle w:val="21"/>
        <w:tblW w:w="9090"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4"/>
        <w:gridCol w:w="82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97" w:hRule="atLeast"/>
          <w:jc w:val="center"/>
        </w:trPr>
        <w:tc>
          <w:tcPr>
            <w:tcW w:w="874"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地理位置</w:t>
            </w:r>
          </w:p>
        </w:tc>
        <w:tc>
          <w:tcPr>
            <w:tcW w:w="8216" w:type="dxa"/>
            <w:vAlign w:val="center"/>
          </w:tcPr>
          <w:p>
            <w:pPr>
              <w:pStyle w:val="45"/>
              <w:spacing w:before="120"/>
              <w:ind w:firstLine="480"/>
            </w:pPr>
            <w:r>
              <w:rPr>
                <w:rFonts w:hint="eastAsia"/>
              </w:rPr>
              <w:t>红山嘴</w:t>
            </w:r>
            <w:r>
              <w:t>水库工程位于新疆</w:t>
            </w:r>
            <w:r>
              <w:rPr>
                <w:rFonts w:hint="eastAsia"/>
              </w:rPr>
              <w:t>昌吉回族</w:t>
            </w:r>
            <w:r>
              <w:t>自治州木垒哈萨克族自治县内，工程坝址位于</w:t>
            </w:r>
            <w:r>
              <w:rPr>
                <w:rFonts w:hint="eastAsia"/>
              </w:rPr>
              <w:t>东城河东城</w:t>
            </w:r>
            <w:r>
              <w:t>渠首</w:t>
            </w:r>
            <w:r>
              <w:rPr>
                <w:rFonts w:hint="eastAsia"/>
              </w:rPr>
              <w:t>上游</w:t>
            </w:r>
            <w:r>
              <w:t>约470m处，距</w:t>
            </w:r>
            <w:r>
              <w:rPr>
                <w:rFonts w:hint="eastAsia"/>
              </w:rPr>
              <w:t>已建</w:t>
            </w:r>
            <w:r>
              <w:t>东城水库</w:t>
            </w:r>
            <w:r>
              <w:rPr>
                <w:rFonts w:hint="eastAsia"/>
              </w:rPr>
              <w:t>约12</w:t>
            </w:r>
            <w:r>
              <w:t>km，地理位置为</w:t>
            </w:r>
            <w:r>
              <w:rPr>
                <w:rFonts w:hint="eastAsia"/>
              </w:rPr>
              <w:t>东经43</w:t>
            </w:r>
            <w:r>
              <w:rPr>
                <w:rFonts w:eastAsiaTheme="minorEastAsia"/>
              </w:rPr>
              <w:t>°</w:t>
            </w:r>
            <w:r>
              <w:rPr>
                <w:rFonts w:hint="eastAsia"/>
              </w:rPr>
              <w:t>44'54"，北纬90</w:t>
            </w:r>
            <w:r>
              <w:rPr>
                <w:rFonts w:eastAsiaTheme="minorEastAsia"/>
              </w:rPr>
              <w:t>°</w:t>
            </w:r>
            <w:r>
              <w:rPr>
                <w:rFonts w:hint="eastAsia"/>
              </w:rPr>
              <w:t>10'39"</w:t>
            </w:r>
            <w:r>
              <w:t>。工程地理位置见附图一。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691" w:hRule="atLeast"/>
          <w:jc w:val="center"/>
        </w:trPr>
        <w:tc>
          <w:tcPr>
            <w:tcW w:w="874"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项目组成及规模</w:t>
            </w:r>
          </w:p>
        </w:tc>
        <w:tc>
          <w:tcPr>
            <w:tcW w:w="8216" w:type="dxa"/>
            <w:vAlign w:val="center"/>
          </w:tcPr>
          <w:p>
            <w:pPr>
              <w:pStyle w:val="72"/>
              <w:ind w:firstLine="0" w:firstLineChars="0"/>
              <w:rPr>
                <w:b/>
                <w:kern w:val="0"/>
              </w:rPr>
            </w:pPr>
            <w:r>
              <w:rPr>
                <w:rFonts w:hint="eastAsia"/>
                <w:b/>
                <w:kern w:val="0"/>
              </w:rPr>
              <w:t>一</w:t>
            </w:r>
            <w:r>
              <w:rPr>
                <w:b/>
                <w:kern w:val="0"/>
              </w:rPr>
              <w:t>、工程</w:t>
            </w:r>
            <w:r>
              <w:rPr>
                <w:rFonts w:hint="eastAsia"/>
                <w:b/>
                <w:kern w:val="0"/>
              </w:rPr>
              <w:t>建设的必要性</w:t>
            </w:r>
          </w:p>
          <w:p>
            <w:pPr>
              <w:spacing w:line="360" w:lineRule="auto"/>
              <w:ind w:firstLine="480" w:firstLineChars="200"/>
              <w:rPr>
                <w:sz w:val="24"/>
              </w:rPr>
            </w:pPr>
            <w:r>
              <w:rPr>
                <w:rFonts w:hint="eastAsia"/>
                <w:sz w:val="24"/>
              </w:rPr>
              <w:t>红山嘴</w:t>
            </w:r>
            <w:r>
              <w:rPr>
                <w:sz w:val="24"/>
              </w:rPr>
              <w:t>水库</w:t>
            </w:r>
            <w:r>
              <w:rPr>
                <w:rFonts w:hint="eastAsia"/>
                <w:sz w:val="24"/>
              </w:rPr>
              <w:t>是东城河</w:t>
            </w:r>
            <w:r>
              <w:rPr>
                <w:sz w:val="24"/>
              </w:rPr>
              <w:t>流域规划中</w:t>
            </w:r>
            <w:r>
              <w:rPr>
                <w:rFonts w:hint="eastAsia"/>
                <w:sz w:val="24"/>
              </w:rPr>
              <w:t>的</w:t>
            </w:r>
            <w:r>
              <w:rPr>
                <w:sz w:val="24"/>
              </w:rPr>
              <w:t>重大水工程</w:t>
            </w:r>
            <w:r>
              <w:rPr>
                <w:rFonts w:hint="eastAsia"/>
                <w:sz w:val="24"/>
              </w:rPr>
              <w:t>，为</w:t>
            </w:r>
            <w:r>
              <w:rPr>
                <w:sz w:val="24"/>
              </w:rPr>
              <w:t>东城河上游</w:t>
            </w:r>
            <w:r>
              <w:rPr>
                <w:rFonts w:hint="eastAsia"/>
                <w:sz w:val="24"/>
              </w:rPr>
              <w:t>调蓄性</w:t>
            </w:r>
            <w:r>
              <w:rPr>
                <w:sz w:val="24"/>
              </w:rPr>
              <w:t>山区水库</w:t>
            </w:r>
            <w:r>
              <w:rPr>
                <w:rFonts w:hint="eastAsia"/>
                <w:sz w:val="24"/>
              </w:rPr>
              <w:t>，建成后</w:t>
            </w:r>
            <w:r>
              <w:rPr>
                <w:sz w:val="24"/>
              </w:rPr>
              <w:t>可</w:t>
            </w:r>
            <w:r>
              <w:rPr>
                <w:rFonts w:hint="eastAsia"/>
                <w:sz w:val="24"/>
              </w:rPr>
              <w:t>增强工程性调蓄水库的能力，</w:t>
            </w:r>
            <w:r>
              <w:rPr>
                <w:sz w:val="24"/>
              </w:rPr>
              <w:t>可以提高水资源利用率、提高灌区保灌面积</w:t>
            </w:r>
            <w:r>
              <w:rPr>
                <w:rFonts w:hint="eastAsia"/>
                <w:sz w:val="24"/>
              </w:rPr>
              <w:t>、</w:t>
            </w:r>
            <w:r>
              <w:rPr>
                <w:sz w:val="24"/>
              </w:rPr>
              <w:t>提高</w:t>
            </w:r>
            <w:r>
              <w:rPr>
                <w:rFonts w:hint="eastAsia"/>
                <w:sz w:val="24"/>
              </w:rPr>
              <w:t>工业及生活安全饮水的供水保证率，为区域产业政策调整和经济社会的稳定持续发展提供保障；工程</w:t>
            </w:r>
            <w:r>
              <w:rPr>
                <w:sz w:val="24"/>
              </w:rPr>
              <w:t>建成后，</w:t>
            </w:r>
            <w:r>
              <w:rPr>
                <w:rFonts w:hint="eastAsia"/>
                <w:sz w:val="24"/>
              </w:rPr>
              <w:t>保障了生态流量持续稳定的下泄，也有利于下游区域生态植被的稳定恢复，起到水土保持、改善生态环境的效果。因此</w:t>
            </w:r>
            <w:r>
              <w:rPr>
                <w:sz w:val="24"/>
              </w:rPr>
              <w:t>，工程建设是持续巩固脱贫攻坚成果，实现脱贫攻坚与乡村振兴有效衔接的基础工程；是完善</w:t>
            </w:r>
            <w:r>
              <w:rPr>
                <w:rFonts w:hint="eastAsia"/>
                <w:sz w:val="24"/>
              </w:rPr>
              <w:t>木垒县</w:t>
            </w:r>
            <w:r>
              <w:rPr>
                <w:sz w:val="24"/>
              </w:rPr>
              <w:t>水利基础设施体系，提供稳定水源保障的关键工程。</w:t>
            </w:r>
          </w:p>
          <w:p>
            <w:pPr>
              <w:pStyle w:val="72"/>
              <w:ind w:firstLine="0" w:firstLineChars="0"/>
              <w:rPr>
                <w:b/>
                <w:kern w:val="0"/>
              </w:rPr>
            </w:pPr>
            <w:r>
              <w:rPr>
                <w:rFonts w:hint="eastAsia"/>
                <w:b/>
                <w:kern w:val="0"/>
              </w:rPr>
              <w:t>二、工程任务及设计水平年</w:t>
            </w:r>
          </w:p>
          <w:p>
            <w:pPr>
              <w:snapToGrid w:val="0"/>
              <w:spacing w:line="360" w:lineRule="auto"/>
              <w:ind w:firstLine="480"/>
              <w:rPr>
                <w:sz w:val="24"/>
              </w:rPr>
            </w:pPr>
            <w:r>
              <w:rPr>
                <w:rFonts w:hint="eastAsia"/>
                <w:sz w:val="24"/>
              </w:rPr>
              <w:t>红山嘴</w:t>
            </w:r>
            <w:r>
              <w:rPr>
                <w:sz w:val="24"/>
              </w:rPr>
              <w:t>水库工程任务</w:t>
            </w:r>
            <w:r>
              <w:rPr>
                <w:rFonts w:hint="eastAsia"/>
                <w:sz w:val="24"/>
              </w:rPr>
              <w:t>为</w:t>
            </w:r>
            <w:r>
              <w:rPr>
                <w:sz w:val="24"/>
              </w:rPr>
              <w:t>灌溉和供水</w:t>
            </w:r>
            <w:r>
              <w:rPr>
                <w:rFonts w:hint="eastAsia"/>
                <w:sz w:val="24"/>
              </w:rPr>
              <w:t>。</w:t>
            </w:r>
            <w:r>
              <w:rPr>
                <w:sz w:val="24"/>
              </w:rPr>
              <w:t>水库</w:t>
            </w:r>
            <w:r>
              <w:rPr>
                <w:rFonts w:hint="eastAsia"/>
                <w:sz w:val="24"/>
              </w:rPr>
              <w:t>建成</w:t>
            </w:r>
            <w:r>
              <w:rPr>
                <w:sz w:val="24"/>
              </w:rPr>
              <w:t>后，可保证下游农业</w:t>
            </w:r>
            <w:r>
              <w:rPr>
                <w:rFonts w:hint="eastAsia"/>
                <w:sz w:val="24"/>
              </w:rPr>
              <w:t>及其它</w:t>
            </w:r>
            <w:r>
              <w:rPr>
                <w:sz w:val="24"/>
              </w:rPr>
              <w:t>各业的用水需要，可有效提高下游灌区的灌溉保证率，</w:t>
            </w:r>
            <w:r>
              <w:rPr>
                <w:rFonts w:hint="eastAsia"/>
                <w:sz w:val="24"/>
              </w:rPr>
              <w:t>增加</w:t>
            </w:r>
            <w:r>
              <w:rPr>
                <w:sz w:val="24"/>
              </w:rPr>
              <w:t>农业产出，提高</w:t>
            </w:r>
            <w:r>
              <w:rPr>
                <w:rFonts w:hint="eastAsia"/>
                <w:sz w:val="24"/>
              </w:rPr>
              <w:t>农民</w:t>
            </w:r>
            <w:r>
              <w:rPr>
                <w:sz w:val="24"/>
              </w:rPr>
              <w:t>收入</w:t>
            </w:r>
            <w:r>
              <w:rPr>
                <w:rFonts w:hint="eastAsia"/>
                <w:sz w:val="24"/>
              </w:rPr>
              <w:t>；</w:t>
            </w:r>
            <w:r>
              <w:rPr>
                <w:sz w:val="24"/>
              </w:rPr>
              <w:t>还可以为</w:t>
            </w:r>
            <w:r>
              <w:rPr>
                <w:rFonts w:hint="eastAsia"/>
                <w:sz w:val="24"/>
              </w:rPr>
              <w:t>下游</w:t>
            </w:r>
            <w:r>
              <w:rPr>
                <w:sz w:val="24"/>
              </w:rPr>
              <w:t>居民</w:t>
            </w:r>
            <w:r>
              <w:rPr>
                <w:rFonts w:hint="eastAsia"/>
                <w:sz w:val="24"/>
              </w:rPr>
              <w:t>生活</w:t>
            </w:r>
            <w:r>
              <w:rPr>
                <w:sz w:val="24"/>
              </w:rPr>
              <w:t>和</w:t>
            </w:r>
            <w:r>
              <w:rPr>
                <w:rFonts w:hint="eastAsia"/>
                <w:sz w:val="24"/>
              </w:rPr>
              <w:t>工业提供</w:t>
            </w:r>
            <w:r>
              <w:rPr>
                <w:sz w:val="24"/>
              </w:rPr>
              <w:t>用水保障，</w:t>
            </w:r>
            <w:r>
              <w:rPr>
                <w:rFonts w:hint="eastAsia"/>
                <w:sz w:val="24"/>
              </w:rPr>
              <w:t>为该地区的工业及其他产业的发展提供稳定的水源，该工程的建设有利于促进当地经济发展</w:t>
            </w:r>
            <w:r>
              <w:rPr>
                <w:sz w:val="24"/>
              </w:rPr>
              <w:t>。</w:t>
            </w:r>
          </w:p>
          <w:p>
            <w:pPr>
              <w:snapToGrid w:val="0"/>
              <w:spacing w:line="360" w:lineRule="auto"/>
              <w:ind w:firstLine="480"/>
              <w:rPr>
                <w:sz w:val="24"/>
              </w:rPr>
            </w:pPr>
            <w:r>
              <w:rPr>
                <w:rFonts w:hint="eastAsia"/>
                <w:sz w:val="24"/>
              </w:rPr>
              <w:t>工程现状</w:t>
            </w:r>
            <w:r>
              <w:rPr>
                <w:sz w:val="24"/>
              </w:rPr>
              <w:t>水平年为</w:t>
            </w:r>
            <w:r>
              <w:rPr>
                <w:rFonts w:hint="eastAsia"/>
                <w:sz w:val="24"/>
              </w:rPr>
              <w:t>202</w:t>
            </w:r>
            <w:r>
              <w:rPr>
                <w:sz w:val="24"/>
              </w:rPr>
              <w:t>2</w:t>
            </w:r>
            <w:r>
              <w:rPr>
                <w:rFonts w:hint="eastAsia"/>
                <w:sz w:val="24"/>
              </w:rPr>
              <w:t>年</w:t>
            </w:r>
            <w:r>
              <w:rPr>
                <w:sz w:val="24"/>
              </w:rPr>
              <w:t>，设计水平年为</w:t>
            </w:r>
            <w:r>
              <w:rPr>
                <w:rFonts w:hint="eastAsia"/>
                <w:sz w:val="24"/>
              </w:rPr>
              <w:t>203</w:t>
            </w:r>
            <w:r>
              <w:rPr>
                <w:sz w:val="24"/>
              </w:rPr>
              <w:t>5</w:t>
            </w:r>
            <w:r>
              <w:rPr>
                <w:rFonts w:hint="eastAsia"/>
                <w:sz w:val="24"/>
              </w:rPr>
              <w:t>年</w:t>
            </w:r>
            <w:r>
              <w:rPr>
                <w:sz w:val="24"/>
              </w:rPr>
              <w:t>。</w:t>
            </w:r>
          </w:p>
          <w:p>
            <w:pPr>
              <w:autoSpaceDE w:val="0"/>
              <w:autoSpaceDN w:val="0"/>
              <w:adjustRightInd w:val="0"/>
              <w:spacing w:line="360" w:lineRule="auto"/>
              <w:jc w:val="left"/>
              <w:rPr>
                <w:rFonts w:hAnsi="宋体"/>
                <w:b/>
                <w:kern w:val="0"/>
                <w:sz w:val="24"/>
              </w:rPr>
            </w:pPr>
            <w:r>
              <w:rPr>
                <w:rFonts w:hint="eastAsia" w:hAnsi="宋体"/>
                <w:b/>
                <w:kern w:val="0"/>
                <w:sz w:val="24"/>
              </w:rPr>
              <w:t>三</w:t>
            </w:r>
            <w:r>
              <w:rPr>
                <w:rFonts w:hAnsi="宋体"/>
                <w:b/>
                <w:kern w:val="0"/>
                <w:sz w:val="24"/>
              </w:rPr>
              <w:t>、工程组成及建设内容</w:t>
            </w:r>
          </w:p>
          <w:p>
            <w:pPr>
              <w:autoSpaceDE w:val="0"/>
              <w:autoSpaceDN w:val="0"/>
              <w:adjustRightInd w:val="0"/>
              <w:spacing w:line="360" w:lineRule="auto"/>
              <w:ind w:firstLine="480" w:firstLineChars="200"/>
              <w:jc w:val="left"/>
              <w:rPr>
                <w:rFonts w:hAnsi="宋体"/>
                <w:kern w:val="0"/>
                <w:sz w:val="24"/>
              </w:rPr>
            </w:pPr>
            <w:r>
              <w:rPr>
                <w:rFonts w:hint="eastAsia" w:hAnsi="宋体"/>
                <w:kern w:val="0"/>
                <w:sz w:val="24"/>
              </w:rPr>
              <w:t>工程主要由沥青砼心墙坝</w:t>
            </w:r>
            <w:r>
              <w:rPr>
                <w:sz w:val="24"/>
              </w:rPr>
              <w:t>、</w:t>
            </w:r>
            <w:r>
              <w:rPr>
                <w:rFonts w:hint="eastAsia"/>
                <w:sz w:val="24"/>
              </w:rPr>
              <w:t>导流放水</w:t>
            </w:r>
            <w:r>
              <w:rPr>
                <w:sz w:val="24"/>
              </w:rPr>
              <w:t>冲</w:t>
            </w:r>
            <w:r>
              <w:rPr>
                <w:rFonts w:hint="eastAsia"/>
                <w:sz w:val="24"/>
              </w:rPr>
              <w:t>沙</w:t>
            </w:r>
            <w:r>
              <w:rPr>
                <w:sz w:val="24"/>
              </w:rPr>
              <w:t>涵洞、</w:t>
            </w:r>
            <w:r>
              <w:rPr>
                <w:rFonts w:hint="eastAsia"/>
                <w:sz w:val="24"/>
              </w:rPr>
              <w:t>溢洪道等建筑物组成</w:t>
            </w:r>
            <w:r>
              <w:rPr>
                <w:sz w:val="24"/>
              </w:rPr>
              <w:t>。项目组成见表</w:t>
            </w:r>
            <w:r>
              <w:rPr>
                <w:rFonts w:hint="eastAsia"/>
                <w:sz w:val="24"/>
              </w:rPr>
              <w:t>2。</w:t>
            </w:r>
          </w:p>
          <w:p>
            <w:pPr>
              <w:autoSpaceDE w:val="0"/>
              <w:autoSpaceDN w:val="0"/>
              <w:adjustRightInd w:val="0"/>
              <w:rPr>
                <w:rFonts w:ascii="黑体" w:hAnsi="黑体" w:eastAsia="黑体"/>
                <w:kern w:val="0"/>
                <w:sz w:val="24"/>
                <w:szCs w:val="21"/>
              </w:rPr>
            </w:pPr>
            <w:r>
              <w:rPr>
                <w:rFonts w:eastAsia="黑体"/>
                <w:kern w:val="0"/>
                <w:sz w:val="24"/>
                <w:szCs w:val="21"/>
              </w:rPr>
              <w:t>表2</w:t>
            </w:r>
            <w:r>
              <w:rPr>
                <w:rFonts w:ascii="黑体" w:hAnsi="黑体" w:eastAsia="黑体"/>
                <w:kern w:val="0"/>
                <w:sz w:val="24"/>
                <w:szCs w:val="21"/>
              </w:rPr>
              <w:t xml:space="preserve">                     工程主要建设内容一览表</w:t>
            </w:r>
          </w:p>
          <w:tbl>
            <w:tblPr>
              <w:tblStyle w:val="21"/>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411"/>
              <w:gridCol w:w="5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35" w:type="dxa"/>
                  <w:vAlign w:val="center"/>
                </w:tcPr>
                <w:p>
                  <w:pPr>
                    <w:autoSpaceDE w:val="0"/>
                    <w:autoSpaceDN w:val="0"/>
                    <w:adjustRightInd w:val="0"/>
                    <w:jc w:val="center"/>
                    <w:rPr>
                      <w:kern w:val="0"/>
                      <w:szCs w:val="21"/>
                    </w:rPr>
                  </w:pPr>
                  <w:r>
                    <w:rPr>
                      <w:kern w:val="0"/>
                      <w:szCs w:val="21"/>
                    </w:rPr>
                    <w:t>工程类型</w:t>
                  </w:r>
                </w:p>
              </w:tc>
              <w:tc>
                <w:tcPr>
                  <w:tcW w:w="1411" w:type="dxa"/>
                  <w:vAlign w:val="center"/>
                </w:tcPr>
                <w:p>
                  <w:pPr>
                    <w:autoSpaceDE w:val="0"/>
                    <w:autoSpaceDN w:val="0"/>
                    <w:adjustRightInd w:val="0"/>
                    <w:jc w:val="center"/>
                    <w:rPr>
                      <w:kern w:val="0"/>
                      <w:szCs w:val="21"/>
                    </w:rPr>
                  </w:pPr>
                  <w:r>
                    <w:rPr>
                      <w:kern w:val="0"/>
                      <w:szCs w:val="21"/>
                    </w:rPr>
                    <w:t>项目</w:t>
                  </w:r>
                </w:p>
              </w:tc>
              <w:tc>
                <w:tcPr>
                  <w:tcW w:w="5644" w:type="dxa"/>
                  <w:vAlign w:val="center"/>
                </w:tcPr>
                <w:p>
                  <w:pPr>
                    <w:autoSpaceDE w:val="0"/>
                    <w:autoSpaceDN w:val="0"/>
                    <w:adjustRightInd w:val="0"/>
                    <w:jc w:val="center"/>
                    <w:rPr>
                      <w:kern w:val="0"/>
                      <w:szCs w:val="21"/>
                    </w:rPr>
                  </w:pPr>
                  <w:r>
                    <w:rPr>
                      <w:kern w:val="0"/>
                      <w:szCs w:val="21"/>
                    </w:rPr>
                    <w:t>主要建设内容及规模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restart"/>
                  <w:vAlign w:val="center"/>
                </w:tcPr>
                <w:p>
                  <w:pPr>
                    <w:autoSpaceDE w:val="0"/>
                    <w:autoSpaceDN w:val="0"/>
                    <w:adjustRightInd w:val="0"/>
                    <w:jc w:val="center"/>
                    <w:rPr>
                      <w:rFonts w:hAnsi="宋体"/>
                      <w:kern w:val="0"/>
                      <w:szCs w:val="21"/>
                    </w:rPr>
                  </w:pPr>
                  <w:r>
                    <w:rPr>
                      <w:rFonts w:hAnsi="宋体"/>
                      <w:kern w:val="0"/>
                      <w:szCs w:val="21"/>
                    </w:rPr>
                    <w:t>主体</w:t>
                  </w:r>
                </w:p>
                <w:p>
                  <w:pPr>
                    <w:autoSpaceDE w:val="0"/>
                    <w:autoSpaceDN w:val="0"/>
                    <w:adjustRightInd w:val="0"/>
                    <w:jc w:val="center"/>
                    <w:rPr>
                      <w:kern w:val="0"/>
                      <w:szCs w:val="21"/>
                    </w:rPr>
                  </w:pPr>
                  <w:r>
                    <w:rPr>
                      <w:rFonts w:hAnsi="宋体"/>
                      <w:kern w:val="0"/>
                      <w:szCs w:val="21"/>
                    </w:rPr>
                    <w:t>工程</w:t>
                  </w:r>
                </w:p>
              </w:tc>
              <w:tc>
                <w:tcPr>
                  <w:tcW w:w="1411" w:type="dxa"/>
                  <w:vAlign w:val="center"/>
                </w:tcPr>
                <w:p>
                  <w:pPr>
                    <w:autoSpaceDE w:val="0"/>
                    <w:autoSpaceDN w:val="0"/>
                    <w:adjustRightInd w:val="0"/>
                    <w:jc w:val="center"/>
                    <w:rPr>
                      <w:rFonts w:hAnsi="宋体"/>
                      <w:kern w:val="0"/>
                      <w:szCs w:val="21"/>
                    </w:rPr>
                  </w:pPr>
                  <w:r>
                    <w:rPr>
                      <w:rFonts w:hAnsi="宋体"/>
                      <w:kern w:val="0"/>
                      <w:szCs w:val="21"/>
                    </w:rPr>
                    <w:t>挡水</w:t>
                  </w:r>
                  <w:r>
                    <w:rPr>
                      <w:rFonts w:hint="eastAsia" w:hAnsi="宋体"/>
                      <w:kern w:val="0"/>
                      <w:szCs w:val="21"/>
                    </w:rPr>
                    <w:t>建筑物</w:t>
                  </w:r>
                </w:p>
              </w:tc>
              <w:tc>
                <w:tcPr>
                  <w:tcW w:w="5644" w:type="dxa"/>
                  <w:vAlign w:val="center"/>
                </w:tcPr>
                <w:p>
                  <w:pPr>
                    <w:autoSpaceDE w:val="0"/>
                    <w:autoSpaceDN w:val="0"/>
                    <w:adjustRightInd w:val="0"/>
                    <w:rPr>
                      <w:rFonts w:hAnsi="宋体"/>
                      <w:kern w:val="0"/>
                      <w:szCs w:val="21"/>
                    </w:rPr>
                  </w:pPr>
                  <w:r>
                    <w:t>拦河大坝为</w:t>
                  </w:r>
                  <w:r>
                    <w:rPr>
                      <w:rFonts w:hint="eastAsia"/>
                    </w:rPr>
                    <w:t>沥青砼</w:t>
                  </w:r>
                  <w:r>
                    <w:t>心墙坝，设计坝顶高程1338.7m，防浪墙顶高程1339.9m。最大坝高56.2m，坝顶长</w:t>
                  </w:r>
                  <w:r>
                    <w:rPr>
                      <w:rFonts w:hint="eastAsia"/>
                    </w:rPr>
                    <w:t>187.5</w:t>
                  </w:r>
                  <w:r>
                    <w:t>m，坝顶宽6.0m。上游坝坡坡比1：</w:t>
                  </w:r>
                  <w:r>
                    <w:rPr>
                      <w:rFonts w:hint="eastAsia"/>
                    </w:rPr>
                    <w:t>2.5</w:t>
                  </w:r>
                  <w:r>
                    <w:t>，下游坝坡设上坝公路，上坝公路宽6.0m，</w:t>
                  </w:r>
                  <w:r>
                    <w:rPr>
                      <w:rFonts w:hint="eastAsia"/>
                    </w:rPr>
                    <w:t>下游综合坝坡1:2.</w:t>
                  </w:r>
                  <w:r>
                    <w:t>309。上游坝坡为砼板护坡，板厚20cm，下游坝坡采用</w:t>
                  </w:r>
                  <w:r>
                    <w:rPr>
                      <w:rFonts w:hint="eastAsia"/>
                    </w:rPr>
                    <w:t>钢筋砼网格砂砾石护坡</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int="eastAsia" w:hAnsi="宋体"/>
                      <w:kern w:val="0"/>
                      <w:szCs w:val="21"/>
                    </w:rPr>
                    <w:t>引泄水</w:t>
                  </w:r>
                  <w:r>
                    <w:rPr>
                      <w:rFonts w:hAnsi="宋体"/>
                      <w:kern w:val="0"/>
                      <w:szCs w:val="21"/>
                    </w:rPr>
                    <w:t>建筑物</w:t>
                  </w:r>
                </w:p>
              </w:tc>
              <w:tc>
                <w:tcPr>
                  <w:tcW w:w="5644" w:type="dxa"/>
                  <w:vAlign w:val="center"/>
                </w:tcPr>
                <w:p>
                  <w:pPr>
                    <w:autoSpaceDE w:val="0"/>
                    <w:autoSpaceDN w:val="0"/>
                    <w:adjustRightInd w:val="0"/>
                    <w:jc w:val="left"/>
                    <w:rPr>
                      <w:rFonts w:hAnsi="宋体"/>
                      <w:kern w:val="0"/>
                      <w:szCs w:val="21"/>
                    </w:rPr>
                  </w:pPr>
                  <w:r>
                    <w:rPr>
                      <w:rFonts w:hint="eastAsia" w:hAnsi="宋体"/>
                      <w:kern w:val="0"/>
                      <w:szCs w:val="21"/>
                    </w:rPr>
                    <w:t>引</w:t>
                  </w:r>
                  <w:r>
                    <w:rPr>
                      <w:rFonts w:hAnsi="宋体"/>
                      <w:kern w:val="0"/>
                      <w:szCs w:val="21"/>
                    </w:rPr>
                    <w:t>泄水建筑物主要为导流放水冲沙涵洞、溢洪道</w:t>
                  </w:r>
                  <w:r>
                    <w:rPr>
                      <w:rFonts w:hint="eastAsia" w:hAnsi="宋体"/>
                      <w:kern w:val="0"/>
                      <w:szCs w:val="21"/>
                    </w:rPr>
                    <w:t>。</w:t>
                  </w:r>
                </w:p>
                <w:p>
                  <w:pPr>
                    <w:autoSpaceDE w:val="0"/>
                    <w:autoSpaceDN w:val="0"/>
                    <w:adjustRightInd w:val="0"/>
                    <w:jc w:val="left"/>
                    <w:rPr>
                      <w:rFonts w:hAnsi="宋体"/>
                      <w:kern w:val="0"/>
                      <w:szCs w:val="21"/>
                    </w:rPr>
                  </w:pPr>
                  <w:r>
                    <w:rPr>
                      <w:rFonts w:hint="eastAsia" w:hAnsi="宋体"/>
                      <w:kern w:val="0"/>
                      <w:szCs w:val="21"/>
                    </w:rPr>
                    <w:t>导流放水冲沙涵洞布置在右岸坡脚，为坝下埋涵，前期作为导流洞，后期作为永久放水冲沙洞，是临时和永久完全结合的建筑物。全长</w:t>
                  </w:r>
                  <w:r>
                    <w:rPr>
                      <w:rFonts w:hAnsi="宋体"/>
                      <w:kern w:val="0"/>
                      <w:szCs w:val="21"/>
                    </w:rPr>
                    <w:t>344.38</w:t>
                  </w:r>
                  <w:r>
                    <w:rPr>
                      <w:rFonts w:hint="eastAsia" w:hAnsi="宋体"/>
                      <w:kern w:val="0"/>
                      <w:szCs w:val="21"/>
                    </w:rPr>
                    <w:t>m，由引渠段、有压洞身段、闸室段、无压洞身段、出口消力池段、海漫段组成，最大</w:t>
                  </w:r>
                  <w:r>
                    <w:rPr>
                      <w:rFonts w:hAnsi="宋体"/>
                      <w:kern w:val="0"/>
                      <w:szCs w:val="21"/>
                    </w:rPr>
                    <w:t>下泄流量</w:t>
                  </w:r>
                  <w:r>
                    <w:rPr>
                      <w:rFonts w:hint="eastAsia" w:hAnsi="宋体"/>
                      <w:kern w:val="0"/>
                      <w:szCs w:val="21"/>
                    </w:rPr>
                    <w:t>44.43m</w:t>
                  </w:r>
                  <w:r>
                    <w:rPr>
                      <w:rFonts w:hint="eastAsia" w:hAnsi="宋体"/>
                      <w:kern w:val="0"/>
                      <w:szCs w:val="21"/>
                      <w:vertAlign w:val="superscript"/>
                    </w:rPr>
                    <w:t>3</w:t>
                  </w:r>
                  <w:r>
                    <w:rPr>
                      <w:rFonts w:hint="eastAsia" w:hAnsi="宋体"/>
                      <w:kern w:val="0"/>
                      <w:szCs w:val="21"/>
                    </w:rPr>
                    <w:t>/s。</w:t>
                  </w:r>
                </w:p>
                <w:p>
                  <w:pPr>
                    <w:autoSpaceDE w:val="0"/>
                    <w:autoSpaceDN w:val="0"/>
                    <w:adjustRightInd w:val="0"/>
                    <w:jc w:val="left"/>
                    <w:rPr>
                      <w:rFonts w:hAnsi="宋体"/>
                      <w:kern w:val="0"/>
                      <w:szCs w:val="21"/>
                    </w:rPr>
                  </w:pPr>
                  <w:r>
                    <w:rPr>
                      <w:rFonts w:hint="eastAsia" w:hAnsi="宋体"/>
                      <w:kern w:val="0"/>
                      <w:szCs w:val="21"/>
                    </w:rPr>
                    <w:t>溢洪道布置在右坝肩岸坡上，为开敞式正槽溢洪道，由进口段、控制段、泄槽段、出口消能段组成，全长327.6m。溢洪道进口堰顶</w:t>
                  </w:r>
                  <w:r>
                    <w:rPr>
                      <w:rFonts w:hAnsi="宋体"/>
                      <w:kern w:val="0"/>
                      <w:szCs w:val="21"/>
                    </w:rPr>
                    <w:t>高程为</w:t>
                  </w:r>
                  <w:r>
                    <w:rPr>
                      <w:rFonts w:hint="eastAsia" w:hAnsi="宋体"/>
                      <w:kern w:val="0"/>
                      <w:szCs w:val="21"/>
                    </w:rPr>
                    <w:t>1333.82</w:t>
                  </w:r>
                  <w:r>
                    <w:rPr>
                      <w:rFonts w:hAnsi="宋体"/>
                      <w:kern w:val="0"/>
                      <w:szCs w:val="21"/>
                    </w:rPr>
                    <w:t>m，</w:t>
                  </w:r>
                  <w:r>
                    <w:rPr>
                      <w:rFonts w:hint="eastAsia" w:hAnsi="宋体"/>
                      <w:kern w:val="0"/>
                      <w:szCs w:val="21"/>
                    </w:rPr>
                    <w:t>最大泄流量312.49m</w:t>
                  </w:r>
                  <w:r>
                    <w:rPr>
                      <w:rFonts w:hint="eastAsia" w:hAnsi="宋体"/>
                      <w:kern w:val="0"/>
                      <w:szCs w:val="21"/>
                      <w:vertAlign w:val="superscript"/>
                    </w:rPr>
                    <w:t>3</w:t>
                  </w:r>
                  <w:r>
                    <w:rPr>
                      <w:rFonts w:hint="eastAsia" w:hAnsi="宋体"/>
                      <w:kern w:val="0"/>
                      <w:szCs w:val="21"/>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Align w:val="center"/>
                </w:tcPr>
                <w:p>
                  <w:pPr>
                    <w:autoSpaceDE w:val="0"/>
                    <w:autoSpaceDN w:val="0"/>
                    <w:adjustRightInd w:val="0"/>
                    <w:jc w:val="center"/>
                    <w:rPr>
                      <w:rFonts w:hAnsi="宋体"/>
                      <w:kern w:val="0"/>
                      <w:szCs w:val="21"/>
                    </w:rPr>
                  </w:pPr>
                  <w:r>
                    <w:rPr>
                      <w:rFonts w:hAnsi="宋体"/>
                      <w:kern w:val="0"/>
                      <w:szCs w:val="21"/>
                    </w:rPr>
                    <w:t>辅助</w:t>
                  </w:r>
                </w:p>
                <w:p>
                  <w:pPr>
                    <w:autoSpaceDE w:val="0"/>
                    <w:autoSpaceDN w:val="0"/>
                    <w:adjustRightInd w:val="0"/>
                    <w:jc w:val="center"/>
                    <w:rPr>
                      <w:rFonts w:hAnsi="宋体"/>
                      <w:kern w:val="0"/>
                      <w:szCs w:val="21"/>
                    </w:rPr>
                  </w:pPr>
                  <w:r>
                    <w:rPr>
                      <w:rFonts w:hAnsi="宋体"/>
                      <w:kern w:val="0"/>
                      <w:szCs w:val="21"/>
                    </w:rPr>
                    <w:t>工程</w:t>
                  </w:r>
                </w:p>
              </w:tc>
              <w:tc>
                <w:tcPr>
                  <w:tcW w:w="1411" w:type="dxa"/>
                  <w:vAlign w:val="center"/>
                </w:tcPr>
                <w:p>
                  <w:pPr>
                    <w:autoSpaceDE w:val="0"/>
                    <w:autoSpaceDN w:val="0"/>
                    <w:adjustRightInd w:val="0"/>
                    <w:jc w:val="center"/>
                    <w:rPr>
                      <w:rFonts w:hAnsi="宋体"/>
                      <w:kern w:val="0"/>
                      <w:szCs w:val="21"/>
                    </w:rPr>
                  </w:pPr>
                  <w:r>
                    <w:rPr>
                      <w:rFonts w:hAnsi="宋体"/>
                      <w:kern w:val="0"/>
                      <w:szCs w:val="21"/>
                    </w:rPr>
                    <w:t>运行管理区</w:t>
                  </w:r>
                </w:p>
              </w:tc>
              <w:tc>
                <w:tcPr>
                  <w:tcW w:w="5644" w:type="dxa"/>
                  <w:vAlign w:val="center"/>
                </w:tcPr>
                <w:p>
                  <w:pPr>
                    <w:autoSpaceDE w:val="0"/>
                    <w:autoSpaceDN w:val="0"/>
                    <w:adjustRightInd w:val="0"/>
                    <w:rPr>
                      <w:rFonts w:hAnsi="宋体"/>
                      <w:kern w:val="0"/>
                      <w:szCs w:val="21"/>
                    </w:rPr>
                  </w:pPr>
                  <w:r>
                    <w:rPr>
                      <w:rFonts w:hint="eastAsia" w:hAnsi="宋体"/>
                      <w:kern w:val="0"/>
                      <w:szCs w:val="21"/>
                    </w:rPr>
                    <w:t>运行管理区拟建于红山嘴坝轴线</w:t>
                  </w:r>
                  <w:r>
                    <w:rPr>
                      <w:rFonts w:hAnsi="宋体"/>
                      <w:kern w:val="0"/>
                      <w:szCs w:val="21"/>
                    </w:rPr>
                    <w:t>上游</w:t>
                  </w:r>
                  <w:r>
                    <w:rPr>
                      <w:rFonts w:hint="eastAsia" w:hAnsi="宋体"/>
                      <w:kern w:val="0"/>
                      <w:szCs w:val="21"/>
                    </w:rPr>
                    <w:t>260</w:t>
                  </w:r>
                  <w:r>
                    <w:rPr>
                      <w:rFonts w:hAnsi="宋体"/>
                      <w:kern w:val="0"/>
                      <w:szCs w:val="21"/>
                    </w:rPr>
                    <w:t>m的左岸山梁上</w:t>
                  </w:r>
                  <w:r>
                    <w:rPr>
                      <w:rFonts w:hint="eastAsia" w:hAnsi="宋体"/>
                      <w:kern w:val="0"/>
                      <w:szCs w:val="21"/>
                    </w:rPr>
                    <w:t>，</w:t>
                  </w:r>
                  <w:r>
                    <w:rPr>
                      <w:rFonts w:hAnsi="宋体"/>
                      <w:kern w:val="0"/>
                      <w:szCs w:val="21"/>
                    </w:rPr>
                    <w:t>定员人数为9人。运行管理区总占地面积875m</w:t>
                  </w:r>
                  <w:r>
                    <w:rPr>
                      <w:rFonts w:hAnsi="宋体"/>
                      <w:kern w:val="0"/>
                      <w:szCs w:val="21"/>
                      <w:vertAlign w:val="superscript"/>
                    </w:rPr>
                    <w:t>2</w:t>
                  </w:r>
                  <w:r>
                    <w:rPr>
                      <w:rFonts w:hAnsi="宋体"/>
                      <w:kern w:val="0"/>
                      <w:szCs w:val="21"/>
                    </w:rPr>
                    <w:t>，总建筑面积450m</w:t>
                  </w:r>
                  <w:r>
                    <w:rPr>
                      <w:rFonts w:hAnsi="宋体"/>
                      <w:kern w:val="0"/>
                      <w:szCs w:val="21"/>
                      <w:vertAlign w:val="superscript"/>
                    </w:rPr>
                    <w:t>2</w:t>
                  </w:r>
                  <w:r>
                    <w:rPr>
                      <w:rFonts w:hAnsi="宋体"/>
                      <w:kern w:val="0"/>
                      <w:szCs w:val="21"/>
                    </w:rPr>
                    <w:t>，包括</w:t>
                  </w:r>
                  <w:r>
                    <w:rPr>
                      <w:rFonts w:hint="eastAsia" w:hAnsi="宋体"/>
                      <w:kern w:val="0"/>
                      <w:szCs w:val="21"/>
                    </w:rPr>
                    <w:t>办公室</w:t>
                  </w:r>
                  <w:r>
                    <w:rPr>
                      <w:rFonts w:hAnsi="宋体"/>
                      <w:kern w:val="0"/>
                      <w:szCs w:val="21"/>
                    </w:rPr>
                    <w:t>、</w:t>
                  </w:r>
                  <w:r>
                    <w:rPr>
                      <w:rFonts w:hint="eastAsia" w:hAnsi="宋体"/>
                      <w:kern w:val="0"/>
                      <w:szCs w:val="21"/>
                    </w:rPr>
                    <w:t>生活</w:t>
                  </w:r>
                  <w:r>
                    <w:rPr>
                      <w:rFonts w:hAnsi="宋体"/>
                      <w:kern w:val="0"/>
                      <w:szCs w:val="21"/>
                    </w:rPr>
                    <w:t>用房、辅助生产</w:t>
                  </w:r>
                  <w:r>
                    <w:rPr>
                      <w:rFonts w:hint="eastAsia" w:hAnsi="宋体"/>
                      <w:kern w:val="0"/>
                      <w:szCs w:val="21"/>
                    </w:rPr>
                    <w:t>用</w:t>
                  </w:r>
                  <w:r>
                    <w:rPr>
                      <w:rFonts w:hAnsi="宋体"/>
                      <w:kern w:val="0"/>
                      <w:szCs w:val="21"/>
                    </w:rPr>
                    <w:t>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restart"/>
                  <w:vAlign w:val="center"/>
                </w:tcPr>
                <w:p>
                  <w:pPr>
                    <w:autoSpaceDE w:val="0"/>
                    <w:autoSpaceDN w:val="0"/>
                    <w:adjustRightInd w:val="0"/>
                    <w:jc w:val="center"/>
                    <w:rPr>
                      <w:rFonts w:hAnsi="宋体"/>
                      <w:kern w:val="0"/>
                      <w:szCs w:val="21"/>
                    </w:rPr>
                  </w:pPr>
                  <w:r>
                    <w:rPr>
                      <w:rFonts w:hAnsi="宋体"/>
                      <w:kern w:val="0"/>
                      <w:szCs w:val="21"/>
                    </w:rPr>
                    <w:t>公用</w:t>
                  </w:r>
                </w:p>
                <w:p>
                  <w:pPr>
                    <w:autoSpaceDE w:val="0"/>
                    <w:autoSpaceDN w:val="0"/>
                    <w:adjustRightInd w:val="0"/>
                    <w:jc w:val="center"/>
                    <w:rPr>
                      <w:kern w:val="0"/>
                      <w:szCs w:val="21"/>
                    </w:rPr>
                  </w:pPr>
                  <w:r>
                    <w:rPr>
                      <w:rFonts w:hAnsi="宋体"/>
                      <w:kern w:val="0"/>
                      <w:szCs w:val="21"/>
                    </w:rPr>
                    <w:t>工程</w:t>
                  </w:r>
                </w:p>
              </w:tc>
              <w:tc>
                <w:tcPr>
                  <w:tcW w:w="1411" w:type="dxa"/>
                  <w:vAlign w:val="center"/>
                </w:tcPr>
                <w:p>
                  <w:pPr>
                    <w:autoSpaceDE w:val="0"/>
                    <w:autoSpaceDN w:val="0"/>
                    <w:adjustRightInd w:val="0"/>
                    <w:spacing w:line="360" w:lineRule="auto"/>
                    <w:jc w:val="center"/>
                    <w:rPr>
                      <w:rFonts w:hAnsi="宋体"/>
                      <w:kern w:val="0"/>
                      <w:szCs w:val="21"/>
                    </w:rPr>
                  </w:pPr>
                  <w:r>
                    <w:rPr>
                      <w:rFonts w:hAnsi="宋体"/>
                      <w:kern w:val="0"/>
                      <w:szCs w:val="21"/>
                    </w:rPr>
                    <w:t>供电</w:t>
                  </w:r>
                </w:p>
              </w:tc>
              <w:tc>
                <w:tcPr>
                  <w:tcW w:w="5644" w:type="dxa"/>
                  <w:vAlign w:val="center"/>
                </w:tcPr>
                <w:p>
                  <w:pPr>
                    <w:autoSpaceDE w:val="0"/>
                    <w:autoSpaceDN w:val="0"/>
                    <w:adjustRightInd w:val="0"/>
                    <w:rPr>
                      <w:rFonts w:hAnsi="宋体"/>
                      <w:kern w:val="0"/>
                      <w:szCs w:val="21"/>
                    </w:rPr>
                  </w:pPr>
                  <w:r>
                    <w:rPr>
                      <w:rFonts w:hint="eastAsia" w:hAnsi="宋体"/>
                      <w:kern w:val="0"/>
                      <w:szCs w:val="21"/>
                    </w:rPr>
                    <w:t>工程建设期间，施工用电由下游的东城镇变电站提供，直接由东城河左岸坝肩接入工地施工变电站。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spacing w:line="360" w:lineRule="auto"/>
                    <w:jc w:val="center"/>
                    <w:rPr>
                      <w:rFonts w:hAnsi="宋体"/>
                      <w:kern w:val="0"/>
                      <w:szCs w:val="21"/>
                    </w:rPr>
                  </w:pPr>
                  <w:r>
                    <w:rPr>
                      <w:rFonts w:hAnsi="宋体"/>
                      <w:kern w:val="0"/>
                      <w:szCs w:val="21"/>
                    </w:rPr>
                    <w:t>供水</w:t>
                  </w:r>
                </w:p>
              </w:tc>
              <w:tc>
                <w:tcPr>
                  <w:tcW w:w="5644" w:type="dxa"/>
                  <w:vAlign w:val="center"/>
                </w:tcPr>
                <w:p>
                  <w:pPr>
                    <w:autoSpaceDE w:val="0"/>
                    <w:autoSpaceDN w:val="0"/>
                    <w:adjustRightInd w:val="0"/>
                    <w:rPr>
                      <w:rFonts w:hAnsi="宋体"/>
                      <w:kern w:val="0"/>
                      <w:szCs w:val="21"/>
                    </w:rPr>
                  </w:pPr>
                  <w:r>
                    <w:rPr>
                      <w:rFonts w:hint="eastAsia" w:hAnsi="宋体"/>
                      <w:kern w:val="0"/>
                      <w:szCs w:val="21"/>
                    </w:rPr>
                    <w:t>施工用水为</w:t>
                  </w:r>
                  <w:r>
                    <w:rPr>
                      <w:rFonts w:hAnsi="宋体"/>
                      <w:kern w:val="0"/>
                      <w:szCs w:val="21"/>
                    </w:rPr>
                    <w:t>东城河河水</w:t>
                  </w:r>
                  <w:r>
                    <w:rPr>
                      <w:rFonts w:hint="eastAsia" w:hAnsi="宋体"/>
                      <w:kern w:val="0"/>
                      <w:szCs w:val="21"/>
                    </w:rPr>
                    <w:t>，用水泵将水从河中扬到不同高程处的高位水池，然后由高位水池铺设供水管线供应各用水单位。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int="eastAsia" w:hAnsi="宋体"/>
                      <w:kern w:val="0"/>
                      <w:szCs w:val="21"/>
                    </w:rPr>
                    <w:t>对外</w:t>
                  </w:r>
                </w:p>
                <w:p>
                  <w:pPr>
                    <w:autoSpaceDE w:val="0"/>
                    <w:autoSpaceDN w:val="0"/>
                    <w:adjustRightInd w:val="0"/>
                    <w:jc w:val="center"/>
                    <w:rPr>
                      <w:rFonts w:hAnsi="宋体"/>
                      <w:kern w:val="0"/>
                      <w:szCs w:val="21"/>
                    </w:rPr>
                  </w:pPr>
                  <w:r>
                    <w:rPr>
                      <w:rFonts w:hint="eastAsia" w:hAnsi="宋体"/>
                      <w:kern w:val="0"/>
                      <w:szCs w:val="21"/>
                    </w:rPr>
                    <w:t>交通运输</w:t>
                  </w:r>
                </w:p>
              </w:tc>
              <w:tc>
                <w:tcPr>
                  <w:tcW w:w="5644" w:type="dxa"/>
                  <w:vAlign w:val="center"/>
                </w:tcPr>
                <w:p>
                  <w:pPr>
                    <w:autoSpaceDE w:val="0"/>
                    <w:autoSpaceDN w:val="0"/>
                    <w:adjustRightInd w:val="0"/>
                    <w:rPr>
                      <w:rFonts w:hAnsi="宋体"/>
                      <w:bCs/>
                      <w:kern w:val="0"/>
                      <w:szCs w:val="21"/>
                    </w:rPr>
                  </w:pPr>
                  <w:r>
                    <w:rPr>
                      <w:rFonts w:hint="eastAsia" w:hAnsi="宋体"/>
                      <w:bCs/>
                      <w:kern w:val="0"/>
                      <w:szCs w:val="21"/>
                    </w:rPr>
                    <w:t>红山嘴水库距木垒县县城约</w:t>
                  </w:r>
                  <w:r>
                    <w:rPr>
                      <w:rFonts w:hAnsi="宋体"/>
                      <w:bCs/>
                      <w:kern w:val="0"/>
                      <w:szCs w:val="21"/>
                    </w:rPr>
                    <w:t>25</w:t>
                  </w:r>
                  <w:r>
                    <w:rPr>
                      <w:rFonts w:hint="eastAsia" w:hAnsi="宋体"/>
                      <w:bCs/>
                      <w:kern w:val="0"/>
                      <w:szCs w:val="21"/>
                    </w:rPr>
                    <w:t>km，距东城镇约5.0km，距昌吉市约300km，距乌鲁木齐市约300km。东城镇至</w:t>
                  </w:r>
                  <w:r>
                    <w:rPr>
                      <w:rFonts w:hAnsi="宋体"/>
                      <w:bCs/>
                      <w:kern w:val="0"/>
                      <w:szCs w:val="21"/>
                    </w:rPr>
                    <w:t>坝址处交通距离全长</w:t>
                  </w:r>
                  <w:r>
                    <w:rPr>
                      <w:rFonts w:hint="eastAsia" w:hAnsi="宋体"/>
                      <w:bCs/>
                      <w:kern w:val="0"/>
                      <w:szCs w:val="21"/>
                    </w:rPr>
                    <w:t>5.0</w:t>
                  </w:r>
                  <w:r>
                    <w:rPr>
                      <w:rFonts w:hAnsi="宋体"/>
                      <w:bCs/>
                      <w:kern w:val="0"/>
                      <w:szCs w:val="21"/>
                    </w:rPr>
                    <w:t>km，均为柏油路面，工程对外交通运输采用公路运输方案。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int="eastAsia" w:hAnsi="宋体"/>
                      <w:kern w:val="0"/>
                      <w:szCs w:val="21"/>
                    </w:rPr>
                    <w:t>场内</w:t>
                  </w:r>
                </w:p>
                <w:p>
                  <w:pPr>
                    <w:autoSpaceDE w:val="0"/>
                    <w:autoSpaceDN w:val="0"/>
                    <w:adjustRightInd w:val="0"/>
                    <w:jc w:val="center"/>
                    <w:rPr>
                      <w:rFonts w:hAnsi="宋体"/>
                      <w:kern w:val="0"/>
                      <w:szCs w:val="21"/>
                    </w:rPr>
                  </w:pPr>
                  <w:r>
                    <w:rPr>
                      <w:rFonts w:hint="eastAsia" w:hAnsi="宋体"/>
                      <w:kern w:val="0"/>
                      <w:szCs w:val="21"/>
                    </w:rPr>
                    <w:t>交通运输</w:t>
                  </w:r>
                </w:p>
              </w:tc>
              <w:tc>
                <w:tcPr>
                  <w:tcW w:w="5644" w:type="dxa"/>
                  <w:vAlign w:val="center"/>
                </w:tcPr>
                <w:p>
                  <w:pPr>
                    <w:autoSpaceDE w:val="0"/>
                    <w:autoSpaceDN w:val="0"/>
                    <w:adjustRightInd w:val="0"/>
                    <w:rPr>
                      <w:rFonts w:hAnsi="宋体"/>
                      <w:bCs/>
                      <w:kern w:val="0"/>
                      <w:szCs w:val="21"/>
                    </w:rPr>
                  </w:pPr>
                  <w:r>
                    <w:rPr>
                      <w:rFonts w:hAnsi="宋体"/>
                      <w:kern w:val="0"/>
                      <w:szCs w:val="21"/>
                    </w:rPr>
                    <w:t>施工期在工程区范围共设5条</w:t>
                  </w:r>
                  <w:r>
                    <w:rPr>
                      <w:rFonts w:hint="eastAsia" w:hAnsi="宋体"/>
                      <w:kern w:val="0"/>
                      <w:szCs w:val="21"/>
                    </w:rPr>
                    <w:t>临时</w:t>
                  </w:r>
                  <w:r>
                    <w:rPr>
                      <w:rFonts w:hAnsi="宋体"/>
                      <w:kern w:val="0"/>
                      <w:szCs w:val="21"/>
                    </w:rPr>
                    <w:t>道路衔接各料场、施工区以及生产、生活区等。</w:t>
                  </w:r>
                  <w:r>
                    <w:rPr>
                      <w:rFonts w:hint="eastAsia" w:hAnsi="宋体"/>
                      <w:kern w:val="0"/>
                      <w:szCs w:val="21"/>
                    </w:rPr>
                    <w:t>场内主要施工道路总长度为</w:t>
                  </w:r>
                  <w:r>
                    <w:rPr>
                      <w:rFonts w:hAnsi="宋体"/>
                      <w:kern w:val="0"/>
                      <w:szCs w:val="21"/>
                    </w:rPr>
                    <w:t>14.93km。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restart"/>
                  <w:vAlign w:val="center"/>
                </w:tcPr>
                <w:p>
                  <w:pPr>
                    <w:autoSpaceDE w:val="0"/>
                    <w:autoSpaceDN w:val="0"/>
                    <w:adjustRightInd w:val="0"/>
                    <w:jc w:val="center"/>
                    <w:rPr>
                      <w:rFonts w:hAnsi="宋体"/>
                      <w:kern w:val="0"/>
                      <w:szCs w:val="21"/>
                    </w:rPr>
                  </w:pPr>
                  <w:r>
                    <w:rPr>
                      <w:rFonts w:hint="eastAsia" w:hAnsi="宋体"/>
                      <w:kern w:val="0"/>
                      <w:szCs w:val="21"/>
                    </w:rPr>
                    <w:t>临时</w:t>
                  </w:r>
                </w:p>
                <w:p>
                  <w:pPr>
                    <w:autoSpaceDE w:val="0"/>
                    <w:autoSpaceDN w:val="0"/>
                    <w:adjustRightInd w:val="0"/>
                    <w:spacing w:line="360" w:lineRule="auto"/>
                    <w:jc w:val="center"/>
                    <w:rPr>
                      <w:kern w:val="0"/>
                      <w:szCs w:val="21"/>
                    </w:rPr>
                  </w:pPr>
                  <w:r>
                    <w:rPr>
                      <w:rFonts w:hint="eastAsia" w:hAnsi="宋体"/>
                      <w:kern w:val="0"/>
                      <w:szCs w:val="21"/>
                    </w:rPr>
                    <w:t>工程</w:t>
                  </w:r>
                </w:p>
              </w:tc>
              <w:tc>
                <w:tcPr>
                  <w:tcW w:w="1411" w:type="dxa"/>
                  <w:vAlign w:val="center"/>
                </w:tcPr>
                <w:p>
                  <w:pPr>
                    <w:autoSpaceDE w:val="0"/>
                    <w:autoSpaceDN w:val="0"/>
                    <w:adjustRightInd w:val="0"/>
                    <w:spacing w:line="360" w:lineRule="auto"/>
                    <w:jc w:val="center"/>
                    <w:rPr>
                      <w:rFonts w:hAnsi="宋体"/>
                      <w:kern w:val="0"/>
                      <w:szCs w:val="21"/>
                    </w:rPr>
                  </w:pPr>
                  <w:r>
                    <w:rPr>
                      <w:rFonts w:hint="eastAsia" w:hAnsi="宋体"/>
                      <w:kern w:val="0"/>
                      <w:szCs w:val="21"/>
                    </w:rPr>
                    <w:t>料场</w:t>
                  </w:r>
                </w:p>
              </w:tc>
              <w:tc>
                <w:tcPr>
                  <w:tcW w:w="5644" w:type="dxa"/>
                  <w:vAlign w:val="center"/>
                </w:tcPr>
                <w:p>
                  <w:pPr>
                    <w:autoSpaceDE w:val="0"/>
                    <w:autoSpaceDN w:val="0"/>
                    <w:adjustRightInd w:val="0"/>
                    <w:rPr>
                      <w:rFonts w:hAnsi="宋体"/>
                      <w:kern w:val="0"/>
                      <w:szCs w:val="21"/>
                    </w:rPr>
                  </w:pPr>
                  <w:r>
                    <w:rPr>
                      <w:rFonts w:hint="eastAsia" w:hAnsi="宋体"/>
                      <w:kern w:val="0"/>
                      <w:szCs w:val="21"/>
                    </w:rPr>
                    <w:t>本工程</w:t>
                  </w:r>
                  <w:r>
                    <w:rPr>
                      <w:rFonts w:hAnsi="宋体"/>
                      <w:kern w:val="0"/>
                      <w:szCs w:val="21"/>
                    </w:rPr>
                    <w:t>共</w:t>
                  </w:r>
                  <w:r>
                    <w:rPr>
                      <w:rFonts w:hint="eastAsia" w:hAnsi="宋体"/>
                      <w:kern w:val="0"/>
                      <w:szCs w:val="21"/>
                    </w:rPr>
                    <w:t>设置3个</w:t>
                  </w:r>
                  <w:r>
                    <w:rPr>
                      <w:rFonts w:hAnsi="宋体"/>
                      <w:kern w:val="0"/>
                      <w:szCs w:val="21"/>
                    </w:rPr>
                    <w:t>料场，分别为</w:t>
                  </w:r>
                  <w:r>
                    <w:rPr>
                      <w:rFonts w:hint="eastAsia" w:hAnsi="宋体"/>
                      <w:kern w:val="0"/>
                      <w:szCs w:val="21"/>
                    </w:rPr>
                    <w:t>T1土料场</w:t>
                  </w:r>
                  <w:r>
                    <w:rPr>
                      <w:rFonts w:hAnsi="宋体"/>
                      <w:kern w:val="0"/>
                      <w:szCs w:val="21"/>
                    </w:rPr>
                    <w:t>、</w:t>
                  </w:r>
                  <w:r>
                    <w:rPr>
                      <w:rFonts w:hint="eastAsia" w:hAnsi="宋体"/>
                      <w:kern w:val="0"/>
                      <w:szCs w:val="21"/>
                    </w:rPr>
                    <w:t>C1</w:t>
                  </w:r>
                  <w:r>
                    <w:rPr>
                      <w:rFonts w:hAnsi="宋体"/>
                      <w:kern w:val="0"/>
                      <w:szCs w:val="21"/>
                    </w:rPr>
                    <w:t>-1</w:t>
                  </w:r>
                  <w:r>
                    <w:rPr>
                      <w:rFonts w:hint="eastAsia" w:hAnsi="宋体"/>
                      <w:kern w:val="0"/>
                      <w:szCs w:val="21"/>
                    </w:rPr>
                    <w:t>砂砾石</w:t>
                  </w:r>
                  <w:r>
                    <w:rPr>
                      <w:rFonts w:hAnsi="宋体"/>
                      <w:kern w:val="0"/>
                      <w:szCs w:val="21"/>
                    </w:rPr>
                    <w:t>料场、</w:t>
                  </w:r>
                  <w:r>
                    <w:rPr>
                      <w:rFonts w:hint="eastAsia" w:hAnsi="宋体"/>
                      <w:kern w:val="0"/>
                      <w:szCs w:val="21"/>
                    </w:rPr>
                    <w:t>C3砂砾石</w:t>
                  </w:r>
                  <w:r>
                    <w:rPr>
                      <w:rFonts w:hAnsi="宋体"/>
                      <w:kern w:val="0"/>
                      <w:szCs w:val="21"/>
                    </w:rPr>
                    <w:t>料场。</w:t>
                  </w:r>
                </w:p>
                <w:p>
                  <w:pPr>
                    <w:autoSpaceDE w:val="0"/>
                    <w:autoSpaceDN w:val="0"/>
                    <w:adjustRightInd w:val="0"/>
                    <w:rPr>
                      <w:rFonts w:hAnsi="宋体"/>
                      <w:kern w:val="0"/>
                      <w:szCs w:val="21"/>
                    </w:rPr>
                  </w:pPr>
                  <w:r>
                    <w:rPr>
                      <w:rFonts w:hint="eastAsia" w:hAnsi="宋体"/>
                      <w:kern w:val="0"/>
                      <w:szCs w:val="21"/>
                    </w:rPr>
                    <w:t>T1土料场</w:t>
                  </w:r>
                  <w:r>
                    <w:rPr>
                      <w:rFonts w:hAnsi="宋体"/>
                      <w:kern w:val="0"/>
                      <w:szCs w:val="21"/>
                    </w:rPr>
                    <w:t>位于</w:t>
                  </w:r>
                  <w:r>
                    <w:rPr>
                      <w:rFonts w:hint="eastAsia" w:hAnsi="宋体"/>
                      <w:kern w:val="0"/>
                      <w:szCs w:val="21"/>
                    </w:rPr>
                    <w:t>推荐坝址左</w:t>
                  </w:r>
                  <w:r>
                    <w:rPr>
                      <w:rFonts w:hAnsi="宋体"/>
                      <w:kern w:val="0"/>
                      <w:szCs w:val="21"/>
                    </w:rPr>
                    <w:t>岸</w:t>
                  </w:r>
                  <w:r>
                    <w:rPr>
                      <w:rFonts w:hint="eastAsia" w:hAnsi="宋体"/>
                      <w:kern w:val="0"/>
                      <w:szCs w:val="21"/>
                    </w:rPr>
                    <w:t>山坡之</w:t>
                  </w:r>
                  <w:r>
                    <w:rPr>
                      <w:rFonts w:hAnsi="宋体"/>
                      <w:kern w:val="0"/>
                      <w:szCs w:val="21"/>
                    </w:rPr>
                    <w:t>上</w:t>
                  </w:r>
                  <w:r>
                    <w:rPr>
                      <w:rFonts w:hint="eastAsia" w:hAnsi="宋体"/>
                      <w:kern w:val="0"/>
                      <w:szCs w:val="21"/>
                    </w:rPr>
                    <w:t>，占地</w:t>
                  </w:r>
                  <w:r>
                    <w:rPr>
                      <w:rFonts w:hAnsi="宋体"/>
                      <w:kern w:val="0"/>
                      <w:szCs w:val="21"/>
                    </w:rPr>
                    <w:t>面积</w:t>
                  </w:r>
                  <w:r>
                    <w:rPr>
                      <w:rFonts w:hint="eastAsia" w:hAnsi="宋体"/>
                      <w:kern w:val="0"/>
                      <w:szCs w:val="21"/>
                    </w:rPr>
                    <w:t>9万</w:t>
                  </w:r>
                  <w:r>
                    <w:rPr>
                      <w:rFonts w:hAnsi="宋体"/>
                      <w:kern w:val="0"/>
                      <w:szCs w:val="21"/>
                    </w:rPr>
                    <w:t>m</w:t>
                  </w:r>
                  <w:r>
                    <w:rPr>
                      <w:rFonts w:hAnsi="宋体"/>
                      <w:kern w:val="0"/>
                      <w:szCs w:val="21"/>
                      <w:vertAlign w:val="superscript"/>
                    </w:rPr>
                    <w:t>2</w:t>
                  </w:r>
                  <w:r>
                    <w:rPr>
                      <w:rFonts w:hint="eastAsia" w:hAnsi="宋体"/>
                      <w:kern w:val="0"/>
                      <w:szCs w:val="21"/>
                    </w:rPr>
                    <w:t>；C1</w:t>
                  </w:r>
                  <w:r>
                    <w:rPr>
                      <w:rFonts w:hAnsi="宋体"/>
                      <w:kern w:val="0"/>
                      <w:szCs w:val="21"/>
                    </w:rPr>
                    <w:t>-1</w:t>
                  </w:r>
                  <w:r>
                    <w:rPr>
                      <w:rFonts w:hint="eastAsia" w:hAnsi="宋体"/>
                      <w:kern w:val="0"/>
                      <w:szCs w:val="21"/>
                    </w:rPr>
                    <w:t>砂砾石料场</w:t>
                  </w:r>
                  <w:r>
                    <w:rPr>
                      <w:rFonts w:hAnsi="宋体"/>
                      <w:kern w:val="0"/>
                      <w:szCs w:val="21"/>
                    </w:rPr>
                    <w:t>位于</w:t>
                  </w:r>
                  <w:r>
                    <w:rPr>
                      <w:rFonts w:hint="eastAsia" w:hAnsi="宋体"/>
                      <w:kern w:val="0"/>
                      <w:szCs w:val="21"/>
                    </w:rPr>
                    <w:t>坝址</w:t>
                  </w:r>
                  <w:r>
                    <w:rPr>
                      <w:rFonts w:hAnsi="宋体"/>
                      <w:kern w:val="0"/>
                      <w:szCs w:val="21"/>
                    </w:rPr>
                    <w:t>上游河道</w:t>
                  </w:r>
                  <w:r>
                    <w:rPr>
                      <w:rFonts w:hint="eastAsia" w:hAnsi="宋体"/>
                      <w:kern w:val="0"/>
                      <w:szCs w:val="21"/>
                    </w:rPr>
                    <w:t>中</w:t>
                  </w:r>
                  <w:r>
                    <w:rPr>
                      <w:rFonts w:hAnsi="宋体"/>
                      <w:kern w:val="0"/>
                      <w:szCs w:val="21"/>
                    </w:rPr>
                    <w:t>，</w:t>
                  </w:r>
                  <w:r>
                    <w:rPr>
                      <w:rFonts w:hint="eastAsia" w:hAnsi="宋体"/>
                      <w:kern w:val="0"/>
                      <w:szCs w:val="21"/>
                    </w:rPr>
                    <w:t>占地</w:t>
                  </w:r>
                  <w:r>
                    <w:rPr>
                      <w:rFonts w:hAnsi="宋体"/>
                      <w:kern w:val="0"/>
                      <w:szCs w:val="21"/>
                    </w:rPr>
                    <w:t>面积5.4</w:t>
                  </w:r>
                  <w:r>
                    <w:rPr>
                      <w:rFonts w:hint="eastAsia" w:hAnsi="宋体"/>
                      <w:kern w:val="0"/>
                      <w:szCs w:val="21"/>
                    </w:rPr>
                    <w:t>万</w:t>
                  </w:r>
                  <w:r>
                    <w:rPr>
                      <w:rFonts w:hAnsi="宋体"/>
                      <w:kern w:val="0"/>
                      <w:szCs w:val="21"/>
                    </w:rPr>
                    <w:t>m</w:t>
                  </w:r>
                  <w:r>
                    <w:rPr>
                      <w:rFonts w:hAnsi="宋体"/>
                      <w:kern w:val="0"/>
                      <w:szCs w:val="21"/>
                      <w:vertAlign w:val="superscript"/>
                    </w:rPr>
                    <w:t>2</w:t>
                  </w:r>
                  <w:r>
                    <w:rPr>
                      <w:rFonts w:hint="eastAsia" w:hAnsi="宋体"/>
                      <w:kern w:val="0"/>
                      <w:szCs w:val="21"/>
                    </w:rPr>
                    <w:t>，其</w:t>
                  </w:r>
                  <w:r>
                    <w:rPr>
                      <w:rFonts w:hAnsi="宋体"/>
                      <w:kern w:val="0"/>
                      <w:szCs w:val="21"/>
                    </w:rPr>
                    <w:t>储量</w:t>
                  </w:r>
                  <w:r>
                    <w:rPr>
                      <w:rFonts w:hint="eastAsia" w:hAnsi="宋体"/>
                      <w:kern w:val="0"/>
                      <w:szCs w:val="21"/>
                    </w:rPr>
                    <w:t>20万</w:t>
                  </w:r>
                  <w:r>
                    <w:rPr>
                      <w:rFonts w:hAnsi="宋体"/>
                      <w:kern w:val="0"/>
                      <w:szCs w:val="21"/>
                    </w:rPr>
                    <w:t>m</w:t>
                  </w:r>
                  <w:r>
                    <w:rPr>
                      <w:rFonts w:hAnsi="宋体"/>
                      <w:kern w:val="0"/>
                      <w:szCs w:val="21"/>
                      <w:vertAlign w:val="superscript"/>
                    </w:rPr>
                    <w:t>3</w:t>
                  </w:r>
                  <w:r>
                    <w:rPr>
                      <w:rFonts w:hint="eastAsia" w:hAnsi="宋体"/>
                      <w:kern w:val="0"/>
                      <w:szCs w:val="21"/>
                    </w:rPr>
                    <w:t>，</w:t>
                  </w:r>
                  <w:r>
                    <w:rPr>
                      <w:rFonts w:hAnsi="宋体"/>
                      <w:kern w:val="0"/>
                      <w:szCs w:val="21"/>
                    </w:rPr>
                    <w:t>运距</w:t>
                  </w:r>
                  <w:r>
                    <w:rPr>
                      <w:rFonts w:hint="eastAsia" w:hAnsi="宋体"/>
                      <w:kern w:val="0"/>
                      <w:szCs w:val="21"/>
                    </w:rPr>
                    <w:t>0.2～1.5</w:t>
                  </w:r>
                  <w:r>
                    <w:rPr>
                      <w:rFonts w:hAnsi="宋体"/>
                      <w:kern w:val="0"/>
                      <w:szCs w:val="21"/>
                    </w:rPr>
                    <w:t>km</w:t>
                  </w:r>
                  <w:r>
                    <w:rPr>
                      <w:rFonts w:hint="eastAsia" w:hAnsi="宋体"/>
                      <w:kern w:val="0"/>
                      <w:szCs w:val="21"/>
                    </w:rPr>
                    <w:t>；C3砂砾石</w:t>
                  </w:r>
                  <w:r>
                    <w:rPr>
                      <w:rFonts w:hAnsi="宋体"/>
                      <w:kern w:val="0"/>
                      <w:szCs w:val="21"/>
                    </w:rPr>
                    <w:t>料场位于水库下游东城</w:t>
                  </w:r>
                  <w:r>
                    <w:rPr>
                      <w:rFonts w:hint="eastAsia" w:hAnsi="宋体"/>
                      <w:kern w:val="0"/>
                      <w:szCs w:val="21"/>
                    </w:rPr>
                    <w:t>口</w:t>
                  </w:r>
                  <w:r>
                    <w:rPr>
                      <w:rFonts w:hAnsi="宋体"/>
                      <w:kern w:val="0"/>
                      <w:szCs w:val="21"/>
                    </w:rPr>
                    <w:t>加油站东北侧咬牙沟岸坡</w:t>
                  </w:r>
                  <w:r>
                    <w:rPr>
                      <w:rFonts w:hint="eastAsia" w:hAnsi="宋体"/>
                      <w:kern w:val="0"/>
                      <w:szCs w:val="21"/>
                    </w:rPr>
                    <w:t>，占地</w:t>
                  </w:r>
                  <w:r>
                    <w:rPr>
                      <w:rFonts w:hAnsi="宋体"/>
                      <w:kern w:val="0"/>
                      <w:szCs w:val="21"/>
                    </w:rPr>
                    <w:t>面积10</w:t>
                  </w:r>
                  <w:r>
                    <w:rPr>
                      <w:rFonts w:hint="eastAsia" w:hAnsi="宋体"/>
                      <w:kern w:val="0"/>
                      <w:szCs w:val="21"/>
                    </w:rPr>
                    <w:t>万</w:t>
                  </w:r>
                  <w:r>
                    <w:rPr>
                      <w:rFonts w:hAnsi="宋体"/>
                      <w:kern w:val="0"/>
                      <w:szCs w:val="21"/>
                    </w:rPr>
                    <w:t>m</w:t>
                  </w:r>
                  <w:r>
                    <w:rPr>
                      <w:rFonts w:hAnsi="宋体"/>
                      <w:kern w:val="0"/>
                      <w:szCs w:val="21"/>
                      <w:vertAlign w:val="superscript"/>
                    </w:rPr>
                    <w:t>2</w:t>
                  </w:r>
                  <w:r>
                    <w:rPr>
                      <w:rFonts w:hint="eastAsia" w:hAnsi="宋体"/>
                      <w:kern w:val="0"/>
                      <w:szCs w:val="21"/>
                    </w:rPr>
                    <w:t>，储量约</w:t>
                  </w:r>
                  <w:r>
                    <w:rPr>
                      <w:rFonts w:hAnsi="宋体"/>
                      <w:kern w:val="0"/>
                      <w:szCs w:val="21"/>
                    </w:rPr>
                    <w:t>100</w:t>
                  </w:r>
                  <w:r>
                    <w:rPr>
                      <w:rFonts w:hint="eastAsia" w:hAnsi="宋体"/>
                      <w:kern w:val="0"/>
                      <w:szCs w:val="21"/>
                    </w:rPr>
                    <w:t>万</w:t>
                  </w:r>
                  <w:r>
                    <w:rPr>
                      <w:rFonts w:hAnsi="宋体"/>
                      <w:kern w:val="0"/>
                      <w:szCs w:val="21"/>
                    </w:rPr>
                    <w:t>m</w:t>
                  </w:r>
                  <w:r>
                    <w:rPr>
                      <w:rFonts w:hAnsi="宋体"/>
                      <w:kern w:val="0"/>
                      <w:szCs w:val="21"/>
                      <w:vertAlign w:val="superscript"/>
                    </w:rPr>
                    <w:t>3</w:t>
                  </w:r>
                  <w:r>
                    <w:rPr>
                      <w:rFonts w:hint="eastAsia" w:hAnsi="宋体"/>
                      <w:kern w:val="0"/>
                      <w:szCs w:val="21"/>
                    </w:rPr>
                    <w:t>，</w:t>
                  </w:r>
                  <w:r>
                    <w:rPr>
                      <w:rFonts w:hAnsi="宋体"/>
                      <w:kern w:val="0"/>
                      <w:szCs w:val="21"/>
                    </w:rPr>
                    <w:t>运距</w:t>
                  </w:r>
                  <w:r>
                    <w:rPr>
                      <w:rFonts w:hint="eastAsia" w:hAnsi="宋体"/>
                      <w:kern w:val="0"/>
                      <w:szCs w:val="21"/>
                    </w:rPr>
                    <w:t>12.0</w:t>
                  </w:r>
                  <w:r>
                    <w:rPr>
                      <w:rFonts w:hAnsi="宋体"/>
                      <w:kern w:val="0"/>
                      <w:szCs w:val="21"/>
                    </w:rPr>
                    <w:t>km。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int="eastAsia" w:hAnsi="宋体"/>
                      <w:kern w:val="0"/>
                      <w:szCs w:val="21"/>
                    </w:rPr>
                    <w:t>弃渣场</w:t>
                  </w:r>
                </w:p>
              </w:tc>
              <w:tc>
                <w:tcPr>
                  <w:tcW w:w="5644" w:type="dxa"/>
                  <w:vAlign w:val="center"/>
                </w:tcPr>
                <w:p>
                  <w:pPr>
                    <w:autoSpaceDE w:val="0"/>
                    <w:autoSpaceDN w:val="0"/>
                    <w:adjustRightInd w:val="0"/>
                    <w:rPr>
                      <w:rFonts w:hAnsi="宋体"/>
                      <w:kern w:val="0"/>
                      <w:szCs w:val="21"/>
                    </w:rPr>
                  </w:pPr>
                  <w:r>
                    <w:rPr>
                      <w:rFonts w:hint="eastAsia" w:hAnsi="宋体"/>
                      <w:kern w:val="0"/>
                      <w:szCs w:val="21"/>
                    </w:rPr>
                    <w:t>永久弃渣场地设置2处，为1#和3#弃渣场；临时弃渣场地设置1处，为2#弃渣场。1#弃渣场布置在坝后坡脚空地处，主要堆砌开挖的土料及砂砾石料，占地面积约0</w:t>
                  </w:r>
                  <w:r>
                    <w:rPr>
                      <w:rFonts w:hAnsi="宋体"/>
                      <w:kern w:val="0"/>
                      <w:szCs w:val="21"/>
                    </w:rPr>
                    <w:t>.72</w:t>
                  </w:r>
                  <w:r>
                    <w:rPr>
                      <w:rFonts w:hint="eastAsia" w:hAnsi="宋体"/>
                      <w:kern w:val="0"/>
                      <w:szCs w:val="21"/>
                    </w:rPr>
                    <w:t>万m</w:t>
                  </w:r>
                  <w:r>
                    <w:rPr>
                      <w:rFonts w:hint="eastAsia" w:hAnsi="宋体"/>
                      <w:kern w:val="0"/>
                      <w:szCs w:val="21"/>
                      <w:vertAlign w:val="superscript"/>
                    </w:rPr>
                    <w:t>2</w:t>
                  </w:r>
                  <w:r>
                    <w:rPr>
                      <w:rFonts w:hint="eastAsia" w:hAnsi="宋体"/>
                      <w:kern w:val="0"/>
                      <w:szCs w:val="21"/>
                    </w:rPr>
                    <w:t>，弃渣量</w:t>
                  </w:r>
                  <w:r>
                    <w:rPr>
                      <w:rFonts w:hAnsi="宋体"/>
                      <w:kern w:val="0"/>
                      <w:szCs w:val="21"/>
                    </w:rPr>
                    <w:t>为5.5</w:t>
                  </w:r>
                  <w:r>
                    <w:rPr>
                      <w:rFonts w:hint="eastAsia" w:hAnsi="宋体"/>
                      <w:kern w:val="0"/>
                      <w:szCs w:val="21"/>
                    </w:rPr>
                    <w:t>万</w:t>
                  </w:r>
                  <w:r>
                    <w:rPr>
                      <w:rFonts w:hAnsi="宋体"/>
                      <w:kern w:val="0"/>
                      <w:szCs w:val="21"/>
                    </w:rPr>
                    <w:t>m</w:t>
                  </w:r>
                  <w:r>
                    <w:rPr>
                      <w:rFonts w:hAnsi="宋体"/>
                      <w:kern w:val="0"/>
                      <w:szCs w:val="21"/>
                      <w:vertAlign w:val="superscript"/>
                    </w:rPr>
                    <w:t>3</w:t>
                  </w:r>
                  <w:r>
                    <w:rPr>
                      <w:rFonts w:hint="eastAsia" w:hAnsi="宋体"/>
                      <w:kern w:val="0"/>
                      <w:szCs w:val="21"/>
                    </w:rPr>
                    <w:t>；2#临时弃渣布置在坝址下游右岸阶地约0.2km处，主要临时堆弃大坝左、右坝肩及溢洪道和涵洞开挖的石料，占地面积约1.0万m</w:t>
                  </w:r>
                  <w:r>
                    <w:rPr>
                      <w:rFonts w:hint="eastAsia" w:hAnsi="宋体"/>
                      <w:kern w:val="0"/>
                      <w:szCs w:val="21"/>
                      <w:vertAlign w:val="superscript"/>
                    </w:rPr>
                    <w:t>2</w:t>
                  </w:r>
                  <w:r>
                    <w:rPr>
                      <w:rFonts w:hint="eastAsia" w:hAnsi="宋体"/>
                      <w:kern w:val="0"/>
                      <w:szCs w:val="21"/>
                    </w:rPr>
                    <w:t>，弃渣量</w:t>
                  </w:r>
                  <w:r>
                    <w:rPr>
                      <w:rFonts w:hAnsi="宋体"/>
                      <w:kern w:val="0"/>
                      <w:szCs w:val="21"/>
                    </w:rPr>
                    <w:t>为10.5</w:t>
                  </w:r>
                  <w:r>
                    <w:rPr>
                      <w:rFonts w:hint="eastAsia" w:hAnsi="宋体"/>
                      <w:kern w:val="0"/>
                      <w:szCs w:val="21"/>
                    </w:rPr>
                    <w:t>万</w:t>
                  </w:r>
                  <w:r>
                    <w:rPr>
                      <w:rFonts w:hAnsi="宋体"/>
                      <w:kern w:val="0"/>
                      <w:szCs w:val="21"/>
                    </w:rPr>
                    <w:t>m</w:t>
                  </w:r>
                  <w:r>
                    <w:rPr>
                      <w:rFonts w:hAnsi="宋体"/>
                      <w:kern w:val="0"/>
                      <w:szCs w:val="21"/>
                      <w:vertAlign w:val="superscript"/>
                    </w:rPr>
                    <w:t>3</w:t>
                  </w:r>
                  <w:r>
                    <w:rPr>
                      <w:rFonts w:hint="eastAsia" w:hAnsi="宋体"/>
                      <w:kern w:val="0"/>
                      <w:szCs w:val="21"/>
                    </w:rPr>
                    <w:t>；3#弃渣场位于水库下游报废的东城水库左侧库盘内，运距13.0km，主要堆砌水库大部分弃渣料，占地面积约18.44万m</w:t>
                  </w:r>
                  <w:r>
                    <w:rPr>
                      <w:rFonts w:hint="eastAsia" w:hAnsi="宋体"/>
                      <w:kern w:val="0"/>
                      <w:szCs w:val="21"/>
                      <w:vertAlign w:val="superscript"/>
                    </w:rPr>
                    <w:t>2</w:t>
                  </w:r>
                  <w:r>
                    <w:rPr>
                      <w:rFonts w:hint="eastAsia" w:hAnsi="宋体"/>
                      <w:kern w:val="0"/>
                      <w:szCs w:val="21"/>
                    </w:rPr>
                    <w:t>，弃渣量</w:t>
                  </w:r>
                  <w:r>
                    <w:rPr>
                      <w:rFonts w:hAnsi="宋体"/>
                      <w:kern w:val="0"/>
                      <w:szCs w:val="21"/>
                    </w:rPr>
                    <w:t>为69.1</w:t>
                  </w:r>
                  <w:r>
                    <w:rPr>
                      <w:rFonts w:hint="eastAsia" w:hAnsi="宋体"/>
                      <w:kern w:val="0"/>
                      <w:szCs w:val="21"/>
                    </w:rPr>
                    <w:t>万</w:t>
                  </w:r>
                  <w:r>
                    <w:rPr>
                      <w:rFonts w:hAnsi="宋体"/>
                      <w:kern w:val="0"/>
                      <w:szCs w:val="21"/>
                    </w:rPr>
                    <w:t>m</w:t>
                  </w:r>
                  <w:r>
                    <w:rPr>
                      <w:rFonts w:hAnsi="宋体"/>
                      <w:kern w:val="0"/>
                      <w:szCs w:val="21"/>
                      <w:vertAlign w:val="superscript"/>
                    </w:rPr>
                    <w:t>3</w:t>
                  </w:r>
                  <w:r>
                    <w:rPr>
                      <w:rFonts w:hint="eastAsia"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int="eastAsia" w:hAnsi="宋体"/>
                      <w:kern w:val="0"/>
                      <w:szCs w:val="21"/>
                    </w:rPr>
                    <w:t>临时生产生活区</w:t>
                  </w:r>
                </w:p>
              </w:tc>
              <w:tc>
                <w:tcPr>
                  <w:tcW w:w="5644" w:type="dxa"/>
                  <w:vAlign w:val="center"/>
                </w:tcPr>
                <w:p>
                  <w:pPr>
                    <w:autoSpaceDE w:val="0"/>
                    <w:autoSpaceDN w:val="0"/>
                    <w:adjustRightInd w:val="0"/>
                    <w:rPr>
                      <w:rFonts w:hAnsi="宋体"/>
                      <w:kern w:val="0"/>
                      <w:szCs w:val="21"/>
                    </w:rPr>
                  </w:pPr>
                  <w:r>
                    <w:rPr>
                      <w:rFonts w:hAnsi="宋体"/>
                      <w:kern w:val="0"/>
                      <w:szCs w:val="21"/>
                    </w:rPr>
                    <w:t>本工程共设置</w:t>
                  </w:r>
                  <w:r>
                    <w:rPr>
                      <w:rFonts w:hint="eastAsia" w:hAnsi="宋体"/>
                      <w:kern w:val="0"/>
                      <w:szCs w:val="21"/>
                    </w:rPr>
                    <w:t>一处临时</w:t>
                  </w:r>
                  <w:r>
                    <w:rPr>
                      <w:rFonts w:hAnsi="宋体"/>
                      <w:kern w:val="0"/>
                      <w:szCs w:val="21"/>
                    </w:rPr>
                    <w:t>生活区</w:t>
                  </w:r>
                  <w:r>
                    <w:rPr>
                      <w:rFonts w:hint="eastAsia" w:hAnsi="宋体"/>
                      <w:kern w:val="0"/>
                      <w:szCs w:val="21"/>
                    </w:rPr>
                    <w:t>，</w:t>
                  </w:r>
                  <w:r>
                    <w:rPr>
                      <w:rFonts w:hAnsi="宋体"/>
                      <w:kern w:val="0"/>
                      <w:szCs w:val="21"/>
                    </w:rPr>
                    <w:t>布置在坝址下游左岸</w:t>
                  </w:r>
                  <w:r>
                    <w:rPr>
                      <w:rFonts w:hint="eastAsia" w:hAnsi="宋体"/>
                      <w:kern w:val="0"/>
                      <w:szCs w:val="21"/>
                    </w:rPr>
                    <w:t>台地</w:t>
                  </w:r>
                  <w:r>
                    <w:rPr>
                      <w:rFonts w:hAnsi="宋体"/>
                      <w:kern w:val="0"/>
                      <w:szCs w:val="21"/>
                    </w:rPr>
                    <w:t>上，生活区建筑面积5000m</w:t>
                  </w:r>
                  <w:r>
                    <w:rPr>
                      <w:rFonts w:hAnsi="宋体"/>
                      <w:kern w:val="0"/>
                      <w:szCs w:val="21"/>
                      <w:vertAlign w:val="superscript"/>
                    </w:rPr>
                    <w:t>2</w:t>
                  </w:r>
                  <w:r>
                    <w:rPr>
                      <w:rFonts w:hAnsi="宋体"/>
                      <w:kern w:val="0"/>
                      <w:szCs w:val="21"/>
                    </w:rPr>
                    <w:t>，占地面积为10000m</w:t>
                  </w:r>
                  <w:r>
                    <w:rPr>
                      <w:rFonts w:hAnsi="宋体"/>
                      <w:kern w:val="0"/>
                      <w:szCs w:val="21"/>
                      <w:vertAlign w:val="superscript"/>
                    </w:rPr>
                    <w:t>2</w:t>
                  </w:r>
                  <w:r>
                    <w:rPr>
                      <w:rFonts w:hAnsi="宋体"/>
                      <w:kern w:val="0"/>
                      <w:szCs w:val="21"/>
                    </w:rPr>
                    <w:t>；生产区建筑面积1720m</w:t>
                  </w:r>
                  <w:r>
                    <w:rPr>
                      <w:rFonts w:hAnsi="宋体"/>
                      <w:kern w:val="0"/>
                      <w:szCs w:val="21"/>
                      <w:vertAlign w:val="superscript"/>
                    </w:rPr>
                    <w:t>2</w:t>
                  </w:r>
                  <w:r>
                    <w:rPr>
                      <w:rFonts w:hAnsi="宋体"/>
                      <w:kern w:val="0"/>
                      <w:szCs w:val="21"/>
                    </w:rPr>
                    <w:t>，占地面积4950m</w:t>
                  </w:r>
                  <w:r>
                    <w:rPr>
                      <w:rFonts w:hAnsi="宋体"/>
                      <w:kern w:val="0"/>
                      <w:szCs w:val="21"/>
                      <w:vertAlign w:val="superscript"/>
                    </w:rPr>
                    <w:t>2</w:t>
                  </w:r>
                  <w:r>
                    <w:rPr>
                      <w:rFonts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int="eastAsia" w:hAnsi="宋体"/>
                      <w:kern w:val="0"/>
                      <w:szCs w:val="21"/>
                    </w:rPr>
                    <w:t>中心仓库</w:t>
                  </w:r>
                </w:p>
              </w:tc>
              <w:tc>
                <w:tcPr>
                  <w:tcW w:w="5644" w:type="dxa"/>
                  <w:vAlign w:val="center"/>
                </w:tcPr>
                <w:p>
                  <w:pPr>
                    <w:autoSpaceDE w:val="0"/>
                    <w:autoSpaceDN w:val="0"/>
                    <w:adjustRightInd w:val="0"/>
                    <w:rPr>
                      <w:rFonts w:hAnsi="宋体"/>
                      <w:kern w:val="0"/>
                      <w:szCs w:val="21"/>
                    </w:rPr>
                  </w:pPr>
                  <w:r>
                    <w:rPr>
                      <w:rFonts w:hAnsi="宋体"/>
                      <w:kern w:val="0"/>
                      <w:szCs w:val="21"/>
                    </w:rPr>
                    <w:t>本工程仓库布置在</w:t>
                  </w:r>
                  <w:r>
                    <w:rPr>
                      <w:rFonts w:hint="eastAsia" w:hAnsi="宋体"/>
                      <w:kern w:val="0"/>
                      <w:szCs w:val="21"/>
                    </w:rPr>
                    <w:t>坝址下游左岸台地上</w:t>
                  </w:r>
                  <w:r>
                    <w:rPr>
                      <w:rFonts w:hAnsi="宋体"/>
                      <w:kern w:val="0"/>
                      <w:szCs w:val="21"/>
                    </w:rPr>
                    <w:t>。根据施工区存储材料情况，仓储系统区建筑面积</w:t>
                  </w:r>
                  <w:r>
                    <w:rPr>
                      <w:rFonts w:hint="eastAsia" w:hAnsi="宋体"/>
                      <w:kern w:val="0"/>
                      <w:szCs w:val="21"/>
                    </w:rPr>
                    <w:t>6</w:t>
                  </w:r>
                  <w:r>
                    <w:rPr>
                      <w:rFonts w:hAnsi="宋体"/>
                      <w:kern w:val="0"/>
                      <w:szCs w:val="21"/>
                    </w:rPr>
                    <w:t>00m</w:t>
                  </w:r>
                  <w:r>
                    <w:rPr>
                      <w:rFonts w:hAnsi="宋体"/>
                      <w:kern w:val="0"/>
                      <w:szCs w:val="21"/>
                      <w:vertAlign w:val="superscript"/>
                    </w:rPr>
                    <w:t>2</w:t>
                  </w:r>
                  <w:r>
                    <w:rPr>
                      <w:rFonts w:hAnsi="宋体"/>
                      <w:kern w:val="0"/>
                      <w:szCs w:val="21"/>
                    </w:rPr>
                    <w:t>，占地面积</w:t>
                  </w:r>
                  <w:r>
                    <w:rPr>
                      <w:rFonts w:hint="eastAsia" w:hAnsi="宋体"/>
                      <w:kern w:val="0"/>
                      <w:szCs w:val="21"/>
                    </w:rPr>
                    <w:t>1000</w:t>
                  </w:r>
                  <w:r>
                    <w:rPr>
                      <w:rFonts w:hAnsi="宋体"/>
                      <w:kern w:val="0"/>
                      <w:szCs w:val="21"/>
                    </w:rPr>
                    <w:t>m</w:t>
                  </w:r>
                  <w:r>
                    <w:rPr>
                      <w:rFonts w:hAnsi="宋体"/>
                      <w:kern w:val="0"/>
                      <w:szCs w:val="21"/>
                      <w:vertAlign w:val="superscript"/>
                    </w:rPr>
                    <w:t>2</w:t>
                  </w:r>
                  <w:r>
                    <w:rPr>
                      <w:rFonts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restart"/>
                  <w:vAlign w:val="center"/>
                </w:tcPr>
                <w:p>
                  <w:pPr>
                    <w:autoSpaceDE w:val="0"/>
                    <w:autoSpaceDN w:val="0"/>
                    <w:adjustRightInd w:val="0"/>
                    <w:jc w:val="center"/>
                    <w:rPr>
                      <w:kern w:val="0"/>
                      <w:szCs w:val="21"/>
                    </w:rPr>
                  </w:pPr>
                  <w:r>
                    <w:rPr>
                      <w:rFonts w:hAnsi="宋体"/>
                      <w:kern w:val="0"/>
                      <w:szCs w:val="21"/>
                    </w:rPr>
                    <w:t>环保工程</w:t>
                  </w:r>
                </w:p>
              </w:tc>
              <w:tc>
                <w:tcPr>
                  <w:tcW w:w="1411" w:type="dxa"/>
                  <w:vAlign w:val="center"/>
                </w:tcPr>
                <w:p>
                  <w:pPr>
                    <w:autoSpaceDE w:val="0"/>
                    <w:autoSpaceDN w:val="0"/>
                    <w:adjustRightInd w:val="0"/>
                    <w:jc w:val="center"/>
                    <w:rPr>
                      <w:rFonts w:hAnsi="宋体"/>
                      <w:kern w:val="0"/>
                      <w:szCs w:val="21"/>
                    </w:rPr>
                  </w:pPr>
                  <w:r>
                    <w:rPr>
                      <w:rFonts w:hAnsi="宋体"/>
                      <w:kern w:val="0"/>
                      <w:szCs w:val="21"/>
                    </w:rPr>
                    <w:t>废（污）水</w:t>
                  </w:r>
                </w:p>
              </w:tc>
              <w:tc>
                <w:tcPr>
                  <w:tcW w:w="5644" w:type="dxa"/>
                  <w:vAlign w:val="center"/>
                </w:tcPr>
                <w:p>
                  <w:pPr>
                    <w:autoSpaceDE w:val="0"/>
                    <w:autoSpaceDN w:val="0"/>
                    <w:adjustRightInd w:val="0"/>
                    <w:rPr>
                      <w:rFonts w:hAnsi="宋体"/>
                      <w:kern w:val="0"/>
                      <w:szCs w:val="21"/>
                    </w:rPr>
                  </w:pPr>
                  <w:r>
                    <w:rPr>
                      <w:rFonts w:hAnsi="宋体"/>
                      <w:kern w:val="0"/>
                      <w:szCs w:val="21"/>
                    </w:rPr>
                    <w:t>施工期产生的</w:t>
                  </w:r>
                  <w:r>
                    <w:rPr>
                      <w:rFonts w:hint="eastAsia" w:hAnsi="宋体"/>
                      <w:kern w:val="0"/>
                      <w:szCs w:val="21"/>
                    </w:rPr>
                    <w:t>砂石料加工</w:t>
                  </w:r>
                  <w:r>
                    <w:rPr>
                      <w:rFonts w:hAnsi="宋体"/>
                      <w:kern w:val="0"/>
                      <w:szCs w:val="21"/>
                    </w:rPr>
                    <w:t>废水采用</w:t>
                  </w:r>
                  <w:r>
                    <w:rPr>
                      <w:rFonts w:hint="eastAsia" w:hAnsi="宋体"/>
                      <w:kern w:val="0"/>
                      <w:szCs w:val="21"/>
                    </w:rPr>
                    <w:t>絮凝</w:t>
                  </w:r>
                  <w:r>
                    <w:rPr>
                      <w:rFonts w:hAnsi="宋体"/>
                      <w:kern w:val="0"/>
                      <w:szCs w:val="21"/>
                    </w:rPr>
                    <w:t>沉淀法处理，处理后回用</w:t>
                  </w:r>
                  <w:r>
                    <w:rPr>
                      <w:rFonts w:hint="eastAsia" w:hAnsi="宋体"/>
                      <w:kern w:val="0"/>
                      <w:szCs w:val="21"/>
                    </w:rPr>
                    <w:t>；混凝土</w:t>
                  </w:r>
                  <w:r>
                    <w:rPr>
                      <w:rFonts w:hAnsi="宋体"/>
                      <w:kern w:val="0"/>
                      <w:szCs w:val="21"/>
                    </w:rPr>
                    <w:t>拌和系统废水采用</w:t>
                  </w:r>
                  <w:r>
                    <w:rPr>
                      <w:rFonts w:hint="eastAsia" w:hAnsi="宋体"/>
                      <w:kern w:val="0"/>
                      <w:szCs w:val="21"/>
                    </w:rPr>
                    <w:t>中和</w:t>
                  </w:r>
                  <w:r>
                    <w:rPr>
                      <w:rFonts w:hAnsi="宋体"/>
                      <w:kern w:val="0"/>
                      <w:szCs w:val="21"/>
                    </w:rPr>
                    <w:t>沉淀</w:t>
                  </w:r>
                  <w:r>
                    <w:rPr>
                      <w:rFonts w:hint="eastAsia" w:hAnsi="宋体"/>
                      <w:kern w:val="0"/>
                      <w:szCs w:val="21"/>
                    </w:rPr>
                    <w:t>法</w:t>
                  </w:r>
                  <w:r>
                    <w:rPr>
                      <w:rFonts w:hAnsi="宋体"/>
                      <w:kern w:val="0"/>
                      <w:szCs w:val="21"/>
                    </w:rPr>
                    <w:t>处理，处理后回用；含油废水经隔油池进行油水分离，废油经收集交由有危废处理资质的单位进行处置，废水</w:t>
                  </w:r>
                  <w:r>
                    <w:rPr>
                      <w:rFonts w:hint="eastAsia" w:hAnsi="宋体"/>
                      <w:kern w:val="0"/>
                      <w:szCs w:val="21"/>
                    </w:rPr>
                    <w:t>回</w:t>
                  </w:r>
                  <w:r>
                    <w:rPr>
                      <w:rFonts w:hAnsi="宋体"/>
                      <w:kern w:val="0"/>
                      <w:szCs w:val="21"/>
                    </w:rPr>
                    <w:t>用于机械或零部件的冲洗用水、周边施工区或道路洒水降尘</w:t>
                  </w:r>
                  <w:r>
                    <w:rPr>
                      <w:rFonts w:hint="eastAsia" w:hAnsi="宋体"/>
                      <w:kern w:val="0"/>
                      <w:szCs w:val="21"/>
                    </w:rPr>
                    <w:t>。</w:t>
                  </w:r>
                  <w:r>
                    <w:rPr>
                      <w:rFonts w:hAnsi="宋体"/>
                      <w:kern w:val="0"/>
                      <w:szCs w:val="21"/>
                    </w:rPr>
                    <w:t>生活污水采用</w:t>
                  </w:r>
                  <w:r>
                    <w:rPr>
                      <w:rFonts w:hint="eastAsia" w:hAnsi="宋体"/>
                      <w:kern w:val="0"/>
                      <w:szCs w:val="21"/>
                    </w:rPr>
                    <w:t>移动式真空环保厕所和一体化处理设施</w:t>
                  </w:r>
                  <w:r>
                    <w:rPr>
                      <w:rFonts w:hAnsi="宋体"/>
                      <w:kern w:val="0"/>
                      <w:szCs w:val="21"/>
                    </w:rPr>
                    <w:t>对污水进行收集，</w:t>
                  </w:r>
                  <w:r>
                    <w:rPr>
                      <w:rFonts w:hint="eastAsia" w:hAnsi="宋体"/>
                      <w:kern w:val="0"/>
                      <w:szCs w:val="21"/>
                    </w:rPr>
                    <w:t>定期使用</w:t>
                  </w:r>
                  <w:r>
                    <w:rPr>
                      <w:rFonts w:hAnsi="宋体"/>
                      <w:kern w:val="0"/>
                      <w:szCs w:val="21"/>
                    </w:rPr>
                    <w:t>抽粪车抽运至生态环境部门指定场所进行处理。</w:t>
                  </w:r>
                </w:p>
                <w:p>
                  <w:pPr>
                    <w:autoSpaceDE w:val="0"/>
                    <w:autoSpaceDN w:val="0"/>
                    <w:adjustRightInd w:val="0"/>
                    <w:rPr>
                      <w:rFonts w:hAnsi="宋体"/>
                      <w:kern w:val="0"/>
                      <w:szCs w:val="21"/>
                    </w:rPr>
                  </w:pPr>
                  <w:r>
                    <w:rPr>
                      <w:rFonts w:hint="eastAsia" w:hAnsi="宋体"/>
                      <w:kern w:val="0"/>
                      <w:szCs w:val="21"/>
                    </w:rPr>
                    <w:t>运行期</w:t>
                  </w:r>
                  <w:r>
                    <w:rPr>
                      <w:rFonts w:hAnsi="宋体"/>
                      <w:kern w:val="0"/>
                      <w:szCs w:val="21"/>
                    </w:rPr>
                    <w:t>在管理站内设置成套污水处理设施进行处理，生活污水经处理后用作生活管理区绿化</w:t>
                  </w:r>
                  <w:r>
                    <w:rPr>
                      <w:rFonts w:hint="eastAsia" w:hAnsi="宋体"/>
                      <w:kern w:val="0"/>
                      <w:szCs w:val="21"/>
                    </w:rPr>
                    <w:t>、周边荒漠灌溉。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Ansi="宋体"/>
                      <w:kern w:val="0"/>
                      <w:szCs w:val="21"/>
                    </w:rPr>
                    <w:t>废气</w:t>
                  </w:r>
                </w:p>
              </w:tc>
              <w:tc>
                <w:tcPr>
                  <w:tcW w:w="5644" w:type="dxa"/>
                  <w:vAlign w:val="center"/>
                </w:tcPr>
                <w:p>
                  <w:pPr>
                    <w:autoSpaceDE w:val="0"/>
                    <w:autoSpaceDN w:val="0"/>
                    <w:adjustRightInd w:val="0"/>
                    <w:rPr>
                      <w:rFonts w:hAnsi="宋体"/>
                      <w:kern w:val="0"/>
                      <w:szCs w:val="21"/>
                    </w:rPr>
                  </w:pPr>
                  <w:r>
                    <w:rPr>
                      <w:rFonts w:hAnsi="宋体"/>
                      <w:kern w:val="0"/>
                      <w:szCs w:val="21"/>
                    </w:rPr>
                    <w:t>严格控制施工扬尘污染；对于施工机械尾气，使用低排放量的机械设备，禁止使用不能达标排放的机械设备。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Ansi="宋体"/>
                      <w:kern w:val="0"/>
                      <w:szCs w:val="21"/>
                    </w:rPr>
                    <w:t>噪声</w:t>
                  </w:r>
                </w:p>
              </w:tc>
              <w:tc>
                <w:tcPr>
                  <w:tcW w:w="5644" w:type="dxa"/>
                  <w:vAlign w:val="center"/>
                </w:tcPr>
                <w:p>
                  <w:pPr>
                    <w:autoSpaceDE w:val="0"/>
                    <w:autoSpaceDN w:val="0"/>
                    <w:adjustRightInd w:val="0"/>
                    <w:rPr>
                      <w:rFonts w:hAnsi="宋体"/>
                      <w:kern w:val="0"/>
                      <w:szCs w:val="21"/>
                    </w:rPr>
                  </w:pPr>
                  <w:r>
                    <w:rPr>
                      <w:rFonts w:hAnsi="宋体"/>
                      <w:kern w:val="0"/>
                      <w:szCs w:val="21"/>
                    </w:rPr>
                    <w:t>施工单位应选用符合国家有关标准的施工机械，加强设备的维护和保养，保持机械润滑，降低运行噪声；严禁夜间施工；作好施工组织优化设计，使强噪声源远离施工生活区</w:t>
                  </w:r>
                  <w:r>
                    <w:rPr>
                      <w:rFonts w:hint="eastAsia" w:hAnsi="宋体"/>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Ansi="宋体"/>
                      <w:kern w:val="0"/>
                      <w:szCs w:val="21"/>
                    </w:rPr>
                    <w:t>固体废物</w:t>
                  </w:r>
                </w:p>
              </w:tc>
              <w:tc>
                <w:tcPr>
                  <w:tcW w:w="5644" w:type="dxa"/>
                  <w:vAlign w:val="center"/>
                </w:tcPr>
                <w:p>
                  <w:pPr>
                    <w:autoSpaceDE w:val="0"/>
                    <w:autoSpaceDN w:val="0"/>
                    <w:adjustRightInd w:val="0"/>
                    <w:rPr>
                      <w:rFonts w:hAnsi="宋体"/>
                      <w:kern w:val="0"/>
                      <w:szCs w:val="21"/>
                    </w:rPr>
                  </w:pPr>
                  <w:r>
                    <w:rPr>
                      <w:rFonts w:hAnsi="宋体"/>
                      <w:kern w:val="0"/>
                      <w:szCs w:val="21"/>
                    </w:rPr>
                    <w:t>施工期产生的弃渣全部</w:t>
                  </w:r>
                  <w:r>
                    <w:rPr>
                      <w:rFonts w:hint="eastAsia" w:hAnsi="宋体"/>
                      <w:kern w:val="0"/>
                      <w:szCs w:val="21"/>
                    </w:rPr>
                    <w:t>弃至</w:t>
                  </w:r>
                  <w:r>
                    <w:rPr>
                      <w:rFonts w:hAnsi="宋体"/>
                      <w:kern w:val="0"/>
                      <w:szCs w:val="21"/>
                    </w:rPr>
                    <w:t>弃渣场；生活垃圾</w:t>
                  </w:r>
                  <w:r>
                    <w:rPr>
                      <w:rFonts w:hint="eastAsia" w:hAnsi="宋体"/>
                      <w:kern w:val="0"/>
                      <w:szCs w:val="21"/>
                    </w:rPr>
                    <w:t>定期</w:t>
                  </w:r>
                  <w:r>
                    <w:rPr>
                      <w:rFonts w:hAnsi="宋体"/>
                      <w:kern w:val="0"/>
                      <w:szCs w:val="21"/>
                    </w:rPr>
                    <w:t>运往当地生态环境部门指定地点；隔油池产生的废油</w:t>
                  </w:r>
                  <w:r>
                    <w:rPr>
                      <w:rFonts w:hint="eastAsia" w:hAnsi="宋体"/>
                      <w:kern w:val="0"/>
                      <w:szCs w:val="21"/>
                    </w:rPr>
                    <w:t>暂存于危废暂存间，定期</w:t>
                  </w:r>
                  <w:r>
                    <w:rPr>
                      <w:rFonts w:hAnsi="宋体"/>
                      <w:kern w:val="0"/>
                      <w:szCs w:val="21"/>
                    </w:rPr>
                    <w:t>委托有资质单位处理处置。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35" w:type="dxa"/>
                  <w:vMerge w:val="continue"/>
                  <w:vAlign w:val="center"/>
                </w:tcPr>
                <w:p>
                  <w:pPr>
                    <w:autoSpaceDE w:val="0"/>
                    <w:autoSpaceDN w:val="0"/>
                    <w:adjustRightInd w:val="0"/>
                    <w:spacing w:line="360" w:lineRule="auto"/>
                    <w:jc w:val="center"/>
                    <w:rPr>
                      <w:kern w:val="0"/>
                      <w:szCs w:val="21"/>
                    </w:rPr>
                  </w:pPr>
                </w:p>
              </w:tc>
              <w:tc>
                <w:tcPr>
                  <w:tcW w:w="1411" w:type="dxa"/>
                  <w:vAlign w:val="center"/>
                </w:tcPr>
                <w:p>
                  <w:pPr>
                    <w:autoSpaceDE w:val="0"/>
                    <w:autoSpaceDN w:val="0"/>
                    <w:adjustRightInd w:val="0"/>
                    <w:jc w:val="center"/>
                    <w:rPr>
                      <w:rFonts w:hAnsi="宋体"/>
                      <w:kern w:val="0"/>
                      <w:szCs w:val="21"/>
                    </w:rPr>
                  </w:pPr>
                  <w:r>
                    <w:rPr>
                      <w:rFonts w:hint="eastAsia" w:hAnsi="宋体"/>
                      <w:kern w:val="0"/>
                      <w:szCs w:val="21"/>
                    </w:rPr>
                    <w:t>生态</w:t>
                  </w:r>
                  <w:r>
                    <w:rPr>
                      <w:rFonts w:hAnsi="宋体"/>
                      <w:kern w:val="0"/>
                      <w:szCs w:val="21"/>
                    </w:rPr>
                    <w:t>流量泄放措施</w:t>
                  </w:r>
                </w:p>
              </w:tc>
              <w:tc>
                <w:tcPr>
                  <w:tcW w:w="5644" w:type="dxa"/>
                  <w:vAlign w:val="center"/>
                </w:tcPr>
                <w:p>
                  <w:pPr>
                    <w:autoSpaceDE w:val="0"/>
                    <w:autoSpaceDN w:val="0"/>
                    <w:adjustRightInd w:val="0"/>
                    <w:rPr>
                      <w:rFonts w:hAnsi="宋体"/>
                      <w:kern w:val="0"/>
                      <w:szCs w:val="21"/>
                    </w:rPr>
                  </w:pPr>
                  <w:r>
                    <w:rPr>
                      <w:rFonts w:hint="eastAsia" w:hAnsi="宋体"/>
                      <w:kern w:val="0"/>
                      <w:szCs w:val="21"/>
                    </w:rPr>
                    <w:t>水库蓄水初期通过导流洞下泄生态流量；运行期采用导流放水冲沙涵洞上设置的人畜、工业供水及生态放水管后设置的分水管下泄生态流量。</w:t>
                  </w:r>
                </w:p>
              </w:tc>
            </w:tr>
          </w:tbl>
          <w:p>
            <w:pPr>
              <w:autoSpaceDE w:val="0"/>
              <w:autoSpaceDN w:val="0"/>
              <w:adjustRightInd w:val="0"/>
              <w:spacing w:line="360" w:lineRule="auto"/>
              <w:jc w:val="left"/>
              <w:rPr>
                <w:b/>
                <w:sz w:val="24"/>
              </w:rPr>
            </w:pPr>
          </w:p>
          <w:p>
            <w:pPr>
              <w:autoSpaceDE w:val="0"/>
              <w:autoSpaceDN w:val="0"/>
              <w:adjustRightInd w:val="0"/>
              <w:spacing w:line="360" w:lineRule="auto"/>
              <w:jc w:val="left"/>
              <w:rPr>
                <w:b/>
                <w:sz w:val="24"/>
              </w:rPr>
            </w:pPr>
            <w:r>
              <w:rPr>
                <w:rFonts w:hint="eastAsia"/>
                <w:b/>
                <w:sz w:val="24"/>
              </w:rPr>
              <w:t>四、工程等级和标准</w:t>
            </w:r>
          </w:p>
          <w:p>
            <w:pPr>
              <w:spacing w:line="360" w:lineRule="auto"/>
              <w:ind w:firstLine="480"/>
              <w:rPr>
                <w:kern w:val="0"/>
                <w:sz w:val="24"/>
              </w:rPr>
            </w:pPr>
            <w:r>
              <w:rPr>
                <w:rFonts w:hint="eastAsia"/>
                <w:kern w:val="0"/>
                <w:sz w:val="24"/>
              </w:rPr>
              <w:t>（1）工程等级及建筑物级别</w:t>
            </w:r>
          </w:p>
          <w:p>
            <w:pPr>
              <w:autoSpaceDE w:val="0"/>
              <w:autoSpaceDN w:val="0"/>
              <w:adjustRightInd w:val="0"/>
              <w:snapToGrid w:val="0"/>
              <w:spacing w:line="360" w:lineRule="auto"/>
              <w:ind w:firstLine="480" w:firstLineChars="200"/>
              <w:rPr>
                <w:kern w:val="0"/>
                <w:sz w:val="24"/>
              </w:rPr>
            </w:pPr>
            <w:r>
              <w:rPr>
                <w:rFonts w:hint="eastAsia"/>
                <w:kern w:val="0"/>
                <w:sz w:val="24"/>
              </w:rPr>
              <w:t>红山嘴</w:t>
            </w:r>
            <w:r>
              <w:rPr>
                <w:kern w:val="0"/>
                <w:sz w:val="24"/>
              </w:rPr>
              <w:t>水库工程总库容为294.69万m</w:t>
            </w:r>
            <w:r>
              <w:rPr>
                <w:kern w:val="0"/>
                <w:sz w:val="24"/>
                <w:vertAlign w:val="superscript"/>
              </w:rPr>
              <w:t>3</w:t>
            </w:r>
            <w:r>
              <w:rPr>
                <w:kern w:val="0"/>
                <w:sz w:val="24"/>
              </w:rPr>
              <w:t>，根据《水利水电工程等级划分及洪水标准》</w:t>
            </w:r>
            <w:r>
              <w:rPr>
                <w:rFonts w:hint="eastAsia"/>
                <w:kern w:val="0"/>
                <w:sz w:val="24"/>
              </w:rPr>
              <w:t>（</w:t>
            </w:r>
            <w:r>
              <w:rPr>
                <w:kern w:val="0"/>
                <w:sz w:val="24"/>
              </w:rPr>
              <w:t>SL252-2017</w:t>
            </w:r>
            <w:r>
              <w:rPr>
                <w:rFonts w:hint="eastAsia"/>
                <w:kern w:val="0"/>
                <w:sz w:val="24"/>
              </w:rPr>
              <w:t>）</w:t>
            </w:r>
            <w:r>
              <w:rPr>
                <w:kern w:val="0"/>
                <w:sz w:val="24"/>
              </w:rPr>
              <w:t>中的规定，工程等别为Ⅳ等工程，规模为小（1）型，主要建筑物（</w:t>
            </w:r>
            <w:r>
              <w:rPr>
                <w:rFonts w:hint="eastAsia"/>
                <w:kern w:val="0"/>
                <w:sz w:val="24"/>
              </w:rPr>
              <w:t>坝体、</w:t>
            </w:r>
            <w:r>
              <w:rPr>
                <w:kern w:val="0"/>
                <w:sz w:val="24"/>
              </w:rPr>
              <w:t>溢洪道、导流放水冲沙涵洞）级别为4级，次要建筑物级别为5级</w:t>
            </w:r>
            <w:r>
              <w:rPr>
                <w:rFonts w:hint="eastAsia"/>
                <w:kern w:val="0"/>
                <w:sz w:val="24"/>
              </w:rPr>
              <w:t>，</w:t>
            </w:r>
            <w:r>
              <w:rPr>
                <w:kern w:val="0"/>
                <w:sz w:val="24"/>
              </w:rPr>
              <w:t>临时性水工建筑物级别</w:t>
            </w:r>
            <w:r>
              <w:rPr>
                <w:rFonts w:hint="eastAsia"/>
                <w:kern w:val="0"/>
                <w:sz w:val="24"/>
              </w:rPr>
              <w:t>5级</w:t>
            </w:r>
            <w:r>
              <w:rPr>
                <w:kern w:val="0"/>
                <w:sz w:val="24"/>
              </w:rPr>
              <w:t>。</w:t>
            </w:r>
          </w:p>
          <w:p>
            <w:pPr>
              <w:spacing w:line="360" w:lineRule="auto"/>
              <w:ind w:firstLine="480"/>
              <w:rPr>
                <w:kern w:val="0"/>
                <w:sz w:val="24"/>
              </w:rPr>
            </w:pPr>
            <w:r>
              <w:rPr>
                <w:rFonts w:hint="eastAsia"/>
                <w:kern w:val="0"/>
                <w:sz w:val="24"/>
              </w:rPr>
              <w:t>（2）设计洪水标准</w:t>
            </w:r>
          </w:p>
          <w:p>
            <w:pPr>
              <w:pStyle w:val="45"/>
              <w:ind w:firstLine="480"/>
            </w:pPr>
            <w:r>
              <w:rPr>
                <w:rFonts w:hint="eastAsia"/>
              </w:rPr>
              <w:t>红山嘴水库坝址断面的洪峰流量为</w:t>
            </w:r>
            <w:r>
              <w:t>83.2</w:t>
            </w:r>
            <w:r>
              <w:rPr>
                <w:rFonts w:hint="eastAsia"/>
              </w:rPr>
              <w:t>m</w:t>
            </w:r>
            <w:r>
              <w:rPr>
                <w:rFonts w:hint="eastAsia"/>
                <w:vertAlign w:val="superscript"/>
              </w:rPr>
              <w:t>3</w:t>
            </w:r>
            <w:r>
              <w:rPr>
                <w:rFonts w:hint="eastAsia"/>
              </w:rPr>
              <w:t>/s。红山嘴</w:t>
            </w:r>
            <w:r>
              <w:t>水库</w:t>
            </w:r>
            <w:r>
              <w:rPr>
                <w:rFonts w:hint="eastAsia"/>
              </w:rPr>
              <w:t>拦河大坝、溢洪道、导流放水冲沙涵洞主要建筑物设计洪水标准为50年一遇（P=2%），校核洪水标准为1000年一遇（P=0.1%）。建筑物消能建筑物的洪水设防标准为20年一遇（P=5%）。</w:t>
            </w:r>
          </w:p>
          <w:p>
            <w:pPr>
              <w:spacing w:line="360" w:lineRule="auto"/>
              <w:ind w:firstLine="480"/>
              <w:rPr>
                <w:kern w:val="0"/>
                <w:sz w:val="24"/>
              </w:rPr>
            </w:pPr>
            <w:r>
              <w:rPr>
                <w:rFonts w:hint="eastAsia"/>
                <w:kern w:val="0"/>
                <w:sz w:val="24"/>
              </w:rPr>
              <w:t>（3）</w:t>
            </w:r>
            <w:r>
              <w:rPr>
                <w:kern w:val="0"/>
                <w:sz w:val="24"/>
              </w:rPr>
              <w:t>地震设防烈度</w:t>
            </w:r>
          </w:p>
          <w:p>
            <w:pPr>
              <w:snapToGrid w:val="0"/>
              <w:spacing w:line="360" w:lineRule="auto"/>
              <w:ind w:firstLine="480" w:firstLineChars="200"/>
              <w:rPr>
                <w:sz w:val="24"/>
              </w:rPr>
            </w:pPr>
            <w:r>
              <w:rPr>
                <w:rFonts w:hint="eastAsia"/>
                <w:sz w:val="24"/>
              </w:rPr>
              <w:t>根据《中国地震动参数区划图》（GB18306-2015）确定地震基本烈度为Ⅷ。库坝区地震动峰值加速度为0.20g。</w:t>
            </w:r>
          </w:p>
          <w:p>
            <w:pPr>
              <w:snapToGrid w:val="0"/>
              <w:spacing w:line="360" w:lineRule="auto"/>
              <w:ind w:firstLine="480" w:firstLineChars="200"/>
              <w:rPr>
                <w:spacing w:val="-6"/>
                <w:sz w:val="24"/>
              </w:rPr>
            </w:pPr>
            <w:r>
              <w:rPr>
                <w:rFonts w:hint="eastAsia"/>
                <w:sz w:val="24"/>
              </w:rPr>
              <w:t>按照《水工建筑物抗震设计规范》（SL5073-1997），红山嘴水库枢纽区域的建筑物抗震设防烈度为Ⅷ，</w:t>
            </w:r>
            <w:r>
              <w:rPr>
                <w:sz w:val="24"/>
              </w:rPr>
              <w:t>抗震设防类别为丁类</w:t>
            </w:r>
            <w:r>
              <w:rPr>
                <w:rFonts w:hint="eastAsia"/>
                <w:sz w:val="24"/>
              </w:rPr>
              <w:t>。</w:t>
            </w:r>
          </w:p>
          <w:p>
            <w:pPr>
              <w:autoSpaceDE w:val="0"/>
              <w:autoSpaceDN w:val="0"/>
              <w:adjustRightInd w:val="0"/>
              <w:spacing w:line="360" w:lineRule="auto"/>
              <w:jc w:val="left"/>
              <w:rPr>
                <w:b/>
                <w:sz w:val="24"/>
              </w:rPr>
            </w:pPr>
            <w:r>
              <w:rPr>
                <w:rFonts w:hint="eastAsia"/>
                <w:b/>
                <w:sz w:val="24"/>
              </w:rPr>
              <w:t>五、工程占地及土石方平衡</w:t>
            </w:r>
          </w:p>
          <w:p>
            <w:pPr>
              <w:spacing w:line="360" w:lineRule="auto"/>
              <w:ind w:firstLine="482"/>
              <w:rPr>
                <w:kern w:val="0"/>
                <w:sz w:val="24"/>
              </w:rPr>
            </w:pPr>
            <w:r>
              <w:rPr>
                <w:rFonts w:hint="eastAsia"/>
                <w:kern w:val="0"/>
                <w:sz w:val="24"/>
              </w:rPr>
              <w:t>（1）工程占地</w:t>
            </w:r>
          </w:p>
          <w:p>
            <w:pPr>
              <w:pStyle w:val="45"/>
              <w:ind w:firstLine="482" w:firstLineChars="0"/>
              <w:rPr>
                <w:kern w:val="0"/>
              </w:rPr>
            </w:pPr>
            <w:r>
              <w:t>本工程建设征地总面积74.51</w:t>
            </w:r>
            <w:r>
              <w:rPr>
                <w:rFonts w:hint="eastAsia"/>
              </w:rPr>
              <w:t>hm</w:t>
            </w:r>
            <w:r>
              <w:rPr>
                <w:vertAlign w:val="superscript"/>
              </w:rPr>
              <w:t>2</w:t>
            </w:r>
            <w:r>
              <w:t>，其中永久用地为43.34</w:t>
            </w:r>
            <w:r>
              <w:rPr>
                <w:rFonts w:hint="eastAsia"/>
              </w:rPr>
              <w:t>hm</w:t>
            </w:r>
            <w:r>
              <w:rPr>
                <w:vertAlign w:val="superscript"/>
              </w:rPr>
              <w:t>2</w:t>
            </w:r>
            <w:r>
              <w:rPr>
                <w:rFonts w:hint="eastAsia"/>
              </w:rPr>
              <w:t>，</w:t>
            </w:r>
            <w:r>
              <w:t>临时用地为33.17</w:t>
            </w:r>
            <w:r>
              <w:rPr>
                <w:rFonts w:hint="eastAsia"/>
              </w:rPr>
              <w:t>hm</w:t>
            </w:r>
            <w:r>
              <w:rPr>
                <w:vertAlign w:val="superscript"/>
              </w:rPr>
              <w:t>2</w:t>
            </w:r>
            <w:r>
              <w:rPr>
                <w:rFonts w:hint="eastAsia"/>
              </w:rPr>
              <w:t>，主要为</w:t>
            </w:r>
            <w:r>
              <w:t>草地</w:t>
            </w:r>
            <w:r>
              <w:rPr>
                <w:rFonts w:hint="eastAsia"/>
              </w:rPr>
              <w:t>（天然牧草地</w:t>
            </w:r>
            <w:r>
              <w:t>：二等</w:t>
            </w:r>
            <w:r>
              <w:rPr>
                <w:rFonts w:hint="eastAsia"/>
              </w:rPr>
              <w:t>1级），</w:t>
            </w:r>
            <w:r>
              <w:t>其次为</w:t>
            </w:r>
            <w:r>
              <w:rPr>
                <w:rFonts w:hint="eastAsia"/>
              </w:rPr>
              <w:t>耕地（非</w:t>
            </w:r>
            <w:r>
              <w:t>基本农田</w:t>
            </w:r>
            <w:r>
              <w:rPr>
                <w:rFonts w:hint="eastAsia"/>
              </w:rPr>
              <w:t>）</w:t>
            </w:r>
            <w:r>
              <w:t>和林地</w:t>
            </w:r>
            <w:r>
              <w:rPr>
                <w:rFonts w:hint="eastAsia"/>
              </w:rPr>
              <w:t>（灌木</w:t>
            </w:r>
            <w:r>
              <w:t>林地</w:t>
            </w:r>
            <w:r>
              <w:rPr>
                <w:rFonts w:hint="eastAsia"/>
              </w:rPr>
              <w:t>）</w:t>
            </w:r>
            <w:r>
              <w:t>。根据目前调查结果，本工程建设征地范围内</w:t>
            </w:r>
            <w:r>
              <w:rPr>
                <w:rFonts w:hint="eastAsia"/>
              </w:rPr>
              <w:t>涉及</w:t>
            </w:r>
            <w:r>
              <w:t>生产安置移民10</w:t>
            </w:r>
            <w:r>
              <w:rPr>
                <w:rFonts w:hint="eastAsia"/>
              </w:rPr>
              <w:t>人，涉及</w:t>
            </w:r>
            <w:r>
              <w:t>搬迁安置</w:t>
            </w:r>
            <w:r>
              <w:rPr>
                <w:rFonts w:hint="eastAsia"/>
              </w:rPr>
              <w:t>移民为14户48人（包含非农业户2户9人），</w:t>
            </w:r>
            <w:r>
              <w:t>未发现具有开采价值的矿产资源。</w:t>
            </w:r>
            <w:r>
              <w:rPr>
                <w:kern w:val="0"/>
              </w:rPr>
              <w:t>工程</w:t>
            </w:r>
            <w:r>
              <w:rPr>
                <w:rFonts w:hint="eastAsia"/>
                <w:kern w:val="0"/>
              </w:rPr>
              <w:t>用</w:t>
            </w:r>
            <w:r>
              <w:rPr>
                <w:kern w:val="0"/>
              </w:rPr>
              <w:t>地面积详见表</w:t>
            </w:r>
            <w:r>
              <w:rPr>
                <w:rFonts w:hint="eastAsia"/>
                <w:kern w:val="0"/>
              </w:rPr>
              <w:t>3</w:t>
            </w:r>
            <w:r>
              <w:rPr>
                <w:kern w:val="0"/>
              </w:rPr>
              <w:t>。</w:t>
            </w:r>
          </w:p>
          <w:p>
            <w:pPr>
              <w:pStyle w:val="74"/>
              <w:rPr>
                <w:rFonts w:ascii="黑体" w:hAnsi="黑体" w:eastAsia="黑体"/>
                <w:szCs w:val="24"/>
                <w:vertAlign w:val="superscript"/>
              </w:rPr>
            </w:pPr>
            <w:r>
              <w:rPr>
                <w:rFonts w:hint="eastAsia" w:ascii="黑体" w:hAnsi="黑体" w:eastAsia="黑体"/>
                <w:szCs w:val="24"/>
              </w:rPr>
              <w:t>表</w:t>
            </w:r>
            <w:r>
              <w:rPr>
                <w:rFonts w:eastAsia="黑体"/>
                <w:szCs w:val="24"/>
              </w:rPr>
              <w:t>3</w:t>
            </w:r>
            <w:r>
              <w:rPr>
                <w:rFonts w:ascii="黑体" w:hAnsi="黑体" w:eastAsia="黑体"/>
                <w:szCs w:val="24"/>
              </w:rPr>
              <w:t xml:space="preserve">                 </w:t>
            </w:r>
            <w:r>
              <w:rPr>
                <w:rFonts w:hint="eastAsia" w:ascii="黑体" w:hAnsi="黑体" w:eastAsia="黑体"/>
                <w:szCs w:val="24"/>
              </w:rPr>
              <w:t>工程占地</w:t>
            </w:r>
            <w:r>
              <w:rPr>
                <w:rFonts w:ascii="黑体" w:hAnsi="黑体" w:eastAsia="黑体"/>
                <w:szCs w:val="24"/>
              </w:rPr>
              <w:t>面积汇总表</w:t>
            </w:r>
            <w:r>
              <w:rPr>
                <w:rFonts w:hint="eastAsia" w:ascii="黑体" w:hAnsi="黑体" w:eastAsia="黑体"/>
                <w:szCs w:val="24"/>
              </w:rPr>
              <w:t xml:space="preserve">        </w:t>
            </w:r>
            <w:r>
              <w:rPr>
                <w:rFonts w:ascii="黑体" w:hAnsi="黑体" w:eastAsia="黑体"/>
                <w:szCs w:val="24"/>
              </w:rPr>
              <w:t xml:space="preserve">   </w:t>
            </w:r>
            <w:r>
              <w:rPr>
                <w:rFonts w:hint="eastAsia" w:ascii="黑体" w:hAnsi="黑体" w:eastAsia="黑体"/>
                <w:szCs w:val="24"/>
              </w:rPr>
              <w:t xml:space="preserve">     </w:t>
            </w:r>
            <w:r>
              <w:rPr>
                <w:rFonts w:ascii="黑体" w:hAnsi="黑体" w:eastAsia="黑体"/>
                <w:szCs w:val="24"/>
              </w:rPr>
              <w:t xml:space="preserve"> </w:t>
            </w:r>
          </w:p>
          <w:tbl>
            <w:tblPr>
              <w:tblStyle w:val="21"/>
              <w:tblW w:w="8000" w:type="dxa"/>
              <w:tblInd w:w="0" w:type="dxa"/>
              <w:tblLayout w:type="fixed"/>
              <w:tblCellMar>
                <w:top w:w="0" w:type="dxa"/>
                <w:left w:w="108" w:type="dxa"/>
                <w:bottom w:w="0" w:type="dxa"/>
                <w:right w:w="108" w:type="dxa"/>
              </w:tblCellMar>
            </w:tblPr>
            <w:tblGrid>
              <w:gridCol w:w="1080"/>
              <w:gridCol w:w="780"/>
              <w:gridCol w:w="780"/>
              <w:gridCol w:w="660"/>
              <w:gridCol w:w="660"/>
              <w:gridCol w:w="780"/>
              <w:gridCol w:w="660"/>
              <w:gridCol w:w="740"/>
              <w:gridCol w:w="1080"/>
              <w:gridCol w:w="780"/>
            </w:tblGrid>
            <w:tr>
              <w:tblPrEx>
                <w:tblLayout w:type="fixed"/>
                <w:tblCellMar>
                  <w:top w:w="0" w:type="dxa"/>
                  <w:left w:w="108" w:type="dxa"/>
                  <w:bottom w:w="0" w:type="dxa"/>
                  <w:right w:w="108" w:type="dxa"/>
                </w:tblCellMar>
              </w:tblPrEx>
              <w:trPr>
                <w:trHeight w:val="270" w:hRule="atLeast"/>
              </w:trPr>
              <w:tc>
                <w:tcPr>
                  <w:tcW w:w="10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项目组成</w:t>
                  </w:r>
                </w:p>
              </w:tc>
              <w:tc>
                <w:tcPr>
                  <w:tcW w:w="1560"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占地性质</w:t>
                  </w:r>
                </w:p>
              </w:tc>
              <w:tc>
                <w:tcPr>
                  <w:tcW w:w="4580"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占地类型</w:t>
                  </w:r>
                </w:p>
              </w:tc>
              <w:tc>
                <w:tcPr>
                  <w:tcW w:w="780"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合计(hm</w:t>
                  </w:r>
                  <w:r>
                    <w:rPr>
                      <w:rFonts w:hint="eastAsia" w:cs="宋体"/>
                      <w:color w:val="000000"/>
                      <w:kern w:val="0"/>
                      <w:szCs w:val="21"/>
                      <w:vertAlign w:val="superscript"/>
                    </w:rPr>
                    <w:t>2</w:t>
                  </w:r>
                  <w:r>
                    <w:rPr>
                      <w:rFonts w:hint="eastAsia" w:cs="宋体"/>
                      <w:color w:val="000000"/>
                      <w:kern w:val="0"/>
                      <w:szCs w:val="21"/>
                    </w:rPr>
                    <w:t>)</w:t>
                  </w:r>
                </w:p>
              </w:tc>
            </w:tr>
            <w:tr>
              <w:tblPrEx>
                <w:tblLayout w:type="fixed"/>
                <w:tblCellMar>
                  <w:top w:w="0" w:type="dxa"/>
                  <w:left w:w="108" w:type="dxa"/>
                  <w:bottom w:w="0" w:type="dxa"/>
                  <w:right w:w="108" w:type="dxa"/>
                </w:tblCellMar>
              </w:tblPrEx>
              <w:trPr>
                <w:trHeight w:val="570" w:hRule="atLeast"/>
              </w:trPr>
              <w:tc>
                <w:tcPr>
                  <w:tcW w:w="10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永久占地</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临时占地</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耕地</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林地</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草地</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交通用地</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村庄用地</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水域及水利设施用地</w:t>
                  </w:r>
                </w:p>
              </w:tc>
              <w:tc>
                <w:tcPr>
                  <w:tcW w:w="780" w:type="dxa"/>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cs="宋体"/>
                      <w:color w:val="000000"/>
                      <w:kern w:val="0"/>
                      <w:szCs w:val="21"/>
                    </w:rPr>
                  </w:pPr>
                </w:p>
              </w:tc>
            </w:tr>
            <w:tr>
              <w:tblPrEx>
                <w:tblLayout w:type="fixed"/>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枢纽工程区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12.44</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1.29</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0.49</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9.11</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0.85</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0.45</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0.24</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12.44</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管理区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0.15</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0.06</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0.09</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0.15</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道路区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13.68</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6.00</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0.71</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0.93</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18.74</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0.01</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19.68</w:t>
                  </w:r>
                </w:p>
              </w:tc>
            </w:tr>
            <w:tr>
              <w:tblPrEx>
                <w:tblLayout w:type="fixed"/>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输电线路区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0.02</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0.04</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0.06</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0.06</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管线区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1.45</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1.29</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0.16</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1.45</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料场区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11.51</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11.51</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11.51</w:t>
                  </w:r>
                </w:p>
              </w:tc>
            </w:tr>
            <w:tr>
              <w:tblPrEx>
                <w:tblLayout w:type="fixed"/>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施工生产生活区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0.6</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0.6</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弃渣场区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20.07</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0.98</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0.9</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18.19</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20.07</w:t>
                  </w:r>
                </w:p>
              </w:tc>
            </w:tr>
            <w:tr>
              <w:tblPrEx>
                <w:tblLayout w:type="fixed"/>
                <w:tblCellMar>
                  <w:top w:w="0" w:type="dxa"/>
                  <w:left w:w="108" w:type="dxa"/>
                  <w:bottom w:w="0" w:type="dxa"/>
                  <w:right w:w="108" w:type="dxa"/>
                </w:tblCellMar>
              </w:tblPrEx>
              <w:trPr>
                <w:trHeight w:val="54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导流围堰区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0.35</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0.35</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0.35</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淹没区</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16.16</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0.55</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6.51</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1.58</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1.77</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5.75</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16.16</w:t>
                  </w:r>
                </w:p>
              </w:tc>
            </w:tr>
            <w:tr>
              <w:tblPrEx>
                <w:tblLayout w:type="fixed"/>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合计</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42.34</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33.17</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2.61</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1.42</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42.63</w:t>
                  </w:r>
                </w:p>
              </w:tc>
              <w:tc>
                <w:tcPr>
                  <w:tcW w:w="66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2.44</w:t>
                  </w:r>
                </w:p>
              </w:tc>
              <w:tc>
                <w:tcPr>
                  <w:tcW w:w="74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2.22</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24.18</w:t>
                  </w:r>
                </w:p>
              </w:tc>
              <w:tc>
                <w:tcPr>
                  <w:tcW w:w="780" w:type="dxa"/>
                  <w:tcBorders>
                    <w:top w:val="nil"/>
                    <w:left w:val="nil"/>
                    <w:bottom w:val="single" w:color="auto" w:sz="4" w:space="0"/>
                    <w:right w:val="single" w:color="auto" w:sz="4" w:space="0"/>
                  </w:tcBorders>
                  <w:shd w:val="clear" w:color="auto" w:fill="auto"/>
                  <w:vAlign w:val="center"/>
                </w:tcPr>
                <w:p>
                  <w:pPr>
                    <w:widowControl/>
                    <w:jc w:val="center"/>
                    <w:rPr>
                      <w:rFonts w:cs="宋体"/>
                      <w:color w:val="000000"/>
                      <w:kern w:val="0"/>
                      <w:szCs w:val="21"/>
                    </w:rPr>
                  </w:pPr>
                  <w:r>
                    <w:rPr>
                      <w:rFonts w:hint="eastAsia" w:cs="宋体"/>
                      <w:color w:val="000000"/>
                      <w:kern w:val="0"/>
                      <w:szCs w:val="21"/>
                    </w:rPr>
                    <w:t>75.51</w:t>
                  </w:r>
                </w:p>
              </w:tc>
            </w:tr>
          </w:tbl>
          <w:p/>
          <w:p>
            <w:pPr>
              <w:spacing w:line="360" w:lineRule="auto"/>
              <w:ind w:firstLine="480"/>
              <w:rPr>
                <w:kern w:val="0"/>
                <w:sz w:val="24"/>
              </w:rPr>
            </w:pPr>
            <w:r>
              <w:rPr>
                <w:rFonts w:hint="eastAsia"/>
                <w:kern w:val="0"/>
                <w:sz w:val="24"/>
              </w:rPr>
              <w:t>（2）土石方平衡</w:t>
            </w:r>
          </w:p>
          <w:p>
            <w:pPr>
              <w:pStyle w:val="63"/>
              <w:ind w:firstLine="480"/>
              <w:rPr>
                <w:rFonts w:ascii="Times New Roman" w:hAnsi="Times New Roman" w:cs="Times New Roman"/>
              </w:rPr>
            </w:pPr>
            <w:r>
              <w:rPr>
                <w:rFonts w:hint="eastAsia" w:ascii="Times New Roman" w:hAnsi="Times New Roman" w:cs="Times New Roman"/>
              </w:rPr>
              <w:t>本工程土石方开挖总量为</w:t>
            </w:r>
            <w:r>
              <w:rPr>
                <w:rFonts w:ascii="Times New Roman" w:hAnsi="Times New Roman" w:cs="Times New Roman"/>
              </w:rPr>
              <w:t>88.12</w:t>
            </w:r>
            <w:r>
              <w:rPr>
                <w:rFonts w:hint="eastAsia" w:ascii="Times New Roman" w:hAnsi="Times New Roman" w:cs="Times New Roman"/>
              </w:rPr>
              <w:t>万m</w:t>
            </w:r>
            <w:r>
              <w:rPr>
                <w:rFonts w:hint="eastAsia" w:ascii="Times New Roman" w:hAnsi="Times New Roman" w:cs="Times New Roman"/>
                <w:vertAlign w:val="superscript"/>
              </w:rPr>
              <w:t>3</w:t>
            </w:r>
            <w:r>
              <w:rPr>
                <w:rFonts w:hint="eastAsia" w:ascii="Times New Roman" w:hAnsi="Times New Roman" w:cs="Times New Roman"/>
              </w:rPr>
              <w:t>，土石方填筑及回填总量为</w:t>
            </w:r>
            <w:r>
              <w:rPr>
                <w:rFonts w:ascii="Times New Roman" w:hAnsi="Times New Roman" w:cs="Times New Roman"/>
              </w:rPr>
              <w:t>49.99</w:t>
            </w:r>
            <w:r>
              <w:rPr>
                <w:rFonts w:hint="eastAsia" w:ascii="Times New Roman" w:hAnsi="Times New Roman" w:cs="Times New Roman"/>
              </w:rPr>
              <w:t>万m</w:t>
            </w:r>
            <w:r>
              <w:rPr>
                <w:rFonts w:hint="eastAsia" w:ascii="Times New Roman" w:hAnsi="Times New Roman" w:cs="Times New Roman"/>
                <w:vertAlign w:val="superscript"/>
              </w:rPr>
              <w:t>3</w:t>
            </w:r>
            <w:r>
              <w:rPr>
                <w:rFonts w:hint="eastAsia" w:ascii="Times New Roman" w:hAnsi="Times New Roman" w:cs="Times New Roman"/>
              </w:rPr>
              <w:t>，</w:t>
            </w:r>
            <w:r>
              <w:rPr>
                <w:rFonts w:hint="eastAsia" w:ascii="Times New Roman" w:hAnsi="Times New Roman" w:cs="Times New Roman"/>
                <w:lang w:eastAsia="zh-CN"/>
              </w:rPr>
              <w:t>外借方</w:t>
            </w:r>
            <w:r>
              <w:rPr>
                <w:rFonts w:ascii="Times New Roman" w:hAnsi="Times New Roman" w:cs="Times New Roman"/>
              </w:rPr>
              <w:t>33.33</w:t>
            </w:r>
            <w:r>
              <w:rPr>
                <w:rFonts w:hint="eastAsia" w:ascii="Times New Roman" w:hAnsi="Times New Roman" w:cs="Times New Roman"/>
              </w:rPr>
              <w:t>万m</w:t>
            </w:r>
            <w:r>
              <w:rPr>
                <w:rFonts w:hint="eastAsia" w:ascii="Times New Roman" w:hAnsi="Times New Roman" w:cs="Times New Roman"/>
                <w:vertAlign w:val="superscript"/>
              </w:rPr>
              <w:t>3</w:t>
            </w:r>
            <w:r>
              <w:rPr>
                <w:rFonts w:hint="eastAsia" w:ascii="Times New Roman" w:hAnsi="Times New Roman" w:cs="Times New Roman"/>
                <w:lang w:eastAsia="zh-CN"/>
              </w:rPr>
              <w:t>，弃渣量</w:t>
            </w:r>
            <w:r>
              <w:rPr>
                <w:rFonts w:ascii="Times New Roman" w:hAnsi="Times New Roman" w:cs="Times New Roman"/>
                <w:lang w:eastAsia="zh-CN"/>
              </w:rPr>
              <w:t>71.47</w:t>
            </w:r>
            <w:r>
              <w:rPr>
                <w:rFonts w:hint="eastAsia" w:ascii="Times New Roman" w:hAnsi="Times New Roman" w:cs="Times New Roman"/>
                <w:lang w:eastAsia="zh-CN"/>
              </w:rPr>
              <w:t>万</w:t>
            </w:r>
            <w:r>
              <w:rPr>
                <w:rFonts w:ascii="Times New Roman" w:hAnsi="Times New Roman" w:cs="Times New Roman"/>
                <w:lang w:eastAsia="zh-CN"/>
              </w:rPr>
              <w:t>m</w:t>
            </w:r>
            <w:r>
              <w:rPr>
                <w:rFonts w:ascii="Times New Roman" w:hAnsi="Times New Roman" w:cs="Times New Roman"/>
                <w:vertAlign w:val="superscript"/>
                <w:lang w:eastAsia="zh-CN"/>
              </w:rPr>
              <w:t>3</w:t>
            </w:r>
            <w:r>
              <w:rPr>
                <w:rFonts w:hint="eastAsia" w:ascii="Times New Roman" w:hAnsi="Times New Roman" w:cs="Times New Roman"/>
              </w:rPr>
              <w:t>。根据合理利用物料、减少料场开采和弃渣占地的原则，分别针对各建筑物进行土石方平衡。各建筑物填筑及回填料均利用开挖料，土石方平衡见表4</w:t>
            </w:r>
            <w:r>
              <w:rPr>
                <w:rFonts w:ascii="Times New Roman" w:hAnsi="Times New Roman" w:cs="Times New Roman"/>
              </w:rPr>
              <w:t>。</w:t>
            </w:r>
          </w:p>
          <w:p>
            <w:pPr>
              <w:pStyle w:val="63"/>
              <w:ind w:firstLine="199" w:firstLineChars="83"/>
              <w:rPr>
                <w:rFonts w:ascii="Times New Roman" w:hAnsi="Times New Roman" w:cs="Times New Roman"/>
              </w:rPr>
            </w:pPr>
            <w:r>
              <w:rPr>
                <w:rFonts w:hint="eastAsia" w:ascii="黑体" w:hAnsi="黑体" w:eastAsia="黑体"/>
                <w:szCs w:val="21"/>
              </w:rPr>
              <w:t>表</w:t>
            </w:r>
            <w:r>
              <w:rPr>
                <w:rFonts w:eastAsia="黑体"/>
                <w:szCs w:val="21"/>
              </w:rPr>
              <w:t>4</w:t>
            </w:r>
            <w:r>
              <w:rPr>
                <w:rFonts w:hint="eastAsia" w:ascii="黑体" w:hAnsi="黑体" w:eastAsia="黑体"/>
                <w:szCs w:val="21"/>
              </w:rPr>
              <w:t xml:space="preserve"> </w:t>
            </w:r>
            <w:r>
              <w:rPr>
                <w:rFonts w:ascii="黑体" w:hAnsi="黑体" w:eastAsia="黑体"/>
                <w:szCs w:val="21"/>
              </w:rPr>
              <w:t xml:space="preserve">              </w:t>
            </w:r>
            <w:r>
              <w:rPr>
                <w:rFonts w:hint="eastAsia" w:ascii="黑体" w:hAnsi="黑体" w:eastAsia="黑体"/>
                <w:szCs w:val="21"/>
              </w:rPr>
              <w:t xml:space="preserve"> 土石方平衡表           </w:t>
            </w:r>
            <w:r>
              <w:rPr>
                <w:rFonts w:hint="eastAsia" w:ascii="黑体" w:hAnsi="黑体" w:eastAsia="黑体"/>
                <w:szCs w:val="21"/>
                <w:lang w:eastAsia="zh-CN"/>
              </w:rPr>
              <w:t xml:space="preserve">      </w:t>
            </w:r>
            <w:r>
              <w:rPr>
                <w:rFonts w:ascii="黑体" w:hAnsi="黑体" w:eastAsia="黑体"/>
                <w:szCs w:val="21"/>
              </w:rPr>
              <w:t xml:space="preserve"> </w:t>
            </w:r>
            <w:r>
              <w:rPr>
                <w:rFonts w:hint="eastAsia" w:ascii="黑体" w:hAnsi="黑体" w:eastAsia="黑体"/>
                <w:szCs w:val="21"/>
              </w:rPr>
              <w:t xml:space="preserve"> 单位：万</w:t>
            </w:r>
            <w:r>
              <w:rPr>
                <w:rFonts w:ascii="Times New Roman" w:hAnsi="Times New Roman" w:eastAsia="黑体"/>
                <w:szCs w:val="21"/>
              </w:rPr>
              <w:t>m</w:t>
            </w:r>
            <w:r>
              <w:rPr>
                <w:rFonts w:ascii="Times New Roman" w:hAnsi="Times New Roman" w:eastAsia="黑体"/>
                <w:szCs w:val="21"/>
                <w:vertAlign w:val="superscript"/>
              </w:rPr>
              <w:t>3</w:t>
            </w:r>
          </w:p>
          <w:tbl>
            <w:tblPr>
              <w:tblStyle w:val="21"/>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952"/>
              <w:gridCol w:w="869"/>
              <w:gridCol w:w="869"/>
              <w:gridCol w:w="869"/>
              <w:gridCol w:w="869"/>
              <w:gridCol w:w="869"/>
              <w:gridCol w:w="870"/>
              <w:gridCol w:w="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95" w:hRule="atLeast"/>
              </w:trPr>
              <w:tc>
                <w:tcPr>
                  <w:tcW w:w="1906" w:type="dxa"/>
                  <w:gridSpan w:val="2"/>
                  <w:shd w:val="clear" w:color="auto" w:fill="auto"/>
                  <w:vAlign w:val="center"/>
                </w:tcPr>
                <w:p>
                  <w:pPr>
                    <w:widowControl/>
                    <w:jc w:val="center"/>
                    <w:rPr>
                      <w:rFonts w:cs="宋体"/>
                      <w:kern w:val="0"/>
                      <w:sz w:val="20"/>
                      <w:szCs w:val="20"/>
                    </w:rPr>
                  </w:pPr>
                  <w:r>
                    <w:rPr>
                      <w:rFonts w:hint="eastAsia" w:cs="宋体"/>
                      <w:kern w:val="0"/>
                      <w:sz w:val="20"/>
                      <w:szCs w:val="20"/>
                    </w:rPr>
                    <w:t>工程分区</w:t>
                  </w:r>
                </w:p>
              </w:tc>
              <w:tc>
                <w:tcPr>
                  <w:tcW w:w="869" w:type="dxa"/>
                  <w:shd w:val="clear" w:color="auto" w:fill="auto"/>
                  <w:vAlign w:val="center"/>
                </w:tcPr>
                <w:p>
                  <w:pPr>
                    <w:widowControl/>
                    <w:jc w:val="center"/>
                    <w:rPr>
                      <w:rFonts w:cs="宋体"/>
                      <w:kern w:val="0"/>
                      <w:sz w:val="20"/>
                      <w:szCs w:val="20"/>
                    </w:rPr>
                  </w:pPr>
                  <w:r>
                    <w:rPr>
                      <w:rFonts w:hint="eastAsia" w:cs="宋体"/>
                      <w:kern w:val="0"/>
                      <w:sz w:val="20"/>
                      <w:szCs w:val="20"/>
                    </w:rPr>
                    <w:t>挡水工程</w:t>
                  </w:r>
                </w:p>
              </w:tc>
              <w:tc>
                <w:tcPr>
                  <w:tcW w:w="869" w:type="dxa"/>
                  <w:shd w:val="clear" w:color="auto" w:fill="auto"/>
                  <w:vAlign w:val="center"/>
                </w:tcPr>
                <w:p>
                  <w:pPr>
                    <w:widowControl/>
                    <w:jc w:val="center"/>
                    <w:rPr>
                      <w:rFonts w:cs="宋体"/>
                      <w:kern w:val="0"/>
                      <w:sz w:val="20"/>
                      <w:szCs w:val="20"/>
                    </w:rPr>
                  </w:pPr>
                  <w:r>
                    <w:rPr>
                      <w:rFonts w:hint="eastAsia" w:cs="宋体"/>
                      <w:kern w:val="0"/>
                      <w:sz w:val="20"/>
                      <w:szCs w:val="20"/>
                    </w:rPr>
                    <w:t>泄洪工程</w:t>
                  </w:r>
                </w:p>
              </w:tc>
              <w:tc>
                <w:tcPr>
                  <w:tcW w:w="869" w:type="dxa"/>
                  <w:shd w:val="clear" w:color="auto" w:fill="auto"/>
                  <w:vAlign w:val="center"/>
                </w:tcPr>
                <w:p>
                  <w:pPr>
                    <w:widowControl/>
                    <w:jc w:val="center"/>
                    <w:rPr>
                      <w:rFonts w:cs="宋体"/>
                      <w:kern w:val="0"/>
                      <w:sz w:val="20"/>
                      <w:szCs w:val="20"/>
                    </w:rPr>
                  </w:pPr>
                  <w:r>
                    <w:rPr>
                      <w:rFonts w:hint="eastAsia" w:cs="宋体"/>
                      <w:kern w:val="0"/>
                      <w:sz w:val="20"/>
                      <w:szCs w:val="20"/>
                    </w:rPr>
                    <w:t>导流冲沙涵洞工程</w:t>
                  </w:r>
                </w:p>
              </w:tc>
              <w:tc>
                <w:tcPr>
                  <w:tcW w:w="869" w:type="dxa"/>
                  <w:shd w:val="clear" w:color="auto" w:fill="auto"/>
                  <w:vAlign w:val="center"/>
                </w:tcPr>
                <w:p>
                  <w:pPr>
                    <w:widowControl/>
                    <w:jc w:val="center"/>
                    <w:rPr>
                      <w:rFonts w:cs="宋体"/>
                      <w:kern w:val="0"/>
                      <w:sz w:val="20"/>
                      <w:szCs w:val="20"/>
                    </w:rPr>
                  </w:pPr>
                  <w:r>
                    <w:rPr>
                      <w:rFonts w:hint="eastAsia" w:cs="宋体"/>
                      <w:kern w:val="0"/>
                      <w:sz w:val="20"/>
                      <w:szCs w:val="20"/>
                    </w:rPr>
                    <w:t>供水管线工程</w:t>
                  </w:r>
                </w:p>
              </w:tc>
              <w:tc>
                <w:tcPr>
                  <w:tcW w:w="869" w:type="dxa"/>
                  <w:shd w:val="clear" w:color="auto" w:fill="auto"/>
                  <w:vAlign w:val="center"/>
                </w:tcPr>
                <w:p>
                  <w:pPr>
                    <w:widowControl/>
                    <w:jc w:val="center"/>
                    <w:rPr>
                      <w:rFonts w:cs="宋体"/>
                      <w:kern w:val="0"/>
                      <w:sz w:val="20"/>
                      <w:szCs w:val="20"/>
                    </w:rPr>
                  </w:pPr>
                  <w:r>
                    <w:rPr>
                      <w:rFonts w:hint="eastAsia" w:cs="宋体"/>
                      <w:kern w:val="0"/>
                      <w:sz w:val="20"/>
                      <w:szCs w:val="20"/>
                    </w:rPr>
                    <w:t>管理区</w:t>
                  </w:r>
                </w:p>
              </w:tc>
              <w:tc>
                <w:tcPr>
                  <w:tcW w:w="870" w:type="dxa"/>
                  <w:shd w:val="clear" w:color="auto" w:fill="auto"/>
                  <w:vAlign w:val="center"/>
                </w:tcPr>
                <w:p>
                  <w:pPr>
                    <w:widowControl/>
                    <w:jc w:val="center"/>
                    <w:rPr>
                      <w:rFonts w:cs="宋体"/>
                      <w:kern w:val="0"/>
                      <w:sz w:val="20"/>
                      <w:szCs w:val="20"/>
                    </w:rPr>
                  </w:pPr>
                  <w:r>
                    <w:rPr>
                      <w:rFonts w:hint="eastAsia" w:cs="宋体"/>
                      <w:kern w:val="0"/>
                      <w:sz w:val="20"/>
                      <w:szCs w:val="20"/>
                    </w:rPr>
                    <w:t>道路区</w:t>
                  </w:r>
                </w:p>
              </w:tc>
              <w:tc>
                <w:tcPr>
                  <w:tcW w:w="869" w:type="dxa"/>
                  <w:shd w:val="clear" w:color="auto" w:fill="auto"/>
                  <w:vAlign w:val="center"/>
                </w:tcPr>
                <w:p>
                  <w:pPr>
                    <w:widowControl/>
                    <w:jc w:val="center"/>
                    <w:rPr>
                      <w:rFonts w:cs="宋体"/>
                      <w:kern w:val="0"/>
                      <w:sz w:val="20"/>
                      <w:szCs w:val="20"/>
                    </w:rPr>
                  </w:pPr>
                  <w:r>
                    <w:rPr>
                      <w:rFonts w:hint="eastAsia" w:cs="宋体"/>
                      <w:kern w:val="0"/>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restart"/>
                  <w:shd w:val="clear" w:color="auto" w:fill="auto"/>
                  <w:vAlign w:val="center"/>
                </w:tcPr>
                <w:p>
                  <w:pPr>
                    <w:widowControl/>
                    <w:jc w:val="center"/>
                    <w:rPr>
                      <w:rFonts w:cs="宋体"/>
                      <w:kern w:val="0"/>
                      <w:sz w:val="20"/>
                      <w:szCs w:val="20"/>
                    </w:rPr>
                  </w:pPr>
                  <w:r>
                    <w:rPr>
                      <w:rFonts w:hint="eastAsia" w:cs="宋体"/>
                      <w:kern w:val="0"/>
                      <w:sz w:val="20"/>
                      <w:szCs w:val="20"/>
                    </w:rPr>
                    <w:t>开挖方</w:t>
                  </w:r>
                </w:p>
              </w:tc>
              <w:tc>
                <w:tcPr>
                  <w:tcW w:w="952" w:type="dxa"/>
                  <w:shd w:val="clear" w:color="auto" w:fill="auto"/>
                  <w:vAlign w:val="center"/>
                </w:tcPr>
                <w:p>
                  <w:pPr>
                    <w:widowControl/>
                    <w:jc w:val="center"/>
                    <w:rPr>
                      <w:rFonts w:cs="宋体"/>
                      <w:kern w:val="0"/>
                      <w:sz w:val="20"/>
                      <w:szCs w:val="20"/>
                    </w:rPr>
                  </w:pPr>
                  <w:r>
                    <w:rPr>
                      <w:rFonts w:hint="eastAsia"/>
                      <w:sz w:val="20"/>
                      <w:szCs w:val="20"/>
                    </w:rPr>
                    <w:t>清废</w:t>
                  </w:r>
                </w:p>
              </w:tc>
              <w:tc>
                <w:tcPr>
                  <w:tcW w:w="869" w:type="dxa"/>
                  <w:shd w:val="clear" w:color="auto" w:fill="auto"/>
                  <w:vAlign w:val="center"/>
                </w:tcPr>
                <w:p>
                  <w:pPr>
                    <w:widowControl/>
                    <w:jc w:val="center"/>
                    <w:rPr>
                      <w:rFonts w:cs="宋体"/>
                      <w:kern w:val="0"/>
                      <w:sz w:val="20"/>
                      <w:szCs w:val="20"/>
                    </w:rPr>
                  </w:pPr>
                  <w:r>
                    <w:rPr>
                      <w:rFonts w:hint="eastAsia"/>
                      <w:sz w:val="20"/>
                      <w:szCs w:val="20"/>
                    </w:rPr>
                    <w:t>1.2</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70" w:type="dxa"/>
                  <w:shd w:val="clear" w:color="auto" w:fill="auto"/>
                  <w:vAlign w:val="center"/>
                </w:tcPr>
                <w:p>
                  <w:pPr>
                    <w:widowControl/>
                    <w:jc w:val="center"/>
                    <w:rPr>
                      <w:rFonts w:cs="宋体"/>
                      <w:kern w:val="0"/>
                      <w:sz w:val="20"/>
                      <w:szCs w:val="20"/>
                    </w:rPr>
                  </w:pPr>
                  <w:r>
                    <w:rPr>
                      <w:rFonts w:hint="eastAsia"/>
                      <w:sz w:val="20"/>
                      <w:szCs w:val="20"/>
                    </w:rPr>
                    <w:t>0.66</w:t>
                  </w:r>
                </w:p>
              </w:tc>
              <w:tc>
                <w:tcPr>
                  <w:tcW w:w="869" w:type="dxa"/>
                  <w:shd w:val="clear" w:color="auto" w:fill="auto"/>
                  <w:vAlign w:val="center"/>
                </w:tcPr>
                <w:p>
                  <w:pPr>
                    <w:widowControl/>
                    <w:jc w:val="center"/>
                    <w:rPr>
                      <w:rFonts w:cs="宋体"/>
                      <w:kern w:val="0"/>
                      <w:sz w:val="20"/>
                      <w:szCs w:val="20"/>
                    </w:rPr>
                  </w:pPr>
                  <w:r>
                    <w:rPr>
                      <w:rFonts w:hint="eastAsia"/>
                      <w:sz w:val="20"/>
                      <w:szCs w:val="20"/>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continue"/>
                  <w:vAlign w:val="center"/>
                </w:tcPr>
                <w:p>
                  <w:pPr>
                    <w:widowControl/>
                    <w:jc w:val="left"/>
                    <w:rPr>
                      <w:rFonts w:cs="宋体"/>
                      <w:kern w:val="0"/>
                      <w:sz w:val="20"/>
                      <w:szCs w:val="20"/>
                    </w:rPr>
                  </w:pPr>
                </w:p>
              </w:tc>
              <w:tc>
                <w:tcPr>
                  <w:tcW w:w="952" w:type="dxa"/>
                  <w:shd w:val="clear" w:color="auto" w:fill="auto"/>
                  <w:vAlign w:val="center"/>
                </w:tcPr>
                <w:p>
                  <w:pPr>
                    <w:widowControl/>
                    <w:jc w:val="center"/>
                    <w:rPr>
                      <w:rFonts w:cs="宋体"/>
                      <w:kern w:val="0"/>
                      <w:sz w:val="20"/>
                      <w:szCs w:val="20"/>
                    </w:rPr>
                  </w:pPr>
                  <w:r>
                    <w:rPr>
                      <w:rFonts w:hint="eastAsia"/>
                      <w:sz w:val="20"/>
                      <w:szCs w:val="20"/>
                    </w:rPr>
                    <w:t>土方</w:t>
                  </w:r>
                </w:p>
              </w:tc>
              <w:tc>
                <w:tcPr>
                  <w:tcW w:w="869" w:type="dxa"/>
                  <w:shd w:val="clear" w:color="auto" w:fill="auto"/>
                  <w:vAlign w:val="center"/>
                </w:tcPr>
                <w:p>
                  <w:pPr>
                    <w:widowControl/>
                    <w:jc w:val="center"/>
                    <w:rPr>
                      <w:rFonts w:cs="宋体"/>
                      <w:kern w:val="0"/>
                      <w:sz w:val="20"/>
                      <w:szCs w:val="20"/>
                    </w:rPr>
                  </w:pPr>
                  <w:r>
                    <w:rPr>
                      <w:rFonts w:hint="eastAsia"/>
                      <w:sz w:val="20"/>
                      <w:szCs w:val="20"/>
                    </w:rPr>
                    <w:t>1.58</w:t>
                  </w:r>
                </w:p>
              </w:tc>
              <w:tc>
                <w:tcPr>
                  <w:tcW w:w="869" w:type="dxa"/>
                  <w:shd w:val="clear" w:color="auto" w:fill="auto"/>
                  <w:vAlign w:val="center"/>
                </w:tcPr>
                <w:p>
                  <w:pPr>
                    <w:widowControl/>
                    <w:jc w:val="center"/>
                    <w:rPr>
                      <w:rFonts w:cs="宋体"/>
                      <w:kern w:val="0"/>
                      <w:sz w:val="20"/>
                      <w:szCs w:val="20"/>
                    </w:rPr>
                  </w:pPr>
                  <w:r>
                    <w:rPr>
                      <w:rFonts w:hint="eastAsia"/>
                      <w:sz w:val="20"/>
                      <w:szCs w:val="20"/>
                    </w:rPr>
                    <w:t>3.77</w:t>
                  </w:r>
                </w:p>
              </w:tc>
              <w:tc>
                <w:tcPr>
                  <w:tcW w:w="869" w:type="dxa"/>
                  <w:shd w:val="clear" w:color="auto" w:fill="auto"/>
                  <w:vAlign w:val="center"/>
                </w:tcPr>
                <w:p>
                  <w:pPr>
                    <w:widowControl/>
                    <w:jc w:val="center"/>
                    <w:rPr>
                      <w:rFonts w:cs="宋体"/>
                      <w:kern w:val="0"/>
                      <w:sz w:val="20"/>
                      <w:szCs w:val="20"/>
                    </w:rPr>
                  </w:pPr>
                  <w:r>
                    <w:rPr>
                      <w:rFonts w:hint="eastAsia"/>
                      <w:sz w:val="20"/>
                      <w:szCs w:val="20"/>
                    </w:rPr>
                    <w:t>1.49</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4.55</w:t>
                  </w:r>
                </w:p>
              </w:tc>
              <w:tc>
                <w:tcPr>
                  <w:tcW w:w="870" w:type="dxa"/>
                  <w:shd w:val="clear" w:color="auto" w:fill="auto"/>
                  <w:vAlign w:val="center"/>
                </w:tcPr>
                <w:p>
                  <w:pPr>
                    <w:widowControl/>
                    <w:jc w:val="center"/>
                    <w:rPr>
                      <w:rFonts w:cs="宋体"/>
                      <w:kern w:val="0"/>
                      <w:sz w:val="20"/>
                      <w:szCs w:val="20"/>
                    </w:rPr>
                  </w:pPr>
                  <w:r>
                    <w:rPr>
                      <w:rFonts w:hint="eastAsia"/>
                      <w:sz w:val="20"/>
                      <w:szCs w:val="20"/>
                    </w:rPr>
                    <w:t>49.41</w:t>
                  </w:r>
                </w:p>
              </w:tc>
              <w:tc>
                <w:tcPr>
                  <w:tcW w:w="869" w:type="dxa"/>
                  <w:shd w:val="clear" w:color="auto" w:fill="auto"/>
                  <w:vAlign w:val="center"/>
                </w:tcPr>
                <w:p>
                  <w:pPr>
                    <w:widowControl/>
                    <w:jc w:val="center"/>
                    <w:rPr>
                      <w:rFonts w:cs="宋体"/>
                      <w:kern w:val="0"/>
                      <w:sz w:val="20"/>
                      <w:szCs w:val="20"/>
                    </w:rPr>
                  </w:pPr>
                  <w:r>
                    <w:rPr>
                      <w:rFonts w:hint="eastAsia"/>
                      <w:sz w:val="20"/>
                      <w:szCs w:val="20"/>
                    </w:rPr>
                    <w:t>60.8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continue"/>
                  <w:vAlign w:val="center"/>
                </w:tcPr>
                <w:p>
                  <w:pPr>
                    <w:widowControl/>
                    <w:jc w:val="left"/>
                    <w:rPr>
                      <w:rFonts w:cs="宋体"/>
                      <w:kern w:val="0"/>
                      <w:sz w:val="20"/>
                      <w:szCs w:val="20"/>
                    </w:rPr>
                  </w:pPr>
                </w:p>
              </w:tc>
              <w:tc>
                <w:tcPr>
                  <w:tcW w:w="952" w:type="dxa"/>
                  <w:shd w:val="clear" w:color="auto" w:fill="auto"/>
                  <w:vAlign w:val="center"/>
                </w:tcPr>
                <w:p>
                  <w:pPr>
                    <w:widowControl/>
                    <w:jc w:val="center"/>
                    <w:rPr>
                      <w:rFonts w:cs="宋体"/>
                      <w:kern w:val="0"/>
                      <w:sz w:val="20"/>
                      <w:szCs w:val="20"/>
                    </w:rPr>
                  </w:pPr>
                  <w:r>
                    <w:rPr>
                      <w:rFonts w:hint="eastAsia"/>
                      <w:sz w:val="20"/>
                      <w:szCs w:val="20"/>
                    </w:rPr>
                    <w:t>砂砾石</w:t>
                  </w:r>
                </w:p>
              </w:tc>
              <w:tc>
                <w:tcPr>
                  <w:tcW w:w="869" w:type="dxa"/>
                  <w:shd w:val="clear" w:color="auto" w:fill="auto"/>
                  <w:vAlign w:val="center"/>
                </w:tcPr>
                <w:p>
                  <w:pPr>
                    <w:widowControl/>
                    <w:jc w:val="center"/>
                    <w:rPr>
                      <w:rFonts w:cs="宋体"/>
                      <w:kern w:val="0"/>
                      <w:sz w:val="20"/>
                      <w:szCs w:val="20"/>
                    </w:rPr>
                  </w:pPr>
                  <w:r>
                    <w:rPr>
                      <w:rFonts w:hint="eastAsia"/>
                      <w:sz w:val="20"/>
                      <w:szCs w:val="20"/>
                    </w:rPr>
                    <w:t>4.38</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1.84</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70" w:type="dxa"/>
                  <w:shd w:val="clear" w:color="auto" w:fill="auto"/>
                  <w:vAlign w:val="center"/>
                </w:tcPr>
                <w:p>
                  <w:pPr>
                    <w:widowControl/>
                    <w:jc w:val="center"/>
                    <w:rPr>
                      <w:rFonts w:cs="宋体"/>
                      <w:kern w:val="0"/>
                      <w:sz w:val="20"/>
                      <w:szCs w:val="20"/>
                    </w:rPr>
                  </w:pPr>
                  <w:r>
                    <w:rPr>
                      <w:rFonts w:hint="eastAsia"/>
                      <w:sz w:val="20"/>
                      <w:szCs w:val="20"/>
                    </w:rPr>
                    <w:t>2.67</w:t>
                  </w:r>
                </w:p>
              </w:tc>
              <w:tc>
                <w:tcPr>
                  <w:tcW w:w="869" w:type="dxa"/>
                  <w:shd w:val="clear" w:color="auto" w:fill="auto"/>
                  <w:vAlign w:val="center"/>
                </w:tcPr>
                <w:p>
                  <w:pPr>
                    <w:widowControl/>
                    <w:jc w:val="center"/>
                    <w:rPr>
                      <w:rFonts w:cs="宋体"/>
                      <w:kern w:val="0"/>
                      <w:sz w:val="20"/>
                      <w:szCs w:val="20"/>
                    </w:rPr>
                  </w:pPr>
                  <w:r>
                    <w:rPr>
                      <w:rFonts w:hint="eastAsia"/>
                      <w:sz w:val="20"/>
                      <w:szCs w:val="20"/>
                    </w:rPr>
                    <w:t>8.88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continue"/>
                  <w:vAlign w:val="center"/>
                </w:tcPr>
                <w:p>
                  <w:pPr>
                    <w:widowControl/>
                    <w:jc w:val="left"/>
                    <w:rPr>
                      <w:rFonts w:cs="宋体"/>
                      <w:kern w:val="0"/>
                      <w:sz w:val="20"/>
                      <w:szCs w:val="20"/>
                    </w:rPr>
                  </w:pPr>
                </w:p>
              </w:tc>
              <w:tc>
                <w:tcPr>
                  <w:tcW w:w="952" w:type="dxa"/>
                  <w:shd w:val="clear" w:color="auto" w:fill="auto"/>
                  <w:vAlign w:val="center"/>
                </w:tcPr>
                <w:p>
                  <w:pPr>
                    <w:widowControl/>
                    <w:jc w:val="center"/>
                    <w:rPr>
                      <w:rFonts w:cs="宋体"/>
                      <w:kern w:val="0"/>
                      <w:sz w:val="20"/>
                      <w:szCs w:val="20"/>
                    </w:rPr>
                  </w:pPr>
                  <w:r>
                    <w:rPr>
                      <w:rFonts w:hint="eastAsia"/>
                      <w:sz w:val="20"/>
                      <w:szCs w:val="20"/>
                    </w:rPr>
                    <w:t>基岩</w:t>
                  </w:r>
                </w:p>
              </w:tc>
              <w:tc>
                <w:tcPr>
                  <w:tcW w:w="869" w:type="dxa"/>
                  <w:shd w:val="clear" w:color="auto" w:fill="auto"/>
                  <w:vAlign w:val="center"/>
                </w:tcPr>
                <w:p>
                  <w:pPr>
                    <w:widowControl/>
                    <w:jc w:val="center"/>
                    <w:rPr>
                      <w:rFonts w:cs="宋体"/>
                      <w:kern w:val="0"/>
                      <w:sz w:val="20"/>
                      <w:szCs w:val="20"/>
                    </w:rPr>
                  </w:pPr>
                  <w:r>
                    <w:rPr>
                      <w:rFonts w:hint="eastAsia"/>
                      <w:sz w:val="20"/>
                      <w:szCs w:val="20"/>
                    </w:rPr>
                    <w:t>1.45</w:t>
                  </w:r>
                </w:p>
              </w:tc>
              <w:tc>
                <w:tcPr>
                  <w:tcW w:w="869" w:type="dxa"/>
                  <w:shd w:val="clear" w:color="auto" w:fill="auto"/>
                  <w:vAlign w:val="center"/>
                </w:tcPr>
                <w:p>
                  <w:pPr>
                    <w:widowControl/>
                    <w:jc w:val="center"/>
                    <w:rPr>
                      <w:rFonts w:cs="宋体"/>
                      <w:kern w:val="0"/>
                      <w:sz w:val="20"/>
                      <w:szCs w:val="20"/>
                    </w:rPr>
                  </w:pPr>
                  <w:r>
                    <w:rPr>
                      <w:rFonts w:hint="eastAsia"/>
                      <w:sz w:val="20"/>
                      <w:szCs w:val="20"/>
                    </w:rPr>
                    <w:t>8.91</w:t>
                  </w:r>
                </w:p>
              </w:tc>
              <w:tc>
                <w:tcPr>
                  <w:tcW w:w="869" w:type="dxa"/>
                  <w:shd w:val="clear" w:color="auto" w:fill="auto"/>
                  <w:vAlign w:val="center"/>
                </w:tcPr>
                <w:p>
                  <w:pPr>
                    <w:widowControl/>
                    <w:jc w:val="center"/>
                    <w:rPr>
                      <w:rFonts w:cs="宋体"/>
                      <w:kern w:val="0"/>
                      <w:sz w:val="20"/>
                      <w:szCs w:val="20"/>
                    </w:rPr>
                  </w:pPr>
                  <w:r>
                    <w:rPr>
                      <w:rFonts w:hint="eastAsia"/>
                      <w:sz w:val="20"/>
                      <w:szCs w:val="20"/>
                    </w:rPr>
                    <w:t>0.89</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70" w:type="dxa"/>
                  <w:shd w:val="clear" w:color="auto" w:fill="auto"/>
                  <w:vAlign w:val="center"/>
                </w:tcPr>
                <w:p>
                  <w:pPr>
                    <w:widowControl/>
                    <w:jc w:val="center"/>
                    <w:rPr>
                      <w:rFonts w:cs="宋体"/>
                      <w:kern w:val="0"/>
                      <w:sz w:val="20"/>
                      <w:szCs w:val="20"/>
                    </w:rPr>
                  </w:pPr>
                  <w:r>
                    <w:rPr>
                      <w:rFonts w:hint="eastAsia"/>
                      <w:sz w:val="20"/>
                      <w:szCs w:val="20"/>
                    </w:rPr>
                    <w:t>5.34</w:t>
                  </w:r>
                </w:p>
              </w:tc>
              <w:tc>
                <w:tcPr>
                  <w:tcW w:w="869" w:type="dxa"/>
                  <w:shd w:val="clear" w:color="auto" w:fill="auto"/>
                  <w:vAlign w:val="center"/>
                </w:tcPr>
                <w:p>
                  <w:pPr>
                    <w:widowControl/>
                    <w:jc w:val="center"/>
                    <w:rPr>
                      <w:rFonts w:cs="宋体"/>
                      <w:kern w:val="0"/>
                      <w:sz w:val="20"/>
                      <w:szCs w:val="20"/>
                    </w:rPr>
                  </w:pPr>
                  <w:r>
                    <w:rPr>
                      <w:rFonts w:hint="eastAsia"/>
                      <w:sz w:val="20"/>
                      <w:szCs w:val="20"/>
                    </w:rPr>
                    <w:t>16.58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continue"/>
                  <w:vAlign w:val="center"/>
                </w:tcPr>
                <w:p>
                  <w:pPr>
                    <w:widowControl/>
                    <w:jc w:val="left"/>
                    <w:rPr>
                      <w:rFonts w:cs="宋体"/>
                      <w:kern w:val="0"/>
                      <w:sz w:val="20"/>
                      <w:szCs w:val="20"/>
                    </w:rPr>
                  </w:pPr>
                </w:p>
              </w:tc>
              <w:tc>
                <w:tcPr>
                  <w:tcW w:w="952" w:type="dxa"/>
                  <w:shd w:val="clear" w:color="auto" w:fill="auto"/>
                  <w:vAlign w:val="center"/>
                </w:tcPr>
                <w:p>
                  <w:pPr>
                    <w:widowControl/>
                    <w:jc w:val="center"/>
                    <w:rPr>
                      <w:rFonts w:cs="宋体"/>
                      <w:kern w:val="0"/>
                      <w:sz w:val="20"/>
                      <w:szCs w:val="20"/>
                    </w:rPr>
                  </w:pPr>
                  <w:r>
                    <w:rPr>
                      <w:rFonts w:hint="eastAsia"/>
                      <w:sz w:val="20"/>
                      <w:szCs w:val="20"/>
                    </w:rPr>
                    <w:t>小计</w:t>
                  </w:r>
                </w:p>
              </w:tc>
              <w:tc>
                <w:tcPr>
                  <w:tcW w:w="869" w:type="dxa"/>
                  <w:shd w:val="clear" w:color="auto" w:fill="auto"/>
                  <w:vAlign w:val="center"/>
                </w:tcPr>
                <w:p>
                  <w:pPr>
                    <w:widowControl/>
                    <w:jc w:val="center"/>
                    <w:rPr>
                      <w:rFonts w:cs="宋体"/>
                      <w:kern w:val="0"/>
                      <w:sz w:val="20"/>
                      <w:szCs w:val="20"/>
                    </w:rPr>
                  </w:pPr>
                  <w:r>
                    <w:rPr>
                      <w:rFonts w:hint="eastAsia"/>
                      <w:sz w:val="20"/>
                      <w:szCs w:val="20"/>
                    </w:rPr>
                    <w:t>8.61</w:t>
                  </w:r>
                </w:p>
              </w:tc>
              <w:tc>
                <w:tcPr>
                  <w:tcW w:w="869" w:type="dxa"/>
                  <w:shd w:val="clear" w:color="auto" w:fill="auto"/>
                  <w:vAlign w:val="center"/>
                </w:tcPr>
                <w:p>
                  <w:pPr>
                    <w:widowControl/>
                    <w:jc w:val="center"/>
                    <w:rPr>
                      <w:rFonts w:cs="宋体"/>
                      <w:kern w:val="0"/>
                      <w:sz w:val="20"/>
                      <w:szCs w:val="20"/>
                    </w:rPr>
                  </w:pPr>
                  <w:r>
                    <w:rPr>
                      <w:rFonts w:hint="eastAsia"/>
                      <w:sz w:val="20"/>
                      <w:szCs w:val="20"/>
                    </w:rPr>
                    <w:t>12.68</w:t>
                  </w:r>
                </w:p>
              </w:tc>
              <w:tc>
                <w:tcPr>
                  <w:tcW w:w="869" w:type="dxa"/>
                  <w:shd w:val="clear" w:color="auto" w:fill="auto"/>
                  <w:vAlign w:val="center"/>
                </w:tcPr>
                <w:p>
                  <w:pPr>
                    <w:widowControl/>
                    <w:jc w:val="center"/>
                    <w:rPr>
                      <w:rFonts w:cs="宋体"/>
                      <w:kern w:val="0"/>
                      <w:sz w:val="20"/>
                      <w:szCs w:val="20"/>
                    </w:rPr>
                  </w:pPr>
                  <w:r>
                    <w:rPr>
                      <w:rFonts w:hint="eastAsia"/>
                      <w:sz w:val="20"/>
                      <w:szCs w:val="20"/>
                    </w:rPr>
                    <w:t>2.37</w:t>
                  </w:r>
                </w:p>
              </w:tc>
              <w:tc>
                <w:tcPr>
                  <w:tcW w:w="869" w:type="dxa"/>
                  <w:shd w:val="clear" w:color="auto" w:fill="auto"/>
                  <w:vAlign w:val="center"/>
                </w:tcPr>
                <w:p>
                  <w:pPr>
                    <w:widowControl/>
                    <w:jc w:val="center"/>
                    <w:rPr>
                      <w:rFonts w:cs="宋体"/>
                      <w:kern w:val="0"/>
                      <w:sz w:val="20"/>
                      <w:szCs w:val="20"/>
                    </w:rPr>
                  </w:pPr>
                  <w:r>
                    <w:rPr>
                      <w:rFonts w:hint="eastAsia"/>
                      <w:sz w:val="20"/>
                      <w:szCs w:val="20"/>
                    </w:rPr>
                    <w:t>1.84</w:t>
                  </w:r>
                </w:p>
              </w:tc>
              <w:tc>
                <w:tcPr>
                  <w:tcW w:w="869" w:type="dxa"/>
                  <w:shd w:val="clear" w:color="auto" w:fill="auto"/>
                  <w:vAlign w:val="center"/>
                </w:tcPr>
                <w:p>
                  <w:pPr>
                    <w:widowControl/>
                    <w:jc w:val="center"/>
                    <w:rPr>
                      <w:rFonts w:cs="宋体"/>
                      <w:kern w:val="0"/>
                      <w:sz w:val="20"/>
                      <w:szCs w:val="20"/>
                    </w:rPr>
                  </w:pPr>
                  <w:r>
                    <w:rPr>
                      <w:rFonts w:hint="eastAsia"/>
                      <w:sz w:val="20"/>
                      <w:szCs w:val="20"/>
                    </w:rPr>
                    <w:t>4.55</w:t>
                  </w:r>
                </w:p>
              </w:tc>
              <w:tc>
                <w:tcPr>
                  <w:tcW w:w="870" w:type="dxa"/>
                  <w:shd w:val="clear" w:color="auto" w:fill="auto"/>
                  <w:vAlign w:val="center"/>
                </w:tcPr>
                <w:p>
                  <w:pPr>
                    <w:widowControl/>
                    <w:jc w:val="center"/>
                    <w:rPr>
                      <w:rFonts w:cs="宋体"/>
                      <w:kern w:val="0"/>
                      <w:sz w:val="20"/>
                      <w:szCs w:val="20"/>
                    </w:rPr>
                  </w:pPr>
                  <w:r>
                    <w:rPr>
                      <w:rFonts w:hint="eastAsia"/>
                      <w:sz w:val="20"/>
                      <w:szCs w:val="20"/>
                    </w:rPr>
                    <w:t>58.07</w:t>
                  </w:r>
                </w:p>
              </w:tc>
              <w:tc>
                <w:tcPr>
                  <w:tcW w:w="869" w:type="dxa"/>
                  <w:shd w:val="clear" w:color="auto" w:fill="auto"/>
                  <w:vAlign w:val="center"/>
                </w:tcPr>
                <w:p>
                  <w:pPr>
                    <w:widowControl/>
                    <w:jc w:val="center"/>
                    <w:rPr>
                      <w:rFonts w:cs="宋体"/>
                      <w:kern w:val="0"/>
                      <w:sz w:val="20"/>
                      <w:szCs w:val="20"/>
                    </w:rPr>
                  </w:pPr>
                  <w:r>
                    <w:rPr>
                      <w:rFonts w:hint="eastAsia"/>
                      <w:sz w:val="20"/>
                      <w:szCs w:val="20"/>
                    </w:rPr>
                    <w:t>88.12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restart"/>
                  <w:shd w:val="clear" w:color="auto" w:fill="auto"/>
                  <w:vAlign w:val="center"/>
                </w:tcPr>
                <w:p>
                  <w:pPr>
                    <w:widowControl/>
                    <w:jc w:val="center"/>
                    <w:rPr>
                      <w:rFonts w:cs="宋体"/>
                      <w:kern w:val="0"/>
                      <w:sz w:val="20"/>
                      <w:szCs w:val="20"/>
                    </w:rPr>
                  </w:pPr>
                  <w:r>
                    <w:rPr>
                      <w:rFonts w:hint="eastAsia" w:cs="宋体"/>
                      <w:kern w:val="0"/>
                      <w:sz w:val="20"/>
                      <w:szCs w:val="20"/>
                    </w:rPr>
                    <w:t>回填方</w:t>
                  </w:r>
                </w:p>
              </w:tc>
              <w:tc>
                <w:tcPr>
                  <w:tcW w:w="952" w:type="dxa"/>
                  <w:shd w:val="clear" w:color="auto" w:fill="auto"/>
                  <w:vAlign w:val="center"/>
                </w:tcPr>
                <w:p>
                  <w:pPr>
                    <w:widowControl/>
                    <w:jc w:val="center"/>
                    <w:rPr>
                      <w:rFonts w:cs="宋体"/>
                      <w:kern w:val="0"/>
                      <w:sz w:val="20"/>
                      <w:szCs w:val="20"/>
                    </w:rPr>
                  </w:pPr>
                  <w:r>
                    <w:rPr>
                      <w:rFonts w:hint="eastAsia"/>
                      <w:sz w:val="20"/>
                      <w:szCs w:val="20"/>
                    </w:rPr>
                    <w:t>土方</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70" w:type="dxa"/>
                  <w:shd w:val="clear" w:color="auto" w:fill="auto"/>
                  <w:vAlign w:val="center"/>
                </w:tcPr>
                <w:p>
                  <w:pPr>
                    <w:widowControl/>
                    <w:jc w:val="center"/>
                    <w:rPr>
                      <w:rFonts w:cs="宋体"/>
                      <w:kern w:val="0"/>
                      <w:sz w:val="20"/>
                      <w:szCs w:val="20"/>
                    </w:rPr>
                  </w:pPr>
                  <w:r>
                    <w:rPr>
                      <w:rFonts w:hint="eastAsia"/>
                      <w:sz w:val="20"/>
                      <w:szCs w:val="20"/>
                    </w:rPr>
                    <w:t>4.01</w:t>
                  </w:r>
                </w:p>
              </w:tc>
              <w:tc>
                <w:tcPr>
                  <w:tcW w:w="869" w:type="dxa"/>
                  <w:shd w:val="clear" w:color="auto" w:fill="auto"/>
                  <w:vAlign w:val="center"/>
                </w:tcPr>
                <w:p>
                  <w:pPr>
                    <w:widowControl/>
                    <w:jc w:val="center"/>
                    <w:rPr>
                      <w:rFonts w:cs="宋体"/>
                      <w:kern w:val="0"/>
                      <w:sz w:val="20"/>
                      <w:szCs w:val="20"/>
                    </w:rPr>
                  </w:pPr>
                  <w:r>
                    <w:rPr>
                      <w:rFonts w:hint="eastAsia"/>
                      <w:sz w:val="20"/>
                      <w:szCs w:val="20"/>
                    </w:rPr>
                    <w:t>4.01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continue"/>
                  <w:vAlign w:val="center"/>
                </w:tcPr>
                <w:p>
                  <w:pPr>
                    <w:widowControl/>
                    <w:jc w:val="left"/>
                    <w:rPr>
                      <w:rFonts w:cs="宋体"/>
                      <w:kern w:val="0"/>
                      <w:sz w:val="20"/>
                      <w:szCs w:val="20"/>
                    </w:rPr>
                  </w:pPr>
                </w:p>
              </w:tc>
              <w:tc>
                <w:tcPr>
                  <w:tcW w:w="952" w:type="dxa"/>
                  <w:shd w:val="clear" w:color="auto" w:fill="auto"/>
                  <w:vAlign w:val="center"/>
                </w:tcPr>
                <w:p>
                  <w:pPr>
                    <w:widowControl/>
                    <w:jc w:val="center"/>
                    <w:rPr>
                      <w:rFonts w:cs="宋体"/>
                      <w:kern w:val="0"/>
                      <w:sz w:val="20"/>
                      <w:szCs w:val="20"/>
                    </w:rPr>
                  </w:pPr>
                  <w:r>
                    <w:rPr>
                      <w:rFonts w:hint="eastAsia"/>
                      <w:sz w:val="20"/>
                      <w:szCs w:val="20"/>
                    </w:rPr>
                    <w:t>砂砾石</w:t>
                  </w:r>
                </w:p>
              </w:tc>
              <w:tc>
                <w:tcPr>
                  <w:tcW w:w="869" w:type="dxa"/>
                  <w:shd w:val="clear" w:color="auto" w:fill="auto"/>
                  <w:vAlign w:val="center"/>
                </w:tcPr>
                <w:p>
                  <w:pPr>
                    <w:widowControl/>
                    <w:jc w:val="center"/>
                    <w:rPr>
                      <w:rFonts w:cs="宋体"/>
                      <w:kern w:val="0"/>
                      <w:sz w:val="20"/>
                      <w:szCs w:val="20"/>
                    </w:rPr>
                  </w:pPr>
                  <w:r>
                    <w:rPr>
                      <w:rFonts w:hint="eastAsia"/>
                      <w:sz w:val="20"/>
                      <w:szCs w:val="20"/>
                    </w:rPr>
                    <w:t>34.29</w:t>
                  </w:r>
                </w:p>
              </w:tc>
              <w:tc>
                <w:tcPr>
                  <w:tcW w:w="869" w:type="dxa"/>
                  <w:shd w:val="clear" w:color="auto" w:fill="auto"/>
                  <w:vAlign w:val="center"/>
                </w:tcPr>
                <w:p>
                  <w:pPr>
                    <w:widowControl/>
                    <w:jc w:val="center"/>
                    <w:rPr>
                      <w:rFonts w:cs="宋体"/>
                      <w:kern w:val="0"/>
                      <w:sz w:val="20"/>
                      <w:szCs w:val="20"/>
                    </w:rPr>
                  </w:pPr>
                  <w:r>
                    <w:rPr>
                      <w:rFonts w:hint="eastAsia"/>
                      <w:sz w:val="20"/>
                      <w:szCs w:val="20"/>
                    </w:rPr>
                    <w:t>0.3</w:t>
                  </w:r>
                </w:p>
              </w:tc>
              <w:tc>
                <w:tcPr>
                  <w:tcW w:w="869" w:type="dxa"/>
                  <w:shd w:val="clear" w:color="auto" w:fill="auto"/>
                  <w:vAlign w:val="center"/>
                </w:tcPr>
                <w:p>
                  <w:pPr>
                    <w:widowControl/>
                    <w:jc w:val="center"/>
                    <w:rPr>
                      <w:rFonts w:cs="宋体"/>
                      <w:kern w:val="0"/>
                      <w:sz w:val="20"/>
                      <w:szCs w:val="20"/>
                    </w:rPr>
                  </w:pPr>
                  <w:r>
                    <w:rPr>
                      <w:rFonts w:hint="eastAsia"/>
                      <w:sz w:val="20"/>
                      <w:szCs w:val="20"/>
                    </w:rPr>
                    <w:t>0.21</w:t>
                  </w:r>
                </w:p>
              </w:tc>
              <w:tc>
                <w:tcPr>
                  <w:tcW w:w="869" w:type="dxa"/>
                  <w:shd w:val="clear" w:color="auto" w:fill="auto"/>
                  <w:vAlign w:val="center"/>
                </w:tcPr>
                <w:p>
                  <w:pPr>
                    <w:widowControl/>
                    <w:jc w:val="center"/>
                    <w:rPr>
                      <w:rFonts w:cs="宋体"/>
                      <w:kern w:val="0"/>
                      <w:sz w:val="20"/>
                      <w:szCs w:val="20"/>
                    </w:rPr>
                  </w:pPr>
                  <w:r>
                    <w:rPr>
                      <w:rFonts w:hint="eastAsia"/>
                      <w:sz w:val="20"/>
                      <w:szCs w:val="20"/>
                    </w:rPr>
                    <w:t>1.84</w:t>
                  </w:r>
                </w:p>
              </w:tc>
              <w:tc>
                <w:tcPr>
                  <w:tcW w:w="869" w:type="dxa"/>
                  <w:shd w:val="clear" w:color="auto" w:fill="auto"/>
                  <w:vAlign w:val="center"/>
                </w:tcPr>
                <w:p>
                  <w:pPr>
                    <w:widowControl/>
                    <w:jc w:val="center"/>
                    <w:rPr>
                      <w:rFonts w:cs="宋体"/>
                      <w:kern w:val="0"/>
                      <w:sz w:val="20"/>
                      <w:szCs w:val="20"/>
                    </w:rPr>
                  </w:pPr>
                  <w:r>
                    <w:rPr>
                      <w:rFonts w:hint="eastAsia"/>
                      <w:sz w:val="20"/>
                      <w:szCs w:val="20"/>
                    </w:rPr>
                    <w:t>0.2</w:t>
                  </w:r>
                </w:p>
              </w:tc>
              <w:tc>
                <w:tcPr>
                  <w:tcW w:w="870" w:type="dxa"/>
                  <w:shd w:val="clear" w:color="auto" w:fill="auto"/>
                  <w:vAlign w:val="center"/>
                </w:tcPr>
                <w:p>
                  <w:pPr>
                    <w:widowControl/>
                    <w:jc w:val="center"/>
                    <w:rPr>
                      <w:rFonts w:cs="宋体"/>
                      <w:kern w:val="0"/>
                      <w:sz w:val="20"/>
                      <w:szCs w:val="20"/>
                    </w:rPr>
                  </w:pPr>
                  <w:r>
                    <w:rPr>
                      <w:rFonts w:hint="eastAsia"/>
                      <w:sz w:val="20"/>
                      <w:szCs w:val="20"/>
                    </w:rPr>
                    <w:t>4.15</w:t>
                  </w:r>
                </w:p>
              </w:tc>
              <w:tc>
                <w:tcPr>
                  <w:tcW w:w="869" w:type="dxa"/>
                  <w:shd w:val="clear" w:color="auto" w:fill="auto"/>
                  <w:vAlign w:val="center"/>
                </w:tcPr>
                <w:p>
                  <w:pPr>
                    <w:widowControl/>
                    <w:jc w:val="center"/>
                    <w:rPr>
                      <w:rFonts w:cs="宋体"/>
                      <w:kern w:val="0"/>
                      <w:sz w:val="20"/>
                      <w:szCs w:val="20"/>
                    </w:rPr>
                  </w:pPr>
                  <w:r>
                    <w:rPr>
                      <w:rFonts w:hint="eastAsia"/>
                      <w:sz w:val="20"/>
                      <w:szCs w:val="20"/>
                    </w:rPr>
                    <w:t>40.98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continue"/>
                  <w:vAlign w:val="center"/>
                </w:tcPr>
                <w:p>
                  <w:pPr>
                    <w:widowControl/>
                    <w:jc w:val="left"/>
                    <w:rPr>
                      <w:rFonts w:cs="宋体"/>
                      <w:kern w:val="0"/>
                      <w:sz w:val="20"/>
                      <w:szCs w:val="20"/>
                    </w:rPr>
                  </w:pPr>
                </w:p>
              </w:tc>
              <w:tc>
                <w:tcPr>
                  <w:tcW w:w="952" w:type="dxa"/>
                  <w:shd w:val="clear" w:color="auto" w:fill="auto"/>
                  <w:vAlign w:val="center"/>
                </w:tcPr>
                <w:p>
                  <w:pPr>
                    <w:widowControl/>
                    <w:jc w:val="center"/>
                    <w:rPr>
                      <w:rFonts w:cs="宋体"/>
                      <w:kern w:val="0"/>
                      <w:sz w:val="20"/>
                      <w:szCs w:val="20"/>
                    </w:rPr>
                  </w:pPr>
                  <w:r>
                    <w:rPr>
                      <w:rFonts w:hint="eastAsia"/>
                      <w:sz w:val="20"/>
                      <w:szCs w:val="20"/>
                    </w:rPr>
                    <w:t>基岩</w:t>
                  </w:r>
                </w:p>
              </w:tc>
              <w:tc>
                <w:tcPr>
                  <w:tcW w:w="869" w:type="dxa"/>
                  <w:shd w:val="clear" w:color="auto" w:fill="auto"/>
                  <w:vAlign w:val="center"/>
                </w:tcPr>
                <w:p>
                  <w:pPr>
                    <w:widowControl/>
                    <w:jc w:val="center"/>
                    <w:rPr>
                      <w:rFonts w:cs="宋体"/>
                      <w:kern w:val="0"/>
                      <w:sz w:val="20"/>
                      <w:szCs w:val="20"/>
                    </w:rPr>
                  </w:pPr>
                  <w:r>
                    <w:rPr>
                      <w:rFonts w:hint="eastAsia"/>
                      <w:sz w:val="20"/>
                      <w:szCs w:val="20"/>
                    </w:rPr>
                    <w:t>5</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70"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vMerge w:val="continue"/>
                  <w:vAlign w:val="center"/>
                </w:tcPr>
                <w:p>
                  <w:pPr>
                    <w:widowControl/>
                    <w:jc w:val="left"/>
                    <w:rPr>
                      <w:rFonts w:cs="宋体"/>
                      <w:kern w:val="0"/>
                      <w:sz w:val="20"/>
                      <w:szCs w:val="20"/>
                    </w:rPr>
                  </w:pPr>
                </w:p>
              </w:tc>
              <w:tc>
                <w:tcPr>
                  <w:tcW w:w="952" w:type="dxa"/>
                  <w:shd w:val="clear" w:color="auto" w:fill="auto"/>
                  <w:vAlign w:val="center"/>
                </w:tcPr>
                <w:p>
                  <w:pPr>
                    <w:widowControl/>
                    <w:jc w:val="center"/>
                    <w:rPr>
                      <w:rFonts w:cs="宋体"/>
                      <w:kern w:val="0"/>
                      <w:sz w:val="20"/>
                      <w:szCs w:val="20"/>
                    </w:rPr>
                  </w:pPr>
                  <w:r>
                    <w:rPr>
                      <w:rFonts w:hint="eastAsia"/>
                      <w:sz w:val="20"/>
                      <w:szCs w:val="20"/>
                    </w:rPr>
                    <w:t>小计</w:t>
                  </w:r>
                </w:p>
              </w:tc>
              <w:tc>
                <w:tcPr>
                  <w:tcW w:w="869" w:type="dxa"/>
                  <w:shd w:val="clear" w:color="auto" w:fill="auto"/>
                  <w:vAlign w:val="center"/>
                </w:tcPr>
                <w:p>
                  <w:pPr>
                    <w:widowControl/>
                    <w:jc w:val="center"/>
                    <w:rPr>
                      <w:rFonts w:cs="宋体"/>
                      <w:kern w:val="0"/>
                      <w:sz w:val="20"/>
                      <w:szCs w:val="20"/>
                    </w:rPr>
                  </w:pPr>
                  <w:r>
                    <w:rPr>
                      <w:rFonts w:hint="eastAsia"/>
                      <w:sz w:val="20"/>
                      <w:szCs w:val="20"/>
                    </w:rPr>
                    <w:t>46.5</w:t>
                  </w:r>
                </w:p>
              </w:tc>
              <w:tc>
                <w:tcPr>
                  <w:tcW w:w="869" w:type="dxa"/>
                  <w:shd w:val="clear" w:color="auto" w:fill="auto"/>
                  <w:vAlign w:val="center"/>
                </w:tcPr>
                <w:p>
                  <w:pPr>
                    <w:widowControl/>
                    <w:jc w:val="center"/>
                    <w:rPr>
                      <w:rFonts w:cs="宋体"/>
                      <w:kern w:val="0"/>
                      <w:sz w:val="20"/>
                      <w:szCs w:val="20"/>
                    </w:rPr>
                  </w:pPr>
                  <w:r>
                    <w:rPr>
                      <w:rFonts w:hint="eastAsia"/>
                      <w:sz w:val="20"/>
                      <w:szCs w:val="20"/>
                    </w:rPr>
                    <w:t>0.24</w:t>
                  </w:r>
                </w:p>
              </w:tc>
              <w:tc>
                <w:tcPr>
                  <w:tcW w:w="869" w:type="dxa"/>
                  <w:shd w:val="clear" w:color="auto" w:fill="auto"/>
                  <w:vAlign w:val="center"/>
                </w:tcPr>
                <w:p>
                  <w:pPr>
                    <w:widowControl/>
                    <w:jc w:val="center"/>
                    <w:rPr>
                      <w:rFonts w:cs="宋体"/>
                      <w:kern w:val="0"/>
                      <w:sz w:val="20"/>
                      <w:szCs w:val="20"/>
                    </w:rPr>
                  </w:pPr>
                  <w:r>
                    <w:rPr>
                      <w:rFonts w:hint="eastAsia"/>
                      <w:sz w:val="20"/>
                      <w:szCs w:val="20"/>
                    </w:rPr>
                    <w:t>0.3</w:t>
                  </w:r>
                </w:p>
              </w:tc>
              <w:tc>
                <w:tcPr>
                  <w:tcW w:w="869" w:type="dxa"/>
                  <w:shd w:val="clear" w:color="auto" w:fill="auto"/>
                  <w:vAlign w:val="center"/>
                </w:tcPr>
                <w:p>
                  <w:pPr>
                    <w:widowControl/>
                    <w:jc w:val="center"/>
                    <w:rPr>
                      <w:rFonts w:cs="宋体"/>
                      <w:kern w:val="0"/>
                      <w:sz w:val="20"/>
                      <w:szCs w:val="20"/>
                    </w:rPr>
                  </w:pPr>
                  <w:r>
                    <w:rPr>
                      <w:rFonts w:hint="eastAsia"/>
                      <w:sz w:val="20"/>
                      <w:szCs w:val="20"/>
                    </w:rPr>
                    <w:t>1.92</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70" w:type="dxa"/>
                  <w:shd w:val="clear" w:color="auto" w:fill="auto"/>
                  <w:vAlign w:val="center"/>
                </w:tcPr>
                <w:p>
                  <w:pPr>
                    <w:widowControl/>
                    <w:jc w:val="center"/>
                    <w:rPr>
                      <w:rFonts w:cs="宋体"/>
                      <w:kern w:val="0"/>
                      <w:sz w:val="20"/>
                      <w:szCs w:val="20"/>
                    </w:rPr>
                  </w:pPr>
                  <w:r>
                    <w:rPr>
                      <w:rFonts w:hint="eastAsia"/>
                      <w:sz w:val="20"/>
                      <w:szCs w:val="20"/>
                    </w:rPr>
                    <w:t>9.83</w:t>
                  </w:r>
                </w:p>
              </w:tc>
              <w:tc>
                <w:tcPr>
                  <w:tcW w:w="869" w:type="dxa"/>
                  <w:shd w:val="clear" w:color="auto" w:fill="auto"/>
                  <w:vAlign w:val="center"/>
                </w:tcPr>
                <w:p>
                  <w:pPr>
                    <w:widowControl/>
                    <w:jc w:val="center"/>
                    <w:rPr>
                      <w:rFonts w:cs="宋体"/>
                      <w:kern w:val="0"/>
                      <w:sz w:val="20"/>
                      <w:szCs w:val="20"/>
                    </w:rPr>
                  </w:pPr>
                  <w:r>
                    <w:rPr>
                      <w:sz w:val="20"/>
                      <w:szCs w:val="20"/>
                    </w:rPr>
                    <w:t>49.99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shd w:val="clear" w:color="auto" w:fill="auto"/>
                  <w:vAlign w:val="center"/>
                </w:tcPr>
                <w:p>
                  <w:pPr>
                    <w:widowControl/>
                    <w:jc w:val="center"/>
                    <w:rPr>
                      <w:rFonts w:cs="宋体"/>
                      <w:kern w:val="0"/>
                      <w:sz w:val="20"/>
                      <w:szCs w:val="20"/>
                    </w:rPr>
                  </w:pPr>
                  <w:r>
                    <w:rPr>
                      <w:rFonts w:hint="eastAsia"/>
                      <w:sz w:val="20"/>
                      <w:szCs w:val="20"/>
                    </w:rPr>
                    <w:t>调入</w:t>
                  </w:r>
                </w:p>
              </w:tc>
              <w:tc>
                <w:tcPr>
                  <w:tcW w:w="952" w:type="dxa"/>
                  <w:shd w:val="clear" w:color="auto" w:fill="auto"/>
                  <w:vAlign w:val="center"/>
                </w:tcPr>
                <w:p>
                  <w:pPr>
                    <w:widowControl/>
                    <w:jc w:val="center"/>
                    <w:rPr>
                      <w:rFonts w:cs="宋体"/>
                      <w:kern w:val="0"/>
                      <w:sz w:val="20"/>
                      <w:szCs w:val="20"/>
                    </w:rPr>
                  </w:pPr>
                  <w:r>
                    <w:rPr>
                      <w:rFonts w:hint="eastAsia"/>
                      <w:sz w:val="20"/>
                      <w:szCs w:val="20"/>
                    </w:rPr>
                    <w:t>数量</w:t>
                  </w:r>
                </w:p>
              </w:tc>
              <w:tc>
                <w:tcPr>
                  <w:tcW w:w="869" w:type="dxa"/>
                  <w:shd w:val="clear" w:color="auto" w:fill="auto"/>
                  <w:vAlign w:val="center"/>
                </w:tcPr>
                <w:p>
                  <w:pPr>
                    <w:widowControl/>
                    <w:jc w:val="center"/>
                    <w:rPr>
                      <w:rFonts w:cs="宋体"/>
                      <w:kern w:val="0"/>
                      <w:sz w:val="20"/>
                      <w:szCs w:val="20"/>
                    </w:rPr>
                  </w:pPr>
                  <w:r>
                    <w:rPr>
                      <w:rFonts w:hint="eastAsia"/>
                      <w:sz w:val="20"/>
                      <w:szCs w:val="20"/>
                    </w:rPr>
                    <w:t>5</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70"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54" w:type="dxa"/>
                  <w:shd w:val="clear" w:color="auto" w:fill="auto"/>
                  <w:vAlign w:val="center"/>
                </w:tcPr>
                <w:p>
                  <w:pPr>
                    <w:widowControl/>
                    <w:jc w:val="center"/>
                    <w:rPr>
                      <w:rFonts w:cs="宋体"/>
                      <w:kern w:val="0"/>
                      <w:sz w:val="20"/>
                      <w:szCs w:val="20"/>
                    </w:rPr>
                  </w:pPr>
                  <w:r>
                    <w:rPr>
                      <w:rFonts w:hint="eastAsia"/>
                      <w:sz w:val="20"/>
                      <w:szCs w:val="20"/>
                    </w:rPr>
                    <w:t>调出</w:t>
                  </w:r>
                </w:p>
              </w:tc>
              <w:tc>
                <w:tcPr>
                  <w:tcW w:w="952" w:type="dxa"/>
                  <w:shd w:val="clear" w:color="auto" w:fill="auto"/>
                  <w:vAlign w:val="center"/>
                </w:tcPr>
                <w:p>
                  <w:pPr>
                    <w:widowControl/>
                    <w:jc w:val="center"/>
                    <w:rPr>
                      <w:rFonts w:cs="宋体"/>
                      <w:kern w:val="0"/>
                      <w:sz w:val="20"/>
                      <w:szCs w:val="20"/>
                    </w:rPr>
                  </w:pPr>
                  <w:r>
                    <w:rPr>
                      <w:rFonts w:hint="eastAsia"/>
                      <w:sz w:val="20"/>
                      <w:szCs w:val="20"/>
                    </w:rPr>
                    <w:t>数量</w:t>
                  </w:r>
                </w:p>
              </w:tc>
              <w:tc>
                <w:tcPr>
                  <w:tcW w:w="869" w:type="dxa"/>
                  <w:shd w:val="clear" w:color="auto" w:fill="auto"/>
                  <w:noWrap/>
                  <w:vAlign w:val="center"/>
                </w:tcPr>
                <w:p>
                  <w:pPr>
                    <w:widowControl/>
                    <w:jc w:val="left"/>
                    <w:rPr>
                      <w:rFonts w:cs="宋体"/>
                      <w:kern w:val="0"/>
                      <w:sz w:val="24"/>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5</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70"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shd w:val="clear" w:color="auto" w:fill="auto"/>
                  <w:vAlign w:val="center"/>
                </w:tcPr>
                <w:p>
                  <w:pPr>
                    <w:widowControl/>
                    <w:jc w:val="center"/>
                    <w:rPr>
                      <w:rFonts w:cs="宋体"/>
                      <w:kern w:val="0"/>
                      <w:sz w:val="20"/>
                      <w:szCs w:val="20"/>
                    </w:rPr>
                  </w:pPr>
                  <w:r>
                    <w:rPr>
                      <w:rFonts w:hint="eastAsia"/>
                      <w:sz w:val="20"/>
                      <w:szCs w:val="20"/>
                    </w:rPr>
                    <w:t>外借</w:t>
                  </w:r>
                </w:p>
              </w:tc>
              <w:tc>
                <w:tcPr>
                  <w:tcW w:w="952" w:type="dxa"/>
                  <w:shd w:val="clear" w:color="auto" w:fill="auto"/>
                  <w:vAlign w:val="center"/>
                </w:tcPr>
                <w:p>
                  <w:pPr>
                    <w:widowControl/>
                    <w:jc w:val="center"/>
                    <w:rPr>
                      <w:rFonts w:cs="宋体"/>
                      <w:kern w:val="0"/>
                      <w:sz w:val="20"/>
                      <w:szCs w:val="20"/>
                    </w:rPr>
                  </w:pPr>
                  <w:r>
                    <w:rPr>
                      <w:rFonts w:hint="eastAsia"/>
                      <w:sz w:val="20"/>
                      <w:szCs w:val="20"/>
                    </w:rPr>
                    <w:t>数量</w:t>
                  </w:r>
                </w:p>
              </w:tc>
              <w:tc>
                <w:tcPr>
                  <w:tcW w:w="869" w:type="dxa"/>
                  <w:shd w:val="clear" w:color="auto" w:fill="auto"/>
                  <w:vAlign w:val="center"/>
                </w:tcPr>
                <w:p>
                  <w:pPr>
                    <w:widowControl/>
                    <w:jc w:val="center"/>
                    <w:rPr>
                      <w:rFonts w:cs="宋体"/>
                      <w:kern w:val="0"/>
                      <w:sz w:val="20"/>
                      <w:szCs w:val="20"/>
                    </w:rPr>
                  </w:pPr>
                  <w:r>
                    <w:rPr>
                      <w:rFonts w:hint="eastAsia"/>
                      <w:sz w:val="20"/>
                      <w:szCs w:val="20"/>
                    </w:rPr>
                    <w:t>30.61</w:t>
                  </w:r>
                </w:p>
              </w:tc>
              <w:tc>
                <w:tcPr>
                  <w:tcW w:w="869" w:type="dxa"/>
                  <w:shd w:val="clear" w:color="auto" w:fill="auto"/>
                  <w:vAlign w:val="center"/>
                </w:tcPr>
                <w:p>
                  <w:pPr>
                    <w:widowControl/>
                    <w:jc w:val="center"/>
                    <w:rPr>
                      <w:rFonts w:cs="宋体"/>
                      <w:kern w:val="0"/>
                      <w:sz w:val="20"/>
                      <w:szCs w:val="20"/>
                    </w:rPr>
                  </w:pPr>
                  <w:r>
                    <w:rPr>
                      <w:rFonts w:hint="eastAsia"/>
                      <w:sz w:val="20"/>
                      <w:szCs w:val="20"/>
                    </w:rPr>
                    <w:t>0.3</w:t>
                  </w:r>
                </w:p>
              </w:tc>
              <w:tc>
                <w:tcPr>
                  <w:tcW w:w="869" w:type="dxa"/>
                  <w:shd w:val="clear" w:color="auto" w:fill="auto"/>
                  <w:vAlign w:val="center"/>
                </w:tcPr>
                <w:p>
                  <w:pPr>
                    <w:widowControl/>
                    <w:jc w:val="center"/>
                    <w:rPr>
                      <w:rFonts w:cs="宋体"/>
                      <w:kern w:val="0"/>
                      <w:sz w:val="20"/>
                      <w:szCs w:val="20"/>
                    </w:rPr>
                  </w:pPr>
                  <w:r>
                    <w:rPr>
                      <w:rFonts w:hint="eastAsia"/>
                      <w:sz w:val="20"/>
                      <w:szCs w:val="20"/>
                    </w:rPr>
                    <w:t>0.21</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0.2</w:t>
                  </w:r>
                </w:p>
              </w:tc>
              <w:tc>
                <w:tcPr>
                  <w:tcW w:w="870" w:type="dxa"/>
                  <w:shd w:val="clear" w:color="auto" w:fill="auto"/>
                  <w:vAlign w:val="center"/>
                </w:tcPr>
                <w:p>
                  <w:pPr>
                    <w:widowControl/>
                    <w:jc w:val="center"/>
                    <w:rPr>
                      <w:rFonts w:cs="宋体"/>
                      <w:kern w:val="0"/>
                      <w:sz w:val="20"/>
                      <w:szCs w:val="20"/>
                    </w:rPr>
                  </w:pPr>
                  <w:r>
                    <w:rPr>
                      <w:rFonts w:hint="eastAsia"/>
                      <w:sz w:val="20"/>
                      <w:szCs w:val="20"/>
                    </w:rPr>
                    <w:t>2.01</w:t>
                  </w:r>
                </w:p>
              </w:tc>
              <w:tc>
                <w:tcPr>
                  <w:tcW w:w="869" w:type="dxa"/>
                  <w:shd w:val="clear" w:color="auto" w:fill="auto"/>
                  <w:vAlign w:val="center"/>
                </w:tcPr>
                <w:p>
                  <w:pPr>
                    <w:widowControl/>
                    <w:jc w:val="center"/>
                    <w:rPr>
                      <w:rFonts w:cs="宋体"/>
                      <w:kern w:val="0"/>
                      <w:sz w:val="20"/>
                      <w:szCs w:val="20"/>
                    </w:rPr>
                  </w:pPr>
                  <w:r>
                    <w:rPr>
                      <w:rFonts w:hint="eastAsia"/>
                      <w:sz w:val="20"/>
                      <w:szCs w:val="20"/>
                    </w:rPr>
                    <w:t>33.33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954" w:type="dxa"/>
                  <w:shd w:val="clear" w:color="auto" w:fill="auto"/>
                  <w:vAlign w:val="center"/>
                </w:tcPr>
                <w:p>
                  <w:pPr>
                    <w:widowControl/>
                    <w:jc w:val="center"/>
                    <w:rPr>
                      <w:rFonts w:cs="宋体"/>
                      <w:kern w:val="0"/>
                      <w:sz w:val="20"/>
                      <w:szCs w:val="20"/>
                    </w:rPr>
                  </w:pPr>
                  <w:r>
                    <w:rPr>
                      <w:rFonts w:hint="eastAsia"/>
                      <w:sz w:val="20"/>
                      <w:szCs w:val="20"/>
                    </w:rPr>
                    <w:t>废弃</w:t>
                  </w:r>
                </w:p>
              </w:tc>
              <w:tc>
                <w:tcPr>
                  <w:tcW w:w="952" w:type="dxa"/>
                  <w:shd w:val="clear" w:color="auto" w:fill="auto"/>
                  <w:vAlign w:val="center"/>
                </w:tcPr>
                <w:p>
                  <w:pPr>
                    <w:widowControl/>
                    <w:jc w:val="center"/>
                    <w:rPr>
                      <w:rFonts w:cs="宋体"/>
                      <w:kern w:val="0"/>
                      <w:sz w:val="20"/>
                      <w:szCs w:val="20"/>
                    </w:rPr>
                  </w:pPr>
                  <w:r>
                    <w:rPr>
                      <w:rFonts w:hint="eastAsia"/>
                      <w:sz w:val="20"/>
                      <w:szCs w:val="20"/>
                    </w:rPr>
                    <w:t>数量</w:t>
                  </w:r>
                </w:p>
              </w:tc>
              <w:tc>
                <w:tcPr>
                  <w:tcW w:w="869" w:type="dxa"/>
                  <w:shd w:val="clear" w:color="auto" w:fill="auto"/>
                  <w:vAlign w:val="center"/>
                </w:tcPr>
                <w:p>
                  <w:pPr>
                    <w:widowControl/>
                    <w:jc w:val="center"/>
                    <w:rPr>
                      <w:rFonts w:cs="宋体"/>
                      <w:kern w:val="0"/>
                      <w:sz w:val="20"/>
                      <w:szCs w:val="20"/>
                    </w:rPr>
                  </w:pPr>
                  <w:r>
                    <w:rPr>
                      <w:rFonts w:hint="eastAsia"/>
                      <w:sz w:val="20"/>
                      <w:szCs w:val="20"/>
                    </w:rPr>
                    <w:t>4.93</w:t>
                  </w:r>
                </w:p>
              </w:tc>
              <w:tc>
                <w:tcPr>
                  <w:tcW w:w="869" w:type="dxa"/>
                  <w:shd w:val="clear" w:color="auto" w:fill="auto"/>
                  <w:vAlign w:val="center"/>
                </w:tcPr>
                <w:p>
                  <w:pPr>
                    <w:widowControl/>
                    <w:jc w:val="center"/>
                    <w:rPr>
                      <w:rFonts w:cs="宋体"/>
                      <w:kern w:val="0"/>
                      <w:sz w:val="20"/>
                      <w:szCs w:val="20"/>
                    </w:rPr>
                  </w:pPr>
                  <w:r>
                    <w:rPr>
                      <w:rFonts w:hint="eastAsia"/>
                      <w:sz w:val="20"/>
                      <w:szCs w:val="20"/>
                    </w:rPr>
                    <w:t>7.68</w:t>
                  </w:r>
                </w:p>
              </w:tc>
              <w:tc>
                <w:tcPr>
                  <w:tcW w:w="869" w:type="dxa"/>
                  <w:shd w:val="clear" w:color="auto" w:fill="auto"/>
                  <w:vAlign w:val="center"/>
                </w:tcPr>
                <w:p>
                  <w:pPr>
                    <w:widowControl/>
                    <w:jc w:val="center"/>
                    <w:rPr>
                      <w:rFonts w:cs="宋体"/>
                      <w:kern w:val="0"/>
                      <w:sz w:val="20"/>
                      <w:szCs w:val="20"/>
                    </w:rPr>
                  </w:pPr>
                  <w:r>
                    <w:rPr>
                      <w:rFonts w:hint="eastAsia"/>
                      <w:sz w:val="20"/>
                      <w:szCs w:val="20"/>
                    </w:rPr>
                    <w:t>2.37</w:t>
                  </w:r>
                </w:p>
              </w:tc>
              <w:tc>
                <w:tcPr>
                  <w:tcW w:w="869" w:type="dxa"/>
                  <w:shd w:val="clear" w:color="auto" w:fill="auto"/>
                  <w:vAlign w:val="center"/>
                </w:tcPr>
                <w:p>
                  <w:pPr>
                    <w:widowControl/>
                    <w:jc w:val="center"/>
                    <w:rPr>
                      <w:rFonts w:cs="宋体"/>
                      <w:kern w:val="0"/>
                      <w:sz w:val="20"/>
                      <w:szCs w:val="20"/>
                    </w:rPr>
                  </w:pPr>
                  <w:r>
                    <w:rPr>
                      <w:rFonts w:hint="eastAsia"/>
                      <w:sz w:val="20"/>
                      <w:szCs w:val="20"/>
                    </w:rPr>
                    <w:t>　</w:t>
                  </w:r>
                </w:p>
              </w:tc>
              <w:tc>
                <w:tcPr>
                  <w:tcW w:w="869" w:type="dxa"/>
                  <w:shd w:val="clear" w:color="auto" w:fill="auto"/>
                  <w:vAlign w:val="center"/>
                </w:tcPr>
                <w:p>
                  <w:pPr>
                    <w:widowControl/>
                    <w:jc w:val="center"/>
                    <w:rPr>
                      <w:rFonts w:cs="宋体"/>
                      <w:kern w:val="0"/>
                      <w:sz w:val="20"/>
                      <w:szCs w:val="20"/>
                    </w:rPr>
                  </w:pPr>
                  <w:r>
                    <w:rPr>
                      <w:rFonts w:hint="eastAsia"/>
                      <w:sz w:val="20"/>
                      <w:szCs w:val="20"/>
                    </w:rPr>
                    <w:t>4.55</w:t>
                  </w:r>
                </w:p>
              </w:tc>
              <w:tc>
                <w:tcPr>
                  <w:tcW w:w="870" w:type="dxa"/>
                  <w:shd w:val="clear" w:color="auto" w:fill="auto"/>
                  <w:vAlign w:val="center"/>
                </w:tcPr>
                <w:p>
                  <w:pPr>
                    <w:widowControl/>
                    <w:jc w:val="center"/>
                    <w:rPr>
                      <w:rFonts w:cs="宋体"/>
                      <w:kern w:val="0"/>
                      <w:sz w:val="20"/>
                      <w:szCs w:val="20"/>
                    </w:rPr>
                  </w:pPr>
                  <w:r>
                    <w:rPr>
                      <w:rFonts w:hint="eastAsia"/>
                      <w:sz w:val="20"/>
                      <w:szCs w:val="20"/>
                    </w:rPr>
                    <w:t>51.93</w:t>
                  </w:r>
                </w:p>
              </w:tc>
              <w:tc>
                <w:tcPr>
                  <w:tcW w:w="869" w:type="dxa"/>
                  <w:shd w:val="clear" w:color="auto" w:fill="auto"/>
                  <w:vAlign w:val="center"/>
                </w:tcPr>
                <w:p>
                  <w:pPr>
                    <w:widowControl/>
                    <w:jc w:val="center"/>
                    <w:rPr>
                      <w:rFonts w:cs="宋体"/>
                      <w:kern w:val="0"/>
                      <w:sz w:val="20"/>
                      <w:szCs w:val="20"/>
                    </w:rPr>
                  </w:pPr>
                  <w:r>
                    <w:rPr>
                      <w:rFonts w:hint="eastAsia"/>
                      <w:sz w:val="20"/>
                      <w:szCs w:val="20"/>
                    </w:rPr>
                    <w:t>71.47</w:t>
                  </w:r>
                </w:p>
              </w:tc>
            </w:tr>
          </w:tbl>
          <w:p>
            <w:pPr>
              <w:autoSpaceDE w:val="0"/>
              <w:autoSpaceDN w:val="0"/>
              <w:adjustRightInd w:val="0"/>
              <w:spacing w:line="360" w:lineRule="auto"/>
              <w:jc w:val="left"/>
              <w:rPr>
                <w:b/>
                <w:sz w:val="24"/>
              </w:rPr>
            </w:pPr>
          </w:p>
          <w:p>
            <w:pPr>
              <w:autoSpaceDE w:val="0"/>
              <w:autoSpaceDN w:val="0"/>
              <w:adjustRightInd w:val="0"/>
              <w:spacing w:line="360" w:lineRule="auto"/>
              <w:jc w:val="left"/>
              <w:rPr>
                <w:b/>
                <w:sz w:val="24"/>
              </w:rPr>
            </w:pPr>
            <w:r>
              <w:rPr>
                <w:rFonts w:hint="eastAsia"/>
                <w:b/>
                <w:sz w:val="24"/>
              </w:rPr>
              <w:t>六、移民安置</w:t>
            </w:r>
          </w:p>
          <w:p>
            <w:pPr>
              <w:pStyle w:val="63"/>
              <w:ind w:firstLine="480"/>
              <w:jc w:val="both"/>
              <w:rPr>
                <w:rFonts w:ascii="Times New Roman" w:hAnsi="Times New Roman"/>
                <w:lang w:eastAsia="zh-CN"/>
              </w:rPr>
            </w:pPr>
            <w:r>
              <w:rPr>
                <w:rStyle w:val="80"/>
              </w:rPr>
              <w:t>本工程建设永久征地范围内为</w:t>
            </w:r>
            <w:r>
              <w:rPr>
                <w:rStyle w:val="80"/>
                <w:rFonts w:hint="eastAsia"/>
                <w:lang w:eastAsia="zh-CN"/>
              </w:rPr>
              <w:t>耕地、</w:t>
            </w:r>
            <w:r>
              <w:rPr>
                <w:rStyle w:val="80"/>
                <w:lang w:eastAsia="zh-CN"/>
              </w:rPr>
              <w:t>林地、草地、水域及水利设施用</w:t>
            </w:r>
            <w:r>
              <w:rPr>
                <w:rStyle w:val="80"/>
                <w:rFonts w:hint="eastAsia"/>
                <w:lang w:eastAsia="zh-CN"/>
              </w:rPr>
              <w:t>地</w:t>
            </w:r>
            <w:r>
              <w:rPr>
                <w:rStyle w:val="80"/>
                <w:lang w:eastAsia="zh-CN"/>
              </w:rPr>
              <w:t>等</w:t>
            </w:r>
            <w:r>
              <w:rPr>
                <w:rStyle w:val="80"/>
              </w:rPr>
              <w:t>，</w:t>
            </w:r>
            <w:r>
              <w:rPr>
                <w:rStyle w:val="80"/>
                <w:rFonts w:hint="eastAsia"/>
              </w:rPr>
              <w:t>工程征占地涉及生产安置移民</w:t>
            </w:r>
            <w:r>
              <w:rPr>
                <w:rStyle w:val="80"/>
                <w:lang w:eastAsia="zh-CN"/>
              </w:rPr>
              <w:t>10</w:t>
            </w:r>
            <w:r>
              <w:rPr>
                <w:rStyle w:val="80"/>
                <w:rFonts w:hint="eastAsia"/>
              </w:rPr>
              <w:t>人</w:t>
            </w:r>
            <w:r>
              <w:rPr>
                <w:rStyle w:val="80"/>
                <w:rFonts w:hint="eastAsia"/>
                <w:lang w:eastAsia="zh-CN"/>
              </w:rPr>
              <w:t>，</w:t>
            </w:r>
            <w:r>
              <w:rPr>
                <w:rStyle w:val="80"/>
                <w:rFonts w:hint="eastAsia"/>
              </w:rPr>
              <w:t>采用</w:t>
            </w:r>
            <w:r>
              <w:rPr>
                <w:rStyle w:val="80"/>
                <w:rFonts w:hint="eastAsia"/>
                <w:lang w:eastAsia="zh-CN"/>
              </w:rPr>
              <w:t>一次性经济补偿</w:t>
            </w:r>
            <w:r>
              <w:rPr>
                <w:rStyle w:val="80"/>
                <w:rFonts w:hint="eastAsia"/>
              </w:rPr>
              <w:t>方式</w:t>
            </w:r>
            <w:r>
              <w:rPr>
                <w:rStyle w:val="80"/>
                <w:rFonts w:hint="eastAsia"/>
                <w:lang w:eastAsia="zh-CN"/>
              </w:rPr>
              <w:t>进行安置</w:t>
            </w:r>
            <w:r>
              <w:rPr>
                <w:rStyle w:val="80"/>
                <w:rFonts w:hint="eastAsia"/>
              </w:rPr>
              <w:t>；涉及搬迁安置牧民人口</w:t>
            </w:r>
            <w:r>
              <w:rPr>
                <w:rStyle w:val="80"/>
              </w:rPr>
              <w:t>14</w:t>
            </w:r>
            <w:r>
              <w:rPr>
                <w:rStyle w:val="80"/>
                <w:rFonts w:hint="eastAsia"/>
              </w:rPr>
              <w:t>户</w:t>
            </w:r>
            <w:r>
              <w:rPr>
                <w:rStyle w:val="80"/>
              </w:rPr>
              <w:t>48</w:t>
            </w:r>
            <w:r>
              <w:rPr>
                <w:rStyle w:val="80"/>
                <w:rFonts w:hint="eastAsia"/>
              </w:rPr>
              <w:t>人</w:t>
            </w:r>
            <w:r>
              <w:rPr>
                <w:rStyle w:val="80"/>
                <w:rFonts w:hint="eastAsia"/>
                <w:lang w:eastAsia="zh-CN"/>
              </w:rPr>
              <w:t>（包含2户9人</w:t>
            </w:r>
            <w:r>
              <w:rPr>
                <w:rStyle w:val="80"/>
                <w:lang w:eastAsia="zh-CN"/>
              </w:rPr>
              <w:t>非农业居民</w:t>
            </w:r>
            <w:r>
              <w:rPr>
                <w:rStyle w:val="80"/>
                <w:rFonts w:hint="eastAsia"/>
                <w:lang w:eastAsia="zh-CN"/>
              </w:rPr>
              <w:t>），全部搬迁至东城镇鸡心梁村3组</w:t>
            </w:r>
            <w:r>
              <w:rPr>
                <w:rFonts w:hint="eastAsia" w:ascii="Times New Roman" w:hAnsi="Times New Roman" w:cs="Times New Roman"/>
              </w:rPr>
              <w:t>；本次工程涉及交通运输设施、</w:t>
            </w:r>
            <w:r>
              <w:rPr>
                <w:rFonts w:hint="eastAsia" w:ascii="Times New Roman" w:hAnsi="Times New Roman" w:cs="Times New Roman"/>
                <w:lang w:eastAsia="zh-CN"/>
              </w:rPr>
              <w:t>输电线路</w:t>
            </w:r>
            <w:r>
              <w:rPr>
                <w:rFonts w:hint="eastAsia" w:ascii="Times New Roman" w:hAnsi="Times New Roman" w:cs="Times New Roman"/>
              </w:rPr>
              <w:t>设施</w:t>
            </w:r>
            <w:r>
              <w:rPr>
                <w:rFonts w:hint="eastAsia" w:ascii="Times New Roman" w:hAnsi="Times New Roman" w:cs="Times New Roman"/>
                <w:lang w:eastAsia="zh-CN"/>
              </w:rPr>
              <w:t>、</w:t>
            </w:r>
            <w:r>
              <w:rPr>
                <w:rFonts w:ascii="Times New Roman" w:hAnsi="Times New Roman" w:cs="Times New Roman"/>
                <w:lang w:eastAsia="zh-CN"/>
              </w:rPr>
              <w:t>通讯线路设施</w:t>
            </w:r>
            <w:r>
              <w:rPr>
                <w:rFonts w:hint="eastAsia" w:ascii="Times New Roman" w:hAnsi="Times New Roman" w:cs="Times New Roman"/>
                <w:lang w:eastAsia="zh-CN"/>
              </w:rPr>
              <w:t>、</w:t>
            </w:r>
            <w:r>
              <w:rPr>
                <w:rFonts w:ascii="Times New Roman" w:hAnsi="Times New Roman" w:cs="Times New Roman"/>
                <w:lang w:eastAsia="zh-CN"/>
              </w:rPr>
              <w:t>人饮</w:t>
            </w:r>
            <w:r>
              <w:rPr>
                <w:rFonts w:hint="eastAsia" w:ascii="Times New Roman" w:hAnsi="Times New Roman" w:cs="Times New Roman"/>
                <w:lang w:eastAsia="zh-CN"/>
              </w:rPr>
              <w:t>供</w:t>
            </w:r>
            <w:r>
              <w:rPr>
                <w:rFonts w:ascii="Times New Roman" w:hAnsi="Times New Roman" w:cs="Times New Roman"/>
                <w:lang w:eastAsia="zh-CN"/>
              </w:rPr>
              <w:t>水工程</w:t>
            </w:r>
            <w:r>
              <w:rPr>
                <w:rFonts w:hint="eastAsia" w:ascii="Times New Roman" w:hAnsi="Times New Roman" w:cs="Times New Roman"/>
              </w:rPr>
              <w:t>的改复建</w:t>
            </w:r>
            <w:r>
              <w:rPr>
                <w:rFonts w:hint="eastAsia" w:ascii="Times New Roman" w:hAnsi="Times New Roman" w:cs="Times New Roman"/>
                <w:lang w:eastAsia="zh-CN"/>
              </w:rPr>
              <w:t>，</w:t>
            </w:r>
            <w:r>
              <w:rPr>
                <w:rFonts w:ascii="Times New Roman" w:hAnsi="Times New Roman" w:cs="Times New Roman"/>
                <w:lang w:eastAsia="zh-CN"/>
              </w:rPr>
              <w:t>其中恢复道路</w:t>
            </w:r>
            <w:r>
              <w:rPr>
                <w:rFonts w:hint="eastAsia" w:ascii="Times New Roman" w:hAnsi="Times New Roman" w:cs="Times New Roman"/>
                <w:lang w:eastAsia="zh-CN"/>
              </w:rPr>
              <w:t>2.1</w:t>
            </w:r>
            <w:r>
              <w:rPr>
                <w:rFonts w:ascii="Times New Roman" w:hAnsi="Times New Roman" w:cs="Times New Roman"/>
                <w:lang w:eastAsia="zh-CN"/>
              </w:rPr>
              <w:t>km，恢复输电线路</w:t>
            </w:r>
            <w:r>
              <w:rPr>
                <w:rFonts w:hint="eastAsia" w:ascii="Times New Roman" w:hAnsi="Times New Roman" w:cs="Times New Roman"/>
                <w:lang w:eastAsia="zh-CN"/>
              </w:rPr>
              <w:t>2.1</w:t>
            </w:r>
            <w:r>
              <w:rPr>
                <w:rFonts w:ascii="Times New Roman" w:hAnsi="Times New Roman" w:cs="Times New Roman"/>
                <w:lang w:eastAsia="zh-CN"/>
              </w:rPr>
              <w:t>km，恢复输电线</w:t>
            </w:r>
            <w:r>
              <w:rPr>
                <w:rFonts w:hint="eastAsia" w:ascii="Times New Roman" w:hAnsi="Times New Roman" w:cs="Times New Roman"/>
                <w:lang w:eastAsia="zh-CN"/>
              </w:rPr>
              <w:t>路</w:t>
            </w:r>
            <w:r>
              <w:rPr>
                <w:rFonts w:ascii="Times New Roman" w:hAnsi="Times New Roman" w:cs="Times New Roman"/>
                <w:lang w:eastAsia="zh-CN"/>
              </w:rPr>
              <w:t>2.35km</w:t>
            </w:r>
            <w:r>
              <w:rPr>
                <w:rFonts w:hint="eastAsia" w:ascii="Times New Roman" w:hAnsi="Times New Roman" w:cs="Times New Roman"/>
                <w:lang w:eastAsia="zh-CN"/>
              </w:rPr>
              <w:t>，恢复</w:t>
            </w:r>
            <w:r>
              <w:rPr>
                <w:rFonts w:ascii="Times New Roman" w:hAnsi="Times New Roman" w:cs="Times New Roman"/>
                <w:lang w:eastAsia="zh-CN"/>
              </w:rPr>
              <w:t>改建人饮供水工程</w:t>
            </w:r>
            <w:r>
              <w:rPr>
                <w:rFonts w:hint="eastAsia" w:ascii="Times New Roman" w:hAnsi="Times New Roman" w:cs="Times New Roman"/>
                <w:lang w:eastAsia="zh-CN"/>
              </w:rPr>
              <w:t>1处</w:t>
            </w:r>
            <w:r>
              <w:rPr>
                <w:rFonts w:hint="eastAsia" w:ascii="Times New Roman" w:hAnsi="Times New Roman"/>
              </w:rPr>
              <w:t>。</w:t>
            </w:r>
          </w:p>
          <w:p>
            <w:pPr>
              <w:autoSpaceDE w:val="0"/>
              <w:autoSpaceDN w:val="0"/>
              <w:adjustRightInd w:val="0"/>
              <w:spacing w:line="360" w:lineRule="auto"/>
              <w:jc w:val="left"/>
              <w:rPr>
                <w:b/>
                <w:sz w:val="24"/>
              </w:rPr>
            </w:pPr>
            <w:r>
              <w:rPr>
                <w:rFonts w:hint="eastAsia"/>
                <w:b/>
                <w:sz w:val="24"/>
              </w:rPr>
              <w:t>七、水库调度运行方式</w:t>
            </w:r>
          </w:p>
          <w:p>
            <w:pPr>
              <w:pStyle w:val="45"/>
              <w:spacing w:before="120"/>
              <w:ind w:firstLine="480"/>
              <w:rPr>
                <w:rStyle w:val="80"/>
              </w:rPr>
            </w:pPr>
            <w:r>
              <w:rPr>
                <w:rStyle w:val="80"/>
                <w:rFonts w:hint="eastAsia"/>
              </w:rPr>
              <w:t>红山嘴</w:t>
            </w:r>
            <w:r>
              <w:rPr>
                <w:rStyle w:val="80"/>
              </w:rPr>
              <w:t>水库工程</w:t>
            </w:r>
            <w:r>
              <w:rPr>
                <w:rStyle w:val="80"/>
                <w:rFonts w:hint="eastAsia"/>
              </w:rPr>
              <w:t>为</w:t>
            </w:r>
            <w:r>
              <w:rPr>
                <w:rStyle w:val="80"/>
              </w:rPr>
              <w:t>山区控制性水库，</w:t>
            </w:r>
            <w:r>
              <w:rPr>
                <w:rStyle w:val="80"/>
                <w:rFonts w:hint="eastAsia"/>
              </w:rPr>
              <w:t>以人畜饮水及工业供水为主，农业供水为次，兼顾排沙要求。</w:t>
            </w:r>
          </w:p>
          <w:p>
            <w:pPr>
              <w:snapToGrid w:val="0"/>
              <w:spacing w:line="360" w:lineRule="auto"/>
              <w:ind w:firstLine="480" w:firstLineChars="200"/>
              <w:rPr>
                <w:rStyle w:val="80"/>
                <w:bCs/>
              </w:rPr>
            </w:pPr>
            <w:r>
              <w:rPr>
                <w:rFonts w:hint="eastAsia"/>
                <w:bCs/>
                <w:sz w:val="24"/>
              </w:rPr>
              <w:t>拟定水库第一年10月至第二年4月为蓄水期，4月底水库蓄水至正常高水位（85%保证率来水量）。5月～9月为供水期，9月底库水位接近死水位</w:t>
            </w:r>
            <w:r>
              <w:rPr>
                <w:rStyle w:val="80"/>
              </w:rPr>
              <w:t>。</w:t>
            </w:r>
          </w:p>
          <w:p>
            <w:pPr>
              <w:adjustRightInd w:val="0"/>
              <w:snapToGrid w:val="0"/>
              <w:spacing w:line="360" w:lineRule="auto"/>
              <w:rPr>
                <w:b/>
                <w:sz w:val="24"/>
              </w:rPr>
            </w:pPr>
            <w:r>
              <w:rPr>
                <w:rFonts w:hint="eastAsia"/>
                <w:b/>
                <w:sz w:val="24"/>
              </w:rPr>
              <w:t>八、</w:t>
            </w:r>
            <w:r>
              <w:rPr>
                <w:rFonts w:hint="eastAsia" w:hAnsi="宋体"/>
                <w:b/>
                <w:sz w:val="24"/>
              </w:rPr>
              <w:t>工程总投资及劳动定员</w:t>
            </w:r>
          </w:p>
          <w:p>
            <w:pPr>
              <w:autoSpaceDE w:val="0"/>
              <w:autoSpaceDN w:val="0"/>
              <w:adjustRightInd w:val="0"/>
              <w:snapToGrid w:val="0"/>
              <w:spacing w:line="360" w:lineRule="auto"/>
              <w:ind w:firstLine="480" w:firstLineChars="200"/>
              <w:rPr>
                <w:kern w:val="0"/>
                <w:sz w:val="24"/>
              </w:rPr>
            </w:pPr>
            <w:r>
              <w:rPr>
                <w:rFonts w:hint="eastAsia"/>
                <w:kern w:val="0"/>
                <w:sz w:val="24"/>
              </w:rPr>
              <w:t>本工程总投资</w:t>
            </w:r>
            <w:r>
              <w:rPr>
                <w:sz w:val="24"/>
              </w:rPr>
              <w:t>21100.18</w:t>
            </w:r>
            <w:r>
              <w:rPr>
                <w:rFonts w:hint="eastAsia"/>
                <w:kern w:val="0"/>
                <w:sz w:val="24"/>
              </w:rPr>
              <w:t>万元，拟定资金筹措</w:t>
            </w:r>
            <w:r>
              <w:rPr>
                <w:kern w:val="0"/>
                <w:sz w:val="24"/>
              </w:rPr>
              <w:t>计划为</w:t>
            </w:r>
            <w:r>
              <w:rPr>
                <w:rFonts w:hint="eastAsia"/>
                <w:kern w:val="0"/>
                <w:sz w:val="24"/>
              </w:rPr>
              <w:t>本工程资金50%申请国家财政资金，50%地方财政自筹解决。。</w:t>
            </w:r>
          </w:p>
          <w:p>
            <w:pPr>
              <w:snapToGrid w:val="0"/>
              <w:spacing w:line="360" w:lineRule="auto"/>
              <w:ind w:firstLine="480" w:firstLineChars="200"/>
              <w:rPr>
                <w:kern w:val="0"/>
                <w:sz w:val="24"/>
                <w:lang w:val="zh-CN"/>
              </w:rPr>
            </w:pPr>
            <w:r>
              <w:rPr>
                <w:kern w:val="0"/>
                <w:sz w:val="24"/>
                <w:lang w:val="zh-CN"/>
              </w:rPr>
              <w:t>本工程岗位定员为9人，其中单位负责、管理岗位5人，运行、</w:t>
            </w:r>
            <w:r>
              <w:rPr>
                <w:rFonts w:hint="eastAsia"/>
                <w:kern w:val="0"/>
                <w:sz w:val="24"/>
                <w:lang w:val="zh-CN"/>
              </w:rPr>
              <w:t>观测</w:t>
            </w:r>
            <w:r>
              <w:rPr>
                <w:kern w:val="0"/>
                <w:sz w:val="24"/>
                <w:lang w:val="zh-CN"/>
              </w:rPr>
              <w:t>人员2人，辅助人员2人。</w:t>
            </w:r>
          </w:p>
          <w:p>
            <w:pPr>
              <w:snapToGrid w:val="0"/>
              <w:spacing w:line="360" w:lineRule="auto"/>
              <w:ind w:firstLine="480" w:firstLineChars="200"/>
              <w:rPr>
                <w:kern w:val="0"/>
                <w:sz w:val="24"/>
                <w:lang w:val="zh-CN"/>
              </w:rPr>
            </w:pPr>
            <w:r>
              <w:rPr>
                <w:rFonts w:hAnsi="宋体"/>
                <w:sz w:val="24"/>
              </w:rPr>
              <w:t>工程特性表见表</w:t>
            </w:r>
            <w:r>
              <w:rPr>
                <w:rFonts w:hint="eastAsia"/>
                <w:sz w:val="24"/>
              </w:rPr>
              <w:t>5</w:t>
            </w:r>
            <w:r>
              <w:rPr>
                <w:rFonts w:hAnsi="宋体"/>
                <w:sz w:val="24"/>
              </w:rPr>
              <w:t>。</w:t>
            </w:r>
          </w:p>
          <w:p>
            <w:pPr>
              <w:snapToGrid w:val="0"/>
              <w:jc w:val="left"/>
              <w:rPr>
                <w:rFonts w:ascii="黑体" w:hAnsi="黑体" w:eastAsia="黑体"/>
                <w:bCs/>
                <w:sz w:val="24"/>
                <w:szCs w:val="21"/>
              </w:rPr>
            </w:pPr>
            <w:r>
              <w:rPr>
                <w:rFonts w:hint="eastAsia" w:ascii="黑体" w:hAnsi="黑体" w:eastAsia="黑体"/>
                <w:sz w:val="24"/>
                <w:szCs w:val="21"/>
              </w:rPr>
              <w:t>表</w:t>
            </w:r>
            <w:r>
              <w:rPr>
                <w:rFonts w:eastAsia="黑体"/>
                <w:sz w:val="24"/>
                <w:szCs w:val="21"/>
              </w:rPr>
              <w:t>5</w:t>
            </w:r>
            <w:r>
              <w:rPr>
                <w:rFonts w:hint="eastAsia" w:ascii="黑体" w:hAnsi="黑体" w:eastAsia="黑体"/>
                <w:sz w:val="24"/>
                <w:szCs w:val="21"/>
              </w:rPr>
              <w:t xml:space="preserve"> </w:t>
            </w:r>
            <w:r>
              <w:rPr>
                <w:rFonts w:ascii="黑体" w:hAnsi="黑体" w:eastAsia="黑体"/>
                <w:sz w:val="24"/>
                <w:szCs w:val="21"/>
              </w:rPr>
              <w:t xml:space="preserve">                  </w:t>
            </w:r>
            <w:r>
              <w:rPr>
                <w:rFonts w:hint="eastAsia" w:ascii="黑体" w:hAnsi="黑体" w:eastAsia="黑体"/>
                <w:sz w:val="24"/>
                <w:szCs w:val="21"/>
              </w:rPr>
              <w:t xml:space="preserve"> </w:t>
            </w:r>
            <w:r>
              <w:rPr>
                <w:rFonts w:hint="eastAsia" w:ascii="黑体" w:hAnsi="黑体" w:eastAsia="黑体"/>
                <w:bCs/>
                <w:sz w:val="24"/>
                <w:szCs w:val="21"/>
              </w:rPr>
              <w:t>红山嘴水库</w:t>
            </w:r>
            <w:r>
              <w:rPr>
                <w:rFonts w:ascii="黑体" w:hAnsi="黑体" w:eastAsia="黑体"/>
                <w:bCs/>
                <w:sz w:val="24"/>
                <w:szCs w:val="21"/>
              </w:rPr>
              <w:t>工程特性表</w:t>
            </w:r>
          </w:p>
          <w:tbl>
            <w:tblPr>
              <w:tblStyle w:val="21"/>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7"/>
              <w:gridCol w:w="729"/>
              <w:gridCol w:w="1914"/>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blHeader/>
              </w:trPr>
              <w:tc>
                <w:tcPr>
                  <w:tcW w:w="3067" w:type="dxa"/>
                  <w:vAlign w:val="center"/>
                </w:tcPr>
                <w:p>
                  <w:pPr>
                    <w:jc w:val="center"/>
                    <w:rPr>
                      <w:sz w:val="18"/>
                      <w:szCs w:val="21"/>
                    </w:rPr>
                  </w:pPr>
                  <w:r>
                    <w:rPr>
                      <w:sz w:val="18"/>
                      <w:szCs w:val="21"/>
                    </w:rPr>
                    <w:t>序号及名称</w:t>
                  </w:r>
                </w:p>
              </w:tc>
              <w:tc>
                <w:tcPr>
                  <w:tcW w:w="729" w:type="dxa"/>
                  <w:vAlign w:val="center"/>
                </w:tcPr>
                <w:p>
                  <w:pPr>
                    <w:jc w:val="center"/>
                    <w:rPr>
                      <w:sz w:val="18"/>
                      <w:szCs w:val="21"/>
                    </w:rPr>
                  </w:pPr>
                  <w:r>
                    <w:rPr>
                      <w:sz w:val="18"/>
                      <w:szCs w:val="21"/>
                    </w:rPr>
                    <w:t>单位</w:t>
                  </w:r>
                </w:p>
              </w:tc>
              <w:tc>
                <w:tcPr>
                  <w:tcW w:w="1914" w:type="dxa"/>
                  <w:vAlign w:val="center"/>
                </w:tcPr>
                <w:p>
                  <w:pPr>
                    <w:jc w:val="center"/>
                    <w:rPr>
                      <w:sz w:val="18"/>
                      <w:szCs w:val="21"/>
                    </w:rPr>
                  </w:pPr>
                  <w:r>
                    <w:rPr>
                      <w:sz w:val="18"/>
                      <w:szCs w:val="21"/>
                    </w:rPr>
                    <w:t>数量及规格</w:t>
                  </w:r>
                </w:p>
              </w:tc>
              <w:tc>
                <w:tcPr>
                  <w:tcW w:w="2280" w:type="dxa"/>
                  <w:vAlign w:val="center"/>
                </w:tcPr>
                <w:p>
                  <w:pPr>
                    <w:jc w:val="center"/>
                    <w:rPr>
                      <w:sz w:val="18"/>
                      <w:szCs w:val="21"/>
                    </w:rPr>
                  </w:pPr>
                  <w:r>
                    <w:rPr>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90" w:type="dxa"/>
                  <w:gridSpan w:val="4"/>
                  <w:vAlign w:val="center"/>
                </w:tcPr>
                <w:p>
                  <w:pPr>
                    <w:rPr>
                      <w:b/>
                      <w:sz w:val="18"/>
                      <w:szCs w:val="21"/>
                    </w:rPr>
                  </w:pPr>
                  <w:r>
                    <w:rPr>
                      <w:b/>
                      <w:sz w:val="18"/>
                      <w:szCs w:val="21"/>
                    </w:rPr>
                    <w:t>一、水文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1. 流域面积</w:t>
                  </w:r>
                </w:p>
              </w:tc>
              <w:tc>
                <w:tcPr>
                  <w:tcW w:w="729" w:type="dxa"/>
                  <w:vAlign w:val="center"/>
                </w:tcPr>
                <w:p>
                  <w:pPr>
                    <w:jc w:val="center"/>
                    <w:rPr>
                      <w:sz w:val="18"/>
                      <w:szCs w:val="21"/>
                    </w:rPr>
                  </w:pPr>
                </w:p>
              </w:tc>
              <w:tc>
                <w:tcPr>
                  <w:tcW w:w="1914" w:type="dxa"/>
                  <w:vAlign w:val="center"/>
                </w:tcPr>
                <w:p>
                  <w:pPr>
                    <w:jc w:val="center"/>
                    <w:rPr>
                      <w:sz w:val="18"/>
                      <w:szCs w:val="21"/>
                    </w:rPr>
                  </w:pP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全流域</w:t>
                  </w:r>
                </w:p>
              </w:tc>
              <w:tc>
                <w:tcPr>
                  <w:tcW w:w="729" w:type="dxa"/>
                  <w:vAlign w:val="center"/>
                </w:tcPr>
                <w:p>
                  <w:pPr>
                    <w:jc w:val="center"/>
                    <w:rPr>
                      <w:sz w:val="18"/>
                      <w:szCs w:val="21"/>
                    </w:rPr>
                  </w:pPr>
                  <w:r>
                    <w:rPr>
                      <w:sz w:val="18"/>
                      <w:szCs w:val="21"/>
                    </w:rPr>
                    <w:t>km</w:t>
                  </w:r>
                  <w:r>
                    <w:rPr>
                      <w:sz w:val="18"/>
                      <w:szCs w:val="21"/>
                      <w:vertAlign w:val="superscript"/>
                    </w:rPr>
                    <w:t>2</w:t>
                  </w:r>
                </w:p>
              </w:tc>
              <w:tc>
                <w:tcPr>
                  <w:tcW w:w="1914" w:type="dxa"/>
                  <w:shd w:val="clear" w:color="auto" w:fill="auto"/>
                  <w:vAlign w:val="center"/>
                </w:tcPr>
                <w:p>
                  <w:pPr>
                    <w:jc w:val="center"/>
                    <w:rPr>
                      <w:sz w:val="18"/>
                      <w:szCs w:val="21"/>
                    </w:rPr>
                  </w:pPr>
                  <w:r>
                    <w:rPr>
                      <w:sz w:val="18"/>
                      <w:szCs w:val="21"/>
                    </w:rPr>
                    <w:t>265.32</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坝址以上</w:t>
                  </w:r>
                </w:p>
              </w:tc>
              <w:tc>
                <w:tcPr>
                  <w:tcW w:w="729" w:type="dxa"/>
                  <w:vAlign w:val="center"/>
                </w:tcPr>
                <w:p>
                  <w:pPr>
                    <w:jc w:val="center"/>
                    <w:rPr>
                      <w:sz w:val="18"/>
                      <w:szCs w:val="21"/>
                    </w:rPr>
                  </w:pPr>
                  <w:r>
                    <w:rPr>
                      <w:sz w:val="18"/>
                      <w:szCs w:val="21"/>
                    </w:rPr>
                    <w:t>km</w:t>
                  </w:r>
                  <w:r>
                    <w:rPr>
                      <w:sz w:val="18"/>
                      <w:szCs w:val="21"/>
                      <w:vertAlign w:val="superscript"/>
                    </w:rPr>
                    <w:t>2</w:t>
                  </w:r>
                </w:p>
              </w:tc>
              <w:tc>
                <w:tcPr>
                  <w:tcW w:w="1914" w:type="dxa"/>
                  <w:shd w:val="clear" w:color="auto" w:fill="auto"/>
                  <w:vAlign w:val="center"/>
                </w:tcPr>
                <w:p>
                  <w:pPr>
                    <w:jc w:val="center"/>
                    <w:rPr>
                      <w:sz w:val="18"/>
                      <w:szCs w:val="21"/>
                    </w:rPr>
                  </w:pPr>
                  <w:r>
                    <w:rPr>
                      <w:sz w:val="18"/>
                      <w:szCs w:val="21"/>
                    </w:rPr>
                    <w:t>84</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2. 利用的水文系列年限</w:t>
                  </w:r>
                </w:p>
              </w:tc>
              <w:tc>
                <w:tcPr>
                  <w:tcW w:w="729" w:type="dxa"/>
                  <w:vAlign w:val="center"/>
                </w:tcPr>
                <w:p>
                  <w:pPr>
                    <w:jc w:val="center"/>
                    <w:rPr>
                      <w:sz w:val="18"/>
                      <w:szCs w:val="21"/>
                    </w:rPr>
                  </w:pPr>
                  <w:r>
                    <w:rPr>
                      <w:sz w:val="18"/>
                      <w:szCs w:val="21"/>
                    </w:rPr>
                    <w:t>年</w:t>
                  </w:r>
                </w:p>
              </w:tc>
              <w:tc>
                <w:tcPr>
                  <w:tcW w:w="1914" w:type="dxa"/>
                  <w:shd w:val="clear" w:color="auto" w:fill="auto"/>
                  <w:vAlign w:val="center"/>
                </w:tcPr>
                <w:p>
                  <w:pPr>
                    <w:jc w:val="center"/>
                    <w:rPr>
                      <w:sz w:val="18"/>
                      <w:szCs w:val="21"/>
                    </w:rPr>
                  </w:pPr>
                  <w:r>
                    <w:rPr>
                      <w:sz w:val="18"/>
                      <w:szCs w:val="21"/>
                    </w:rPr>
                    <w:t>39</w:t>
                  </w:r>
                </w:p>
              </w:tc>
              <w:tc>
                <w:tcPr>
                  <w:tcW w:w="2280" w:type="dxa"/>
                  <w:vAlign w:val="center"/>
                </w:tcPr>
                <w:p>
                  <w:pPr>
                    <w:jc w:val="center"/>
                    <w:rPr>
                      <w:sz w:val="18"/>
                      <w:szCs w:val="21"/>
                    </w:rPr>
                  </w:pPr>
                  <w:r>
                    <w:rPr>
                      <w:sz w:val="18"/>
                      <w:szCs w:val="21"/>
                    </w:rPr>
                    <w:t>1982～2020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3. 多年平均年径流量</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shd w:val="clear" w:color="auto" w:fill="auto"/>
                  <w:vAlign w:val="center"/>
                </w:tcPr>
                <w:p>
                  <w:pPr>
                    <w:jc w:val="center"/>
                    <w:rPr>
                      <w:sz w:val="18"/>
                      <w:szCs w:val="21"/>
                    </w:rPr>
                  </w:pPr>
                  <w:r>
                    <w:rPr>
                      <w:rFonts w:hint="eastAsia"/>
                      <w:kern w:val="0"/>
                      <w:sz w:val="18"/>
                      <w:szCs w:val="21"/>
                    </w:rPr>
                    <w:t>911</w:t>
                  </w:r>
                </w:p>
              </w:tc>
              <w:tc>
                <w:tcPr>
                  <w:tcW w:w="2280" w:type="dxa"/>
                  <w:vAlign w:val="center"/>
                </w:tcPr>
                <w:p>
                  <w:pPr>
                    <w:jc w:val="left"/>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4. 代表性流量</w:t>
                  </w:r>
                </w:p>
              </w:tc>
              <w:tc>
                <w:tcPr>
                  <w:tcW w:w="4923" w:type="dxa"/>
                  <w:gridSpan w:val="3"/>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大坝设计洪水标准（P＝2.0％）</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rFonts w:hint="eastAsia"/>
                      <w:sz w:val="18"/>
                      <w:szCs w:val="21"/>
                    </w:rPr>
                    <w:t>143</w:t>
                  </w:r>
                </w:p>
              </w:tc>
              <w:tc>
                <w:tcPr>
                  <w:tcW w:w="2280" w:type="dxa"/>
                  <w:vAlign w:val="center"/>
                </w:tcPr>
                <w:p>
                  <w:pPr>
                    <w:rPr>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大坝校核洪水标准（P＝0.1％）</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rFonts w:hint="eastAsia"/>
                      <w:kern w:val="0"/>
                      <w:sz w:val="18"/>
                      <w:szCs w:val="18"/>
                    </w:rPr>
                    <w:t>385</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施工导流标准（P＝5％）</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rFonts w:hint="eastAsia"/>
                      <w:sz w:val="18"/>
                      <w:szCs w:val="21"/>
                    </w:rPr>
                    <w:t>8.0</w:t>
                  </w:r>
                  <w:r>
                    <w:rPr>
                      <w:sz w:val="18"/>
                      <w:szCs w:val="21"/>
                    </w:rPr>
                    <w:t>(春)/</w:t>
                  </w:r>
                  <w:r>
                    <w:rPr>
                      <w:rFonts w:hint="eastAsia"/>
                      <w:sz w:val="18"/>
                      <w:szCs w:val="21"/>
                    </w:rPr>
                    <w:t>4.2</w:t>
                  </w:r>
                  <w:r>
                    <w:rPr>
                      <w:sz w:val="18"/>
                      <w:szCs w:val="21"/>
                    </w:rPr>
                    <w:t>(秋)</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5. 泥沙</w:t>
                  </w:r>
                </w:p>
              </w:tc>
              <w:tc>
                <w:tcPr>
                  <w:tcW w:w="4923" w:type="dxa"/>
                  <w:gridSpan w:val="3"/>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多年平均输沙量</w:t>
                  </w:r>
                </w:p>
              </w:tc>
              <w:tc>
                <w:tcPr>
                  <w:tcW w:w="729" w:type="dxa"/>
                  <w:vAlign w:val="center"/>
                </w:tcPr>
                <w:p>
                  <w:pPr>
                    <w:jc w:val="center"/>
                    <w:rPr>
                      <w:sz w:val="18"/>
                      <w:szCs w:val="21"/>
                    </w:rPr>
                  </w:pPr>
                  <w:r>
                    <w:rPr>
                      <w:sz w:val="18"/>
                      <w:szCs w:val="21"/>
                    </w:rPr>
                    <w:t>万t</w:t>
                  </w:r>
                </w:p>
              </w:tc>
              <w:tc>
                <w:tcPr>
                  <w:tcW w:w="1914" w:type="dxa"/>
                  <w:shd w:val="clear" w:color="auto" w:fill="auto"/>
                  <w:vAlign w:val="center"/>
                </w:tcPr>
                <w:p>
                  <w:pPr>
                    <w:jc w:val="center"/>
                    <w:rPr>
                      <w:sz w:val="18"/>
                      <w:szCs w:val="21"/>
                    </w:rPr>
                  </w:pPr>
                  <w:r>
                    <w:rPr>
                      <w:sz w:val="18"/>
                      <w:szCs w:val="21"/>
                    </w:rPr>
                    <w:t>1.</w:t>
                  </w:r>
                  <w:r>
                    <w:rPr>
                      <w:rFonts w:hint="eastAsia"/>
                      <w:sz w:val="18"/>
                      <w:szCs w:val="21"/>
                    </w:rPr>
                    <w:t>80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90" w:type="dxa"/>
                  <w:gridSpan w:val="4"/>
                  <w:vAlign w:val="center"/>
                </w:tcPr>
                <w:p>
                  <w:pPr>
                    <w:rPr>
                      <w:b/>
                      <w:sz w:val="18"/>
                      <w:szCs w:val="21"/>
                    </w:rPr>
                  </w:pPr>
                  <w:r>
                    <w:rPr>
                      <w:b/>
                      <w:sz w:val="18"/>
                      <w:szCs w:val="21"/>
                    </w:rPr>
                    <w:t>二、水库特征水位及特征库容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1. 水库水位</w:t>
                  </w:r>
                </w:p>
              </w:tc>
              <w:tc>
                <w:tcPr>
                  <w:tcW w:w="729" w:type="dxa"/>
                  <w:vAlign w:val="center"/>
                </w:tcPr>
                <w:p>
                  <w:pPr>
                    <w:jc w:val="center"/>
                    <w:rPr>
                      <w:sz w:val="18"/>
                      <w:szCs w:val="21"/>
                    </w:rPr>
                  </w:pPr>
                </w:p>
              </w:tc>
              <w:tc>
                <w:tcPr>
                  <w:tcW w:w="1914" w:type="dxa"/>
                  <w:shd w:val="clear" w:color="auto" w:fill="auto"/>
                  <w:vAlign w:val="center"/>
                </w:tcPr>
                <w:p>
                  <w:pPr>
                    <w:jc w:val="center"/>
                    <w:rPr>
                      <w:sz w:val="18"/>
                      <w:szCs w:val="21"/>
                    </w:rPr>
                  </w:pP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校核洪水位（P＝0.1％）</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sz w:val="18"/>
                      <w:szCs w:val="21"/>
                    </w:rPr>
                    <w:t>133</w:t>
                  </w:r>
                  <w:r>
                    <w:rPr>
                      <w:rFonts w:hint="eastAsia"/>
                      <w:sz w:val="18"/>
                      <w:szCs w:val="21"/>
                    </w:rPr>
                    <w:t>8.32</w:t>
                  </w:r>
                </w:p>
              </w:tc>
              <w:tc>
                <w:tcPr>
                  <w:tcW w:w="2280" w:type="dxa"/>
                  <w:vAlign w:val="center"/>
                </w:tcPr>
                <w:p>
                  <w:pPr>
                    <w:pStyle w:val="94"/>
                    <w:adjustRightInd w:val="0"/>
                    <w:snapToGrid w:val="0"/>
                    <w:spacing w:line="240" w:lineRule="auto"/>
                    <w:ind w:firstLineChars="0"/>
                    <w:jc w:val="both"/>
                    <w:rPr>
                      <w:rFonts w:ascii="Times New Roman"/>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设计洪水位（P＝2％）</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sz w:val="18"/>
                      <w:szCs w:val="21"/>
                    </w:rPr>
                    <w:t>133</w:t>
                  </w:r>
                  <w:r>
                    <w:rPr>
                      <w:rFonts w:hint="eastAsia"/>
                      <w:sz w:val="18"/>
                      <w:szCs w:val="21"/>
                    </w:rPr>
                    <w:t>6.18</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正常蓄水位</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sz w:val="18"/>
                      <w:szCs w:val="21"/>
                    </w:rPr>
                    <w:t>133</w:t>
                  </w:r>
                  <w:r>
                    <w:rPr>
                      <w:rFonts w:hint="eastAsia"/>
                      <w:sz w:val="18"/>
                      <w:szCs w:val="21"/>
                    </w:rPr>
                    <w:t>3.82</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死水位</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pStyle w:val="94"/>
                    <w:adjustRightInd w:val="0"/>
                    <w:snapToGrid w:val="0"/>
                    <w:spacing w:line="240" w:lineRule="auto"/>
                    <w:ind w:firstLineChars="0"/>
                    <w:rPr>
                      <w:rFonts w:ascii="Times New Roman"/>
                      <w:sz w:val="18"/>
                      <w:szCs w:val="21"/>
                    </w:rPr>
                  </w:pPr>
                  <w:r>
                    <w:rPr>
                      <w:rFonts w:ascii="Times New Roman"/>
                      <w:sz w:val="18"/>
                      <w:szCs w:val="21"/>
                    </w:rPr>
                    <w:t>1317.7</w:t>
                  </w:r>
                  <w:r>
                    <w:rPr>
                      <w:rFonts w:hint="eastAsia" w:ascii="Times New Roman"/>
                      <w:sz w:val="18"/>
                      <w:szCs w:val="21"/>
                    </w:rPr>
                    <w:t>1</w:t>
                  </w:r>
                </w:p>
              </w:tc>
              <w:tc>
                <w:tcPr>
                  <w:tcW w:w="2280" w:type="dxa"/>
                  <w:vAlign w:val="center"/>
                </w:tcPr>
                <w:p>
                  <w:pPr>
                    <w:pStyle w:val="94"/>
                    <w:adjustRightInd w:val="0"/>
                    <w:snapToGrid w:val="0"/>
                    <w:spacing w:line="240" w:lineRule="auto"/>
                    <w:ind w:firstLineChars="0"/>
                    <w:jc w:val="both"/>
                    <w:rPr>
                      <w:rFonts w:ascii="Times New Roman"/>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汛期限制水位</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sz w:val="18"/>
                      <w:szCs w:val="21"/>
                    </w:rPr>
                    <w:t>133</w:t>
                  </w:r>
                  <w:r>
                    <w:rPr>
                      <w:rFonts w:hint="eastAsia"/>
                      <w:sz w:val="18"/>
                      <w:szCs w:val="21"/>
                    </w:rPr>
                    <w:t>3.82</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2. 正常蓄水位相应水库面积</w:t>
                  </w:r>
                </w:p>
              </w:tc>
              <w:tc>
                <w:tcPr>
                  <w:tcW w:w="729" w:type="dxa"/>
                  <w:vAlign w:val="center"/>
                </w:tcPr>
                <w:p>
                  <w:pPr>
                    <w:jc w:val="center"/>
                    <w:rPr>
                      <w:sz w:val="18"/>
                      <w:szCs w:val="21"/>
                    </w:rPr>
                  </w:pPr>
                  <w:r>
                    <w:rPr>
                      <w:sz w:val="18"/>
                      <w:szCs w:val="21"/>
                    </w:rPr>
                    <w:t>km</w:t>
                  </w:r>
                  <w:r>
                    <w:rPr>
                      <w:sz w:val="18"/>
                      <w:szCs w:val="21"/>
                      <w:vertAlign w:val="superscript"/>
                    </w:rPr>
                    <w:t>2</w:t>
                  </w:r>
                </w:p>
              </w:tc>
              <w:tc>
                <w:tcPr>
                  <w:tcW w:w="1914" w:type="dxa"/>
                  <w:shd w:val="clear" w:color="auto" w:fill="auto"/>
                  <w:vAlign w:val="center"/>
                </w:tcPr>
                <w:p>
                  <w:pPr>
                    <w:jc w:val="center"/>
                    <w:rPr>
                      <w:sz w:val="18"/>
                      <w:szCs w:val="21"/>
                    </w:rPr>
                  </w:pPr>
                  <w:r>
                    <w:rPr>
                      <w:sz w:val="18"/>
                      <w:szCs w:val="21"/>
                    </w:rPr>
                    <w:t>0.11</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3. 回水长度</w:t>
                  </w:r>
                </w:p>
              </w:tc>
              <w:tc>
                <w:tcPr>
                  <w:tcW w:w="729" w:type="dxa"/>
                  <w:vAlign w:val="center"/>
                </w:tcPr>
                <w:p>
                  <w:pPr>
                    <w:jc w:val="center"/>
                    <w:rPr>
                      <w:sz w:val="18"/>
                      <w:szCs w:val="21"/>
                    </w:rPr>
                  </w:pPr>
                  <w:r>
                    <w:rPr>
                      <w:sz w:val="18"/>
                      <w:szCs w:val="21"/>
                    </w:rPr>
                    <w:t>km</w:t>
                  </w:r>
                </w:p>
              </w:tc>
              <w:tc>
                <w:tcPr>
                  <w:tcW w:w="1914" w:type="dxa"/>
                  <w:shd w:val="clear" w:color="auto" w:fill="auto"/>
                  <w:vAlign w:val="center"/>
                </w:tcPr>
                <w:p>
                  <w:pPr>
                    <w:jc w:val="center"/>
                    <w:rPr>
                      <w:sz w:val="18"/>
                      <w:szCs w:val="21"/>
                    </w:rPr>
                  </w:pPr>
                  <w:r>
                    <w:rPr>
                      <w:sz w:val="18"/>
                      <w:szCs w:val="21"/>
                    </w:rPr>
                    <w:t>1.5</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4. 水库容积</w:t>
                  </w:r>
                </w:p>
              </w:tc>
              <w:tc>
                <w:tcPr>
                  <w:tcW w:w="729" w:type="dxa"/>
                  <w:vAlign w:val="center"/>
                </w:tcPr>
                <w:p>
                  <w:pPr>
                    <w:jc w:val="center"/>
                    <w:rPr>
                      <w:sz w:val="18"/>
                      <w:szCs w:val="21"/>
                    </w:rPr>
                  </w:pPr>
                </w:p>
              </w:tc>
              <w:tc>
                <w:tcPr>
                  <w:tcW w:w="1914" w:type="dxa"/>
                  <w:shd w:val="clear" w:color="auto" w:fill="auto"/>
                  <w:vAlign w:val="center"/>
                </w:tcPr>
                <w:p>
                  <w:pPr>
                    <w:rPr>
                      <w:sz w:val="18"/>
                      <w:szCs w:val="21"/>
                    </w:rPr>
                  </w:pP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总库容</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shd w:val="clear" w:color="auto" w:fill="auto"/>
                  <w:vAlign w:val="center"/>
                </w:tcPr>
                <w:p>
                  <w:pPr>
                    <w:jc w:val="center"/>
                    <w:rPr>
                      <w:sz w:val="18"/>
                      <w:szCs w:val="21"/>
                    </w:rPr>
                  </w:pPr>
                  <w:r>
                    <w:rPr>
                      <w:sz w:val="18"/>
                      <w:szCs w:val="21"/>
                    </w:rPr>
                    <w:t>29</w:t>
                  </w:r>
                  <w:r>
                    <w:rPr>
                      <w:rFonts w:hint="eastAsia"/>
                      <w:sz w:val="18"/>
                      <w:szCs w:val="21"/>
                    </w:rPr>
                    <w:t>4.69</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正常蓄水位库容</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shd w:val="clear" w:color="auto" w:fill="auto"/>
                  <w:vAlign w:val="center"/>
                </w:tcPr>
                <w:p>
                  <w:pPr>
                    <w:jc w:val="center"/>
                    <w:rPr>
                      <w:sz w:val="18"/>
                      <w:szCs w:val="21"/>
                    </w:rPr>
                  </w:pPr>
                  <w:r>
                    <w:rPr>
                      <w:rFonts w:hint="eastAsia"/>
                      <w:sz w:val="18"/>
                      <w:szCs w:val="21"/>
                    </w:rPr>
                    <w:t>211.70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兴利调节库容</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shd w:val="clear" w:color="auto" w:fill="auto"/>
                  <w:vAlign w:val="center"/>
                </w:tcPr>
                <w:p>
                  <w:pPr>
                    <w:jc w:val="center"/>
                    <w:rPr>
                      <w:sz w:val="18"/>
                      <w:szCs w:val="21"/>
                    </w:rPr>
                  </w:pPr>
                  <w:r>
                    <w:rPr>
                      <w:rFonts w:hint="eastAsia"/>
                      <w:sz w:val="18"/>
                      <w:szCs w:val="21"/>
                    </w:rPr>
                    <w:t>171.70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死库容</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shd w:val="clear" w:color="auto" w:fill="auto"/>
                  <w:vAlign w:val="center"/>
                </w:tcPr>
                <w:p>
                  <w:pPr>
                    <w:jc w:val="center"/>
                    <w:rPr>
                      <w:sz w:val="18"/>
                      <w:szCs w:val="21"/>
                    </w:rPr>
                  </w:pPr>
                  <w:r>
                    <w:rPr>
                      <w:sz w:val="18"/>
                      <w:szCs w:val="21"/>
                    </w:rPr>
                    <w:t>40.00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拦洪库容</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shd w:val="clear" w:color="auto" w:fill="auto"/>
                  <w:vAlign w:val="center"/>
                </w:tcPr>
                <w:p>
                  <w:pPr>
                    <w:pStyle w:val="94"/>
                    <w:adjustRightInd w:val="0"/>
                    <w:snapToGrid w:val="0"/>
                    <w:spacing w:line="240" w:lineRule="auto"/>
                    <w:ind w:firstLineChars="0"/>
                    <w:rPr>
                      <w:rFonts w:ascii="Times New Roman"/>
                      <w:sz w:val="18"/>
                      <w:szCs w:val="21"/>
                    </w:rPr>
                  </w:pPr>
                  <w:r>
                    <w:rPr>
                      <w:rFonts w:hint="eastAsia" w:ascii="Times New Roman"/>
                      <w:sz w:val="18"/>
                      <w:szCs w:val="21"/>
                    </w:rPr>
                    <w:t>41.30</w:t>
                  </w:r>
                </w:p>
              </w:tc>
              <w:tc>
                <w:tcPr>
                  <w:tcW w:w="2280" w:type="dxa"/>
                  <w:vAlign w:val="center"/>
                </w:tcPr>
                <w:p>
                  <w:pPr>
                    <w:pStyle w:val="94"/>
                    <w:adjustRightInd w:val="0"/>
                    <w:snapToGrid w:val="0"/>
                    <w:spacing w:line="240" w:lineRule="auto"/>
                    <w:ind w:firstLineChars="0"/>
                    <w:jc w:val="both"/>
                    <w:rPr>
                      <w:rFonts w:ascii="Times New Roman"/>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调洪库容</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shd w:val="clear" w:color="auto" w:fill="auto"/>
                  <w:vAlign w:val="center"/>
                </w:tcPr>
                <w:p>
                  <w:pPr>
                    <w:pStyle w:val="94"/>
                    <w:adjustRightInd w:val="0"/>
                    <w:snapToGrid w:val="0"/>
                    <w:spacing w:line="240" w:lineRule="auto"/>
                    <w:ind w:firstLineChars="0"/>
                    <w:rPr>
                      <w:rFonts w:ascii="Times New Roman"/>
                      <w:sz w:val="18"/>
                      <w:szCs w:val="21"/>
                    </w:rPr>
                  </w:pPr>
                  <w:r>
                    <w:rPr>
                      <w:rFonts w:hint="eastAsia" w:ascii="Times New Roman"/>
                      <w:sz w:val="18"/>
                      <w:szCs w:val="21"/>
                    </w:rPr>
                    <w:t>82.99</w:t>
                  </w:r>
                </w:p>
              </w:tc>
              <w:tc>
                <w:tcPr>
                  <w:tcW w:w="2280" w:type="dxa"/>
                  <w:vAlign w:val="center"/>
                </w:tcPr>
                <w:p>
                  <w:pPr>
                    <w:pStyle w:val="94"/>
                    <w:adjustRightInd w:val="0"/>
                    <w:snapToGrid w:val="0"/>
                    <w:spacing w:line="240" w:lineRule="auto"/>
                    <w:ind w:firstLineChars="0"/>
                    <w:jc w:val="both"/>
                    <w:rPr>
                      <w:rFonts w:ascii="Times New Roman"/>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90" w:type="dxa"/>
                  <w:gridSpan w:val="4"/>
                  <w:vAlign w:val="center"/>
                </w:tcPr>
                <w:p>
                  <w:pPr>
                    <w:rPr>
                      <w:b/>
                      <w:sz w:val="18"/>
                      <w:szCs w:val="21"/>
                    </w:rPr>
                  </w:pPr>
                  <w:r>
                    <w:rPr>
                      <w:b/>
                      <w:sz w:val="18"/>
                      <w:szCs w:val="21"/>
                    </w:rPr>
                    <w:t>三、下泄流量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1. 大坝</w:t>
                  </w:r>
                </w:p>
              </w:tc>
              <w:tc>
                <w:tcPr>
                  <w:tcW w:w="729" w:type="dxa"/>
                  <w:vAlign w:val="center"/>
                </w:tcPr>
                <w:p>
                  <w:pPr>
                    <w:jc w:val="center"/>
                    <w:rPr>
                      <w:sz w:val="18"/>
                      <w:szCs w:val="21"/>
                    </w:rPr>
                  </w:pPr>
                </w:p>
              </w:tc>
              <w:tc>
                <w:tcPr>
                  <w:tcW w:w="1914" w:type="dxa"/>
                  <w:shd w:val="clear" w:color="auto" w:fill="auto"/>
                  <w:vAlign w:val="center"/>
                </w:tcPr>
                <w:p>
                  <w:pPr>
                    <w:jc w:val="center"/>
                    <w:rPr>
                      <w:sz w:val="18"/>
                      <w:szCs w:val="21"/>
                    </w:rPr>
                  </w:pP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设计洪水位时最大泄量</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rFonts w:hint="eastAsia"/>
                      <w:sz w:val="18"/>
                      <w:szCs w:val="21"/>
                    </w:rPr>
                    <w:t>124.60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180" w:firstLineChars="100"/>
                    <w:rPr>
                      <w:sz w:val="18"/>
                      <w:szCs w:val="21"/>
                    </w:rPr>
                  </w:pPr>
                  <w:r>
                    <w:rPr>
                      <w:sz w:val="18"/>
                      <w:szCs w:val="21"/>
                    </w:rPr>
                    <w:t>校核洪水位时最大泄量</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rFonts w:hint="eastAsia"/>
                      <w:sz w:val="18"/>
                      <w:szCs w:val="21"/>
                    </w:rPr>
                    <w:t>318.49</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90" w:type="dxa"/>
                  <w:gridSpan w:val="4"/>
                  <w:vAlign w:val="center"/>
                </w:tcPr>
                <w:p>
                  <w:pPr>
                    <w:rPr>
                      <w:b/>
                      <w:sz w:val="18"/>
                      <w:szCs w:val="21"/>
                    </w:rPr>
                  </w:pPr>
                  <w:r>
                    <w:rPr>
                      <w:b/>
                      <w:sz w:val="18"/>
                      <w:szCs w:val="21"/>
                    </w:rPr>
                    <w:t>四、主要建筑物及设备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1. 挡水建筑物</w:t>
                  </w:r>
                </w:p>
              </w:tc>
              <w:tc>
                <w:tcPr>
                  <w:tcW w:w="4923" w:type="dxa"/>
                  <w:gridSpan w:val="3"/>
                  <w:vAlign w:val="center"/>
                </w:tcPr>
                <w:p>
                  <w:pPr>
                    <w:rPr>
                      <w:spacing w:val="-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坝型</w:t>
                  </w:r>
                </w:p>
              </w:tc>
              <w:tc>
                <w:tcPr>
                  <w:tcW w:w="729" w:type="dxa"/>
                  <w:vAlign w:val="center"/>
                </w:tcPr>
                <w:p>
                  <w:pPr>
                    <w:jc w:val="center"/>
                    <w:rPr>
                      <w:sz w:val="18"/>
                      <w:szCs w:val="21"/>
                    </w:rPr>
                  </w:pPr>
                </w:p>
              </w:tc>
              <w:tc>
                <w:tcPr>
                  <w:tcW w:w="1914" w:type="dxa"/>
                  <w:shd w:val="clear" w:color="auto" w:fill="auto"/>
                  <w:vAlign w:val="center"/>
                </w:tcPr>
                <w:p>
                  <w:pPr>
                    <w:jc w:val="center"/>
                    <w:rPr>
                      <w:sz w:val="18"/>
                      <w:szCs w:val="21"/>
                    </w:rPr>
                  </w:pPr>
                  <w:r>
                    <w:rPr>
                      <w:rFonts w:hint="eastAsia"/>
                      <w:sz w:val="18"/>
                      <w:szCs w:val="21"/>
                    </w:rPr>
                    <w:t>沥青砼</w:t>
                  </w:r>
                  <w:r>
                    <w:rPr>
                      <w:sz w:val="18"/>
                      <w:szCs w:val="21"/>
                    </w:rPr>
                    <w:t>心墙坝</w:t>
                  </w:r>
                </w:p>
              </w:tc>
              <w:tc>
                <w:tcPr>
                  <w:tcW w:w="2280" w:type="dxa"/>
                  <w:vAlign w:val="center"/>
                </w:tcPr>
                <w:p>
                  <w:pPr>
                    <w:rPr>
                      <w:spacing w:val="-12"/>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地基特性</w:t>
                  </w:r>
                </w:p>
              </w:tc>
              <w:tc>
                <w:tcPr>
                  <w:tcW w:w="729" w:type="dxa"/>
                  <w:vAlign w:val="center"/>
                </w:tcPr>
                <w:p>
                  <w:pPr>
                    <w:jc w:val="center"/>
                    <w:rPr>
                      <w:sz w:val="18"/>
                      <w:szCs w:val="21"/>
                    </w:rPr>
                  </w:pPr>
                </w:p>
              </w:tc>
              <w:tc>
                <w:tcPr>
                  <w:tcW w:w="4194" w:type="dxa"/>
                  <w:gridSpan w:val="2"/>
                  <w:shd w:val="clear" w:color="auto" w:fill="auto"/>
                  <w:vAlign w:val="center"/>
                </w:tcPr>
                <w:p>
                  <w:pPr>
                    <w:jc w:val="center"/>
                    <w:rPr>
                      <w:sz w:val="18"/>
                      <w:szCs w:val="21"/>
                    </w:rPr>
                  </w:pPr>
                  <w:r>
                    <w:rPr>
                      <w:sz w:val="18"/>
                      <w:szCs w:val="21"/>
                    </w:rPr>
                    <w:t>砂岩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地震基本烈度/设计烈度</w:t>
                  </w:r>
                </w:p>
              </w:tc>
              <w:tc>
                <w:tcPr>
                  <w:tcW w:w="729" w:type="dxa"/>
                  <w:vAlign w:val="center"/>
                </w:tcPr>
                <w:p>
                  <w:pPr>
                    <w:jc w:val="center"/>
                    <w:rPr>
                      <w:sz w:val="18"/>
                      <w:szCs w:val="21"/>
                    </w:rPr>
                  </w:pPr>
                  <w:r>
                    <w:rPr>
                      <w:sz w:val="18"/>
                      <w:szCs w:val="21"/>
                    </w:rPr>
                    <w:t>度</w:t>
                  </w:r>
                </w:p>
              </w:tc>
              <w:tc>
                <w:tcPr>
                  <w:tcW w:w="1914" w:type="dxa"/>
                  <w:shd w:val="clear" w:color="auto" w:fill="auto"/>
                  <w:vAlign w:val="center"/>
                </w:tcPr>
                <w:p>
                  <w:pPr>
                    <w:jc w:val="center"/>
                    <w:rPr>
                      <w:sz w:val="18"/>
                      <w:szCs w:val="21"/>
                    </w:rPr>
                  </w:pPr>
                  <w:r>
                    <w:rPr>
                      <w:rFonts w:hint="eastAsia" w:cs="宋体"/>
                      <w:sz w:val="18"/>
                    </w:rPr>
                    <w:t>Ⅷ</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坝顶高程</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sz w:val="18"/>
                      <w:szCs w:val="21"/>
                    </w:rPr>
                    <w:t>133</w:t>
                  </w:r>
                  <w:r>
                    <w:rPr>
                      <w:rFonts w:hint="eastAsia"/>
                      <w:sz w:val="18"/>
                      <w:szCs w:val="21"/>
                    </w:rPr>
                    <w:t>8.70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最大坝高</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sz w:val="18"/>
                      <w:szCs w:val="21"/>
                    </w:rPr>
                    <w:t>5</w:t>
                  </w:r>
                  <w:r>
                    <w:rPr>
                      <w:rFonts w:hint="eastAsia"/>
                      <w:sz w:val="18"/>
                      <w:szCs w:val="21"/>
                    </w:rPr>
                    <w:t>6.2</w:t>
                  </w:r>
                </w:p>
              </w:tc>
              <w:tc>
                <w:tcPr>
                  <w:tcW w:w="2280" w:type="dxa"/>
                  <w:vAlign w:val="center"/>
                </w:tcPr>
                <w:p>
                  <w:pP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坝顶长度</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rFonts w:hint="eastAsia"/>
                      <w:sz w:val="18"/>
                      <w:szCs w:val="21"/>
                    </w:rPr>
                    <w:t>187.50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2. 引泄水建筑物</w:t>
                  </w:r>
                </w:p>
              </w:tc>
              <w:tc>
                <w:tcPr>
                  <w:tcW w:w="4923" w:type="dxa"/>
                  <w:gridSpan w:val="3"/>
                  <w:vAlign w:val="center"/>
                </w:tcPr>
                <w:p>
                  <w:pP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（1）导流放水冲沙涵洞</w:t>
                  </w:r>
                </w:p>
              </w:tc>
              <w:tc>
                <w:tcPr>
                  <w:tcW w:w="729" w:type="dxa"/>
                  <w:vAlign w:val="center"/>
                </w:tcPr>
                <w:p>
                  <w:pPr>
                    <w:rPr>
                      <w:sz w:val="18"/>
                      <w:szCs w:val="21"/>
                    </w:rPr>
                  </w:pPr>
                </w:p>
              </w:tc>
              <w:tc>
                <w:tcPr>
                  <w:tcW w:w="4194" w:type="dxa"/>
                  <w:gridSpan w:val="2"/>
                  <w:shd w:val="clear" w:color="auto" w:fill="auto"/>
                  <w:vAlign w:val="center"/>
                </w:tcPr>
                <w:p>
                  <w:pP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引水建筑物型式</w:t>
                  </w:r>
                </w:p>
              </w:tc>
              <w:tc>
                <w:tcPr>
                  <w:tcW w:w="729" w:type="dxa"/>
                  <w:vAlign w:val="center"/>
                </w:tcPr>
                <w:p>
                  <w:pPr>
                    <w:rPr>
                      <w:sz w:val="18"/>
                      <w:szCs w:val="21"/>
                    </w:rPr>
                  </w:pPr>
                </w:p>
              </w:tc>
              <w:tc>
                <w:tcPr>
                  <w:tcW w:w="4194" w:type="dxa"/>
                  <w:gridSpan w:val="2"/>
                  <w:shd w:val="clear" w:color="auto" w:fill="auto"/>
                  <w:vAlign w:val="center"/>
                </w:tcPr>
                <w:p>
                  <w:pP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数量</w:t>
                  </w:r>
                </w:p>
              </w:tc>
              <w:tc>
                <w:tcPr>
                  <w:tcW w:w="729" w:type="dxa"/>
                  <w:vAlign w:val="center"/>
                </w:tcPr>
                <w:p>
                  <w:pPr>
                    <w:jc w:val="center"/>
                    <w:rPr>
                      <w:sz w:val="18"/>
                      <w:szCs w:val="21"/>
                    </w:rPr>
                  </w:pPr>
                  <w:r>
                    <w:rPr>
                      <w:sz w:val="18"/>
                      <w:szCs w:val="21"/>
                    </w:rPr>
                    <w:t>条/孔</w:t>
                  </w:r>
                </w:p>
              </w:tc>
              <w:tc>
                <w:tcPr>
                  <w:tcW w:w="1914" w:type="dxa"/>
                  <w:shd w:val="clear" w:color="auto" w:fill="auto"/>
                  <w:vAlign w:val="center"/>
                </w:tcPr>
                <w:p>
                  <w:pPr>
                    <w:jc w:val="center"/>
                    <w:rPr>
                      <w:sz w:val="18"/>
                      <w:szCs w:val="21"/>
                    </w:rPr>
                  </w:pPr>
                  <w:r>
                    <w:rPr>
                      <w:sz w:val="18"/>
                      <w:szCs w:val="21"/>
                    </w:rPr>
                    <w:t>1</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长度</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rFonts w:hint="eastAsia"/>
                      <w:sz w:val="18"/>
                      <w:szCs w:val="21"/>
                    </w:rPr>
                    <w:t>344.38</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进口底板高程</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sz w:val="18"/>
                      <w:szCs w:val="21"/>
                    </w:rPr>
                    <w:t>131</w:t>
                  </w:r>
                  <w:r>
                    <w:rPr>
                      <w:rFonts w:hint="eastAsia"/>
                      <w:sz w:val="18"/>
                      <w:szCs w:val="21"/>
                    </w:rPr>
                    <w:t>2.5</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工作闸门型式、数量及尺寸</w:t>
                  </w:r>
                </w:p>
              </w:tc>
              <w:tc>
                <w:tcPr>
                  <w:tcW w:w="729" w:type="dxa"/>
                  <w:vAlign w:val="center"/>
                </w:tcPr>
                <w:p>
                  <w:pPr>
                    <w:jc w:val="center"/>
                    <w:rPr>
                      <w:sz w:val="18"/>
                      <w:szCs w:val="21"/>
                    </w:rPr>
                  </w:pPr>
                  <w:r>
                    <w:rPr>
                      <w:sz w:val="18"/>
                      <w:szCs w:val="21"/>
                    </w:rPr>
                    <w:t>m</w:t>
                  </w:r>
                </w:p>
              </w:tc>
              <w:tc>
                <w:tcPr>
                  <w:tcW w:w="1914" w:type="dxa"/>
                  <w:vAlign w:val="center"/>
                </w:tcPr>
                <w:p>
                  <w:pPr>
                    <w:jc w:val="center"/>
                    <w:rPr>
                      <w:sz w:val="18"/>
                      <w:szCs w:val="21"/>
                    </w:rPr>
                  </w:pPr>
                  <w:r>
                    <w:rPr>
                      <w:sz w:val="18"/>
                      <w:szCs w:val="21"/>
                    </w:rPr>
                    <w:t>1孔2.0m×3.0m</w:t>
                  </w:r>
                </w:p>
              </w:tc>
              <w:tc>
                <w:tcPr>
                  <w:tcW w:w="2280" w:type="dxa"/>
                  <w:vAlign w:val="center"/>
                </w:tcPr>
                <w:p>
                  <w:pPr>
                    <w:rPr>
                      <w:sz w:val="18"/>
                      <w:szCs w:val="21"/>
                    </w:rPr>
                  </w:pPr>
                  <w:r>
                    <w:rPr>
                      <w:sz w:val="18"/>
                      <w:szCs w:val="21"/>
                    </w:rPr>
                    <w:t>弧门/弧门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检修闸门型式、数量及尺寸</w:t>
                  </w:r>
                </w:p>
              </w:tc>
              <w:tc>
                <w:tcPr>
                  <w:tcW w:w="729" w:type="dxa"/>
                  <w:vAlign w:val="center"/>
                </w:tcPr>
                <w:p>
                  <w:pPr>
                    <w:jc w:val="center"/>
                    <w:rPr>
                      <w:sz w:val="18"/>
                      <w:szCs w:val="21"/>
                    </w:rPr>
                  </w:pPr>
                  <w:r>
                    <w:rPr>
                      <w:sz w:val="18"/>
                      <w:szCs w:val="21"/>
                    </w:rPr>
                    <w:t>m</w:t>
                  </w:r>
                </w:p>
              </w:tc>
              <w:tc>
                <w:tcPr>
                  <w:tcW w:w="1914" w:type="dxa"/>
                  <w:vAlign w:val="center"/>
                </w:tcPr>
                <w:p>
                  <w:pPr>
                    <w:jc w:val="center"/>
                    <w:rPr>
                      <w:sz w:val="18"/>
                      <w:szCs w:val="21"/>
                    </w:rPr>
                  </w:pPr>
                  <w:r>
                    <w:rPr>
                      <w:sz w:val="18"/>
                      <w:szCs w:val="21"/>
                    </w:rPr>
                    <w:t>1孔2.0m×3.0m</w:t>
                  </w:r>
                </w:p>
              </w:tc>
              <w:tc>
                <w:tcPr>
                  <w:tcW w:w="2280" w:type="dxa"/>
                  <w:vAlign w:val="center"/>
                </w:tcPr>
                <w:p>
                  <w:pPr>
                    <w:rPr>
                      <w:sz w:val="18"/>
                      <w:szCs w:val="21"/>
                    </w:rPr>
                  </w:pPr>
                  <w:r>
                    <w:rPr>
                      <w:sz w:val="18"/>
                      <w:szCs w:val="21"/>
                    </w:rPr>
                    <w:t>平门/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设计引水流量</w:t>
                  </w:r>
                </w:p>
              </w:tc>
              <w:tc>
                <w:tcPr>
                  <w:tcW w:w="729" w:type="dxa"/>
                  <w:vAlign w:val="center"/>
                </w:tcPr>
                <w:p>
                  <w:pPr>
                    <w:jc w:val="center"/>
                    <w:rPr>
                      <w:sz w:val="18"/>
                      <w:szCs w:val="21"/>
                    </w:rPr>
                  </w:pPr>
                </w:p>
              </w:tc>
              <w:tc>
                <w:tcPr>
                  <w:tcW w:w="1914" w:type="dxa"/>
                  <w:shd w:val="clear" w:color="auto" w:fill="auto"/>
                  <w:vAlign w:val="center"/>
                </w:tcPr>
                <w:p>
                  <w:pPr>
                    <w:jc w:val="center"/>
                    <w:rPr>
                      <w:sz w:val="18"/>
                      <w:szCs w:val="21"/>
                    </w:rPr>
                  </w:pPr>
                  <w:r>
                    <w:rPr>
                      <w:sz w:val="18"/>
                      <w:szCs w:val="21"/>
                    </w:rPr>
                    <w:t>0.</w:t>
                  </w:r>
                  <w:r>
                    <w:rPr>
                      <w:rFonts w:hint="eastAsia"/>
                      <w:sz w:val="18"/>
                      <w:szCs w:val="21"/>
                    </w:rPr>
                    <w:t>9</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设计冲沙流量</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sz w:val="18"/>
                      <w:szCs w:val="21"/>
                    </w:rPr>
                    <w:t>6.0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导流最大泄洪流量（导流）</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rFonts w:hint="eastAsia"/>
                      <w:sz w:val="18"/>
                      <w:szCs w:val="21"/>
                    </w:rPr>
                    <w:t>44.43</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sz w:val="18"/>
                      <w:szCs w:val="21"/>
                    </w:rPr>
                  </w:pPr>
                  <w:r>
                    <w:rPr>
                      <w:sz w:val="18"/>
                      <w:szCs w:val="21"/>
                    </w:rPr>
                    <w:t>（2）溢洪道</w:t>
                  </w:r>
                </w:p>
              </w:tc>
              <w:tc>
                <w:tcPr>
                  <w:tcW w:w="729" w:type="dxa"/>
                  <w:vAlign w:val="center"/>
                </w:tcPr>
                <w:p>
                  <w:pPr>
                    <w:rPr>
                      <w:sz w:val="18"/>
                      <w:szCs w:val="21"/>
                    </w:rPr>
                  </w:pPr>
                </w:p>
              </w:tc>
              <w:tc>
                <w:tcPr>
                  <w:tcW w:w="4194" w:type="dxa"/>
                  <w:gridSpan w:val="2"/>
                  <w:shd w:val="clear" w:color="auto" w:fill="auto"/>
                  <w:vAlign w:val="center"/>
                </w:tcPr>
                <w:p>
                  <w:pP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泄水建筑物型式</w:t>
                  </w:r>
                </w:p>
              </w:tc>
              <w:tc>
                <w:tcPr>
                  <w:tcW w:w="729" w:type="dxa"/>
                  <w:vAlign w:val="center"/>
                </w:tcPr>
                <w:p>
                  <w:pPr>
                    <w:rPr>
                      <w:sz w:val="18"/>
                      <w:szCs w:val="21"/>
                    </w:rPr>
                  </w:pPr>
                </w:p>
              </w:tc>
              <w:tc>
                <w:tcPr>
                  <w:tcW w:w="4194" w:type="dxa"/>
                  <w:gridSpan w:val="2"/>
                  <w:shd w:val="clear" w:color="auto" w:fill="auto"/>
                  <w:vAlign w:val="center"/>
                </w:tcPr>
                <w:p>
                  <w:pP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数量</w:t>
                  </w:r>
                </w:p>
              </w:tc>
              <w:tc>
                <w:tcPr>
                  <w:tcW w:w="729" w:type="dxa"/>
                  <w:vAlign w:val="center"/>
                </w:tcPr>
                <w:p>
                  <w:pPr>
                    <w:jc w:val="center"/>
                    <w:rPr>
                      <w:sz w:val="18"/>
                      <w:szCs w:val="21"/>
                    </w:rPr>
                  </w:pPr>
                  <w:r>
                    <w:rPr>
                      <w:sz w:val="18"/>
                      <w:szCs w:val="21"/>
                    </w:rPr>
                    <w:t>条</w:t>
                  </w:r>
                </w:p>
              </w:tc>
              <w:tc>
                <w:tcPr>
                  <w:tcW w:w="1914" w:type="dxa"/>
                  <w:shd w:val="clear" w:color="auto" w:fill="auto"/>
                  <w:vAlign w:val="center"/>
                </w:tcPr>
                <w:p>
                  <w:pPr>
                    <w:jc w:val="center"/>
                    <w:rPr>
                      <w:sz w:val="18"/>
                      <w:szCs w:val="21"/>
                    </w:rPr>
                  </w:pPr>
                  <w:r>
                    <w:rPr>
                      <w:sz w:val="18"/>
                      <w:szCs w:val="21"/>
                    </w:rPr>
                    <w:t>1</w:t>
                  </w:r>
                </w:p>
              </w:tc>
              <w:tc>
                <w:tcPr>
                  <w:tcW w:w="2280" w:type="dxa"/>
                  <w:vAlign w:val="center"/>
                </w:tcPr>
                <w:p>
                  <w:pPr>
                    <w:rPr>
                      <w:sz w:val="18"/>
                      <w:szCs w:val="21"/>
                    </w:rPr>
                  </w:pPr>
                  <w:r>
                    <w:rPr>
                      <w:sz w:val="18"/>
                      <w:szCs w:val="21"/>
                    </w:rPr>
                    <w:t>开敞式2孔宽顶堰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长度</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rFonts w:hint="eastAsia"/>
                      <w:sz w:val="18"/>
                      <w:szCs w:val="21"/>
                    </w:rPr>
                    <w:t>327.60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进口堰顶高程</w:t>
                  </w:r>
                </w:p>
              </w:tc>
              <w:tc>
                <w:tcPr>
                  <w:tcW w:w="729" w:type="dxa"/>
                  <w:vAlign w:val="center"/>
                </w:tcPr>
                <w:p>
                  <w:pPr>
                    <w:jc w:val="center"/>
                    <w:rPr>
                      <w:sz w:val="18"/>
                      <w:szCs w:val="21"/>
                    </w:rPr>
                  </w:pPr>
                  <w:r>
                    <w:rPr>
                      <w:sz w:val="18"/>
                      <w:szCs w:val="21"/>
                    </w:rPr>
                    <w:t>m</w:t>
                  </w:r>
                </w:p>
              </w:tc>
              <w:tc>
                <w:tcPr>
                  <w:tcW w:w="1914" w:type="dxa"/>
                  <w:shd w:val="clear" w:color="auto" w:fill="auto"/>
                  <w:vAlign w:val="center"/>
                </w:tcPr>
                <w:p>
                  <w:pPr>
                    <w:jc w:val="center"/>
                    <w:rPr>
                      <w:sz w:val="18"/>
                      <w:szCs w:val="21"/>
                    </w:rPr>
                  </w:pPr>
                  <w:r>
                    <w:rPr>
                      <w:sz w:val="18"/>
                      <w:szCs w:val="21"/>
                    </w:rPr>
                    <w:t>133</w:t>
                  </w:r>
                  <w:r>
                    <w:rPr>
                      <w:rFonts w:hint="eastAsia"/>
                      <w:sz w:val="18"/>
                      <w:szCs w:val="21"/>
                    </w:rPr>
                    <w:t>3.82</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堰宽</w:t>
                  </w:r>
                </w:p>
              </w:tc>
              <w:tc>
                <w:tcPr>
                  <w:tcW w:w="729" w:type="dxa"/>
                  <w:vAlign w:val="center"/>
                </w:tcPr>
                <w:p>
                  <w:pPr>
                    <w:jc w:val="center"/>
                    <w:rPr>
                      <w:sz w:val="18"/>
                      <w:szCs w:val="21"/>
                    </w:rPr>
                  </w:pPr>
                  <w:r>
                    <w:rPr>
                      <w:sz w:val="18"/>
                      <w:szCs w:val="21"/>
                    </w:rPr>
                    <w:t>m</w:t>
                  </w:r>
                </w:p>
              </w:tc>
              <w:tc>
                <w:tcPr>
                  <w:tcW w:w="1914" w:type="dxa"/>
                  <w:vAlign w:val="center"/>
                </w:tcPr>
                <w:p>
                  <w:pPr>
                    <w:jc w:val="center"/>
                    <w:rPr>
                      <w:sz w:val="18"/>
                      <w:szCs w:val="21"/>
                    </w:rPr>
                  </w:pPr>
                  <w:r>
                    <w:rPr>
                      <w:rFonts w:hint="eastAsia"/>
                      <w:sz w:val="18"/>
                      <w:szCs w:val="21"/>
                    </w:rPr>
                    <w:t>20.0</w:t>
                  </w:r>
                </w:p>
              </w:tc>
              <w:tc>
                <w:tcPr>
                  <w:tcW w:w="2280" w:type="dxa"/>
                  <w:vAlign w:val="center"/>
                </w:tcPr>
                <w:p>
                  <w:pPr>
                    <w:rPr>
                      <w:sz w:val="18"/>
                      <w:szCs w:val="21"/>
                    </w:rPr>
                  </w:pPr>
                  <w:r>
                    <w:rPr>
                      <w:sz w:val="18"/>
                      <w:szCs w:val="21"/>
                    </w:rPr>
                    <w:t>净宽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设计泄洪流量</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rFonts w:hint="eastAsia"/>
                      <w:sz w:val="18"/>
                      <w:szCs w:val="21"/>
                    </w:rPr>
                    <w:t>118.60</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50" w:firstLineChars="250"/>
                    <w:rPr>
                      <w:sz w:val="18"/>
                      <w:szCs w:val="21"/>
                    </w:rPr>
                  </w:pPr>
                  <w:r>
                    <w:rPr>
                      <w:sz w:val="18"/>
                      <w:szCs w:val="21"/>
                    </w:rPr>
                    <w:t>校核泄洪流量</w:t>
                  </w:r>
                </w:p>
              </w:tc>
              <w:tc>
                <w:tcPr>
                  <w:tcW w:w="729" w:type="dxa"/>
                  <w:vAlign w:val="center"/>
                </w:tcPr>
                <w:p>
                  <w:pPr>
                    <w:jc w:val="center"/>
                    <w:rPr>
                      <w:sz w:val="18"/>
                      <w:szCs w:val="21"/>
                    </w:rPr>
                  </w:pPr>
                  <w:r>
                    <w:rPr>
                      <w:sz w:val="18"/>
                      <w:szCs w:val="21"/>
                    </w:rPr>
                    <w:t>m</w:t>
                  </w:r>
                  <w:r>
                    <w:rPr>
                      <w:sz w:val="18"/>
                      <w:szCs w:val="21"/>
                      <w:vertAlign w:val="superscript"/>
                    </w:rPr>
                    <w:t>3</w:t>
                  </w:r>
                  <w:r>
                    <w:rPr>
                      <w:sz w:val="18"/>
                      <w:szCs w:val="21"/>
                    </w:rPr>
                    <w:t>/s</w:t>
                  </w:r>
                </w:p>
              </w:tc>
              <w:tc>
                <w:tcPr>
                  <w:tcW w:w="1914" w:type="dxa"/>
                  <w:shd w:val="clear" w:color="auto" w:fill="auto"/>
                  <w:vAlign w:val="center"/>
                </w:tcPr>
                <w:p>
                  <w:pPr>
                    <w:jc w:val="center"/>
                    <w:rPr>
                      <w:sz w:val="18"/>
                      <w:szCs w:val="21"/>
                    </w:rPr>
                  </w:pPr>
                  <w:r>
                    <w:rPr>
                      <w:rFonts w:hint="eastAsia"/>
                      <w:sz w:val="18"/>
                      <w:szCs w:val="21"/>
                    </w:rPr>
                    <w:t>312.49</w:t>
                  </w:r>
                </w:p>
              </w:tc>
              <w:tc>
                <w:tcPr>
                  <w:tcW w:w="2280" w:type="dxa"/>
                  <w:vAlign w:val="center"/>
                </w:tcPr>
                <w:p>
                  <w:pP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7990" w:type="dxa"/>
                  <w:gridSpan w:val="4"/>
                  <w:vAlign w:val="center"/>
                </w:tcPr>
                <w:p>
                  <w:pPr>
                    <w:jc w:val="left"/>
                    <w:rPr>
                      <w:b/>
                      <w:sz w:val="18"/>
                      <w:szCs w:val="21"/>
                    </w:rPr>
                  </w:pPr>
                  <w:r>
                    <w:rPr>
                      <w:b/>
                      <w:sz w:val="18"/>
                      <w:szCs w:val="21"/>
                    </w:rPr>
                    <w:t>五、主体工程量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20"/>
                    <w:rPr>
                      <w:sz w:val="18"/>
                      <w:szCs w:val="21"/>
                    </w:rPr>
                  </w:pPr>
                  <w:r>
                    <w:rPr>
                      <w:sz w:val="18"/>
                      <w:szCs w:val="21"/>
                    </w:rPr>
                    <w:t>土方开挖</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vAlign w:val="center"/>
                </w:tcPr>
                <w:p>
                  <w:pPr>
                    <w:jc w:val="center"/>
                    <w:rPr>
                      <w:sz w:val="18"/>
                      <w:szCs w:val="21"/>
                    </w:rPr>
                  </w:pPr>
                  <w:r>
                    <w:rPr>
                      <w:rFonts w:hint="eastAsia"/>
                      <w:sz w:val="18"/>
                      <w:szCs w:val="21"/>
                    </w:rPr>
                    <w:t>57.01</w:t>
                  </w:r>
                </w:p>
              </w:tc>
              <w:tc>
                <w:tcPr>
                  <w:tcW w:w="2280" w:type="dxa"/>
                  <w:vAlign w:val="center"/>
                </w:tcPr>
                <w:p>
                  <w:pPr>
                    <w:jc w:val="cente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20"/>
                    <w:rPr>
                      <w:sz w:val="18"/>
                      <w:szCs w:val="21"/>
                    </w:rPr>
                  </w:pPr>
                  <w:r>
                    <w:rPr>
                      <w:sz w:val="18"/>
                      <w:szCs w:val="21"/>
                    </w:rPr>
                    <w:t>石方明挖</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vAlign w:val="center"/>
                </w:tcPr>
                <w:p>
                  <w:pPr>
                    <w:jc w:val="center"/>
                    <w:rPr>
                      <w:sz w:val="18"/>
                      <w:szCs w:val="21"/>
                    </w:rPr>
                  </w:pPr>
                  <w:r>
                    <w:rPr>
                      <w:rFonts w:hint="eastAsia"/>
                      <w:sz w:val="18"/>
                      <w:szCs w:val="21"/>
                    </w:rPr>
                    <w:t>16.61</w:t>
                  </w:r>
                </w:p>
              </w:tc>
              <w:tc>
                <w:tcPr>
                  <w:tcW w:w="2280" w:type="dxa"/>
                  <w:vAlign w:val="center"/>
                </w:tcPr>
                <w:p>
                  <w:pPr>
                    <w:jc w:val="cente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20"/>
                    <w:rPr>
                      <w:sz w:val="18"/>
                      <w:szCs w:val="21"/>
                    </w:rPr>
                  </w:pPr>
                  <w:r>
                    <w:rPr>
                      <w:sz w:val="18"/>
                      <w:szCs w:val="21"/>
                    </w:rPr>
                    <w:t>砂砾石回填</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vAlign w:val="center"/>
                </w:tcPr>
                <w:p>
                  <w:pPr>
                    <w:jc w:val="center"/>
                    <w:rPr>
                      <w:sz w:val="18"/>
                      <w:szCs w:val="21"/>
                    </w:rPr>
                  </w:pPr>
                  <w:r>
                    <w:rPr>
                      <w:rFonts w:hint="eastAsia"/>
                      <w:sz w:val="18"/>
                      <w:szCs w:val="21"/>
                    </w:rPr>
                    <w:t>49.86</w:t>
                  </w:r>
                </w:p>
              </w:tc>
              <w:tc>
                <w:tcPr>
                  <w:tcW w:w="2280" w:type="dxa"/>
                  <w:vAlign w:val="center"/>
                </w:tcPr>
                <w:p>
                  <w:pPr>
                    <w:jc w:val="cente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20"/>
                    <w:rPr>
                      <w:sz w:val="18"/>
                      <w:szCs w:val="21"/>
                    </w:rPr>
                  </w:pPr>
                  <w:r>
                    <w:rPr>
                      <w:sz w:val="18"/>
                      <w:szCs w:val="21"/>
                    </w:rPr>
                    <w:t>混凝土</w:t>
                  </w:r>
                </w:p>
              </w:tc>
              <w:tc>
                <w:tcPr>
                  <w:tcW w:w="729" w:type="dxa"/>
                  <w:vAlign w:val="center"/>
                </w:tcPr>
                <w:p>
                  <w:pPr>
                    <w:jc w:val="center"/>
                    <w:rPr>
                      <w:sz w:val="18"/>
                      <w:szCs w:val="21"/>
                    </w:rPr>
                  </w:pPr>
                  <w:r>
                    <w:rPr>
                      <w:sz w:val="18"/>
                      <w:szCs w:val="21"/>
                    </w:rPr>
                    <w:t>万m</w:t>
                  </w:r>
                  <w:r>
                    <w:rPr>
                      <w:sz w:val="18"/>
                      <w:szCs w:val="21"/>
                      <w:vertAlign w:val="superscript"/>
                    </w:rPr>
                    <w:t>3</w:t>
                  </w:r>
                </w:p>
              </w:tc>
              <w:tc>
                <w:tcPr>
                  <w:tcW w:w="1914" w:type="dxa"/>
                  <w:vAlign w:val="center"/>
                </w:tcPr>
                <w:p>
                  <w:pPr>
                    <w:jc w:val="center"/>
                    <w:rPr>
                      <w:sz w:val="18"/>
                      <w:szCs w:val="21"/>
                    </w:rPr>
                  </w:pPr>
                  <w:r>
                    <w:rPr>
                      <w:rFonts w:hint="eastAsia"/>
                      <w:sz w:val="18"/>
                      <w:szCs w:val="21"/>
                    </w:rPr>
                    <w:t>2.52</w:t>
                  </w:r>
                </w:p>
              </w:tc>
              <w:tc>
                <w:tcPr>
                  <w:tcW w:w="2280" w:type="dxa"/>
                  <w:vAlign w:val="center"/>
                </w:tcPr>
                <w:p>
                  <w:pPr>
                    <w:jc w:val="cente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20"/>
                    <w:rPr>
                      <w:sz w:val="18"/>
                      <w:szCs w:val="21"/>
                    </w:rPr>
                  </w:pPr>
                  <w:r>
                    <w:rPr>
                      <w:sz w:val="18"/>
                      <w:szCs w:val="21"/>
                    </w:rPr>
                    <w:t>钢筋制安</w:t>
                  </w:r>
                </w:p>
              </w:tc>
              <w:tc>
                <w:tcPr>
                  <w:tcW w:w="729" w:type="dxa"/>
                  <w:vAlign w:val="center"/>
                </w:tcPr>
                <w:p>
                  <w:pPr>
                    <w:jc w:val="center"/>
                    <w:rPr>
                      <w:sz w:val="18"/>
                      <w:szCs w:val="21"/>
                    </w:rPr>
                  </w:pPr>
                  <w:r>
                    <w:rPr>
                      <w:sz w:val="18"/>
                      <w:szCs w:val="21"/>
                    </w:rPr>
                    <w:t>t</w:t>
                  </w:r>
                </w:p>
              </w:tc>
              <w:tc>
                <w:tcPr>
                  <w:tcW w:w="1914" w:type="dxa"/>
                  <w:vAlign w:val="center"/>
                </w:tcPr>
                <w:p>
                  <w:pPr>
                    <w:jc w:val="center"/>
                    <w:rPr>
                      <w:sz w:val="18"/>
                      <w:szCs w:val="21"/>
                    </w:rPr>
                  </w:pPr>
                  <w:r>
                    <w:rPr>
                      <w:rFonts w:hint="eastAsia"/>
                      <w:sz w:val="18"/>
                      <w:szCs w:val="21"/>
                    </w:rPr>
                    <w:t>1007.44</w:t>
                  </w:r>
                </w:p>
              </w:tc>
              <w:tc>
                <w:tcPr>
                  <w:tcW w:w="2280" w:type="dxa"/>
                  <w:vAlign w:val="center"/>
                </w:tcPr>
                <w:p>
                  <w:pPr>
                    <w:jc w:val="center"/>
                    <w:rPr>
                      <w:sz w:val="18"/>
                      <w:szCs w:val="21"/>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20"/>
                    <w:rPr>
                      <w:sz w:val="18"/>
                      <w:szCs w:val="21"/>
                    </w:rPr>
                  </w:pPr>
                  <w:r>
                    <w:rPr>
                      <w:sz w:val="18"/>
                      <w:szCs w:val="21"/>
                    </w:rPr>
                    <w:t>固结灌浆</w:t>
                  </w:r>
                </w:p>
              </w:tc>
              <w:tc>
                <w:tcPr>
                  <w:tcW w:w="729" w:type="dxa"/>
                  <w:vAlign w:val="center"/>
                </w:tcPr>
                <w:p>
                  <w:pPr>
                    <w:jc w:val="center"/>
                    <w:rPr>
                      <w:sz w:val="18"/>
                      <w:szCs w:val="21"/>
                    </w:rPr>
                  </w:pPr>
                  <w:r>
                    <w:rPr>
                      <w:sz w:val="18"/>
                      <w:szCs w:val="21"/>
                    </w:rPr>
                    <w:t>万m</w:t>
                  </w:r>
                </w:p>
              </w:tc>
              <w:tc>
                <w:tcPr>
                  <w:tcW w:w="1914" w:type="dxa"/>
                  <w:vAlign w:val="center"/>
                </w:tcPr>
                <w:p>
                  <w:pPr>
                    <w:jc w:val="center"/>
                    <w:rPr>
                      <w:sz w:val="18"/>
                      <w:szCs w:val="21"/>
                    </w:rPr>
                  </w:pPr>
                  <w:r>
                    <w:rPr>
                      <w:rFonts w:hint="eastAsia"/>
                      <w:sz w:val="18"/>
                      <w:szCs w:val="21"/>
                    </w:rPr>
                    <w:t>0.52</w:t>
                  </w:r>
                </w:p>
              </w:tc>
              <w:tc>
                <w:tcPr>
                  <w:tcW w:w="2280" w:type="dxa"/>
                  <w:vAlign w:val="center"/>
                </w:tcPr>
                <w:p>
                  <w:pPr>
                    <w:jc w:val="cente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420"/>
                    <w:rPr>
                      <w:sz w:val="18"/>
                      <w:szCs w:val="21"/>
                    </w:rPr>
                  </w:pPr>
                  <w:r>
                    <w:rPr>
                      <w:sz w:val="18"/>
                      <w:szCs w:val="21"/>
                    </w:rPr>
                    <w:t>帷幕灌浆</w:t>
                  </w:r>
                </w:p>
              </w:tc>
              <w:tc>
                <w:tcPr>
                  <w:tcW w:w="729" w:type="dxa"/>
                  <w:vAlign w:val="center"/>
                </w:tcPr>
                <w:p>
                  <w:pPr>
                    <w:jc w:val="center"/>
                    <w:rPr>
                      <w:sz w:val="18"/>
                      <w:szCs w:val="21"/>
                    </w:rPr>
                  </w:pPr>
                  <w:r>
                    <w:rPr>
                      <w:sz w:val="18"/>
                      <w:szCs w:val="21"/>
                    </w:rPr>
                    <w:t>万m</w:t>
                  </w:r>
                </w:p>
              </w:tc>
              <w:tc>
                <w:tcPr>
                  <w:tcW w:w="1914" w:type="dxa"/>
                  <w:vAlign w:val="center"/>
                </w:tcPr>
                <w:p>
                  <w:pPr>
                    <w:jc w:val="center"/>
                    <w:rPr>
                      <w:sz w:val="18"/>
                      <w:szCs w:val="21"/>
                    </w:rPr>
                  </w:pPr>
                  <w:r>
                    <w:rPr>
                      <w:sz w:val="18"/>
                      <w:szCs w:val="21"/>
                    </w:rPr>
                    <w:t>0.</w:t>
                  </w:r>
                  <w:r>
                    <w:rPr>
                      <w:rFonts w:hint="eastAsia"/>
                      <w:sz w:val="18"/>
                      <w:szCs w:val="21"/>
                    </w:rPr>
                    <w:t>59</w:t>
                  </w:r>
                </w:p>
              </w:tc>
              <w:tc>
                <w:tcPr>
                  <w:tcW w:w="2280" w:type="dxa"/>
                  <w:vAlign w:val="center"/>
                </w:tcPr>
                <w:p>
                  <w:pPr>
                    <w:jc w:val="cente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rPr>
                      <w:b/>
                      <w:sz w:val="18"/>
                      <w:szCs w:val="21"/>
                    </w:rPr>
                  </w:pPr>
                  <w:r>
                    <w:rPr>
                      <w:b/>
                      <w:sz w:val="18"/>
                      <w:szCs w:val="21"/>
                    </w:rPr>
                    <w:t>六、经济指标</w:t>
                  </w:r>
                </w:p>
              </w:tc>
              <w:tc>
                <w:tcPr>
                  <w:tcW w:w="4923" w:type="dxa"/>
                  <w:gridSpan w:val="3"/>
                  <w:vAlign w:val="center"/>
                </w:tcPr>
                <w:p>
                  <w:pPr>
                    <w:jc w:val="center"/>
                    <w:rPr>
                      <w:b/>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90" w:firstLineChars="50"/>
                    <w:rPr>
                      <w:sz w:val="18"/>
                      <w:szCs w:val="21"/>
                    </w:rPr>
                  </w:pPr>
                  <w:r>
                    <w:rPr>
                      <w:sz w:val="18"/>
                      <w:szCs w:val="21"/>
                    </w:rPr>
                    <w:t>1. 静态总投资</w:t>
                  </w:r>
                </w:p>
              </w:tc>
              <w:tc>
                <w:tcPr>
                  <w:tcW w:w="729" w:type="dxa"/>
                  <w:vAlign w:val="center"/>
                </w:tcPr>
                <w:p>
                  <w:pPr>
                    <w:jc w:val="center"/>
                    <w:rPr>
                      <w:sz w:val="18"/>
                      <w:szCs w:val="21"/>
                    </w:rPr>
                  </w:pPr>
                  <w:r>
                    <w:rPr>
                      <w:sz w:val="18"/>
                      <w:szCs w:val="21"/>
                    </w:rPr>
                    <w:t>万元</w:t>
                  </w:r>
                </w:p>
              </w:tc>
              <w:tc>
                <w:tcPr>
                  <w:tcW w:w="1914" w:type="dxa"/>
                  <w:vAlign w:val="center"/>
                </w:tcPr>
                <w:p>
                  <w:pPr>
                    <w:jc w:val="center"/>
                    <w:rPr>
                      <w:sz w:val="18"/>
                      <w:szCs w:val="21"/>
                    </w:rPr>
                  </w:pPr>
                  <w:r>
                    <w:rPr>
                      <w:sz w:val="18"/>
                      <w:szCs w:val="21"/>
                    </w:rPr>
                    <w:t>21100.18</w:t>
                  </w:r>
                </w:p>
              </w:tc>
              <w:tc>
                <w:tcPr>
                  <w:tcW w:w="2280" w:type="dxa"/>
                  <w:vAlign w:val="center"/>
                </w:tcPr>
                <w:p>
                  <w:pPr>
                    <w:jc w:val="cente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rFonts w:hint="eastAsia"/>
                      <w:sz w:val="18"/>
                      <w:szCs w:val="21"/>
                    </w:rPr>
                    <w:t>工程</w:t>
                  </w:r>
                  <w:r>
                    <w:rPr>
                      <w:sz w:val="18"/>
                      <w:szCs w:val="21"/>
                    </w:rPr>
                    <w:t>部分投资</w:t>
                  </w:r>
                </w:p>
              </w:tc>
              <w:tc>
                <w:tcPr>
                  <w:tcW w:w="729" w:type="dxa"/>
                  <w:vAlign w:val="center"/>
                </w:tcPr>
                <w:p>
                  <w:pPr>
                    <w:jc w:val="center"/>
                    <w:rPr>
                      <w:sz w:val="18"/>
                      <w:szCs w:val="21"/>
                    </w:rPr>
                  </w:pPr>
                  <w:r>
                    <w:rPr>
                      <w:sz w:val="18"/>
                      <w:szCs w:val="21"/>
                    </w:rPr>
                    <w:t>万元</w:t>
                  </w:r>
                </w:p>
              </w:tc>
              <w:tc>
                <w:tcPr>
                  <w:tcW w:w="1914" w:type="dxa"/>
                  <w:vAlign w:val="center"/>
                </w:tcPr>
                <w:p>
                  <w:pPr>
                    <w:jc w:val="center"/>
                    <w:rPr>
                      <w:sz w:val="18"/>
                      <w:szCs w:val="21"/>
                    </w:rPr>
                  </w:pPr>
                  <w:r>
                    <w:rPr>
                      <w:rFonts w:hint="eastAsia"/>
                      <w:sz w:val="18"/>
                      <w:szCs w:val="21"/>
                    </w:rPr>
                    <w:t>18623.30</w:t>
                  </w:r>
                </w:p>
              </w:tc>
              <w:tc>
                <w:tcPr>
                  <w:tcW w:w="2280" w:type="dxa"/>
                  <w:vAlign w:val="center"/>
                </w:tcPr>
                <w:p>
                  <w:pPr>
                    <w:jc w:val="cente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90" w:firstLineChars="50"/>
                    <w:rPr>
                      <w:sz w:val="18"/>
                      <w:szCs w:val="21"/>
                    </w:rPr>
                  </w:pPr>
                  <w:r>
                    <w:rPr>
                      <w:sz w:val="18"/>
                      <w:szCs w:val="21"/>
                    </w:rPr>
                    <w:t>2. 综合利用经济指标</w:t>
                  </w:r>
                </w:p>
              </w:tc>
              <w:tc>
                <w:tcPr>
                  <w:tcW w:w="729" w:type="dxa"/>
                  <w:vAlign w:val="center"/>
                </w:tcPr>
                <w:p>
                  <w:pPr>
                    <w:jc w:val="center"/>
                    <w:rPr>
                      <w:sz w:val="18"/>
                      <w:szCs w:val="21"/>
                    </w:rPr>
                  </w:pPr>
                </w:p>
              </w:tc>
              <w:tc>
                <w:tcPr>
                  <w:tcW w:w="1914" w:type="dxa"/>
                  <w:vAlign w:val="center"/>
                </w:tcPr>
                <w:p>
                  <w:pPr>
                    <w:jc w:val="center"/>
                    <w:rPr>
                      <w:sz w:val="18"/>
                      <w:szCs w:val="21"/>
                    </w:rPr>
                  </w:pPr>
                </w:p>
              </w:tc>
              <w:tc>
                <w:tcPr>
                  <w:tcW w:w="2280" w:type="dxa"/>
                  <w:vAlign w:val="center"/>
                </w:tcPr>
                <w:p>
                  <w:pPr>
                    <w:jc w:val="center"/>
                    <w:rPr>
                      <w:sz w:val="18"/>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trPr>
              <w:tc>
                <w:tcPr>
                  <w:tcW w:w="3067" w:type="dxa"/>
                  <w:vAlign w:val="center"/>
                </w:tcPr>
                <w:p>
                  <w:pPr>
                    <w:ind w:firstLine="270" w:firstLineChars="150"/>
                    <w:rPr>
                      <w:sz w:val="18"/>
                      <w:szCs w:val="21"/>
                    </w:rPr>
                  </w:pPr>
                  <w:r>
                    <w:rPr>
                      <w:sz w:val="18"/>
                      <w:szCs w:val="21"/>
                    </w:rPr>
                    <w:t>单位库水静态投资</w:t>
                  </w:r>
                </w:p>
              </w:tc>
              <w:tc>
                <w:tcPr>
                  <w:tcW w:w="729" w:type="dxa"/>
                  <w:vAlign w:val="center"/>
                </w:tcPr>
                <w:p>
                  <w:pPr>
                    <w:jc w:val="center"/>
                    <w:rPr>
                      <w:sz w:val="18"/>
                      <w:szCs w:val="21"/>
                    </w:rPr>
                  </w:pPr>
                  <w:r>
                    <w:rPr>
                      <w:sz w:val="18"/>
                      <w:szCs w:val="21"/>
                    </w:rPr>
                    <w:t>元/m</w:t>
                  </w:r>
                  <w:r>
                    <w:rPr>
                      <w:sz w:val="18"/>
                      <w:szCs w:val="21"/>
                      <w:vertAlign w:val="superscript"/>
                    </w:rPr>
                    <w:t>3</w:t>
                  </w:r>
                </w:p>
              </w:tc>
              <w:tc>
                <w:tcPr>
                  <w:tcW w:w="1914" w:type="dxa"/>
                  <w:vAlign w:val="center"/>
                </w:tcPr>
                <w:p>
                  <w:pPr>
                    <w:jc w:val="center"/>
                    <w:rPr>
                      <w:sz w:val="18"/>
                      <w:szCs w:val="21"/>
                    </w:rPr>
                  </w:pPr>
                  <w:r>
                    <w:rPr>
                      <w:rFonts w:hint="eastAsia"/>
                      <w:sz w:val="18"/>
                      <w:szCs w:val="21"/>
                    </w:rPr>
                    <w:t>71.</w:t>
                  </w:r>
                  <w:r>
                    <w:rPr>
                      <w:sz w:val="18"/>
                      <w:szCs w:val="21"/>
                    </w:rPr>
                    <w:t>60</w:t>
                  </w:r>
                </w:p>
              </w:tc>
              <w:tc>
                <w:tcPr>
                  <w:tcW w:w="2280" w:type="dxa"/>
                  <w:vAlign w:val="center"/>
                </w:tcPr>
                <w:p>
                  <w:pPr>
                    <w:pStyle w:val="94"/>
                    <w:adjustRightInd w:val="0"/>
                    <w:snapToGrid w:val="0"/>
                    <w:spacing w:line="240" w:lineRule="auto"/>
                    <w:ind w:firstLineChars="0"/>
                    <w:rPr>
                      <w:rFonts w:ascii="Times New Roman"/>
                      <w:sz w:val="18"/>
                      <w:szCs w:val="21"/>
                    </w:rPr>
                  </w:pPr>
                </w:p>
              </w:tc>
            </w:tr>
          </w:tbl>
          <w:p>
            <w:pPr>
              <w:adjustRightInd w:val="0"/>
              <w:snapToGrid w:val="0"/>
              <w:jc w:val="left"/>
              <w:rPr>
                <w:rFonts w:ascii="宋体" w:hAnsi="宋体" w:cs="宋体"/>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424" w:hRule="atLeast"/>
          <w:jc w:val="center"/>
        </w:trPr>
        <w:tc>
          <w:tcPr>
            <w:tcW w:w="874"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总平面及现场布置</w:t>
            </w:r>
          </w:p>
        </w:tc>
        <w:tc>
          <w:tcPr>
            <w:tcW w:w="8216" w:type="dxa"/>
            <w:vAlign w:val="center"/>
          </w:tcPr>
          <w:p>
            <w:pPr>
              <w:adjustRightInd w:val="0"/>
              <w:snapToGrid w:val="0"/>
              <w:spacing w:line="360" w:lineRule="auto"/>
              <w:contextualSpacing/>
              <w:rPr>
                <w:b/>
                <w:sz w:val="24"/>
              </w:rPr>
            </w:pPr>
            <w:r>
              <w:rPr>
                <w:b/>
                <w:sz w:val="24"/>
              </w:rPr>
              <w:t>一、总体布置方案</w:t>
            </w:r>
          </w:p>
          <w:p>
            <w:pPr>
              <w:autoSpaceDE w:val="0"/>
              <w:autoSpaceDN w:val="0"/>
              <w:adjustRightInd w:val="0"/>
              <w:spacing w:line="360" w:lineRule="auto"/>
              <w:ind w:firstLine="480" w:firstLineChars="200"/>
              <w:contextualSpacing/>
              <w:jc w:val="left"/>
              <w:rPr>
                <w:sz w:val="24"/>
              </w:rPr>
            </w:pPr>
            <w:r>
              <w:rPr>
                <w:kern w:val="0"/>
                <w:sz w:val="24"/>
              </w:rPr>
              <w:t>（1）</w:t>
            </w:r>
            <w:r>
              <w:rPr>
                <w:rFonts w:hint="eastAsia"/>
                <w:sz w:val="24"/>
              </w:rPr>
              <w:t>挡水建筑</w:t>
            </w:r>
            <w:r>
              <w:rPr>
                <w:sz w:val="24"/>
              </w:rPr>
              <w:t>物</w:t>
            </w:r>
          </w:p>
          <w:p>
            <w:pPr>
              <w:adjustRightInd w:val="0"/>
              <w:snapToGrid w:val="0"/>
              <w:spacing w:line="360" w:lineRule="auto"/>
              <w:ind w:firstLine="480" w:firstLineChars="200"/>
              <w:rPr>
                <w:sz w:val="24"/>
              </w:rPr>
            </w:pPr>
            <w:r>
              <w:rPr>
                <w:rFonts w:hint="eastAsia"/>
                <w:sz w:val="24"/>
              </w:rPr>
              <w:t>红山嘴</w:t>
            </w:r>
            <w:r>
              <w:rPr>
                <w:sz w:val="24"/>
              </w:rPr>
              <w:t>水库位于</w:t>
            </w:r>
            <w:r>
              <w:rPr>
                <w:rFonts w:hint="eastAsia"/>
                <w:sz w:val="24"/>
              </w:rPr>
              <w:t>东城河中游</w:t>
            </w:r>
            <w:r>
              <w:rPr>
                <w:sz w:val="24"/>
              </w:rPr>
              <w:t>低山区</w:t>
            </w:r>
            <w:r>
              <w:rPr>
                <w:rFonts w:hint="eastAsia"/>
                <w:sz w:val="24"/>
              </w:rPr>
              <w:t>，</w:t>
            </w:r>
            <w:r>
              <w:rPr>
                <w:sz w:val="24"/>
              </w:rPr>
              <w:t>地形</w:t>
            </w:r>
            <w:r>
              <w:rPr>
                <w:rFonts w:hint="eastAsia"/>
                <w:sz w:val="24"/>
              </w:rPr>
              <w:t>为山前低山丘陵，</w:t>
            </w:r>
            <w:r>
              <w:rPr>
                <w:sz w:val="24"/>
              </w:rPr>
              <w:t>地势</w:t>
            </w:r>
            <w:r>
              <w:rPr>
                <w:rFonts w:hint="eastAsia"/>
                <w:sz w:val="24"/>
              </w:rPr>
              <w:t>南高北低，坝址区</w:t>
            </w:r>
            <w:r>
              <w:rPr>
                <w:sz w:val="24"/>
              </w:rPr>
              <w:t>河谷底部较窄处宽</w:t>
            </w:r>
            <w:r>
              <w:rPr>
                <w:rFonts w:hint="eastAsia"/>
                <w:sz w:val="24"/>
              </w:rPr>
              <w:t>约40</w:t>
            </w:r>
            <w:r>
              <w:rPr>
                <w:sz w:val="24"/>
              </w:rPr>
              <w:t>m</w:t>
            </w:r>
            <w:r>
              <w:rPr>
                <w:rFonts w:hint="eastAsia"/>
                <w:sz w:val="24"/>
              </w:rPr>
              <w:t>，</w:t>
            </w:r>
            <w:r>
              <w:rPr>
                <w:sz w:val="24"/>
              </w:rPr>
              <w:t>河床面高程</w:t>
            </w:r>
            <w:r>
              <w:rPr>
                <w:rFonts w:hint="eastAsia"/>
                <w:sz w:val="24"/>
              </w:rPr>
              <w:t>1294</w:t>
            </w:r>
            <w:r>
              <w:rPr>
                <w:sz w:val="24"/>
              </w:rPr>
              <w:t>m</w:t>
            </w:r>
            <w:r>
              <w:rPr>
                <w:rFonts w:hint="eastAsia"/>
                <w:sz w:val="24"/>
              </w:rPr>
              <w:t>～1329m，</w:t>
            </w:r>
            <w:r>
              <w:rPr>
                <w:sz w:val="24"/>
              </w:rPr>
              <w:t>坡度</w:t>
            </w:r>
            <w:r>
              <w:rPr>
                <w:rFonts w:hint="eastAsia"/>
                <w:sz w:val="24"/>
              </w:rPr>
              <w:t>3</w:t>
            </w:r>
            <w:r>
              <w:rPr>
                <w:sz w:val="24"/>
              </w:rPr>
              <w:t>%～</w:t>
            </w:r>
            <w:r>
              <w:rPr>
                <w:rFonts w:hint="eastAsia"/>
                <w:sz w:val="24"/>
              </w:rPr>
              <w:t>4</w:t>
            </w:r>
            <w:r>
              <w:rPr>
                <w:sz w:val="24"/>
              </w:rPr>
              <w:t>%</w:t>
            </w:r>
            <w:r>
              <w:rPr>
                <w:rFonts w:hint="eastAsia"/>
                <w:sz w:val="24"/>
              </w:rPr>
              <w:t>，库盘为戈壁荒地，植被分布较为稀疏</w:t>
            </w:r>
            <w:r>
              <w:rPr>
                <w:sz w:val="24"/>
              </w:rPr>
              <w:t>。</w:t>
            </w:r>
            <w:r>
              <w:rPr>
                <w:rFonts w:hint="eastAsia"/>
                <w:sz w:val="24"/>
              </w:rPr>
              <w:t>水库</w:t>
            </w:r>
            <w:r>
              <w:rPr>
                <w:sz w:val="24"/>
              </w:rPr>
              <w:t>由挡水沥青</w:t>
            </w:r>
            <w:r>
              <w:rPr>
                <w:rFonts w:hint="eastAsia"/>
                <w:sz w:val="24"/>
              </w:rPr>
              <w:t>砼</w:t>
            </w:r>
            <w:r>
              <w:rPr>
                <w:sz w:val="24"/>
              </w:rPr>
              <w:t>心墙坝和</w:t>
            </w:r>
            <w:r>
              <w:rPr>
                <w:rFonts w:hint="eastAsia"/>
                <w:sz w:val="24"/>
              </w:rPr>
              <w:t>引泄水</w:t>
            </w:r>
            <w:r>
              <w:rPr>
                <w:sz w:val="24"/>
              </w:rPr>
              <w:t>建筑物组成。</w:t>
            </w:r>
          </w:p>
          <w:p>
            <w:pPr>
              <w:adjustRightInd w:val="0"/>
              <w:snapToGrid w:val="0"/>
              <w:spacing w:line="360" w:lineRule="auto"/>
              <w:ind w:firstLine="480" w:firstLineChars="200"/>
              <w:rPr>
                <w:sz w:val="24"/>
              </w:rPr>
            </w:pPr>
            <w:r>
              <w:rPr>
                <w:sz w:val="24"/>
              </w:rPr>
              <w:t>本工程为沥青砼心墙坝，</w:t>
            </w:r>
            <w:r>
              <w:rPr>
                <w:snapToGrid w:val="0"/>
                <w:sz w:val="24"/>
              </w:rPr>
              <w:t>坝轴线总长</w:t>
            </w:r>
            <w:r>
              <w:rPr>
                <w:kern w:val="0"/>
                <w:sz w:val="24"/>
              </w:rPr>
              <w:t>187.50m，坝顶高程1338.7m，</w:t>
            </w:r>
            <w:r>
              <w:rPr>
                <w:sz w:val="24"/>
              </w:rPr>
              <w:t>最大坝高56.20m</w:t>
            </w:r>
            <w:r>
              <w:rPr>
                <w:rFonts w:hint="eastAsia"/>
                <w:sz w:val="24"/>
              </w:rPr>
              <w:t>，</w:t>
            </w:r>
            <w:r>
              <w:rPr>
                <w:kern w:val="0"/>
                <w:sz w:val="24"/>
                <w:lang w:val="zh-CN"/>
              </w:rPr>
              <w:t>正常蓄水位1333.82m，</w:t>
            </w:r>
            <w:r>
              <w:rPr>
                <w:sz w:val="24"/>
              </w:rPr>
              <w:t>相应库容211.70万m</w:t>
            </w:r>
            <w:r>
              <w:rPr>
                <w:sz w:val="24"/>
                <w:vertAlign w:val="superscript"/>
              </w:rPr>
              <w:t>3</w:t>
            </w:r>
            <w:r>
              <w:rPr>
                <w:sz w:val="24"/>
              </w:rPr>
              <w:t>，死水位</w:t>
            </w:r>
            <w:r>
              <w:rPr>
                <w:rFonts w:hint="eastAsia"/>
                <w:sz w:val="24"/>
              </w:rPr>
              <w:t>1317.71</w:t>
            </w:r>
            <w:r>
              <w:rPr>
                <w:sz w:val="24"/>
              </w:rPr>
              <w:t>m，死库容</w:t>
            </w:r>
            <w:r>
              <w:rPr>
                <w:rFonts w:hint="eastAsia"/>
                <w:sz w:val="24"/>
              </w:rPr>
              <w:t>40</w:t>
            </w:r>
            <w:r>
              <w:rPr>
                <w:sz w:val="24"/>
              </w:rPr>
              <w:t>万m</w:t>
            </w:r>
            <w:r>
              <w:rPr>
                <w:sz w:val="24"/>
                <w:vertAlign w:val="superscript"/>
              </w:rPr>
              <w:t>3</w:t>
            </w:r>
            <w:r>
              <w:rPr>
                <w:sz w:val="24"/>
              </w:rPr>
              <w:t>；调节库容171.70万m</w:t>
            </w:r>
            <w:r>
              <w:rPr>
                <w:sz w:val="24"/>
                <w:vertAlign w:val="superscript"/>
              </w:rPr>
              <w:t>3</w:t>
            </w:r>
            <w:r>
              <w:rPr>
                <w:sz w:val="24"/>
              </w:rPr>
              <w:t>。水库坝顶宽度为</w:t>
            </w:r>
            <w:r>
              <w:rPr>
                <w:rFonts w:hint="eastAsia"/>
                <w:sz w:val="24"/>
              </w:rPr>
              <w:t>6</w:t>
            </w:r>
            <w:r>
              <w:rPr>
                <w:sz w:val="24"/>
              </w:rPr>
              <w:t>.0m</w:t>
            </w:r>
            <w:r>
              <w:rPr>
                <w:rFonts w:hint="eastAsia"/>
                <w:sz w:val="24"/>
              </w:rPr>
              <w:t>，</w:t>
            </w:r>
            <w:r>
              <w:rPr>
                <w:sz w:val="24"/>
              </w:rPr>
              <w:t>上游坝坡采用1：2.5；下游坝坡采用1：2.309。</w:t>
            </w:r>
          </w:p>
          <w:p>
            <w:pPr>
              <w:spacing w:line="360" w:lineRule="auto"/>
              <w:ind w:firstLine="480"/>
              <w:rPr>
                <w:kern w:val="0"/>
                <w:sz w:val="24"/>
              </w:rPr>
            </w:pPr>
            <w:r>
              <w:rPr>
                <w:kern w:val="0"/>
                <w:sz w:val="24"/>
              </w:rPr>
              <w:t>（2）</w:t>
            </w:r>
            <w:r>
              <w:rPr>
                <w:rFonts w:hint="eastAsia"/>
                <w:kern w:val="0"/>
                <w:sz w:val="24"/>
              </w:rPr>
              <w:t>引泄水</w:t>
            </w:r>
            <w:r>
              <w:rPr>
                <w:kern w:val="0"/>
                <w:sz w:val="24"/>
              </w:rPr>
              <w:t>建筑物</w:t>
            </w:r>
          </w:p>
          <w:p>
            <w:pPr>
              <w:spacing w:line="360" w:lineRule="auto"/>
              <w:ind w:firstLine="480"/>
              <w:rPr>
                <w:kern w:val="0"/>
                <w:sz w:val="24"/>
              </w:rPr>
            </w:pPr>
            <w:r>
              <w:rPr>
                <w:rFonts w:hint="eastAsia"/>
                <w:kern w:val="0"/>
                <w:sz w:val="24"/>
              </w:rPr>
              <w:t>引泄水</w:t>
            </w:r>
            <w:r>
              <w:rPr>
                <w:kern w:val="0"/>
                <w:sz w:val="24"/>
              </w:rPr>
              <w:t>建筑物由</w:t>
            </w:r>
            <w:r>
              <w:rPr>
                <w:rFonts w:hint="eastAsia"/>
                <w:kern w:val="0"/>
                <w:sz w:val="24"/>
              </w:rPr>
              <w:t>导流放水</w:t>
            </w:r>
            <w:r>
              <w:rPr>
                <w:kern w:val="0"/>
                <w:sz w:val="24"/>
              </w:rPr>
              <w:t>冲</w:t>
            </w:r>
            <w:r>
              <w:rPr>
                <w:rFonts w:hint="eastAsia"/>
                <w:kern w:val="0"/>
                <w:sz w:val="24"/>
              </w:rPr>
              <w:t>沙</w:t>
            </w:r>
            <w:r>
              <w:rPr>
                <w:kern w:val="0"/>
                <w:sz w:val="24"/>
              </w:rPr>
              <w:t>涵洞</w:t>
            </w:r>
            <w:r>
              <w:rPr>
                <w:rFonts w:hint="eastAsia"/>
                <w:kern w:val="0"/>
                <w:sz w:val="24"/>
              </w:rPr>
              <w:t>和</w:t>
            </w:r>
            <w:r>
              <w:rPr>
                <w:kern w:val="0"/>
                <w:sz w:val="24"/>
              </w:rPr>
              <w:t>溢洪道组成</w:t>
            </w:r>
            <w:r>
              <w:rPr>
                <w:rFonts w:hint="eastAsia"/>
                <w:kern w:val="0"/>
                <w:sz w:val="24"/>
              </w:rPr>
              <w:t>。水库蓄水初期通过导流洞下泄生态流量；运行期采用导流放水冲沙涵洞上</w:t>
            </w:r>
            <w:r>
              <w:rPr>
                <w:kern w:val="0"/>
                <w:sz w:val="24"/>
              </w:rPr>
              <w:t>设置的</w:t>
            </w:r>
            <w:r>
              <w:rPr>
                <w:rFonts w:hint="eastAsia"/>
                <w:kern w:val="0"/>
                <w:sz w:val="24"/>
              </w:rPr>
              <w:t>人畜、工业供水及生态放水管后设置的分水管下泄生态流量。</w:t>
            </w:r>
          </w:p>
          <w:p>
            <w:pPr>
              <w:adjustRightInd w:val="0"/>
              <w:snapToGrid w:val="0"/>
              <w:spacing w:line="360" w:lineRule="auto"/>
              <w:ind w:firstLine="480" w:firstLineChars="200"/>
              <w:rPr>
                <w:sz w:val="24"/>
              </w:rPr>
            </w:pPr>
            <w:r>
              <w:rPr>
                <w:rFonts w:hint="eastAsia"/>
                <w:sz w:val="24"/>
              </w:rPr>
              <w:t>①</w:t>
            </w:r>
            <w:r>
              <w:rPr>
                <w:sz w:val="24"/>
              </w:rPr>
              <w:t>导流放水冲</w:t>
            </w:r>
            <w:r>
              <w:rPr>
                <w:rFonts w:hint="eastAsia"/>
                <w:sz w:val="24"/>
              </w:rPr>
              <w:t>沙</w:t>
            </w:r>
            <w:r>
              <w:rPr>
                <w:sz w:val="24"/>
              </w:rPr>
              <w:t>涵洞</w:t>
            </w:r>
          </w:p>
          <w:p>
            <w:pPr>
              <w:adjustRightInd w:val="0"/>
              <w:snapToGrid w:val="0"/>
              <w:spacing w:line="360" w:lineRule="auto"/>
              <w:ind w:firstLine="480" w:firstLineChars="200"/>
              <w:rPr>
                <w:sz w:val="24"/>
              </w:rPr>
            </w:pPr>
            <w:r>
              <w:rPr>
                <w:rFonts w:hint="eastAsia"/>
                <w:sz w:val="24"/>
              </w:rPr>
              <w:t>涵洞布置在右岸坝体桩号0+00</w:t>
            </w:r>
            <w:r>
              <w:rPr>
                <w:sz w:val="24"/>
              </w:rPr>
              <w:t>5</w:t>
            </w:r>
            <w:r>
              <w:rPr>
                <w:rFonts w:hint="eastAsia"/>
                <w:sz w:val="24"/>
              </w:rPr>
              <w:t>下部，全长</w:t>
            </w:r>
            <w:r>
              <w:rPr>
                <w:sz w:val="24"/>
              </w:rPr>
              <w:t>344.38</w:t>
            </w:r>
            <w:r>
              <w:rPr>
                <w:rFonts w:hint="eastAsia"/>
                <w:sz w:val="24"/>
              </w:rPr>
              <w:t>m，由引渠段、有压洞身段、闸井段、无压洞身段、出口消力池段、海漫段组成，最大下泄流量</w:t>
            </w:r>
            <w:r>
              <w:rPr>
                <w:sz w:val="24"/>
              </w:rPr>
              <w:t>44.43</w:t>
            </w:r>
            <w:r>
              <w:rPr>
                <w:rFonts w:hint="eastAsia"/>
                <w:sz w:val="24"/>
              </w:rPr>
              <w:t>m</w:t>
            </w:r>
            <w:r>
              <w:rPr>
                <w:rFonts w:hint="eastAsia"/>
                <w:sz w:val="24"/>
                <w:vertAlign w:val="superscript"/>
              </w:rPr>
              <w:t>3</w:t>
            </w:r>
            <w:r>
              <w:rPr>
                <w:rFonts w:hint="eastAsia"/>
                <w:sz w:val="24"/>
              </w:rPr>
              <w:t>/s。</w:t>
            </w:r>
          </w:p>
          <w:p>
            <w:pPr>
              <w:adjustRightInd w:val="0"/>
              <w:snapToGrid w:val="0"/>
              <w:spacing w:line="360" w:lineRule="auto"/>
              <w:ind w:firstLine="480" w:firstLineChars="200"/>
              <w:rPr>
                <w:sz w:val="24"/>
              </w:rPr>
            </w:pPr>
            <w:r>
              <w:rPr>
                <w:rFonts w:hint="eastAsia"/>
                <w:sz w:val="24"/>
              </w:rPr>
              <w:t>其中引渠段长度</w:t>
            </w:r>
            <w:r>
              <w:rPr>
                <w:sz w:val="24"/>
              </w:rPr>
              <w:t>60</w:t>
            </w:r>
            <w:r>
              <w:rPr>
                <w:rFonts w:hint="eastAsia"/>
                <w:sz w:val="24"/>
              </w:rPr>
              <w:t>.0m，进口高程</w:t>
            </w:r>
            <w:r>
              <w:rPr>
                <w:sz w:val="24"/>
              </w:rPr>
              <w:t>1312.80</w:t>
            </w:r>
            <w:r>
              <w:rPr>
                <w:rFonts w:hint="eastAsia"/>
                <w:sz w:val="24"/>
              </w:rPr>
              <w:t>m，末端高程</w:t>
            </w:r>
            <w:r>
              <w:rPr>
                <w:sz w:val="24"/>
              </w:rPr>
              <w:t>1312.50</w:t>
            </w:r>
            <w:r>
              <w:rPr>
                <w:rFonts w:hint="eastAsia"/>
                <w:sz w:val="24"/>
              </w:rPr>
              <w:t>m，断面采用梯形断面，底宽2.5m，渠深1.5m，承担</w:t>
            </w:r>
            <w:r>
              <w:rPr>
                <w:sz w:val="24"/>
              </w:rPr>
              <w:t>将水流输送至涵洞的功能；有压洞身段长度55.0m，进口高程1312.50m</w:t>
            </w:r>
            <w:r>
              <w:rPr>
                <w:rFonts w:hint="eastAsia"/>
                <w:sz w:val="24"/>
              </w:rPr>
              <w:t>，</w:t>
            </w:r>
            <w:r>
              <w:rPr>
                <w:sz w:val="24"/>
              </w:rPr>
              <w:t>其上游紧接导流明渠</w:t>
            </w:r>
            <w:r>
              <w:rPr>
                <w:rFonts w:hint="eastAsia"/>
                <w:sz w:val="24"/>
              </w:rPr>
              <w:t>；</w:t>
            </w:r>
            <w:r>
              <w:rPr>
                <w:sz w:val="24"/>
              </w:rPr>
              <w:t>闸室段</w:t>
            </w:r>
            <w:r>
              <w:rPr>
                <w:rFonts w:hint="eastAsia"/>
                <w:sz w:val="24"/>
              </w:rPr>
              <w:t>底板高程</w:t>
            </w:r>
            <w:r>
              <w:rPr>
                <w:sz w:val="24"/>
              </w:rPr>
              <w:t>1311.40m，</w:t>
            </w:r>
            <w:r>
              <w:rPr>
                <w:rFonts w:hint="eastAsia"/>
                <w:sz w:val="24"/>
              </w:rPr>
              <w:t>闸井底板</w:t>
            </w:r>
            <w:r>
              <w:rPr>
                <w:sz w:val="24"/>
              </w:rPr>
              <w:t>长</w:t>
            </w:r>
            <w:r>
              <w:rPr>
                <w:rFonts w:hint="eastAsia"/>
                <w:sz w:val="24"/>
              </w:rPr>
              <w:t>14.0</w:t>
            </w:r>
            <w:r>
              <w:rPr>
                <w:sz w:val="24"/>
              </w:rPr>
              <w:t>m，宽</w:t>
            </w:r>
            <w:r>
              <w:rPr>
                <w:rFonts w:hint="eastAsia"/>
                <w:sz w:val="24"/>
              </w:rPr>
              <w:t>5.</w:t>
            </w:r>
            <w:r>
              <w:rPr>
                <w:sz w:val="24"/>
              </w:rPr>
              <w:t>6m</w:t>
            </w:r>
            <w:r>
              <w:rPr>
                <w:rFonts w:hint="eastAsia"/>
                <w:sz w:val="24"/>
              </w:rPr>
              <w:t>，井筒内部为“日字形”框架结构，中部横向设有厚度0.8m的横隔墙</w:t>
            </w:r>
            <w:r>
              <w:rPr>
                <w:sz w:val="24"/>
              </w:rPr>
              <w:t>；</w:t>
            </w:r>
            <w:r>
              <w:rPr>
                <w:rFonts w:hint="eastAsia"/>
                <w:sz w:val="24"/>
              </w:rPr>
              <w:t>无压</w:t>
            </w:r>
            <w:r>
              <w:rPr>
                <w:sz w:val="24"/>
              </w:rPr>
              <w:t>洞身段长度80.0m</w:t>
            </w:r>
            <w:r>
              <w:rPr>
                <w:rFonts w:hint="eastAsia"/>
                <w:sz w:val="24"/>
              </w:rPr>
              <w:t>，</w:t>
            </w:r>
            <w:r>
              <w:rPr>
                <w:sz w:val="24"/>
              </w:rPr>
              <w:t>出口高程1309.80m</w:t>
            </w:r>
            <w:r>
              <w:rPr>
                <w:rFonts w:hint="eastAsia"/>
                <w:sz w:val="24"/>
              </w:rPr>
              <w:t>；</w:t>
            </w:r>
            <w:r>
              <w:rPr>
                <w:sz w:val="24"/>
              </w:rPr>
              <w:t>出口</w:t>
            </w:r>
            <w:r>
              <w:rPr>
                <w:rFonts w:hint="eastAsia"/>
                <w:sz w:val="24"/>
              </w:rPr>
              <w:t>消力池</w:t>
            </w:r>
            <w:r>
              <w:rPr>
                <w:sz w:val="24"/>
              </w:rPr>
              <w:t>段长度56m，由</w:t>
            </w:r>
            <w:r>
              <w:rPr>
                <w:rFonts w:hint="eastAsia"/>
                <w:sz w:val="24"/>
              </w:rPr>
              <w:t>陡坡</w:t>
            </w:r>
            <w:r>
              <w:rPr>
                <w:sz w:val="24"/>
              </w:rPr>
              <w:t>段和水平段两部分组成</w:t>
            </w:r>
            <w:r>
              <w:rPr>
                <w:rFonts w:hint="eastAsia"/>
                <w:sz w:val="24"/>
              </w:rPr>
              <w:t>，消力池末端设消能坎，消能坎高出池底</w:t>
            </w:r>
            <w:r>
              <w:rPr>
                <w:sz w:val="24"/>
              </w:rPr>
              <w:t>2.5</w:t>
            </w:r>
            <w:r>
              <w:rPr>
                <w:rFonts w:hint="eastAsia"/>
                <w:sz w:val="24"/>
              </w:rPr>
              <w:t>m，坎顶高程</w:t>
            </w:r>
            <w:r>
              <w:rPr>
                <w:sz w:val="24"/>
              </w:rPr>
              <w:t>1300.30</w:t>
            </w:r>
            <w:r>
              <w:rPr>
                <w:rFonts w:hint="eastAsia"/>
                <w:sz w:val="24"/>
              </w:rPr>
              <w:t>m；末端</w:t>
            </w:r>
            <w:r>
              <w:rPr>
                <w:sz w:val="24"/>
              </w:rPr>
              <w:t>海漫段</w:t>
            </w:r>
            <w:r>
              <w:rPr>
                <w:rFonts w:hint="eastAsia"/>
                <w:sz w:val="24"/>
              </w:rPr>
              <w:t>长度</w:t>
            </w:r>
            <w:r>
              <w:rPr>
                <w:sz w:val="24"/>
              </w:rPr>
              <w:t>79.38m，纵坡与</w:t>
            </w:r>
            <w:r>
              <w:rPr>
                <w:rFonts w:hint="eastAsia"/>
                <w:sz w:val="24"/>
              </w:rPr>
              <w:t>河床</w:t>
            </w:r>
            <w:r>
              <w:rPr>
                <w:sz w:val="24"/>
              </w:rPr>
              <w:t>纵坡相同，断面</w:t>
            </w:r>
            <w:r>
              <w:rPr>
                <w:rFonts w:hint="eastAsia"/>
                <w:sz w:val="24"/>
              </w:rPr>
              <w:t>为矩形，边墙高2.5m；人畜、工业</w:t>
            </w:r>
            <w:r>
              <w:rPr>
                <w:sz w:val="24"/>
              </w:rPr>
              <w:t>供水</w:t>
            </w:r>
            <w:r>
              <w:rPr>
                <w:rFonts w:hint="eastAsia"/>
                <w:sz w:val="24"/>
              </w:rPr>
              <w:t>及生态放水</w:t>
            </w:r>
            <w:r>
              <w:rPr>
                <w:sz w:val="24"/>
              </w:rPr>
              <w:t>管道进口位于检修闸井井</w:t>
            </w:r>
            <w:r>
              <w:rPr>
                <w:rFonts w:hint="eastAsia"/>
                <w:sz w:val="24"/>
              </w:rPr>
              <w:t>筒</w:t>
            </w:r>
            <w:r>
              <w:rPr>
                <w:sz w:val="24"/>
              </w:rPr>
              <w:t>的侧墙内，进口高程</w:t>
            </w:r>
            <w:r>
              <w:rPr>
                <w:rFonts w:hint="eastAsia"/>
                <w:sz w:val="24"/>
              </w:rPr>
              <w:t>1318.0</w:t>
            </w:r>
            <w:r>
              <w:rPr>
                <w:sz w:val="24"/>
              </w:rPr>
              <w:t>m，采用</w:t>
            </w:r>
            <w:r>
              <w:rPr>
                <w:rFonts w:hint="eastAsia"/>
                <w:sz w:val="24"/>
              </w:rPr>
              <w:t>DN800钢管</w:t>
            </w:r>
            <w:r>
              <w:rPr>
                <w:sz w:val="24"/>
              </w:rPr>
              <w:t>，</w:t>
            </w:r>
            <w:r>
              <w:rPr>
                <w:rFonts w:hint="eastAsia"/>
                <w:sz w:val="24"/>
              </w:rPr>
              <w:t>管道顺闸井外墙至闸井底廊，沿涵洞洞身至下游出口，控制阀门设在出口端，后设置分水管下泄生态流量（分水管设计下泄流量为0</w:t>
            </w:r>
            <w:r>
              <w:rPr>
                <w:sz w:val="24"/>
              </w:rPr>
              <w:t>.088m</w:t>
            </w:r>
            <w:r>
              <w:rPr>
                <w:sz w:val="24"/>
                <w:vertAlign w:val="superscript"/>
              </w:rPr>
              <w:t>3</w:t>
            </w:r>
            <w:r>
              <w:rPr>
                <w:sz w:val="24"/>
              </w:rPr>
              <w:t>/s</w:t>
            </w:r>
            <w:r>
              <w:rPr>
                <w:rFonts w:hint="eastAsia"/>
                <w:sz w:val="24"/>
              </w:rPr>
              <w:t>），下游接供水管道。</w:t>
            </w:r>
          </w:p>
          <w:p>
            <w:pPr>
              <w:adjustRightInd w:val="0"/>
              <w:snapToGrid w:val="0"/>
              <w:spacing w:line="360" w:lineRule="auto"/>
              <w:ind w:firstLine="480" w:firstLineChars="200"/>
              <w:rPr>
                <w:kern w:val="0"/>
                <w:sz w:val="24"/>
              </w:rPr>
            </w:pPr>
            <w:r>
              <w:rPr>
                <w:rFonts w:hint="eastAsia"/>
                <w:kern w:val="0"/>
                <w:sz w:val="24"/>
              </w:rPr>
              <w:t>②溢洪道</w:t>
            </w:r>
          </w:p>
          <w:p>
            <w:pPr>
              <w:autoSpaceDE w:val="0"/>
              <w:autoSpaceDN w:val="0"/>
              <w:adjustRightInd w:val="0"/>
              <w:spacing w:line="360" w:lineRule="auto"/>
              <w:ind w:firstLine="480" w:firstLineChars="200"/>
              <w:contextualSpacing/>
              <w:rPr>
                <w:sz w:val="24"/>
              </w:rPr>
            </w:pPr>
            <w:r>
              <w:rPr>
                <w:rFonts w:hint="eastAsia"/>
                <w:sz w:val="24"/>
              </w:rPr>
              <w:t>溢洪道采用正槽开敞式无闸控制，布置在右岸凸起岸坡上，由进口段、控制段、泄槽段、出口消能段组成，全长</w:t>
            </w:r>
            <w:r>
              <w:rPr>
                <w:sz w:val="24"/>
              </w:rPr>
              <w:t>327.6</w:t>
            </w:r>
            <w:r>
              <w:rPr>
                <w:rFonts w:hint="eastAsia"/>
                <w:sz w:val="24"/>
              </w:rPr>
              <w:t>m，最大泄流量</w:t>
            </w:r>
            <w:r>
              <w:rPr>
                <w:sz w:val="24"/>
              </w:rPr>
              <w:t>213.49</w:t>
            </w:r>
            <w:r>
              <w:rPr>
                <w:rFonts w:hint="eastAsia"/>
                <w:sz w:val="24"/>
              </w:rPr>
              <w:t>m</w:t>
            </w:r>
            <w:r>
              <w:rPr>
                <w:rFonts w:hint="eastAsia"/>
                <w:sz w:val="24"/>
                <w:vertAlign w:val="superscript"/>
              </w:rPr>
              <w:t>3</w:t>
            </w:r>
            <w:r>
              <w:rPr>
                <w:rFonts w:hint="eastAsia"/>
                <w:sz w:val="24"/>
              </w:rPr>
              <w:t>/s。溢洪道进口段底板高程</w:t>
            </w:r>
            <w:r>
              <w:rPr>
                <w:sz w:val="24"/>
              </w:rPr>
              <w:t>1333.37m</w:t>
            </w:r>
            <w:r>
              <w:rPr>
                <w:rFonts w:hint="eastAsia"/>
                <w:sz w:val="24"/>
              </w:rPr>
              <w:t>，底宽21.0m；控制段及泄槽段，分别</w:t>
            </w:r>
            <w:r>
              <w:rPr>
                <w:sz w:val="24"/>
              </w:rPr>
              <w:t>长</w:t>
            </w:r>
            <w:r>
              <w:rPr>
                <w:rFonts w:hint="eastAsia"/>
                <w:sz w:val="24"/>
              </w:rPr>
              <w:t>10.</w:t>
            </w:r>
            <w:r>
              <w:rPr>
                <w:sz w:val="24"/>
              </w:rPr>
              <w:t>0m和120.8m</w:t>
            </w:r>
            <w:r>
              <w:rPr>
                <w:rFonts w:hint="eastAsia"/>
                <w:sz w:val="24"/>
              </w:rPr>
              <w:t>；泄槽末端布置消力池消能，</w:t>
            </w:r>
            <w:r>
              <w:rPr>
                <w:sz w:val="24"/>
              </w:rPr>
              <w:t>全长30.0m</w:t>
            </w:r>
            <w:r>
              <w:rPr>
                <w:rFonts w:hint="eastAsia"/>
                <w:sz w:val="24"/>
              </w:rPr>
              <w:t>，底板高程</w:t>
            </w:r>
            <w:r>
              <w:rPr>
                <w:sz w:val="24"/>
              </w:rPr>
              <w:t>1297.00m；</w:t>
            </w:r>
            <w:r>
              <w:rPr>
                <w:rFonts w:hint="eastAsia"/>
                <w:sz w:val="24"/>
              </w:rPr>
              <w:t>海漫段全长</w:t>
            </w:r>
            <w:r>
              <w:rPr>
                <w:sz w:val="24"/>
              </w:rPr>
              <w:t>91.80m，海漫末端为重力式挡土墙结构</w:t>
            </w:r>
            <w:r>
              <w:rPr>
                <w:rFonts w:hint="eastAsia"/>
                <w:sz w:val="24"/>
              </w:rPr>
              <w:t>。</w:t>
            </w:r>
          </w:p>
          <w:p>
            <w:pPr>
              <w:snapToGrid w:val="0"/>
              <w:spacing w:line="360" w:lineRule="auto"/>
              <w:ind w:firstLine="482"/>
              <w:contextualSpacing/>
              <w:rPr>
                <w:kern w:val="0"/>
                <w:sz w:val="24"/>
              </w:rPr>
            </w:pPr>
            <w:r>
              <w:rPr>
                <w:kern w:val="0"/>
                <w:sz w:val="24"/>
              </w:rPr>
              <w:t>（4）机电及金属结构</w:t>
            </w:r>
          </w:p>
          <w:p>
            <w:pPr>
              <w:widowControl/>
              <w:adjustRightInd w:val="0"/>
              <w:snapToGrid w:val="0"/>
              <w:spacing w:line="360" w:lineRule="auto"/>
              <w:ind w:firstLine="482"/>
              <w:contextualSpacing/>
              <w:rPr>
                <w:kern w:val="0"/>
                <w:sz w:val="24"/>
              </w:rPr>
            </w:pPr>
            <w:r>
              <w:rPr>
                <w:rFonts w:hint="eastAsia" w:ascii="宋体" w:hAnsi="宋体" w:cs="宋体"/>
                <w:kern w:val="0"/>
                <w:sz w:val="24"/>
              </w:rPr>
              <w:t>①</w:t>
            </w:r>
            <w:r>
              <w:rPr>
                <w:rFonts w:hint="eastAsia"/>
                <w:kern w:val="0"/>
                <w:sz w:val="24"/>
              </w:rPr>
              <w:t>机电</w:t>
            </w:r>
          </w:p>
          <w:p>
            <w:pPr>
              <w:adjustRightInd w:val="0"/>
              <w:snapToGrid w:val="0"/>
              <w:spacing w:line="360" w:lineRule="auto"/>
              <w:ind w:firstLine="480" w:firstLineChars="200"/>
              <w:jc w:val="left"/>
              <w:rPr>
                <w:sz w:val="24"/>
              </w:rPr>
            </w:pPr>
            <w:r>
              <w:rPr>
                <w:rFonts w:hint="eastAsia"/>
                <w:sz w:val="24"/>
              </w:rPr>
              <w:t>本工程电气设计的主要内容有：管理站生活用电的供配电，管理站房建筑物的防雷、接地系统及安全措施；涵洞后引水闸房的照明、闸门启闭机的供配电，闸房建筑物的防雷接地及安全措施；坝顶、永久道路路灯照明供配电。</w:t>
            </w:r>
          </w:p>
          <w:p>
            <w:pPr>
              <w:widowControl/>
              <w:adjustRightInd w:val="0"/>
              <w:snapToGrid w:val="0"/>
              <w:spacing w:line="360" w:lineRule="auto"/>
              <w:ind w:firstLine="480" w:firstLineChars="200"/>
              <w:contextualSpacing/>
              <w:rPr>
                <w:kern w:val="0"/>
                <w:sz w:val="24"/>
              </w:rPr>
            </w:pPr>
            <w:r>
              <w:rPr>
                <w:rFonts w:hint="eastAsia" w:ascii="宋体" w:hAnsi="宋体" w:cs="宋体"/>
                <w:kern w:val="0"/>
                <w:sz w:val="24"/>
              </w:rPr>
              <w:t>②</w:t>
            </w:r>
            <w:r>
              <w:rPr>
                <w:kern w:val="0"/>
                <w:sz w:val="24"/>
              </w:rPr>
              <w:t>金属结构</w:t>
            </w:r>
          </w:p>
          <w:p>
            <w:pPr>
              <w:autoSpaceDE w:val="0"/>
              <w:autoSpaceDN w:val="0"/>
              <w:adjustRightInd w:val="0"/>
              <w:spacing w:line="360" w:lineRule="auto"/>
              <w:ind w:firstLine="480" w:firstLineChars="200"/>
              <w:contextualSpacing/>
              <w:jc w:val="left"/>
              <w:rPr>
                <w:sz w:val="24"/>
              </w:rPr>
            </w:pPr>
            <w:r>
              <w:rPr>
                <w:rFonts w:hint="eastAsia"/>
                <w:sz w:val="24"/>
              </w:rPr>
              <w:t>金属结构设备主要分布在导流冲沙引水涵洞上。导流冲沙引水涵洞设平板事故闸门1扇，弧形工作闸门1扇，闸门埋件2套，固定卷扬式启闭机1台，电动吊葫芦1套，液压启闭机1台；本工程钢闸门总重约23.38t，埋件总重约24.22t，加重块（HT150）8.0t，启闭设备重约13.41t，本工程金属结构耗钢量约为69.01t，闸门门叶及埋件表面喷锌面积约为74.8m</w:t>
            </w:r>
            <w:r>
              <w:rPr>
                <w:rFonts w:hint="eastAsia"/>
                <w:sz w:val="24"/>
                <w:vertAlign w:val="superscript"/>
              </w:rPr>
              <w:t>2</w:t>
            </w:r>
            <w:r>
              <w:rPr>
                <w:rFonts w:hint="eastAsia"/>
                <w:sz w:val="24"/>
              </w:rPr>
              <w:t>。</w:t>
            </w:r>
          </w:p>
          <w:p>
            <w:pPr>
              <w:autoSpaceDE w:val="0"/>
              <w:autoSpaceDN w:val="0"/>
              <w:adjustRightInd w:val="0"/>
              <w:spacing w:line="360" w:lineRule="auto"/>
              <w:ind w:firstLine="480" w:firstLineChars="200"/>
              <w:contextualSpacing/>
              <w:jc w:val="left"/>
              <w:rPr>
                <w:bCs/>
                <w:sz w:val="24"/>
              </w:rPr>
            </w:pPr>
            <w:r>
              <w:rPr>
                <w:sz w:val="24"/>
              </w:rPr>
              <w:t>（5）</w:t>
            </w:r>
            <w:r>
              <w:rPr>
                <w:rFonts w:hint="eastAsia"/>
                <w:bCs/>
                <w:sz w:val="24"/>
              </w:rPr>
              <w:t>工程运行</w:t>
            </w:r>
            <w:r>
              <w:rPr>
                <w:bCs/>
                <w:sz w:val="24"/>
              </w:rPr>
              <w:t>管理</w:t>
            </w:r>
          </w:p>
          <w:p>
            <w:pPr>
              <w:snapToGrid w:val="0"/>
              <w:spacing w:line="360" w:lineRule="auto"/>
              <w:ind w:firstLine="482"/>
              <w:rPr>
                <w:kern w:val="0"/>
                <w:sz w:val="24"/>
                <w:lang w:val="zh-CN"/>
              </w:rPr>
            </w:pPr>
            <w:r>
              <w:rPr>
                <w:rFonts w:hint="eastAsia"/>
                <w:kern w:val="0"/>
                <w:sz w:val="24"/>
                <w:lang w:val="zh-CN"/>
              </w:rPr>
              <w:t>本工程管理内容主要包括水库大坝、溢洪道、导流放水冲沙涵洞及配套建筑物的运行管理。工程管理范围包括工程生产、生活区。</w:t>
            </w:r>
          </w:p>
          <w:p>
            <w:pPr>
              <w:snapToGrid w:val="0"/>
              <w:spacing w:line="360" w:lineRule="auto"/>
              <w:ind w:firstLine="482"/>
              <w:rPr>
                <w:kern w:val="0"/>
                <w:sz w:val="24"/>
              </w:rPr>
            </w:pPr>
            <w:r>
              <w:rPr>
                <w:rFonts w:hint="eastAsia"/>
                <w:kern w:val="0"/>
                <w:sz w:val="24"/>
              </w:rPr>
              <w:t>根据规范规定，工程区管理范围：上游从导流洞进口向上游100m，下游从坝角向下不少于100m，溢洪道消力池以下100m，大坝两端以第一道分水岭为界（坝两端各向外延长130m），工程管理面积约30hm</w:t>
            </w:r>
            <w:r>
              <w:rPr>
                <w:rFonts w:hint="eastAsia"/>
                <w:kern w:val="0"/>
                <w:sz w:val="24"/>
                <w:vertAlign w:val="superscript"/>
              </w:rPr>
              <w:t>2</w:t>
            </w:r>
            <w:r>
              <w:rPr>
                <w:rFonts w:hint="eastAsia"/>
                <w:kern w:val="0"/>
                <w:sz w:val="24"/>
              </w:rPr>
              <w:t>；生产、生活区管理范围包括：办公室、防汛调度室、值班室、仓库、车库、油库、职工住宅及其他文化设施，其占地面积按5倍的房屋建筑面积计算为2250m</w:t>
            </w:r>
            <w:r>
              <w:rPr>
                <w:rFonts w:hint="eastAsia"/>
                <w:kern w:val="0"/>
                <w:sz w:val="24"/>
                <w:vertAlign w:val="superscript"/>
              </w:rPr>
              <w:t>2</w:t>
            </w:r>
            <w:r>
              <w:rPr>
                <w:rFonts w:hint="eastAsia"/>
                <w:kern w:val="0"/>
                <w:sz w:val="24"/>
              </w:rPr>
              <w:t>。</w:t>
            </w:r>
          </w:p>
          <w:p>
            <w:pPr>
              <w:adjustRightInd w:val="0"/>
              <w:snapToGrid w:val="0"/>
              <w:spacing w:line="360" w:lineRule="auto"/>
              <w:ind w:firstLine="480" w:firstLineChars="200"/>
              <w:rPr>
                <w:sz w:val="24"/>
              </w:rPr>
            </w:pPr>
            <w:r>
              <w:rPr>
                <w:sz w:val="24"/>
              </w:rPr>
              <w:t>工程总平面布置见附图</w:t>
            </w:r>
            <w:r>
              <w:rPr>
                <w:rFonts w:hint="eastAsia"/>
                <w:sz w:val="24"/>
              </w:rPr>
              <w:t>6</w:t>
            </w:r>
            <w:r>
              <w:rPr>
                <w:sz w:val="24"/>
              </w:rPr>
              <w:t>。</w:t>
            </w:r>
          </w:p>
          <w:p>
            <w:pPr>
              <w:adjustRightInd w:val="0"/>
              <w:snapToGrid w:val="0"/>
              <w:spacing w:line="360" w:lineRule="auto"/>
              <w:contextualSpacing/>
              <w:rPr>
                <w:b/>
                <w:sz w:val="24"/>
              </w:rPr>
            </w:pPr>
            <w:r>
              <w:rPr>
                <w:b/>
                <w:sz w:val="24"/>
              </w:rPr>
              <w:t>二、施工布置</w:t>
            </w:r>
          </w:p>
          <w:p>
            <w:pPr>
              <w:pStyle w:val="60"/>
              <w:ind w:firstLine="480"/>
              <w:rPr>
                <w:color w:val="auto"/>
              </w:rPr>
            </w:pPr>
            <w:r>
              <w:rPr>
                <w:color w:val="auto"/>
              </w:rPr>
              <w:t>根据工程所处地形条件、交通条件和料场分布及工程条件，结合各工作面分布，将工程划分为</w:t>
            </w:r>
            <w:r>
              <w:rPr>
                <w:rFonts w:hint="eastAsia"/>
                <w:color w:val="auto"/>
              </w:rPr>
              <w:t>枢纽主体</w:t>
            </w:r>
            <w:r>
              <w:rPr>
                <w:color w:val="auto"/>
              </w:rPr>
              <w:t>工程施工区、施工生</w:t>
            </w:r>
            <w:r>
              <w:rPr>
                <w:rFonts w:hint="eastAsia"/>
                <w:color w:val="auto"/>
              </w:rPr>
              <w:t>活</w:t>
            </w:r>
            <w:r>
              <w:rPr>
                <w:color w:val="auto"/>
              </w:rPr>
              <w:t>生产区、天然建筑料场开采区、</w:t>
            </w:r>
            <w:r>
              <w:rPr>
                <w:rFonts w:hint="eastAsia"/>
                <w:color w:val="auto"/>
              </w:rPr>
              <w:t>弃渣</w:t>
            </w:r>
            <w:r>
              <w:rPr>
                <w:color w:val="auto"/>
              </w:rPr>
              <w:t>区等。施工风、水、电供应</w:t>
            </w:r>
            <w:r>
              <w:rPr>
                <w:rFonts w:hint="eastAsia"/>
                <w:color w:val="auto"/>
              </w:rPr>
              <w:t>系统以及</w:t>
            </w:r>
            <w:r>
              <w:rPr>
                <w:color w:val="auto"/>
              </w:rPr>
              <w:t>交通道路围绕上述分区布置。</w:t>
            </w:r>
          </w:p>
          <w:p>
            <w:pPr>
              <w:pStyle w:val="60"/>
              <w:ind w:firstLine="480"/>
              <w:rPr>
                <w:color w:val="auto"/>
              </w:rPr>
            </w:pPr>
            <w:r>
              <w:rPr>
                <w:color w:val="auto"/>
              </w:rPr>
              <w:t>项目施工布置见附图</w:t>
            </w:r>
            <w:r>
              <w:rPr>
                <w:rFonts w:hint="eastAsia"/>
                <w:color w:val="auto"/>
              </w:rPr>
              <w:t>7</w:t>
            </w:r>
            <w:r>
              <w:rPr>
                <w:color w:val="auto"/>
              </w:rPr>
              <w:t>。</w:t>
            </w:r>
          </w:p>
          <w:p>
            <w:pPr>
              <w:pStyle w:val="60"/>
              <w:ind w:firstLine="480"/>
              <w:rPr>
                <w:color w:val="auto"/>
              </w:rPr>
            </w:pPr>
            <w:r>
              <w:rPr>
                <w:color w:val="auto"/>
              </w:rPr>
              <w:t>（1）主体工程施工区</w:t>
            </w:r>
          </w:p>
          <w:p>
            <w:pPr>
              <w:pStyle w:val="60"/>
              <w:ind w:firstLine="480"/>
              <w:rPr>
                <w:color w:val="auto"/>
              </w:rPr>
            </w:pPr>
            <w:r>
              <w:rPr>
                <w:rFonts w:hint="eastAsia"/>
                <w:color w:val="auto"/>
              </w:rPr>
              <w:t>主体工程施工区主要工程项目包括沥青砼</w:t>
            </w:r>
            <w:r>
              <w:rPr>
                <w:color w:val="auto"/>
              </w:rPr>
              <w:t>心墙坝</w:t>
            </w:r>
            <w:r>
              <w:rPr>
                <w:rFonts w:hint="eastAsia"/>
                <w:color w:val="auto"/>
              </w:rPr>
              <w:t>、导流放水冲沙涵洞及溢洪道等。在</w:t>
            </w:r>
            <w:r>
              <w:rPr>
                <w:color w:val="auto"/>
              </w:rPr>
              <w:t>坝址左岸上、下游布置</w:t>
            </w:r>
            <w:r>
              <w:rPr>
                <w:rFonts w:hint="eastAsia"/>
                <w:color w:val="auto"/>
              </w:rPr>
              <w:t>有3条</w:t>
            </w:r>
            <w:r>
              <w:rPr>
                <w:color w:val="auto"/>
              </w:rPr>
              <w:t>主干道路，</w:t>
            </w:r>
            <w:r>
              <w:rPr>
                <w:rFonts w:hint="eastAsia"/>
                <w:color w:val="auto"/>
              </w:rPr>
              <w:t>右岸</w:t>
            </w:r>
            <w:r>
              <w:rPr>
                <w:color w:val="auto"/>
              </w:rPr>
              <w:t>布置</w:t>
            </w:r>
            <w:r>
              <w:rPr>
                <w:rFonts w:hint="eastAsia"/>
                <w:color w:val="auto"/>
              </w:rPr>
              <w:t>2条</w:t>
            </w:r>
            <w:r>
              <w:rPr>
                <w:color w:val="auto"/>
              </w:rPr>
              <w:t>主干道路</w:t>
            </w:r>
            <w:r>
              <w:rPr>
                <w:rFonts w:hint="eastAsia"/>
                <w:color w:val="auto"/>
              </w:rPr>
              <w:t>，</w:t>
            </w:r>
            <w:r>
              <w:rPr>
                <w:color w:val="auto"/>
              </w:rPr>
              <w:t>另布置一定数量的施工便道；风、水、</w:t>
            </w:r>
            <w:r>
              <w:rPr>
                <w:rFonts w:hint="eastAsia"/>
                <w:color w:val="auto"/>
              </w:rPr>
              <w:t>电</w:t>
            </w:r>
            <w:r>
              <w:rPr>
                <w:color w:val="auto"/>
              </w:rPr>
              <w:t>系统主要布置在</w:t>
            </w:r>
            <w:r>
              <w:rPr>
                <w:rFonts w:hint="eastAsia"/>
                <w:color w:val="auto"/>
              </w:rPr>
              <w:t>坝址</w:t>
            </w:r>
            <w:r>
              <w:rPr>
                <w:color w:val="auto"/>
              </w:rPr>
              <w:t>左岸</w:t>
            </w:r>
            <w:r>
              <w:rPr>
                <w:rFonts w:hint="eastAsia"/>
                <w:color w:val="auto"/>
              </w:rPr>
              <w:t>。</w:t>
            </w:r>
          </w:p>
          <w:p>
            <w:pPr>
              <w:pStyle w:val="60"/>
              <w:ind w:firstLine="480"/>
              <w:rPr>
                <w:color w:val="auto"/>
              </w:rPr>
            </w:pPr>
            <w:r>
              <w:rPr>
                <w:rFonts w:hint="eastAsia"/>
                <w:color w:val="auto"/>
              </w:rPr>
              <w:t>（2）施工生产生活</w:t>
            </w:r>
            <w:r>
              <w:rPr>
                <w:color w:val="auto"/>
              </w:rPr>
              <w:t>区</w:t>
            </w:r>
          </w:p>
          <w:p>
            <w:pPr>
              <w:spacing w:line="360" w:lineRule="auto"/>
              <w:ind w:firstLine="480" w:firstLineChars="200"/>
              <w:rPr>
                <w:sz w:val="24"/>
              </w:rPr>
            </w:pPr>
            <w:r>
              <w:rPr>
                <w:rFonts w:hint="eastAsia"/>
                <w:sz w:val="24"/>
              </w:rPr>
              <w:t>本工程施工生产、生活区主要由1座</w:t>
            </w:r>
            <w:r>
              <w:rPr>
                <w:sz w:val="24"/>
              </w:rPr>
              <w:t>砂石料加工系统</w:t>
            </w:r>
            <w:r>
              <w:rPr>
                <w:rFonts w:hint="eastAsia"/>
                <w:sz w:val="24"/>
              </w:rPr>
              <w:t>，1座普通砼拌和站和1座沥青混凝土拌合站，1处</w:t>
            </w:r>
            <w:r>
              <w:rPr>
                <w:sz w:val="24"/>
              </w:rPr>
              <w:t>综合</w:t>
            </w:r>
            <w:r>
              <w:rPr>
                <w:rFonts w:hint="eastAsia"/>
                <w:sz w:val="24"/>
              </w:rPr>
              <w:t>加工厂，1处机械修配保养站，1处金属结构装配及堆放场，风、水、电供应系统各4处</w:t>
            </w:r>
            <w:r>
              <w:rPr>
                <w:sz w:val="24"/>
              </w:rPr>
              <w:t>，</w:t>
            </w:r>
            <w:r>
              <w:rPr>
                <w:rFonts w:hint="eastAsia"/>
                <w:sz w:val="24"/>
              </w:rPr>
              <w:t>1处油库，1处施工临时生活区及储仓设施等组成，交通道路围绕上述分区布置。</w:t>
            </w:r>
          </w:p>
          <w:p>
            <w:pPr>
              <w:spacing w:line="360" w:lineRule="auto"/>
              <w:ind w:firstLine="480" w:firstLineChars="200"/>
              <w:rPr>
                <w:sz w:val="24"/>
              </w:rPr>
            </w:pPr>
            <w:r>
              <w:rPr>
                <w:rFonts w:hint="eastAsia"/>
                <w:sz w:val="24"/>
              </w:rPr>
              <w:t>普通砼拌和站布置在坝坡脚下游180m的右岸台地上，沥青砼拌和站布置在紧邻普通砼拌和站下游，距坝体下游坡脚约200m处；</w:t>
            </w:r>
            <w:r>
              <w:rPr>
                <w:sz w:val="24"/>
              </w:rPr>
              <w:t>综合加工厂承担主体工程所需的</w:t>
            </w:r>
            <w:r>
              <w:rPr>
                <w:rFonts w:hint="eastAsia"/>
                <w:sz w:val="24"/>
              </w:rPr>
              <w:t>钢筋</w:t>
            </w:r>
            <w:r>
              <w:rPr>
                <w:sz w:val="24"/>
              </w:rPr>
              <w:t>和木材加工，钢筋和木材加工厂相邻布置在</w:t>
            </w:r>
            <w:r>
              <w:rPr>
                <w:rFonts w:hint="eastAsia"/>
                <w:sz w:val="24"/>
              </w:rPr>
              <w:t>沥青砼拌和站</w:t>
            </w:r>
            <w:r>
              <w:rPr>
                <w:sz w:val="24"/>
              </w:rPr>
              <w:t>左侧，距坝体</w:t>
            </w:r>
            <w:r>
              <w:rPr>
                <w:rFonts w:hint="eastAsia"/>
                <w:sz w:val="24"/>
              </w:rPr>
              <w:t>下游</w:t>
            </w:r>
            <w:r>
              <w:rPr>
                <w:sz w:val="24"/>
              </w:rPr>
              <w:t>坡脚约</w:t>
            </w:r>
            <w:r>
              <w:rPr>
                <w:rFonts w:hint="eastAsia"/>
                <w:sz w:val="24"/>
              </w:rPr>
              <w:t>200</w:t>
            </w:r>
            <w:r>
              <w:rPr>
                <w:sz w:val="24"/>
              </w:rPr>
              <w:t>m处；机械修配保养站结合布置在下游右岸台地临时生产区内</w:t>
            </w:r>
            <w:r>
              <w:rPr>
                <w:rFonts w:hint="eastAsia"/>
                <w:sz w:val="24"/>
              </w:rPr>
              <w:t>；</w:t>
            </w:r>
            <w:r>
              <w:rPr>
                <w:sz w:val="24"/>
              </w:rPr>
              <w:t>金属结构装配及堆放场</w:t>
            </w:r>
            <w:r>
              <w:rPr>
                <w:rFonts w:hint="eastAsia"/>
                <w:sz w:val="24"/>
              </w:rPr>
              <w:t>布置</w:t>
            </w:r>
            <w:r>
              <w:rPr>
                <w:sz w:val="24"/>
              </w:rPr>
              <w:t>在下游左岸中心仓库内；</w:t>
            </w:r>
            <w:r>
              <w:rPr>
                <w:rFonts w:hint="eastAsia"/>
                <w:sz w:val="24"/>
              </w:rPr>
              <w:t>施工期</w:t>
            </w:r>
            <w:r>
              <w:rPr>
                <w:sz w:val="24"/>
              </w:rPr>
              <w:t>风、水、</w:t>
            </w:r>
            <w:r>
              <w:rPr>
                <w:rFonts w:hint="eastAsia"/>
                <w:sz w:val="24"/>
              </w:rPr>
              <w:t>电</w:t>
            </w:r>
            <w:r>
              <w:rPr>
                <w:sz w:val="24"/>
              </w:rPr>
              <w:t>供应系统</w:t>
            </w:r>
            <w:r>
              <w:rPr>
                <w:rFonts w:hint="eastAsia"/>
                <w:sz w:val="24"/>
              </w:rPr>
              <w:t>采用</w:t>
            </w:r>
            <w:r>
              <w:rPr>
                <w:sz w:val="24"/>
              </w:rPr>
              <w:t>分散式布置方式</w:t>
            </w:r>
            <w:r>
              <w:rPr>
                <w:rFonts w:hint="eastAsia"/>
                <w:sz w:val="24"/>
              </w:rPr>
              <w:t>；油库位于</w:t>
            </w:r>
            <w:r>
              <w:rPr>
                <w:sz w:val="24"/>
              </w:rPr>
              <w:t>坝址下游</w:t>
            </w:r>
            <w:r>
              <w:rPr>
                <w:rFonts w:hint="eastAsia"/>
                <w:sz w:val="24"/>
              </w:rPr>
              <w:t>1.5</w:t>
            </w:r>
            <w:r>
              <w:rPr>
                <w:sz w:val="24"/>
              </w:rPr>
              <w:t>km处</w:t>
            </w:r>
            <w:r>
              <w:rPr>
                <w:rFonts w:hint="eastAsia"/>
                <w:sz w:val="24"/>
              </w:rPr>
              <w:t>；</w:t>
            </w:r>
            <w:r>
              <w:rPr>
                <w:sz w:val="24"/>
              </w:rPr>
              <w:t>施工临时生活区</w:t>
            </w:r>
            <w:r>
              <w:rPr>
                <w:rFonts w:hint="eastAsia"/>
                <w:sz w:val="24"/>
              </w:rPr>
              <w:t>及</w:t>
            </w:r>
            <w:r>
              <w:rPr>
                <w:sz w:val="24"/>
              </w:rPr>
              <w:t>中心仓库布置在坝址</w:t>
            </w:r>
            <w:r>
              <w:rPr>
                <w:rFonts w:hint="eastAsia"/>
                <w:sz w:val="24"/>
              </w:rPr>
              <w:t>下游</w:t>
            </w:r>
            <w:r>
              <w:rPr>
                <w:sz w:val="24"/>
              </w:rPr>
              <w:t>左岸台地上，距</w:t>
            </w:r>
            <w:r>
              <w:rPr>
                <w:rFonts w:hint="eastAsia"/>
                <w:sz w:val="24"/>
              </w:rPr>
              <w:t>坝址</w:t>
            </w:r>
            <w:r>
              <w:rPr>
                <w:sz w:val="24"/>
              </w:rPr>
              <w:t>下游</w:t>
            </w:r>
            <w:r>
              <w:rPr>
                <w:rFonts w:hint="eastAsia"/>
                <w:sz w:val="24"/>
              </w:rPr>
              <w:t>约0.4</w:t>
            </w:r>
            <w:r>
              <w:rPr>
                <w:sz w:val="24"/>
              </w:rPr>
              <w:t>km。</w:t>
            </w:r>
          </w:p>
          <w:p>
            <w:pPr>
              <w:pStyle w:val="60"/>
              <w:ind w:firstLine="480"/>
              <w:rPr>
                <w:bCs/>
                <w:color w:val="auto"/>
              </w:rPr>
            </w:pPr>
            <w:r>
              <w:rPr>
                <w:color w:val="auto"/>
              </w:rPr>
              <w:t>（</w:t>
            </w:r>
            <w:r>
              <w:rPr>
                <w:rFonts w:hint="eastAsia"/>
                <w:color w:val="auto"/>
              </w:rPr>
              <w:t>3</w:t>
            </w:r>
            <w:r>
              <w:rPr>
                <w:color w:val="auto"/>
              </w:rPr>
              <w:t>）</w:t>
            </w:r>
            <w:r>
              <w:rPr>
                <w:rFonts w:hint="eastAsia"/>
                <w:color w:val="auto"/>
              </w:rPr>
              <w:t>天然建筑</w:t>
            </w:r>
            <w:r>
              <w:rPr>
                <w:color w:val="auto"/>
              </w:rPr>
              <w:t>料场开采区</w:t>
            </w:r>
          </w:p>
          <w:p>
            <w:pPr>
              <w:pStyle w:val="60"/>
              <w:ind w:firstLine="480"/>
              <w:jc w:val="both"/>
              <w:rPr>
                <w:color w:val="auto"/>
              </w:rPr>
            </w:pPr>
            <w:r>
              <w:rPr>
                <w:rFonts w:hint="eastAsia"/>
                <w:color w:val="auto"/>
              </w:rPr>
              <w:t>本工程天然建筑料场开采区主要为C1-1砂砾石料场、C3砂砾石料场和T1土料场等组成。根据勘探料场分布和主要特性，本工程砂砾石填筑料由C1-1及C3砂砾石料场提供，全部工程普通砼骨料及垫层过度料由C3砂砾石料场筛分获得，</w:t>
            </w:r>
            <w:r>
              <w:rPr>
                <w:color w:val="auto"/>
              </w:rPr>
              <w:t>详见表6</w:t>
            </w:r>
            <w:r>
              <w:rPr>
                <w:rFonts w:hint="eastAsia"/>
                <w:color w:val="auto"/>
              </w:rPr>
              <w:t>。</w:t>
            </w:r>
          </w:p>
          <w:p>
            <w:pPr>
              <w:adjustRightInd w:val="0"/>
              <w:snapToGrid w:val="0"/>
              <w:spacing w:line="360" w:lineRule="auto"/>
              <w:rPr>
                <w:rFonts w:eastAsia="黑体"/>
                <w:sz w:val="24"/>
              </w:rPr>
            </w:pPr>
            <w:r>
              <w:rPr>
                <w:rFonts w:hint="eastAsia" w:eastAsia="黑体"/>
                <w:sz w:val="24"/>
              </w:rPr>
              <w:t>表</w:t>
            </w:r>
            <w:r>
              <w:rPr>
                <w:rFonts w:eastAsia="黑体"/>
                <w:sz w:val="24"/>
              </w:rPr>
              <w:t>6</w:t>
            </w:r>
            <w:r>
              <w:rPr>
                <w:rFonts w:hint="eastAsia" w:eastAsia="黑体"/>
                <w:sz w:val="24"/>
              </w:rPr>
              <w:t xml:space="preserve">   </w:t>
            </w:r>
            <w:r>
              <w:rPr>
                <w:rFonts w:eastAsia="黑体"/>
                <w:sz w:val="24"/>
              </w:rPr>
              <w:t xml:space="preserve">                  </w:t>
            </w:r>
            <w:r>
              <w:rPr>
                <w:rFonts w:hint="eastAsia" w:eastAsia="黑体"/>
                <w:sz w:val="24"/>
              </w:rPr>
              <w:t xml:space="preserve"> 料场</w:t>
            </w:r>
            <w:r>
              <w:rPr>
                <w:rFonts w:eastAsia="黑体"/>
                <w:sz w:val="24"/>
              </w:rPr>
              <w:t>特性表</w:t>
            </w:r>
          </w:p>
          <w:tbl>
            <w:tblPr>
              <w:tblStyle w:val="21"/>
              <w:tblW w:w="79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738"/>
              <w:gridCol w:w="1105"/>
              <w:gridCol w:w="1105"/>
              <w:gridCol w:w="1421"/>
              <w:gridCol w:w="1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95" w:type="dxa"/>
                  <w:vAlign w:val="center"/>
                </w:tcPr>
                <w:p>
                  <w:pPr>
                    <w:jc w:val="center"/>
                    <w:rPr>
                      <w:szCs w:val="21"/>
                    </w:rPr>
                  </w:pPr>
                  <w:r>
                    <w:rPr>
                      <w:szCs w:val="21"/>
                    </w:rPr>
                    <w:t>料场</w:t>
                  </w:r>
                </w:p>
                <w:p>
                  <w:pPr>
                    <w:jc w:val="center"/>
                    <w:rPr>
                      <w:szCs w:val="21"/>
                    </w:rPr>
                  </w:pPr>
                  <w:r>
                    <w:rPr>
                      <w:szCs w:val="21"/>
                    </w:rPr>
                    <w:t>名称</w:t>
                  </w:r>
                </w:p>
              </w:tc>
              <w:tc>
                <w:tcPr>
                  <w:tcW w:w="1738" w:type="dxa"/>
                  <w:vAlign w:val="center"/>
                </w:tcPr>
                <w:p>
                  <w:pPr>
                    <w:jc w:val="center"/>
                    <w:rPr>
                      <w:szCs w:val="21"/>
                    </w:rPr>
                  </w:pPr>
                  <w:r>
                    <w:rPr>
                      <w:szCs w:val="21"/>
                    </w:rPr>
                    <w:t>面积(长、×宽)</w:t>
                  </w:r>
                </w:p>
                <w:p>
                  <w:pPr>
                    <w:jc w:val="center"/>
                    <w:rPr>
                      <w:szCs w:val="21"/>
                    </w:rPr>
                  </w:pPr>
                  <w:r>
                    <w:rPr>
                      <w:szCs w:val="21"/>
                    </w:rPr>
                    <w:t>（万m</w:t>
                  </w:r>
                  <w:r>
                    <w:rPr>
                      <w:szCs w:val="21"/>
                      <w:vertAlign w:val="superscript"/>
                    </w:rPr>
                    <w:t>2</w:t>
                  </w:r>
                  <w:r>
                    <w:rPr>
                      <w:szCs w:val="21"/>
                    </w:rPr>
                    <w:t>）</w:t>
                  </w:r>
                </w:p>
              </w:tc>
              <w:tc>
                <w:tcPr>
                  <w:tcW w:w="1105" w:type="dxa"/>
                  <w:vAlign w:val="center"/>
                </w:tcPr>
                <w:p>
                  <w:pPr>
                    <w:jc w:val="center"/>
                    <w:rPr>
                      <w:snapToGrid w:val="0"/>
                      <w:spacing w:val="-20"/>
                      <w:kern w:val="0"/>
                      <w:szCs w:val="21"/>
                    </w:rPr>
                  </w:pPr>
                  <w:r>
                    <w:rPr>
                      <w:snapToGrid w:val="0"/>
                      <w:spacing w:val="-20"/>
                      <w:kern w:val="0"/>
                      <w:szCs w:val="21"/>
                    </w:rPr>
                    <w:t>平均运距</w:t>
                  </w:r>
                </w:p>
                <w:p>
                  <w:pPr>
                    <w:jc w:val="center"/>
                    <w:rPr>
                      <w:szCs w:val="21"/>
                    </w:rPr>
                  </w:pPr>
                  <w:r>
                    <w:rPr>
                      <w:szCs w:val="21"/>
                    </w:rPr>
                    <w:t>（km）</w:t>
                  </w:r>
                </w:p>
              </w:tc>
              <w:tc>
                <w:tcPr>
                  <w:tcW w:w="1105" w:type="dxa"/>
                  <w:vAlign w:val="center"/>
                </w:tcPr>
                <w:p>
                  <w:pPr>
                    <w:jc w:val="center"/>
                    <w:rPr>
                      <w:snapToGrid w:val="0"/>
                      <w:spacing w:val="-20"/>
                      <w:kern w:val="0"/>
                      <w:szCs w:val="21"/>
                    </w:rPr>
                  </w:pPr>
                  <w:r>
                    <w:rPr>
                      <w:rFonts w:hint="eastAsia"/>
                      <w:snapToGrid w:val="0"/>
                      <w:spacing w:val="-20"/>
                      <w:kern w:val="0"/>
                      <w:szCs w:val="21"/>
                    </w:rPr>
                    <w:t>有用层</w:t>
                  </w:r>
                  <w:r>
                    <w:rPr>
                      <w:snapToGrid w:val="0"/>
                      <w:spacing w:val="-20"/>
                      <w:kern w:val="0"/>
                      <w:szCs w:val="21"/>
                    </w:rPr>
                    <w:t>厚度</w:t>
                  </w:r>
                  <w:r>
                    <w:rPr>
                      <w:rFonts w:hint="eastAsia"/>
                      <w:snapToGrid w:val="0"/>
                      <w:spacing w:val="-20"/>
                      <w:kern w:val="0"/>
                      <w:szCs w:val="21"/>
                    </w:rPr>
                    <w:t>（m）</w:t>
                  </w:r>
                </w:p>
              </w:tc>
              <w:tc>
                <w:tcPr>
                  <w:tcW w:w="1421" w:type="dxa"/>
                  <w:vAlign w:val="center"/>
                </w:tcPr>
                <w:p>
                  <w:pPr>
                    <w:jc w:val="center"/>
                    <w:rPr>
                      <w:szCs w:val="21"/>
                    </w:rPr>
                  </w:pPr>
                  <w:r>
                    <w:rPr>
                      <w:szCs w:val="21"/>
                    </w:rPr>
                    <w:t>有用层储量</w:t>
                  </w:r>
                </w:p>
                <w:p>
                  <w:pPr>
                    <w:jc w:val="center"/>
                    <w:rPr>
                      <w:snapToGrid w:val="0"/>
                      <w:spacing w:val="-20"/>
                      <w:kern w:val="0"/>
                      <w:szCs w:val="21"/>
                    </w:rPr>
                  </w:pPr>
                  <w:r>
                    <w:rPr>
                      <w:szCs w:val="21"/>
                    </w:rPr>
                    <w:t>(万m</w:t>
                  </w:r>
                  <w:r>
                    <w:rPr>
                      <w:szCs w:val="21"/>
                      <w:vertAlign w:val="superscript"/>
                    </w:rPr>
                    <w:t>3</w:t>
                  </w:r>
                  <w:r>
                    <w:rPr>
                      <w:szCs w:val="21"/>
                    </w:rPr>
                    <w:t>)</w:t>
                  </w:r>
                </w:p>
              </w:tc>
              <w:tc>
                <w:tcPr>
                  <w:tcW w:w="1826" w:type="dxa"/>
                  <w:vAlign w:val="center"/>
                </w:tcPr>
                <w:p>
                  <w:pPr>
                    <w:jc w:val="center"/>
                    <w:rPr>
                      <w:snapToGrid w:val="0"/>
                      <w:spacing w:val="-20"/>
                      <w:kern w:val="0"/>
                      <w:szCs w:val="21"/>
                    </w:rPr>
                  </w:pPr>
                  <w:r>
                    <w:rPr>
                      <w:rFonts w:hint="eastAsia"/>
                      <w:snapToGrid w:val="0"/>
                      <w:spacing w:val="-20"/>
                      <w:kern w:val="0"/>
                      <w:szCs w:val="21"/>
                    </w:rPr>
                    <w:t>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95" w:type="dxa"/>
                  <w:vAlign w:val="center"/>
                </w:tcPr>
                <w:p>
                  <w:pPr>
                    <w:jc w:val="center"/>
                    <w:rPr>
                      <w:szCs w:val="21"/>
                    </w:rPr>
                  </w:pPr>
                  <w:r>
                    <w:rPr>
                      <w:szCs w:val="21"/>
                    </w:rPr>
                    <w:t>T1</w:t>
                  </w:r>
                </w:p>
              </w:tc>
              <w:tc>
                <w:tcPr>
                  <w:tcW w:w="1738" w:type="dxa"/>
                  <w:vAlign w:val="center"/>
                </w:tcPr>
                <w:p>
                  <w:pPr>
                    <w:jc w:val="center"/>
                    <w:rPr>
                      <w:szCs w:val="21"/>
                    </w:rPr>
                  </w:pPr>
                  <w:r>
                    <w:rPr>
                      <w:szCs w:val="21"/>
                    </w:rPr>
                    <w:t>9</w:t>
                  </w:r>
                </w:p>
                <w:p>
                  <w:pPr>
                    <w:jc w:val="center"/>
                    <w:rPr>
                      <w:szCs w:val="21"/>
                    </w:rPr>
                  </w:pPr>
                  <w:r>
                    <w:rPr>
                      <w:szCs w:val="21"/>
                    </w:rPr>
                    <w:t>（450×200）</w:t>
                  </w:r>
                </w:p>
              </w:tc>
              <w:tc>
                <w:tcPr>
                  <w:tcW w:w="1105" w:type="dxa"/>
                  <w:vAlign w:val="center"/>
                </w:tcPr>
                <w:p>
                  <w:pPr>
                    <w:jc w:val="center"/>
                    <w:rPr>
                      <w:szCs w:val="21"/>
                    </w:rPr>
                  </w:pPr>
                  <w:r>
                    <w:rPr>
                      <w:szCs w:val="21"/>
                    </w:rPr>
                    <w:t>1.0</w:t>
                  </w:r>
                </w:p>
              </w:tc>
              <w:tc>
                <w:tcPr>
                  <w:tcW w:w="1105" w:type="dxa"/>
                  <w:vAlign w:val="center"/>
                </w:tcPr>
                <w:p>
                  <w:pPr>
                    <w:jc w:val="center"/>
                  </w:pPr>
                  <w:r>
                    <w:rPr>
                      <w:rFonts w:eastAsiaTheme="minorEastAsia"/>
                      <w:szCs w:val="21"/>
                    </w:rPr>
                    <w:t>6.0</w:t>
                  </w:r>
                </w:p>
              </w:tc>
              <w:tc>
                <w:tcPr>
                  <w:tcW w:w="1421" w:type="dxa"/>
                  <w:vAlign w:val="center"/>
                </w:tcPr>
                <w:p>
                  <w:pPr>
                    <w:jc w:val="center"/>
                  </w:pPr>
                  <w:r>
                    <w:rPr>
                      <w:rFonts w:hint="eastAsia"/>
                    </w:rPr>
                    <w:t>54</w:t>
                  </w:r>
                </w:p>
              </w:tc>
              <w:tc>
                <w:tcPr>
                  <w:tcW w:w="1826" w:type="dxa"/>
                  <w:vAlign w:val="center"/>
                </w:tcPr>
                <w:p>
                  <w:pPr>
                    <w:jc w:val="center"/>
                    <w:rPr>
                      <w:szCs w:val="21"/>
                    </w:rPr>
                  </w:pPr>
                  <w:r>
                    <w:t>坝址左岸山坡之上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95" w:type="dxa"/>
                  <w:vAlign w:val="center"/>
                </w:tcPr>
                <w:p>
                  <w:pPr>
                    <w:jc w:val="center"/>
                    <w:rPr>
                      <w:szCs w:val="21"/>
                    </w:rPr>
                  </w:pPr>
                  <w:r>
                    <w:rPr>
                      <w:szCs w:val="21"/>
                    </w:rPr>
                    <w:t>C1-1</w:t>
                  </w:r>
                </w:p>
              </w:tc>
              <w:tc>
                <w:tcPr>
                  <w:tcW w:w="1738" w:type="dxa"/>
                  <w:vAlign w:val="center"/>
                </w:tcPr>
                <w:p>
                  <w:pPr>
                    <w:jc w:val="center"/>
                    <w:rPr>
                      <w:szCs w:val="21"/>
                    </w:rPr>
                  </w:pPr>
                  <w:r>
                    <w:rPr>
                      <w:szCs w:val="21"/>
                    </w:rPr>
                    <w:t>5.4</w:t>
                  </w:r>
                </w:p>
                <w:p>
                  <w:pPr>
                    <w:jc w:val="center"/>
                    <w:rPr>
                      <w:szCs w:val="21"/>
                    </w:rPr>
                  </w:pPr>
                  <w:r>
                    <w:rPr>
                      <w:szCs w:val="21"/>
                    </w:rPr>
                    <w:t>（1200×45）</w:t>
                  </w:r>
                </w:p>
              </w:tc>
              <w:tc>
                <w:tcPr>
                  <w:tcW w:w="1105" w:type="dxa"/>
                  <w:vAlign w:val="center"/>
                </w:tcPr>
                <w:p>
                  <w:pPr>
                    <w:jc w:val="center"/>
                    <w:rPr>
                      <w:szCs w:val="21"/>
                    </w:rPr>
                  </w:pPr>
                  <w:r>
                    <w:rPr>
                      <w:szCs w:val="21"/>
                    </w:rPr>
                    <w:t>0.8</w:t>
                  </w:r>
                </w:p>
              </w:tc>
              <w:tc>
                <w:tcPr>
                  <w:tcW w:w="1105" w:type="dxa"/>
                  <w:vAlign w:val="center"/>
                </w:tcPr>
                <w:p>
                  <w:pPr>
                    <w:jc w:val="center"/>
                    <w:rPr>
                      <w:szCs w:val="21"/>
                    </w:rPr>
                  </w:pPr>
                  <w:r>
                    <w:rPr>
                      <w:rFonts w:eastAsiaTheme="minorEastAsia"/>
                      <w:szCs w:val="21"/>
                    </w:rPr>
                    <w:t>4.5</w:t>
                  </w:r>
                </w:p>
              </w:tc>
              <w:tc>
                <w:tcPr>
                  <w:tcW w:w="1421" w:type="dxa"/>
                  <w:vAlign w:val="center"/>
                </w:tcPr>
                <w:p>
                  <w:pPr>
                    <w:jc w:val="center"/>
                  </w:pPr>
                  <w:r>
                    <w:t>24.3</w:t>
                  </w:r>
                </w:p>
              </w:tc>
              <w:tc>
                <w:tcPr>
                  <w:tcW w:w="1826" w:type="dxa"/>
                  <w:vAlign w:val="center"/>
                </w:tcPr>
                <w:p>
                  <w:pPr>
                    <w:jc w:val="center"/>
                    <w:rPr>
                      <w:szCs w:val="21"/>
                    </w:rPr>
                  </w:pPr>
                  <w:r>
                    <w:t>坝址上游河道中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atLeast"/>
                <w:jc w:val="center"/>
              </w:trPr>
              <w:tc>
                <w:tcPr>
                  <w:tcW w:w="795" w:type="dxa"/>
                  <w:tcBorders>
                    <w:bottom w:val="single" w:color="auto" w:sz="4" w:space="0"/>
                  </w:tcBorders>
                  <w:vAlign w:val="center"/>
                </w:tcPr>
                <w:p>
                  <w:pPr>
                    <w:jc w:val="center"/>
                    <w:rPr>
                      <w:szCs w:val="21"/>
                    </w:rPr>
                  </w:pPr>
                  <w:r>
                    <w:rPr>
                      <w:szCs w:val="21"/>
                    </w:rPr>
                    <w:t>C3</w:t>
                  </w:r>
                </w:p>
              </w:tc>
              <w:tc>
                <w:tcPr>
                  <w:tcW w:w="1738" w:type="dxa"/>
                  <w:tcBorders>
                    <w:bottom w:val="single" w:color="auto" w:sz="4" w:space="0"/>
                  </w:tcBorders>
                  <w:vAlign w:val="center"/>
                </w:tcPr>
                <w:p>
                  <w:pPr>
                    <w:jc w:val="center"/>
                    <w:rPr>
                      <w:szCs w:val="21"/>
                    </w:rPr>
                  </w:pPr>
                  <w:r>
                    <w:rPr>
                      <w:rFonts w:hint="eastAsia"/>
                      <w:szCs w:val="21"/>
                    </w:rPr>
                    <w:t>10.0</w:t>
                  </w:r>
                </w:p>
                <w:p>
                  <w:pPr>
                    <w:jc w:val="center"/>
                    <w:rPr>
                      <w:szCs w:val="21"/>
                    </w:rPr>
                  </w:pPr>
                  <w:r>
                    <w:rPr>
                      <w:rFonts w:hint="eastAsia"/>
                      <w:szCs w:val="21"/>
                    </w:rPr>
                    <w:t>（1000×100）</w:t>
                  </w:r>
                </w:p>
              </w:tc>
              <w:tc>
                <w:tcPr>
                  <w:tcW w:w="1105" w:type="dxa"/>
                  <w:tcBorders>
                    <w:bottom w:val="single" w:color="auto" w:sz="4" w:space="0"/>
                  </w:tcBorders>
                  <w:vAlign w:val="center"/>
                </w:tcPr>
                <w:p>
                  <w:pPr>
                    <w:jc w:val="center"/>
                    <w:rPr>
                      <w:szCs w:val="21"/>
                    </w:rPr>
                  </w:pPr>
                  <w:r>
                    <w:rPr>
                      <w:rFonts w:hint="eastAsia"/>
                      <w:szCs w:val="21"/>
                    </w:rPr>
                    <w:t>12.0</w:t>
                  </w:r>
                </w:p>
              </w:tc>
              <w:tc>
                <w:tcPr>
                  <w:tcW w:w="1105" w:type="dxa"/>
                  <w:tcBorders>
                    <w:bottom w:val="single" w:color="auto" w:sz="4" w:space="0"/>
                  </w:tcBorders>
                  <w:vAlign w:val="center"/>
                </w:tcPr>
                <w:p>
                  <w:pPr>
                    <w:jc w:val="center"/>
                    <w:rPr>
                      <w:szCs w:val="21"/>
                    </w:rPr>
                  </w:pPr>
                  <w:r>
                    <w:rPr>
                      <w:rFonts w:eastAsiaTheme="minorEastAsia"/>
                      <w:szCs w:val="21"/>
                    </w:rPr>
                    <w:t>10.0</w:t>
                  </w:r>
                </w:p>
              </w:tc>
              <w:tc>
                <w:tcPr>
                  <w:tcW w:w="1421" w:type="dxa"/>
                  <w:tcBorders>
                    <w:bottom w:val="single" w:color="auto" w:sz="4" w:space="0"/>
                  </w:tcBorders>
                  <w:vAlign w:val="center"/>
                </w:tcPr>
                <w:p>
                  <w:pPr>
                    <w:jc w:val="center"/>
                  </w:pPr>
                  <w:r>
                    <w:t>100.0</w:t>
                  </w:r>
                </w:p>
              </w:tc>
              <w:tc>
                <w:tcPr>
                  <w:tcW w:w="1826" w:type="dxa"/>
                  <w:tcBorders>
                    <w:bottom w:val="single" w:color="auto" w:sz="4" w:space="0"/>
                  </w:tcBorders>
                  <w:vAlign w:val="center"/>
                </w:tcPr>
                <w:p>
                  <w:pPr>
                    <w:jc w:val="center"/>
                    <w:rPr>
                      <w:szCs w:val="21"/>
                    </w:rPr>
                  </w:pPr>
                  <w:r>
                    <w:t>水库下游东城口加油站东北侧咬牙沟岸坡</w:t>
                  </w:r>
                </w:p>
              </w:tc>
            </w:tr>
          </w:tbl>
          <w:p>
            <w:pPr>
              <w:pStyle w:val="60"/>
              <w:ind w:firstLine="480"/>
              <w:jc w:val="both"/>
              <w:rPr>
                <w:color w:val="auto"/>
              </w:rPr>
            </w:pPr>
          </w:p>
          <w:p>
            <w:pPr>
              <w:pStyle w:val="60"/>
              <w:ind w:firstLine="480"/>
              <w:rPr>
                <w:color w:val="auto"/>
              </w:rPr>
            </w:pPr>
            <w:r>
              <w:rPr>
                <w:color w:val="auto"/>
              </w:rPr>
              <w:t>（</w:t>
            </w:r>
            <w:r>
              <w:rPr>
                <w:rFonts w:hint="eastAsia"/>
                <w:color w:val="auto"/>
              </w:rPr>
              <w:t>4</w:t>
            </w:r>
            <w:r>
              <w:rPr>
                <w:color w:val="auto"/>
              </w:rPr>
              <w:t>）</w:t>
            </w:r>
            <w:r>
              <w:rPr>
                <w:rFonts w:hint="eastAsia"/>
                <w:color w:val="auto"/>
              </w:rPr>
              <w:t>弃渣场</w:t>
            </w:r>
          </w:p>
          <w:p>
            <w:pPr>
              <w:spacing w:line="360" w:lineRule="auto"/>
              <w:ind w:firstLine="480" w:firstLineChars="200"/>
              <w:rPr>
                <w:kern w:val="0"/>
                <w:sz w:val="24"/>
              </w:rPr>
            </w:pPr>
            <w:r>
              <w:rPr>
                <w:rFonts w:hint="eastAsia"/>
                <w:kern w:val="0"/>
                <w:sz w:val="24"/>
              </w:rPr>
              <w:t>根据本工程土石方开挖平衡情况、枢纽布置和施工区地形特点，永久弃渣场地设置2处，为1#和3#弃渣场，临时弃渣场地设置1处，为2#弃渣场。1#弃渣场布置在坝后坡脚处，主要堆砌开挖的土料及砂砾石料，宽90m，顶部水平长50m，占地面积约0.72hm</w:t>
            </w:r>
            <w:r>
              <w:rPr>
                <w:rFonts w:hint="eastAsia"/>
                <w:kern w:val="0"/>
                <w:sz w:val="24"/>
                <w:vertAlign w:val="superscript"/>
              </w:rPr>
              <w:t>2</w:t>
            </w:r>
            <w:r>
              <w:rPr>
                <w:rFonts w:hint="eastAsia"/>
                <w:kern w:val="0"/>
                <w:sz w:val="24"/>
              </w:rPr>
              <w:t>；2#临时弃渣布置在坝址下游右岸阶地约0.2km处，主要临时堆弃大坝左、右坝肩及溢洪道和涵洞开挖的石料，占地面积约1.0hm</w:t>
            </w:r>
            <w:r>
              <w:rPr>
                <w:rFonts w:hint="eastAsia"/>
                <w:kern w:val="0"/>
                <w:sz w:val="24"/>
                <w:vertAlign w:val="superscript"/>
              </w:rPr>
              <w:t>2</w:t>
            </w:r>
            <w:r>
              <w:rPr>
                <w:rFonts w:hint="eastAsia"/>
                <w:kern w:val="0"/>
                <w:sz w:val="24"/>
              </w:rPr>
              <w:t>；3#弃渣场位于水库下游报废的东城水库左侧库盘内，运距13.0km，要堆砌水库大部分弃渣料，占地面积约18.44hm</w:t>
            </w:r>
            <w:r>
              <w:rPr>
                <w:rFonts w:hint="eastAsia"/>
                <w:kern w:val="0"/>
                <w:sz w:val="24"/>
                <w:vertAlign w:val="superscript"/>
              </w:rPr>
              <w:t>2</w:t>
            </w:r>
            <w:r>
              <w:rPr>
                <w:rFonts w:hint="eastAsia"/>
                <w:kern w:val="0"/>
                <w:sz w:val="24"/>
              </w:rPr>
              <w:t>。详见</w:t>
            </w:r>
            <w:r>
              <w:rPr>
                <w:kern w:val="0"/>
                <w:sz w:val="24"/>
              </w:rPr>
              <w:t>表7</w:t>
            </w:r>
            <w:r>
              <w:rPr>
                <w:rFonts w:hint="eastAsia"/>
                <w:kern w:val="0"/>
                <w:sz w:val="24"/>
              </w:rPr>
              <w:t>。</w:t>
            </w:r>
          </w:p>
          <w:p>
            <w:pPr>
              <w:adjustRightInd w:val="0"/>
              <w:snapToGrid w:val="0"/>
              <w:spacing w:line="360" w:lineRule="auto"/>
              <w:rPr>
                <w:rFonts w:eastAsia="黑体"/>
                <w:sz w:val="24"/>
              </w:rPr>
            </w:pPr>
            <w:r>
              <w:rPr>
                <w:rFonts w:hint="eastAsia" w:eastAsia="黑体"/>
                <w:sz w:val="24"/>
              </w:rPr>
              <w:t>表</w:t>
            </w:r>
            <w:r>
              <w:rPr>
                <w:rFonts w:eastAsia="黑体"/>
                <w:sz w:val="24"/>
              </w:rPr>
              <w:t>7</w:t>
            </w:r>
            <w:r>
              <w:rPr>
                <w:rFonts w:hint="eastAsia" w:eastAsia="黑体"/>
                <w:sz w:val="24"/>
              </w:rPr>
              <w:t xml:space="preserve">   </w:t>
            </w:r>
            <w:r>
              <w:rPr>
                <w:rFonts w:eastAsia="黑体"/>
                <w:sz w:val="24"/>
              </w:rPr>
              <w:t xml:space="preserve">          </w:t>
            </w:r>
            <w:r>
              <w:rPr>
                <w:rFonts w:hint="eastAsia" w:eastAsia="黑体"/>
                <w:sz w:val="24"/>
              </w:rPr>
              <w:t xml:space="preserve">  弃渣场</w:t>
            </w:r>
            <w:r>
              <w:rPr>
                <w:rFonts w:eastAsia="黑体"/>
                <w:sz w:val="24"/>
              </w:rPr>
              <w:t>特性表</w:t>
            </w:r>
          </w:p>
          <w:tbl>
            <w:tblPr>
              <w:tblStyle w:val="21"/>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7"/>
              <w:gridCol w:w="1050"/>
              <w:gridCol w:w="1421"/>
              <w:gridCol w:w="3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trPr>
              <w:tc>
                <w:tcPr>
                  <w:tcW w:w="1957" w:type="dxa"/>
                  <w:vAlign w:val="center"/>
                </w:tcPr>
                <w:p>
                  <w:pPr>
                    <w:autoSpaceDE w:val="0"/>
                    <w:autoSpaceDN w:val="0"/>
                    <w:jc w:val="center"/>
                    <w:rPr>
                      <w:kern w:val="0"/>
                      <w:szCs w:val="21"/>
                    </w:rPr>
                  </w:pPr>
                  <w:r>
                    <w:rPr>
                      <w:kern w:val="0"/>
                      <w:szCs w:val="21"/>
                    </w:rPr>
                    <w:t>编号</w:t>
                  </w:r>
                </w:p>
              </w:tc>
              <w:tc>
                <w:tcPr>
                  <w:tcW w:w="1050" w:type="dxa"/>
                  <w:vAlign w:val="center"/>
                </w:tcPr>
                <w:p>
                  <w:pPr>
                    <w:autoSpaceDE w:val="0"/>
                    <w:autoSpaceDN w:val="0"/>
                    <w:jc w:val="center"/>
                    <w:rPr>
                      <w:kern w:val="0"/>
                      <w:szCs w:val="21"/>
                    </w:rPr>
                  </w:pPr>
                  <w:r>
                    <w:rPr>
                      <w:rFonts w:hint="eastAsia"/>
                      <w:kern w:val="0"/>
                      <w:szCs w:val="21"/>
                    </w:rPr>
                    <w:t>类型</w:t>
                  </w:r>
                </w:p>
              </w:tc>
              <w:tc>
                <w:tcPr>
                  <w:tcW w:w="1421" w:type="dxa"/>
                  <w:vAlign w:val="center"/>
                </w:tcPr>
                <w:p>
                  <w:pPr>
                    <w:autoSpaceDE w:val="0"/>
                    <w:autoSpaceDN w:val="0"/>
                    <w:jc w:val="center"/>
                    <w:rPr>
                      <w:kern w:val="0"/>
                      <w:szCs w:val="21"/>
                    </w:rPr>
                  </w:pPr>
                  <w:r>
                    <w:rPr>
                      <w:kern w:val="0"/>
                      <w:szCs w:val="21"/>
                    </w:rPr>
                    <w:t>占地面积</w:t>
                  </w:r>
                  <w:r>
                    <w:rPr>
                      <w:rFonts w:hint="eastAsia"/>
                      <w:kern w:val="0"/>
                      <w:szCs w:val="21"/>
                    </w:rPr>
                    <w:t>（h</w:t>
                  </w:r>
                  <w:r>
                    <w:rPr>
                      <w:kern w:val="0"/>
                      <w:szCs w:val="21"/>
                    </w:rPr>
                    <w:t>m</w:t>
                  </w:r>
                  <w:r>
                    <w:rPr>
                      <w:kern w:val="0"/>
                      <w:szCs w:val="21"/>
                      <w:vertAlign w:val="superscript"/>
                    </w:rPr>
                    <w:t>2</w:t>
                  </w:r>
                  <w:r>
                    <w:rPr>
                      <w:rFonts w:hint="eastAsia"/>
                      <w:kern w:val="0"/>
                      <w:szCs w:val="21"/>
                    </w:rPr>
                    <w:t>）</w:t>
                  </w:r>
                </w:p>
              </w:tc>
              <w:tc>
                <w:tcPr>
                  <w:tcW w:w="3562" w:type="dxa"/>
                  <w:vAlign w:val="center"/>
                </w:tcPr>
                <w:p>
                  <w:pPr>
                    <w:autoSpaceDE w:val="0"/>
                    <w:autoSpaceDN w:val="0"/>
                    <w:jc w:val="center"/>
                    <w:rPr>
                      <w:kern w:val="0"/>
                      <w:szCs w:val="21"/>
                    </w:rPr>
                  </w:pPr>
                  <w:r>
                    <w:rPr>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57" w:type="dxa"/>
                  <w:vAlign w:val="center"/>
                </w:tcPr>
                <w:p>
                  <w:pPr>
                    <w:autoSpaceDE w:val="0"/>
                    <w:autoSpaceDN w:val="0"/>
                    <w:jc w:val="center"/>
                    <w:rPr>
                      <w:kern w:val="0"/>
                      <w:szCs w:val="21"/>
                    </w:rPr>
                  </w:pPr>
                  <w:r>
                    <w:rPr>
                      <w:kern w:val="0"/>
                      <w:szCs w:val="21"/>
                    </w:rPr>
                    <w:t>1#弃渣场</w:t>
                  </w:r>
                </w:p>
              </w:tc>
              <w:tc>
                <w:tcPr>
                  <w:tcW w:w="1050" w:type="dxa"/>
                  <w:vAlign w:val="center"/>
                </w:tcPr>
                <w:p>
                  <w:pPr>
                    <w:autoSpaceDE w:val="0"/>
                    <w:autoSpaceDN w:val="0"/>
                    <w:jc w:val="center"/>
                    <w:rPr>
                      <w:kern w:val="0"/>
                      <w:szCs w:val="21"/>
                      <w:vertAlign w:val="superscript"/>
                    </w:rPr>
                  </w:pPr>
                  <w:r>
                    <w:rPr>
                      <w:rFonts w:hint="eastAsia"/>
                      <w:kern w:val="0"/>
                      <w:szCs w:val="21"/>
                    </w:rPr>
                    <w:t>永久</w:t>
                  </w:r>
                </w:p>
              </w:tc>
              <w:tc>
                <w:tcPr>
                  <w:tcW w:w="1421" w:type="dxa"/>
                  <w:vAlign w:val="center"/>
                </w:tcPr>
                <w:p>
                  <w:pPr>
                    <w:autoSpaceDE w:val="0"/>
                    <w:autoSpaceDN w:val="0"/>
                    <w:jc w:val="center"/>
                    <w:rPr>
                      <w:kern w:val="0"/>
                      <w:szCs w:val="21"/>
                    </w:rPr>
                  </w:pPr>
                  <w:r>
                    <w:rPr>
                      <w:kern w:val="0"/>
                      <w:szCs w:val="21"/>
                    </w:rPr>
                    <w:t>7200</w:t>
                  </w:r>
                </w:p>
              </w:tc>
              <w:tc>
                <w:tcPr>
                  <w:tcW w:w="3562" w:type="dxa"/>
                  <w:vAlign w:val="center"/>
                </w:tcPr>
                <w:p>
                  <w:pPr>
                    <w:autoSpaceDE w:val="0"/>
                    <w:autoSpaceDN w:val="0"/>
                    <w:jc w:val="center"/>
                    <w:rPr>
                      <w:kern w:val="0"/>
                      <w:szCs w:val="21"/>
                    </w:rPr>
                  </w:pPr>
                  <w:r>
                    <w:rPr>
                      <w:rFonts w:hint="eastAsia"/>
                      <w:kern w:val="0"/>
                      <w:szCs w:val="21"/>
                    </w:rPr>
                    <w:t>堆砌开挖的土料及砂砾石料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57" w:type="dxa"/>
                  <w:vAlign w:val="center"/>
                </w:tcPr>
                <w:p>
                  <w:pPr>
                    <w:autoSpaceDE w:val="0"/>
                    <w:autoSpaceDN w:val="0"/>
                    <w:jc w:val="center"/>
                    <w:rPr>
                      <w:kern w:val="0"/>
                      <w:szCs w:val="21"/>
                    </w:rPr>
                  </w:pPr>
                  <w:r>
                    <w:rPr>
                      <w:kern w:val="0"/>
                      <w:szCs w:val="21"/>
                    </w:rPr>
                    <w:t>2#弃渣场</w:t>
                  </w:r>
                </w:p>
              </w:tc>
              <w:tc>
                <w:tcPr>
                  <w:tcW w:w="1050" w:type="dxa"/>
                  <w:vAlign w:val="center"/>
                </w:tcPr>
                <w:p>
                  <w:pPr>
                    <w:autoSpaceDE w:val="0"/>
                    <w:autoSpaceDN w:val="0"/>
                    <w:jc w:val="center"/>
                    <w:rPr>
                      <w:kern w:val="0"/>
                      <w:szCs w:val="21"/>
                    </w:rPr>
                  </w:pPr>
                  <w:r>
                    <w:rPr>
                      <w:rFonts w:hint="eastAsia"/>
                      <w:kern w:val="0"/>
                      <w:szCs w:val="21"/>
                    </w:rPr>
                    <w:t>临时</w:t>
                  </w:r>
                </w:p>
              </w:tc>
              <w:tc>
                <w:tcPr>
                  <w:tcW w:w="1421" w:type="dxa"/>
                  <w:vAlign w:val="center"/>
                </w:tcPr>
                <w:p>
                  <w:pPr>
                    <w:autoSpaceDE w:val="0"/>
                    <w:autoSpaceDN w:val="0"/>
                    <w:jc w:val="center"/>
                    <w:rPr>
                      <w:kern w:val="0"/>
                      <w:szCs w:val="21"/>
                    </w:rPr>
                  </w:pPr>
                  <w:r>
                    <w:rPr>
                      <w:kern w:val="0"/>
                      <w:szCs w:val="21"/>
                    </w:rPr>
                    <w:t>10000</w:t>
                  </w:r>
                </w:p>
              </w:tc>
              <w:tc>
                <w:tcPr>
                  <w:tcW w:w="3562" w:type="dxa"/>
                  <w:vAlign w:val="center"/>
                </w:tcPr>
                <w:p>
                  <w:pPr>
                    <w:autoSpaceDE w:val="0"/>
                    <w:autoSpaceDN w:val="0"/>
                    <w:jc w:val="center"/>
                    <w:rPr>
                      <w:kern w:val="0"/>
                      <w:szCs w:val="21"/>
                    </w:rPr>
                  </w:pPr>
                  <w:r>
                    <w:rPr>
                      <w:rFonts w:hint="eastAsia"/>
                      <w:kern w:val="0"/>
                      <w:szCs w:val="21"/>
                    </w:rPr>
                    <w:t>堆弃大坝左、右坝肩及溢洪道和涵洞开挖的石料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57" w:type="dxa"/>
                  <w:vAlign w:val="center"/>
                </w:tcPr>
                <w:p>
                  <w:pPr>
                    <w:autoSpaceDE w:val="0"/>
                    <w:autoSpaceDN w:val="0"/>
                    <w:jc w:val="center"/>
                    <w:rPr>
                      <w:kern w:val="0"/>
                      <w:szCs w:val="21"/>
                    </w:rPr>
                  </w:pPr>
                  <w:r>
                    <w:rPr>
                      <w:kern w:val="0"/>
                      <w:szCs w:val="21"/>
                    </w:rPr>
                    <w:t>3#弃渣场</w:t>
                  </w:r>
                </w:p>
              </w:tc>
              <w:tc>
                <w:tcPr>
                  <w:tcW w:w="1050" w:type="dxa"/>
                  <w:vAlign w:val="center"/>
                </w:tcPr>
                <w:p>
                  <w:pPr>
                    <w:autoSpaceDE w:val="0"/>
                    <w:autoSpaceDN w:val="0"/>
                    <w:jc w:val="center"/>
                    <w:rPr>
                      <w:kern w:val="0"/>
                      <w:szCs w:val="21"/>
                    </w:rPr>
                  </w:pPr>
                  <w:r>
                    <w:rPr>
                      <w:rFonts w:hint="eastAsia"/>
                      <w:kern w:val="0"/>
                      <w:szCs w:val="21"/>
                    </w:rPr>
                    <w:t>永久</w:t>
                  </w:r>
                </w:p>
              </w:tc>
              <w:tc>
                <w:tcPr>
                  <w:tcW w:w="1421" w:type="dxa"/>
                  <w:vAlign w:val="center"/>
                </w:tcPr>
                <w:p>
                  <w:pPr>
                    <w:autoSpaceDE w:val="0"/>
                    <w:autoSpaceDN w:val="0"/>
                    <w:jc w:val="center"/>
                    <w:rPr>
                      <w:kern w:val="0"/>
                      <w:szCs w:val="21"/>
                    </w:rPr>
                  </w:pPr>
                  <w:r>
                    <w:rPr>
                      <w:kern w:val="0"/>
                      <w:szCs w:val="21"/>
                    </w:rPr>
                    <w:t>184400</w:t>
                  </w:r>
                </w:p>
              </w:tc>
              <w:tc>
                <w:tcPr>
                  <w:tcW w:w="3562" w:type="dxa"/>
                  <w:vAlign w:val="center"/>
                </w:tcPr>
                <w:p>
                  <w:pPr>
                    <w:autoSpaceDE w:val="0"/>
                    <w:autoSpaceDN w:val="0"/>
                    <w:jc w:val="center"/>
                    <w:rPr>
                      <w:kern w:val="0"/>
                      <w:szCs w:val="21"/>
                    </w:rPr>
                  </w:pPr>
                  <w:r>
                    <w:rPr>
                      <w:rFonts w:hint="eastAsia"/>
                      <w:kern w:val="0"/>
                      <w:szCs w:val="21"/>
                    </w:rPr>
                    <w:t>堆砌水库大部分弃渣料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57" w:type="dxa"/>
                  <w:vAlign w:val="center"/>
                </w:tcPr>
                <w:p>
                  <w:pPr>
                    <w:autoSpaceDE w:val="0"/>
                    <w:autoSpaceDN w:val="0"/>
                    <w:jc w:val="center"/>
                    <w:rPr>
                      <w:kern w:val="0"/>
                      <w:szCs w:val="21"/>
                    </w:rPr>
                  </w:pPr>
                  <w:r>
                    <w:rPr>
                      <w:kern w:val="0"/>
                      <w:szCs w:val="21"/>
                    </w:rPr>
                    <w:t>合计</w:t>
                  </w:r>
                </w:p>
              </w:tc>
              <w:tc>
                <w:tcPr>
                  <w:tcW w:w="1050" w:type="dxa"/>
                  <w:vAlign w:val="center"/>
                </w:tcPr>
                <w:p>
                  <w:pPr>
                    <w:autoSpaceDE w:val="0"/>
                    <w:autoSpaceDN w:val="0"/>
                    <w:jc w:val="center"/>
                    <w:rPr>
                      <w:kern w:val="0"/>
                      <w:szCs w:val="21"/>
                    </w:rPr>
                  </w:pPr>
                </w:p>
              </w:tc>
              <w:tc>
                <w:tcPr>
                  <w:tcW w:w="1421" w:type="dxa"/>
                  <w:vAlign w:val="center"/>
                </w:tcPr>
                <w:p>
                  <w:pPr>
                    <w:autoSpaceDE w:val="0"/>
                    <w:autoSpaceDN w:val="0"/>
                    <w:jc w:val="center"/>
                    <w:rPr>
                      <w:kern w:val="0"/>
                      <w:szCs w:val="21"/>
                    </w:rPr>
                  </w:pPr>
                  <w:r>
                    <w:rPr>
                      <w:kern w:val="0"/>
                      <w:szCs w:val="21"/>
                    </w:rPr>
                    <w:t>207600</w:t>
                  </w:r>
                </w:p>
              </w:tc>
              <w:tc>
                <w:tcPr>
                  <w:tcW w:w="3562" w:type="dxa"/>
                  <w:vAlign w:val="center"/>
                </w:tcPr>
                <w:p>
                  <w:pPr>
                    <w:autoSpaceDE w:val="0"/>
                    <w:autoSpaceDN w:val="0"/>
                    <w:jc w:val="center"/>
                    <w:rPr>
                      <w:kern w:val="0"/>
                      <w:szCs w:val="21"/>
                    </w:rPr>
                  </w:pPr>
                </w:p>
              </w:tc>
            </w:tr>
          </w:tbl>
          <w:p>
            <w:pPr>
              <w:spacing w:line="360" w:lineRule="auto"/>
              <w:ind w:firstLine="480" w:firstLineChars="200"/>
              <w:rPr>
                <w:kern w:val="0"/>
                <w:sz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39" w:hRule="atLeast"/>
          <w:jc w:val="center"/>
        </w:trPr>
        <w:tc>
          <w:tcPr>
            <w:tcW w:w="874"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施工方案</w:t>
            </w:r>
          </w:p>
        </w:tc>
        <w:tc>
          <w:tcPr>
            <w:tcW w:w="8216" w:type="dxa"/>
            <w:vAlign w:val="center"/>
          </w:tcPr>
          <w:p>
            <w:pPr>
              <w:adjustRightInd w:val="0"/>
              <w:snapToGrid w:val="0"/>
              <w:spacing w:line="360" w:lineRule="auto"/>
              <w:rPr>
                <w:b/>
                <w:sz w:val="24"/>
              </w:rPr>
            </w:pPr>
            <w:r>
              <w:rPr>
                <w:b/>
                <w:sz w:val="24"/>
              </w:rPr>
              <w:t>一、施工方案</w:t>
            </w:r>
          </w:p>
          <w:p>
            <w:pPr>
              <w:snapToGrid w:val="0"/>
              <w:spacing w:line="360" w:lineRule="auto"/>
              <w:ind w:firstLine="480" w:firstLineChars="200"/>
              <w:rPr>
                <w:sz w:val="24"/>
              </w:rPr>
            </w:pPr>
            <w:r>
              <w:rPr>
                <w:sz w:val="24"/>
              </w:rPr>
              <w:t>（1）施工条件</w:t>
            </w:r>
          </w:p>
          <w:p>
            <w:pPr>
              <w:adjustRightInd w:val="0"/>
              <w:snapToGrid w:val="0"/>
              <w:spacing w:line="360" w:lineRule="auto"/>
              <w:ind w:firstLine="480" w:firstLineChars="200"/>
              <w:rPr>
                <w:sz w:val="24"/>
              </w:rPr>
            </w:pPr>
            <w:r>
              <w:rPr>
                <w:rFonts w:hint="eastAsia" w:ascii="宋体" w:hAnsi="宋体" w:cs="宋体"/>
                <w:sz w:val="24"/>
              </w:rPr>
              <w:t>①</w:t>
            </w:r>
            <w:r>
              <w:rPr>
                <w:sz w:val="24"/>
              </w:rPr>
              <w:t>施工交通</w:t>
            </w:r>
          </w:p>
          <w:p>
            <w:pPr>
              <w:adjustRightInd w:val="0"/>
              <w:snapToGrid w:val="0"/>
              <w:spacing w:line="360" w:lineRule="auto"/>
              <w:ind w:firstLine="420"/>
              <w:rPr>
                <w:sz w:val="24"/>
              </w:rPr>
            </w:pPr>
            <w:r>
              <w:rPr>
                <w:rFonts w:hint="eastAsia"/>
                <w:sz w:val="24"/>
              </w:rPr>
              <w:t>a</w:t>
            </w:r>
            <w:r>
              <w:rPr>
                <w:sz w:val="24"/>
              </w:rPr>
              <w:t>.</w:t>
            </w:r>
            <w:r>
              <w:rPr>
                <w:rFonts w:hint="eastAsia"/>
                <w:sz w:val="24"/>
              </w:rPr>
              <w:t>对外</w:t>
            </w:r>
            <w:r>
              <w:rPr>
                <w:sz w:val="24"/>
              </w:rPr>
              <w:t>交通</w:t>
            </w:r>
          </w:p>
          <w:p>
            <w:pPr>
              <w:adjustRightInd w:val="0"/>
              <w:snapToGrid w:val="0"/>
              <w:spacing w:line="360" w:lineRule="auto"/>
              <w:ind w:firstLine="420"/>
              <w:rPr>
                <w:sz w:val="24"/>
              </w:rPr>
            </w:pPr>
            <w:r>
              <w:rPr>
                <w:rFonts w:hint="eastAsia"/>
                <w:sz w:val="24"/>
              </w:rPr>
              <w:t>红山嘴水库距</w:t>
            </w:r>
            <w:r>
              <w:rPr>
                <w:sz w:val="24"/>
              </w:rPr>
              <w:t>木垒县县城</w:t>
            </w:r>
            <w:r>
              <w:rPr>
                <w:rFonts w:hint="eastAsia"/>
                <w:sz w:val="24"/>
              </w:rPr>
              <w:t>约25</w:t>
            </w:r>
            <w:r>
              <w:rPr>
                <w:sz w:val="24"/>
              </w:rPr>
              <w:t>km，</w:t>
            </w:r>
            <w:r>
              <w:rPr>
                <w:rFonts w:hint="eastAsia"/>
                <w:sz w:val="24"/>
              </w:rPr>
              <w:t>距东城镇约5.0km，距昌吉市约300km，距乌鲁木齐市约</w:t>
            </w:r>
            <w:r>
              <w:rPr>
                <w:sz w:val="24"/>
              </w:rPr>
              <w:t>280</w:t>
            </w:r>
            <w:r>
              <w:rPr>
                <w:rFonts w:hint="eastAsia"/>
                <w:sz w:val="24"/>
              </w:rPr>
              <w:t>km。以上道路均为乡镇公路级别以上道路。对外交通十分便利。由于工程区距公路里程较近，工程对外交通运输确定采用公路运输方案，</w:t>
            </w:r>
            <w:r>
              <w:rPr>
                <w:sz w:val="24"/>
              </w:rPr>
              <w:t>由汽车直接运至工地。</w:t>
            </w:r>
          </w:p>
          <w:p>
            <w:pPr>
              <w:adjustRightInd w:val="0"/>
              <w:snapToGrid w:val="0"/>
              <w:spacing w:line="360" w:lineRule="auto"/>
              <w:ind w:firstLine="420"/>
              <w:rPr>
                <w:sz w:val="24"/>
              </w:rPr>
            </w:pPr>
            <w:r>
              <w:rPr>
                <w:rFonts w:hint="eastAsia"/>
                <w:sz w:val="24"/>
              </w:rPr>
              <w:t>b</w:t>
            </w:r>
            <w:r>
              <w:rPr>
                <w:sz w:val="24"/>
              </w:rPr>
              <w:t>.场内交通</w:t>
            </w:r>
          </w:p>
          <w:p>
            <w:pPr>
              <w:adjustRightInd w:val="0"/>
              <w:snapToGrid w:val="0"/>
              <w:spacing w:line="360" w:lineRule="auto"/>
              <w:ind w:firstLine="420"/>
              <w:rPr>
                <w:sz w:val="24"/>
              </w:rPr>
            </w:pPr>
            <w:r>
              <w:rPr>
                <w:sz w:val="24"/>
              </w:rPr>
              <w:t>施工期在工程区范围共设5条主要道路，分别衔接各料场、</w:t>
            </w:r>
            <w:r>
              <w:rPr>
                <w:rFonts w:hint="eastAsia"/>
                <w:sz w:val="24"/>
              </w:rPr>
              <w:t>弃渣场</w:t>
            </w:r>
            <w:r>
              <w:rPr>
                <w:sz w:val="24"/>
              </w:rPr>
              <w:t>、施工区以及生产、生活区等</w:t>
            </w:r>
            <w:r>
              <w:rPr>
                <w:rFonts w:hint="eastAsia"/>
                <w:sz w:val="24"/>
              </w:rPr>
              <w:t>，均为施工</w:t>
            </w:r>
            <w:r>
              <w:rPr>
                <w:sz w:val="24"/>
              </w:rPr>
              <w:t>临时道路</w:t>
            </w:r>
            <w:r>
              <w:rPr>
                <w:rFonts w:hint="eastAsia"/>
                <w:sz w:val="24"/>
              </w:rPr>
              <w:t>，其中</w:t>
            </w:r>
            <w:r>
              <w:rPr>
                <w:sz w:val="24"/>
              </w:rPr>
              <w:t>2#</w:t>
            </w:r>
            <w:r>
              <w:rPr>
                <w:rFonts w:hint="eastAsia"/>
                <w:sz w:val="24"/>
              </w:rPr>
              <w:t>道路</w:t>
            </w:r>
            <w:r>
              <w:rPr>
                <w:sz w:val="24"/>
              </w:rPr>
              <w:t>和其他临时道路路面宽</w:t>
            </w:r>
            <w:r>
              <w:rPr>
                <w:rFonts w:hint="eastAsia"/>
                <w:sz w:val="24"/>
              </w:rPr>
              <w:t>6m</w:t>
            </w:r>
            <w:r>
              <w:rPr>
                <w:sz w:val="24"/>
              </w:rPr>
              <w:t>，1#道路、</w:t>
            </w:r>
            <w:r>
              <w:rPr>
                <w:rFonts w:hint="eastAsia"/>
                <w:sz w:val="24"/>
              </w:rPr>
              <w:t>3</w:t>
            </w:r>
            <w:r>
              <w:rPr>
                <w:sz w:val="24"/>
              </w:rPr>
              <w:t>#道路和</w:t>
            </w:r>
            <w:r>
              <w:rPr>
                <w:rFonts w:hint="eastAsia"/>
                <w:sz w:val="24"/>
              </w:rPr>
              <w:t>C3料场</w:t>
            </w:r>
            <w:r>
              <w:rPr>
                <w:sz w:val="24"/>
              </w:rPr>
              <w:t>道路</w:t>
            </w:r>
            <w:r>
              <w:rPr>
                <w:rFonts w:hint="eastAsia"/>
                <w:sz w:val="24"/>
              </w:rPr>
              <w:t>，</w:t>
            </w:r>
            <w:r>
              <w:rPr>
                <w:sz w:val="24"/>
              </w:rPr>
              <w:t>路面宽4m</w:t>
            </w:r>
            <w:r>
              <w:rPr>
                <w:rFonts w:hint="eastAsia"/>
                <w:sz w:val="24"/>
              </w:rPr>
              <w:t>，均为</w:t>
            </w:r>
            <w:r>
              <w:rPr>
                <w:sz w:val="24"/>
              </w:rPr>
              <w:t>天然砂砾石路面。</w:t>
            </w:r>
          </w:p>
          <w:p>
            <w:pPr>
              <w:adjustRightInd w:val="0"/>
              <w:snapToGrid w:val="0"/>
              <w:spacing w:line="360" w:lineRule="auto"/>
              <w:ind w:firstLine="420"/>
              <w:rPr>
                <w:sz w:val="24"/>
              </w:rPr>
            </w:pPr>
            <w:r>
              <w:rPr>
                <w:rFonts w:hint="eastAsia"/>
                <w:sz w:val="24"/>
              </w:rPr>
              <w:t>施工</w:t>
            </w:r>
            <w:r>
              <w:rPr>
                <w:sz w:val="24"/>
              </w:rPr>
              <w:t>道路特</w:t>
            </w:r>
            <w:r>
              <w:rPr>
                <w:rFonts w:hint="eastAsia"/>
                <w:sz w:val="24"/>
              </w:rPr>
              <w:t>性</w:t>
            </w:r>
            <w:r>
              <w:rPr>
                <w:sz w:val="24"/>
              </w:rPr>
              <w:t>表</w:t>
            </w:r>
            <w:r>
              <w:rPr>
                <w:rFonts w:hint="eastAsia"/>
                <w:sz w:val="24"/>
              </w:rPr>
              <w:t>详见</w:t>
            </w:r>
            <w:r>
              <w:rPr>
                <w:sz w:val="24"/>
              </w:rPr>
              <w:t>表8</w:t>
            </w:r>
            <w:r>
              <w:rPr>
                <w:rFonts w:hint="eastAsia"/>
                <w:sz w:val="24"/>
              </w:rPr>
              <w:t>。</w:t>
            </w:r>
          </w:p>
          <w:p>
            <w:pPr>
              <w:adjustRightInd w:val="0"/>
              <w:snapToGrid w:val="0"/>
              <w:spacing w:line="360" w:lineRule="auto"/>
              <w:rPr>
                <w:rFonts w:eastAsia="黑体"/>
                <w:sz w:val="24"/>
              </w:rPr>
            </w:pPr>
            <w:r>
              <w:rPr>
                <w:rFonts w:hint="eastAsia" w:eastAsia="黑体"/>
                <w:sz w:val="24"/>
              </w:rPr>
              <w:t>表</w:t>
            </w:r>
            <w:r>
              <w:rPr>
                <w:rFonts w:eastAsia="黑体"/>
                <w:sz w:val="24"/>
              </w:rPr>
              <w:t>8</w:t>
            </w:r>
            <w:r>
              <w:rPr>
                <w:rFonts w:hint="eastAsia" w:eastAsia="黑体"/>
                <w:sz w:val="24"/>
              </w:rPr>
              <w:t xml:space="preserve">   </w:t>
            </w:r>
            <w:r>
              <w:rPr>
                <w:rFonts w:eastAsia="黑体"/>
                <w:sz w:val="24"/>
              </w:rPr>
              <w:t xml:space="preserve">          </w:t>
            </w:r>
            <w:r>
              <w:rPr>
                <w:rFonts w:hint="eastAsia" w:eastAsia="黑体"/>
                <w:sz w:val="24"/>
              </w:rPr>
              <w:t xml:space="preserve">  施工</w:t>
            </w:r>
            <w:r>
              <w:rPr>
                <w:rFonts w:eastAsia="黑体"/>
                <w:sz w:val="24"/>
              </w:rPr>
              <w:t>场内道路特性表</w:t>
            </w:r>
          </w:p>
          <w:tbl>
            <w:tblPr>
              <w:tblStyle w:val="21"/>
              <w:tblW w:w="79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263"/>
              <w:gridCol w:w="1263"/>
              <w:gridCol w:w="41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1270"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道路编号</w:t>
                  </w:r>
                </w:p>
              </w:tc>
              <w:tc>
                <w:tcPr>
                  <w:tcW w:w="1263"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长度（km）</w:t>
                  </w:r>
                </w:p>
              </w:tc>
              <w:tc>
                <w:tcPr>
                  <w:tcW w:w="1263"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级别</w:t>
                  </w:r>
                </w:p>
              </w:tc>
              <w:tc>
                <w:tcPr>
                  <w:tcW w:w="4194"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1#道路</w:t>
                  </w:r>
                </w:p>
              </w:tc>
              <w:tc>
                <w:tcPr>
                  <w:tcW w:w="1263"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0.6</w:t>
                  </w:r>
                </w:p>
              </w:tc>
              <w:tc>
                <w:tcPr>
                  <w:tcW w:w="1263" w:type="dxa"/>
                  <w:vAlign w:val="center"/>
                </w:tcPr>
                <w:p>
                  <w:pPr>
                    <w:pStyle w:val="95"/>
                    <w:adjustRightInd w:val="0"/>
                    <w:snapToGrid w:val="0"/>
                    <w:spacing w:beforeLines="0" w:afterLines="0" w:line="240" w:lineRule="auto"/>
                    <w:rPr>
                      <w:color w:val="auto"/>
                      <w:sz w:val="21"/>
                      <w:szCs w:val="21"/>
                    </w:rPr>
                  </w:pPr>
                  <w:r>
                    <w:rPr>
                      <w:color w:val="auto"/>
                      <w:sz w:val="21"/>
                      <w:szCs w:val="21"/>
                    </w:rPr>
                    <w:t>矿山</w:t>
                  </w:r>
                  <w:r>
                    <w:rPr>
                      <w:rFonts w:hint="eastAsia" w:cs="宋体"/>
                      <w:color w:val="auto"/>
                      <w:sz w:val="21"/>
                      <w:szCs w:val="21"/>
                    </w:rPr>
                    <w:t>Ⅳ</w:t>
                  </w:r>
                  <w:r>
                    <w:rPr>
                      <w:color w:val="auto"/>
                      <w:sz w:val="21"/>
                      <w:szCs w:val="21"/>
                    </w:rPr>
                    <w:t>级</w:t>
                  </w:r>
                </w:p>
              </w:tc>
              <w:tc>
                <w:tcPr>
                  <w:tcW w:w="4194"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施工期至河床左岸下河床道路，路面宽4m。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2#道路</w:t>
                  </w:r>
                </w:p>
              </w:tc>
              <w:tc>
                <w:tcPr>
                  <w:tcW w:w="1263"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0.23</w:t>
                  </w:r>
                </w:p>
              </w:tc>
              <w:tc>
                <w:tcPr>
                  <w:tcW w:w="1263" w:type="dxa"/>
                  <w:vAlign w:val="center"/>
                </w:tcPr>
                <w:p>
                  <w:pPr>
                    <w:jc w:val="center"/>
                    <w:rPr>
                      <w:szCs w:val="21"/>
                    </w:rPr>
                  </w:pPr>
                  <w:r>
                    <w:rPr>
                      <w:szCs w:val="21"/>
                    </w:rPr>
                    <w:t>矿山</w:t>
                  </w:r>
                  <w:r>
                    <w:rPr>
                      <w:rFonts w:hint="eastAsia" w:cs="宋体"/>
                      <w:szCs w:val="21"/>
                    </w:rPr>
                    <w:t>Ⅳ</w:t>
                  </w:r>
                  <w:r>
                    <w:rPr>
                      <w:szCs w:val="21"/>
                    </w:rPr>
                    <w:t>级</w:t>
                  </w:r>
                </w:p>
              </w:tc>
              <w:tc>
                <w:tcPr>
                  <w:tcW w:w="4194"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溢洪道和右坝肩施工道路，路面宽6m。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3#道路</w:t>
                  </w:r>
                </w:p>
              </w:tc>
              <w:tc>
                <w:tcPr>
                  <w:tcW w:w="1263"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0.1</w:t>
                  </w:r>
                </w:p>
              </w:tc>
              <w:tc>
                <w:tcPr>
                  <w:tcW w:w="1263" w:type="dxa"/>
                  <w:vAlign w:val="center"/>
                </w:tcPr>
                <w:p>
                  <w:pPr>
                    <w:jc w:val="center"/>
                    <w:rPr>
                      <w:szCs w:val="21"/>
                    </w:rPr>
                  </w:pPr>
                  <w:r>
                    <w:rPr>
                      <w:szCs w:val="21"/>
                    </w:rPr>
                    <w:t>矿山</w:t>
                  </w:r>
                  <w:r>
                    <w:rPr>
                      <w:rFonts w:hint="eastAsia" w:cs="宋体"/>
                      <w:szCs w:val="21"/>
                    </w:rPr>
                    <w:t>Ⅳ</w:t>
                  </w:r>
                  <w:r>
                    <w:rPr>
                      <w:szCs w:val="21"/>
                    </w:rPr>
                    <w:t>级</w:t>
                  </w:r>
                </w:p>
              </w:tc>
              <w:tc>
                <w:tcPr>
                  <w:tcW w:w="4194"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坝体左岸坡防渗处理道路，路面宽4m。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其它临时道路</w:t>
                  </w:r>
                </w:p>
              </w:tc>
              <w:tc>
                <w:tcPr>
                  <w:tcW w:w="1263"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1.00</w:t>
                  </w:r>
                </w:p>
              </w:tc>
              <w:tc>
                <w:tcPr>
                  <w:tcW w:w="1263" w:type="dxa"/>
                  <w:vAlign w:val="center"/>
                </w:tcPr>
                <w:p>
                  <w:pPr>
                    <w:jc w:val="center"/>
                    <w:rPr>
                      <w:szCs w:val="21"/>
                    </w:rPr>
                  </w:pPr>
                  <w:r>
                    <w:rPr>
                      <w:szCs w:val="21"/>
                    </w:rPr>
                    <w:t>矿山</w:t>
                  </w:r>
                  <w:r>
                    <w:rPr>
                      <w:rFonts w:hint="eastAsia" w:cs="宋体"/>
                      <w:szCs w:val="21"/>
                    </w:rPr>
                    <w:t>Ⅳ</w:t>
                  </w:r>
                  <w:r>
                    <w:rPr>
                      <w:szCs w:val="21"/>
                    </w:rPr>
                    <w:t>级</w:t>
                  </w:r>
                </w:p>
              </w:tc>
              <w:tc>
                <w:tcPr>
                  <w:tcW w:w="4194"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施工期其它临时道路，路面宽6m。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C3料场临时道路</w:t>
                  </w:r>
                </w:p>
              </w:tc>
              <w:tc>
                <w:tcPr>
                  <w:tcW w:w="1263"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13</w:t>
                  </w:r>
                </w:p>
              </w:tc>
              <w:tc>
                <w:tcPr>
                  <w:tcW w:w="1263" w:type="dxa"/>
                  <w:vAlign w:val="center"/>
                </w:tcPr>
                <w:p>
                  <w:pPr>
                    <w:jc w:val="center"/>
                    <w:rPr>
                      <w:szCs w:val="21"/>
                    </w:rPr>
                  </w:pPr>
                  <w:r>
                    <w:rPr>
                      <w:szCs w:val="21"/>
                    </w:rPr>
                    <w:t>矿山</w:t>
                  </w:r>
                  <w:r>
                    <w:rPr>
                      <w:rFonts w:hint="eastAsia" w:cs="宋体"/>
                      <w:szCs w:val="21"/>
                    </w:rPr>
                    <w:t>Ⅳ</w:t>
                  </w:r>
                  <w:r>
                    <w:rPr>
                      <w:szCs w:val="21"/>
                    </w:rPr>
                    <w:t>级</w:t>
                  </w:r>
                </w:p>
              </w:tc>
              <w:tc>
                <w:tcPr>
                  <w:tcW w:w="4194"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施工期C3料场至坝址区道路，路面宽4m。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1270"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小计</w:t>
                  </w:r>
                </w:p>
              </w:tc>
              <w:tc>
                <w:tcPr>
                  <w:tcW w:w="1263" w:type="dxa"/>
                  <w:vAlign w:val="center"/>
                </w:tcPr>
                <w:p>
                  <w:pPr>
                    <w:pStyle w:val="95"/>
                    <w:adjustRightInd w:val="0"/>
                    <w:snapToGrid w:val="0"/>
                    <w:spacing w:beforeLines="0" w:afterLines="0" w:line="240" w:lineRule="auto"/>
                    <w:rPr>
                      <w:color w:val="auto"/>
                      <w:kern w:val="0"/>
                      <w:sz w:val="21"/>
                      <w:szCs w:val="21"/>
                    </w:rPr>
                  </w:pPr>
                  <w:r>
                    <w:rPr>
                      <w:color w:val="auto"/>
                      <w:kern w:val="0"/>
                      <w:sz w:val="21"/>
                      <w:szCs w:val="21"/>
                    </w:rPr>
                    <w:t>14.93</w:t>
                  </w:r>
                </w:p>
              </w:tc>
              <w:tc>
                <w:tcPr>
                  <w:tcW w:w="1263" w:type="dxa"/>
                  <w:vAlign w:val="center"/>
                </w:tcPr>
                <w:p>
                  <w:pPr>
                    <w:jc w:val="center"/>
                    <w:rPr>
                      <w:szCs w:val="21"/>
                    </w:rPr>
                  </w:pPr>
                </w:p>
              </w:tc>
              <w:tc>
                <w:tcPr>
                  <w:tcW w:w="4194" w:type="dxa"/>
                  <w:vAlign w:val="center"/>
                </w:tcPr>
                <w:p>
                  <w:pPr>
                    <w:pStyle w:val="95"/>
                    <w:adjustRightInd w:val="0"/>
                    <w:snapToGrid w:val="0"/>
                    <w:spacing w:beforeLines="0" w:afterLines="0" w:line="240" w:lineRule="auto"/>
                    <w:rPr>
                      <w:color w:val="auto"/>
                      <w:kern w:val="0"/>
                      <w:sz w:val="21"/>
                      <w:szCs w:val="21"/>
                    </w:rPr>
                  </w:pPr>
                </w:p>
              </w:tc>
            </w:tr>
          </w:tbl>
          <w:p>
            <w:pPr>
              <w:adjustRightInd w:val="0"/>
              <w:snapToGrid w:val="0"/>
              <w:spacing w:line="360" w:lineRule="auto"/>
              <w:ind w:firstLine="420"/>
              <w:rPr>
                <w:sz w:val="24"/>
              </w:rPr>
            </w:pPr>
          </w:p>
          <w:p>
            <w:pPr>
              <w:snapToGrid w:val="0"/>
              <w:spacing w:line="360" w:lineRule="auto"/>
              <w:ind w:firstLine="480" w:firstLineChars="200"/>
              <w:rPr>
                <w:sz w:val="24"/>
              </w:rPr>
            </w:pPr>
            <w:r>
              <w:rPr>
                <w:rFonts w:hint="eastAsia" w:ascii="宋体" w:hAnsi="宋体" w:cs="宋体"/>
                <w:sz w:val="24"/>
              </w:rPr>
              <w:t>②</w:t>
            </w:r>
            <w:r>
              <w:rPr>
                <w:sz w:val="24"/>
              </w:rPr>
              <w:t>施工供电、供水</w:t>
            </w:r>
          </w:p>
          <w:p>
            <w:pPr>
              <w:snapToGrid w:val="0"/>
              <w:spacing w:line="360" w:lineRule="auto"/>
              <w:ind w:firstLine="480" w:firstLineChars="200"/>
              <w:rPr>
                <w:sz w:val="24"/>
              </w:rPr>
            </w:pPr>
            <w:r>
              <w:rPr>
                <w:rFonts w:hint="eastAsia"/>
                <w:sz w:val="24"/>
              </w:rPr>
              <w:t>a.</w:t>
            </w:r>
            <w:r>
              <w:rPr>
                <w:sz w:val="24"/>
              </w:rPr>
              <w:t>施工供电</w:t>
            </w:r>
          </w:p>
          <w:p>
            <w:pPr>
              <w:adjustRightInd w:val="0"/>
              <w:snapToGrid w:val="0"/>
              <w:spacing w:line="360" w:lineRule="auto"/>
              <w:ind w:firstLine="480" w:firstLineChars="200"/>
              <w:rPr>
                <w:sz w:val="24"/>
              </w:rPr>
            </w:pPr>
            <w:r>
              <w:rPr>
                <w:rFonts w:hint="eastAsia"/>
                <w:sz w:val="24"/>
              </w:rPr>
              <w:t>工程建设期间，施工用电由下游的东城镇变电站提供，直接由东城河左岸坝肩接入工地施工变电站。本阶段</w:t>
            </w:r>
            <w:r>
              <w:rPr>
                <w:sz w:val="24"/>
              </w:rPr>
              <w:t>共布置</w:t>
            </w:r>
            <w:r>
              <w:rPr>
                <w:rFonts w:hint="eastAsia"/>
                <w:sz w:val="24"/>
              </w:rPr>
              <w:t>4座</w:t>
            </w:r>
            <w:r>
              <w:rPr>
                <w:sz w:val="24"/>
              </w:rPr>
              <w:t>施工供电变压器，由</w:t>
            </w:r>
            <w:r>
              <w:rPr>
                <w:rFonts w:hint="eastAsia"/>
                <w:sz w:val="24"/>
              </w:rPr>
              <w:t>场内35kv施工变电所出线，场内架设10kv输电线路至用电部位附近，再用施工变压器降压后使用。</w:t>
            </w:r>
          </w:p>
          <w:p>
            <w:pPr>
              <w:snapToGrid w:val="0"/>
              <w:spacing w:line="360" w:lineRule="auto"/>
              <w:ind w:firstLine="480" w:firstLineChars="200"/>
              <w:rPr>
                <w:sz w:val="24"/>
              </w:rPr>
            </w:pPr>
            <w:r>
              <w:rPr>
                <w:rFonts w:hint="eastAsia"/>
                <w:sz w:val="24"/>
              </w:rPr>
              <w:t>b.</w:t>
            </w:r>
            <w:r>
              <w:rPr>
                <w:sz w:val="24"/>
              </w:rPr>
              <w:t>施工供水</w:t>
            </w:r>
          </w:p>
          <w:p>
            <w:pPr>
              <w:adjustRightInd w:val="0"/>
              <w:snapToGrid w:val="0"/>
              <w:spacing w:line="360" w:lineRule="auto"/>
              <w:ind w:firstLine="420"/>
              <w:rPr>
                <w:sz w:val="24"/>
              </w:rPr>
            </w:pPr>
            <w:r>
              <w:rPr>
                <w:rFonts w:hint="eastAsia"/>
                <w:sz w:val="24"/>
              </w:rPr>
              <w:t>根据施工</w:t>
            </w:r>
            <w:r>
              <w:rPr>
                <w:sz w:val="24"/>
              </w:rPr>
              <w:t>用户的施工场地、拌和站等位置以及工程各项建筑物的分布情况及要求，规划布设</w:t>
            </w:r>
            <w:r>
              <w:rPr>
                <w:rFonts w:hint="eastAsia"/>
                <w:sz w:val="24"/>
              </w:rPr>
              <w:t>4套</w:t>
            </w:r>
            <w:r>
              <w:rPr>
                <w:sz w:val="24"/>
              </w:rPr>
              <w:t>供水系统，</w:t>
            </w:r>
            <w:r>
              <w:rPr>
                <w:rFonts w:hint="eastAsia"/>
                <w:sz w:val="24"/>
              </w:rPr>
              <w:t>供水系统是用水泵将水从河中扬到不同高程处的高位水池，然后由高位水池铺设供水管线供应各用水单位。</w:t>
            </w:r>
          </w:p>
          <w:p>
            <w:pPr>
              <w:adjustRightInd w:val="0"/>
              <w:snapToGrid w:val="0"/>
              <w:spacing w:line="360" w:lineRule="auto"/>
              <w:ind w:firstLine="480" w:firstLineChars="200"/>
              <w:rPr>
                <w:sz w:val="24"/>
              </w:rPr>
            </w:pPr>
            <w:r>
              <w:rPr>
                <w:sz w:val="24"/>
              </w:rPr>
              <w:t>（</w:t>
            </w:r>
            <w:r>
              <w:rPr>
                <w:rFonts w:hint="eastAsia"/>
                <w:sz w:val="24"/>
              </w:rPr>
              <w:t>2</w:t>
            </w:r>
            <w:r>
              <w:rPr>
                <w:sz w:val="24"/>
              </w:rPr>
              <w:t>）主要原辅材料及施工主要设备</w:t>
            </w:r>
          </w:p>
          <w:p>
            <w:pPr>
              <w:adjustRightInd w:val="0"/>
              <w:snapToGrid w:val="0"/>
              <w:spacing w:line="360" w:lineRule="auto"/>
              <w:ind w:firstLine="480" w:firstLineChars="200"/>
              <w:rPr>
                <w:sz w:val="24"/>
              </w:rPr>
            </w:pPr>
            <w:r>
              <w:rPr>
                <w:rFonts w:hint="eastAsia" w:ascii="宋体" w:hAnsi="宋体" w:cs="宋体"/>
                <w:sz w:val="24"/>
              </w:rPr>
              <w:t>①</w:t>
            </w:r>
            <w:r>
              <w:rPr>
                <w:sz w:val="24"/>
              </w:rPr>
              <w:t>主要建筑材</w:t>
            </w:r>
          </w:p>
          <w:p>
            <w:pPr>
              <w:adjustRightInd w:val="0"/>
              <w:snapToGrid w:val="0"/>
              <w:spacing w:line="360" w:lineRule="auto"/>
              <w:ind w:firstLine="480" w:firstLineChars="200"/>
              <w:rPr>
                <w:sz w:val="24"/>
              </w:rPr>
            </w:pPr>
            <w:r>
              <w:rPr>
                <w:rFonts w:hint="eastAsia"/>
                <w:sz w:val="24"/>
              </w:rPr>
              <w:t>水泥在奇台县水泥厂购买；钢材在宝钢集团新疆八一钢铁有限公司采购；木材、油料等生活物资在木垒县东城镇购买</w:t>
            </w:r>
            <w:r>
              <w:rPr>
                <w:sz w:val="24"/>
              </w:rPr>
              <w:t>。</w:t>
            </w:r>
          </w:p>
          <w:p>
            <w:pPr>
              <w:adjustRightInd w:val="0"/>
              <w:snapToGrid w:val="0"/>
              <w:spacing w:line="360" w:lineRule="auto"/>
              <w:ind w:firstLine="480" w:firstLineChars="200"/>
              <w:rPr>
                <w:sz w:val="24"/>
              </w:rPr>
            </w:pPr>
            <w:r>
              <w:rPr>
                <w:rFonts w:hint="eastAsia" w:ascii="宋体" w:hAnsi="宋体" w:cs="宋体"/>
                <w:sz w:val="24"/>
              </w:rPr>
              <w:t>②</w:t>
            </w:r>
            <w:r>
              <w:rPr>
                <w:rFonts w:hint="eastAsia"/>
                <w:sz w:val="24"/>
              </w:rPr>
              <w:t>施工主要设备</w:t>
            </w:r>
          </w:p>
          <w:p>
            <w:pPr>
              <w:adjustRightInd w:val="0"/>
              <w:snapToGrid w:val="0"/>
              <w:spacing w:line="360" w:lineRule="auto"/>
              <w:ind w:firstLine="480" w:firstLineChars="200"/>
              <w:rPr>
                <w:sz w:val="24"/>
              </w:rPr>
            </w:pPr>
            <w:r>
              <w:rPr>
                <w:rFonts w:hint="eastAsia"/>
                <w:sz w:val="24"/>
              </w:rPr>
              <w:t>工程所需施工机械设备见表</w:t>
            </w:r>
            <w:r>
              <w:rPr>
                <w:sz w:val="24"/>
              </w:rPr>
              <w:t>9</w:t>
            </w:r>
            <w:r>
              <w:rPr>
                <w:rFonts w:hint="eastAsia"/>
                <w:sz w:val="24"/>
              </w:rPr>
              <w:t>。</w:t>
            </w:r>
          </w:p>
          <w:p>
            <w:pPr>
              <w:autoSpaceDE w:val="0"/>
              <w:autoSpaceDN w:val="0"/>
              <w:adjustRightInd w:val="0"/>
              <w:rPr>
                <w:rFonts w:ascii="黑体" w:hAnsi="黑体" w:eastAsia="黑体"/>
                <w:kern w:val="0"/>
                <w:sz w:val="24"/>
                <w:szCs w:val="21"/>
              </w:rPr>
            </w:pPr>
            <w:r>
              <w:rPr>
                <w:rFonts w:ascii="黑体" w:hAnsi="黑体" w:eastAsia="黑体"/>
                <w:kern w:val="0"/>
                <w:sz w:val="24"/>
                <w:szCs w:val="21"/>
              </w:rPr>
              <w:t>表</w:t>
            </w:r>
            <w:r>
              <w:rPr>
                <w:rFonts w:eastAsia="黑体"/>
                <w:kern w:val="0"/>
                <w:sz w:val="24"/>
                <w:szCs w:val="21"/>
              </w:rPr>
              <w:t>9</w:t>
            </w:r>
            <w:r>
              <w:rPr>
                <w:rFonts w:ascii="黑体" w:hAnsi="黑体" w:eastAsia="黑体"/>
                <w:kern w:val="0"/>
                <w:sz w:val="24"/>
                <w:szCs w:val="21"/>
              </w:rPr>
              <w:t xml:space="preserve">                     本工程主要施工机械设备表</w:t>
            </w:r>
          </w:p>
          <w:tbl>
            <w:tblPr>
              <w:tblStyle w:val="21"/>
              <w:tblW w:w="79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2146"/>
              <w:gridCol w:w="925"/>
              <w:gridCol w:w="2146"/>
              <w:gridCol w:w="925"/>
              <w:gridCol w:w="9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trPr>
              <w:tc>
                <w:tcPr>
                  <w:tcW w:w="925" w:type="dxa"/>
                  <w:shd w:val="clear" w:color="auto" w:fill="auto"/>
                  <w:vAlign w:val="center"/>
                </w:tcPr>
                <w:p>
                  <w:pPr>
                    <w:widowControl/>
                    <w:jc w:val="center"/>
                    <w:rPr>
                      <w:kern w:val="0"/>
                      <w:szCs w:val="21"/>
                    </w:rPr>
                  </w:pPr>
                  <w:r>
                    <w:rPr>
                      <w:kern w:val="0"/>
                      <w:szCs w:val="21"/>
                    </w:rPr>
                    <w:t>序号</w:t>
                  </w:r>
                </w:p>
              </w:tc>
              <w:tc>
                <w:tcPr>
                  <w:tcW w:w="2146" w:type="dxa"/>
                  <w:shd w:val="clear" w:color="auto" w:fill="auto"/>
                  <w:vAlign w:val="center"/>
                </w:tcPr>
                <w:p>
                  <w:pPr>
                    <w:widowControl/>
                    <w:jc w:val="center"/>
                    <w:rPr>
                      <w:kern w:val="0"/>
                      <w:szCs w:val="21"/>
                    </w:rPr>
                  </w:pPr>
                  <w:r>
                    <w:rPr>
                      <w:kern w:val="0"/>
                      <w:szCs w:val="21"/>
                    </w:rPr>
                    <w:t>机械名称</w:t>
                  </w:r>
                </w:p>
              </w:tc>
              <w:tc>
                <w:tcPr>
                  <w:tcW w:w="925" w:type="dxa"/>
                  <w:shd w:val="clear" w:color="auto" w:fill="auto"/>
                  <w:vAlign w:val="center"/>
                </w:tcPr>
                <w:p>
                  <w:pPr>
                    <w:widowControl/>
                    <w:jc w:val="center"/>
                    <w:rPr>
                      <w:kern w:val="0"/>
                      <w:szCs w:val="21"/>
                    </w:rPr>
                  </w:pPr>
                  <w:r>
                    <w:rPr>
                      <w:kern w:val="0"/>
                      <w:szCs w:val="21"/>
                    </w:rPr>
                    <w:t>单位</w:t>
                  </w:r>
                </w:p>
              </w:tc>
              <w:tc>
                <w:tcPr>
                  <w:tcW w:w="2146" w:type="dxa"/>
                  <w:shd w:val="clear" w:color="auto" w:fill="auto"/>
                  <w:vAlign w:val="center"/>
                </w:tcPr>
                <w:p>
                  <w:pPr>
                    <w:widowControl/>
                    <w:jc w:val="center"/>
                    <w:rPr>
                      <w:kern w:val="0"/>
                      <w:szCs w:val="21"/>
                    </w:rPr>
                  </w:pPr>
                  <w:r>
                    <w:rPr>
                      <w:kern w:val="0"/>
                      <w:szCs w:val="21"/>
                    </w:rPr>
                    <w:t>规格</w:t>
                  </w:r>
                </w:p>
              </w:tc>
              <w:tc>
                <w:tcPr>
                  <w:tcW w:w="925" w:type="dxa"/>
                  <w:shd w:val="clear" w:color="auto" w:fill="auto"/>
                  <w:vAlign w:val="center"/>
                </w:tcPr>
                <w:p>
                  <w:pPr>
                    <w:widowControl/>
                    <w:jc w:val="center"/>
                    <w:rPr>
                      <w:kern w:val="0"/>
                      <w:szCs w:val="21"/>
                    </w:rPr>
                  </w:pPr>
                  <w:r>
                    <w:rPr>
                      <w:kern w:val="0"/>
                      <w:szCs w:val="21"/>
                    </w:rPr>
                    <w:t>数量</w:t>
                  </w:r>
                </w:p>
              </w:tc>
              <w:tc>
                <w:tcPr>
                  <w:tcW w:w="923" w:type="dxa"/>
                  <w:shd w:val="clear" w:color="auto" w:fill="auto"/>
                  <w:vAlign w:val="center"/>
                </w:tcPr>
                <w:p>
                  <w:pPr>
                    <w:widowControl/>
                    <w:jc w:val="center"/>
                    <w:rPr>
                      <w:kern w:val="0"/>
                      <w:szCs w:val="21"/>
                    </w:rPr>
                  </w:pPr>
                  <w:r>
                    <w:rPr>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restart"/>
                  <w:shd w:val="clear" w:color="auto" w:fill="auto"/>
                  <w:vAlign w:val="center"/>
                </w:tcPr>
                <w:p>
                  <w:pPr>
                    <w:widowControl/>
                    <w:jc w:val="center"/>
                    <w:rPr>
                      <w:kern w:val="0"/>
                      <w:szCs w:val="21"/>
                    </w:rPr>
                  </w:pPr>
                  <w:r>
                    <w:rPr>
                      <w:kern w:val="0"/>
                      <w:szCs w:val="21"/>
                    </w:rPr>
                    <w:t>1</w:t>
                  </w:r>
                </w:p>
              </w:tc>
              <w:tc>
                <w:tcPr>
                  <w:tcW w:w="2146" w:type="dxa"/>
                  <w:vMerge w:val="restart"/>
                  <w:shd w:val="clear" w:color="auto" w:fill="auto"/>
                  <w:vAlign w:val="center"/>
                </w:tcPr>
                <w:p>
                  <w:pPr>
                    <w:widowControl/>
                    <w:jc w:val="center"/>
                    <w:rPr>
                      <w:kern w:val="0"/>
                      <w:szCs w:val="21"/>
                    </w:rPr>
                  </w:pPr>
                  <w:r>
                    <w:rPr>
                      <w:kern w:val="0"/>
                      <w:szCs w:val="21"/>
                    </w:rPr>
                    <w:t>挖掘机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1m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vAlign w:val="center"/>
                </w:tcPr>
                <w:p>
                  <w:pPr>
                    <w:widowControl/>
                    <w:jc w:val="center"/>
                    <w:rPr>
                      <w:kern w:val="0"/>
                      <w:szCs w:val="21"/>
                    </w:rPr>
                  </w:pP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2m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5</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restart"/>
                  <w:shd w:val="clear" w:color="auto" w:fill="auto"/>
                  <w:vAlign w:val="center"/>
                </w:tcPr>
                <w:p>
                  <w:pPr>
                    <w:widowControl/>
                    <w:jc w:val="center"/>
                    <w:rPr>
                      <w:kern w:val="0"/>
                      <w:szCs w:val="21"/>
                    </w:rPr>
                  </w:pPr>
                  <w:r>
                    <w:rPr>
                      <w:kern w:val="0"/>
                      <w:szCs w:val="21"/>
                    </w:rPr>
                    <w:t>2</w:t>
                  </w:r>
                </w:p>
              </w:tc>
              <w:tc>
                <w:tcPr>
                  <w:tcW w:w="2146" w:type="dxa"/>
                  <w:vMerge w:val="restart"/>
                  <w:shd w:val="clear" w:color="auto" w:fill="auto"/>
                  <w:vAlign w:val="center"/>
                </w:tcPr>
                <w:p>
                  <w:pPr>
                    <w:widowControl/>
                    <w:jc w:val="center"/>
                    <w:rPr>
                      <w:kern w:val="0"/>
                      <w:szCs w:val="21"/>
                    </w:rPr>
                  </w:pPr>
                  <w:r>
                    <w:rPr>
                      <w:kern w:val="0"/>
                      <w:szCs w:val="21"/>
                    </w:rPr>
                    <w:t>装载机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2 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vMerge w:val="continue"/>
                  <w:vAlign w:val="center"/>
                </w:tcPr>
                <w:p>
                  <w:pPr>
                    <w:widowControl/>
                    <w:jc w:val="center"/>
                    <w:rPr>
                      <w:kern w:val="0"/>
                      <w:szCs w:val="21"/>
                    </w:rPr>
                  </w:pP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3 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w:t>
                  </w:r>
                </w:p>
              </w:tc>
              <w:tc>
                <w:tcPr>
                  <w:tcW w:w="2146" w:type="dxa"/>
                  <w:shd w:val="clear" w:color="auto" w:fill="auto"/>
                  <w:vAlign w:val="center"/>
                </w:tcPr>
                <w:p>
                  <w:pPr>
                    <w:widowControl/>
                    <w:jc w:val="center"/>
                    <w:rPr>
                      <w:kern w:val="0"/>
                      <w:szCs w:val="21"/>
                    </w:rPr>
                  </w:pPr>
                  <w:r>
                    <w:rPr>
                      <w:kern w:val="0"/>
                      <w:szCs w:val="21"/>
                    </w:rPr>
                    <w:t>侧卸式装载机</w:t>
                  </w:r>
                </w:p>
              </w:tc>
              <w:tc>
                <w:tcPr>
                  <w:tcW w:w="925" w:type="dxa"/>
                  <w:shd w:val="clear" w:color="auto" w:fill="auto"/>
                  <w:vAlign w:val="center"/>
                </w:tcPr>
                <w:p>
                  <w:pPr>
                    <w:widowControl/>
                    <w:jc w:val="center"/>
                    <w:rPr>
                      <w:kern w:val="0"/>
                      <w:szCs w:val="21"/>
                    </w:rPr>
                  </w:pPr>
                </w:p>
              </w:tc>
              <w:tc>
                <w:tcPr>
                  <w:tcW w:w="2146" w:type="dxa"/>
                  <w:shd w:val="clear" w:color="auto" w:fill="auto"/>
                  <w:vAlign w:val="center"/>
                </w:tcPr>
                <w:p>
                  <w:pPr>
                    <w:widowControl/>
                    <w:jc w:val="center"/>
                    <w:rPr>
                      <w:kern w:val="0"/>
                      <w:szCs w:val="21"/>
                    </w:rPr>
                  </w:pPr>
                  <w:r>
                    <w:rPr>
                      <w:kern w:val="0"/>
                      <w:szCs w:val="21"/>
                    </w:rPr>
                    <w:t>2 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4</w:t>
                  </w:r>
                </w:p>
              </w:tc>
              <w:tc>
                <w:tcPr>
                  <w:tcW w:w="2146" w:type="dxa"/>
                  <w:shd w:val="clear" w:color="auto" w:fill="auto"/>
                  <w:vAlign w:val="center"/>
                </w:tcPr>
                <w:p>
                  <w:pPr>
                    <w:widowControl/>
                    <w:jc w:val="center"/>
                    <w:rPr>
                      <w:kern w:val="0"/>
                      <w:szCs w:val="21"/>
                    </w:rPr>
                  </w:pPr>
                  <w:r>
                    <w:rPr>
                      <w:kern w:val="0"/>
                      <w:szCs w:val="21"/>
                    </w:rPr>
                    <w:t>装渣机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2 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5</w:t>
                  </w:r>
                </w:p>
              </w:tc>
              <w:tc>
                <w:tcPr>
                  <w:tcW w:w="2146" w:type="dxa"/>
                  <w:shd w:val="clear" w:color="auto" w:fill="auto"/>
                  <w:vAlign w:val="center"/>
                </w:tcPr>
                <w:p>
                  <w:pPr>
                    <w:widowControl/>
                    <w:jc w:val="center"/>
                    <w:rPr>
                      <w:kern w:val="0"/>
                      <w:szCs w:val="21"/>
                    </w:rPr>
                  </w:pPr>
                  <w:r>
                    <w:rPr>
                      <w:kern w:val="0"/>
                      <w:szCs w:val="21"/>
                    </w:rPr>
                    <w:t>蛙式打夯机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2.8kw</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6</w:t>
                  </w:r>
                </w:p>
              </w:tc>
              <w:tc>
                <w:tcPr>
                  <w:tcW w:w="2146" w:type="dxa"/>
                  <w:shd w:val="clear" w:color="auto" w:fill="auto"/>
                  <w:vAlign w:val="center"/>
                </w:tcPr>
                <w:p>
                  <w:pPr>
                    <w:widowControl/>
                    <w:jc w:val="center"/>
                    <w:rPr>
                      <w:kern w:val="0"/>
                      <w:szCs w:val="21"/>
                    </w:rPr>
                  </w:pPr>
                  <w:r>
                    <w:rPr>
                      <w:kern w:val="0"/>
                      <w:szCs w:val="21"/>
                    </w:rPr>
                    <w:t>推土机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56kw</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7</w:t>
                  </w:r>
                </w:p>
              </w:tc>
              <w:tc>
                <w:tcPr>
                  <w:tcW w:w="2146" w:type="dxa"/>
                  <w:shd w:val="clear" w:color="auto" w:fill="auto"/>
                  <w:vAlign w:val="center"/>
                </w:tcPr>
                <w:p>
                  <w:pPr>
                    <w:widowControl/>
                    <w:jc w:val="center"/>
                    <w:rPr>
                      <w:kern w:val="0"/>
                      <w:szCs w:val="21"/>
                    </w:rPr>
                  </w:pPr>
                  <w:r>
                    <w:rPr>
                      <w:kern w:val="0"/>
                      <w:szCs w:val="21"/>
                    </w:rPr>
                    <w:t>推土机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88kw</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8</w:t>
                  </w:r>
                </w:p>
              </w:tc>
              <w:tc>
                <w:tcPr>
                  <w:tcW w:w="2146" w:type="dxa"/>
                  <w:shd w:val="clear" w:color="auto" w:fill="auto"/>
                  <w:vAlign w:val="center"/>
                </w:tcPr>
                <w:p>
                  <w:pPr>
                    <w:widowControl/>
                    <w:jc w:val="center"/>
                    <w:rPr>
                      <w:kern w:val="0"/>
                      <w:szCs w:val="21"/>
                    </w:rPr>
                  </w:pPr>
                  <w:r>
                    <w:rPr>
                      <w:kern w:val="0"/>
                      <w:szCs w:val="21"/>
                    </w:rPr>
                    <w:t>振动碾</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0.5t</w:t>
                  </w:r>
                </w:p>
              </w:tc>
              <w:tc>
                <w:tcPr>
                  <w:tcW w:w="925" w:type="dxa"/>
                  <w:shd w:val="clear" w:color="auto" w:fill="auto"/>
                  <w:vAlign w:val="center"/>
                </w:tcPr>
                <w:p>
                  <w:pPr>
                    <w:widowControl/>
                    <w:jc w:val="center"/>
                    <w:rPr>
                      <w:kern w:val="0"/>
                      <w:szCs w:val="21"/>
                    </w:rPr>
                  </w:pPr>
                  <w:r>
                    <w:rPr>
                      <w:kern w:val="0"/>
                      <w:szCs w:val="21"/>
                    </w:rPr>
                    <w:t>1</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9</w:t>
                  </w:r>
                </w:p>
              </w:tc>
              <w:tc>
                <w:tcPr>
                  <w:tcW w:w="2146" w:type="dxa"/>
                  <w:shd w:val="clear" w:color="auto" w:fill="auto"/>
                  <w:vAlign w:val="center"/>
                </w:tcPr>
                <w:p>
                  <w:pPr>
                    <w:widowControl/>
                    <w:jc w:val="center"/>
                    <w:rPr>
                      <w:kern w:val="0"/>
                      <w:szCs w:val="21"/>
                    </w:rPr>
                  </w:pPr>
                  <w:r>
                    <w:rPr>
                      <w:kern w:val="0"/>
                      <w:szCs w:val="21"/>
                    </w:rPr>
                    <w:t>振动碾</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2.5t</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10</w:t>
                  </w:r>
                </w:p>
              </w:tc>
              <w:tc>
                <w:tcPr>
                  <w:tcW w:w="2146" w:type="dxa"/>
                  <w:shd w:val="clear" w:color="auto" w:fill="auto"/>
                  <w:vAlign w:val="center"/>
                </w:tcPr>
                <w:p>
                  <w:pPr>
                    <w:widowControl/>
                    <w:jc w:val="center"/>
                    <w:rPr>
                      <w:kern w:val="0"/>
                      <w:szCs w:val="21"/>
                    </w:rPr>
                  </w:pPr>
                  <w:r>
                    <w:rPr>
                      <w:kern w:val="0"/>
                      <w:szCs w:val="21"/>
                    </w:rPr>
                    <w:t>振动碾</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13.5t</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11</w:t>
                  </w:r>
                </w:p>
              </w:tc>
              <w:tc>
                <w:tcPr>
                  <w:tcW w:w="2146" w:type="dxa"/>
                  <w:vMerge w:val="restart"/>
                  <w:shd w:val="clear" w:color="auto" w:fill="auto"/>
                  <w:vAlign w:val="center"/>
                </w:tcPr>
                <w:p>
                  <w:pPr>
                    <w:widowControl/>
                    <w:jc w:val="center"/>
                    <w:rPr>
                      <w:kern w:val="0"/>
                      <w:szCs w:val="21"/>
                    </w:rPr>
                  </w:pPr>
                  <w:r>
                    <w:rPr>
                      <w:kern w:val="0"/>
                      <w:szCs w:val="21"/>
                    </w:rPr>
                    <w:t>灌浆泵</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100型</w:t>
                  </w:r>
                </w:p>
              </w:tc>
              <w:tc>
                <w:tcPr>
                  <w:tcW w:w="925" w:type="dxa"/>
                  <w:shd w:val="clear" w:color="auto" w:fill="auto"/>
                  <w:vAlign w:val="center"/>
                </w:tcPr>
                <w:p>
                  <w:pPr>
                    <w:widowControl/>
                    <w:jc w:val="center"/>
                    <w:rPr>
                      <w:kern w:val="0"/>
                      <w:szCs w:val="21"/>
                    </w:rPr>
                  </w:pPr>
                  <w:r>
                    <w:rPr>
                      <w:kern w:val="0"/>
                      <w:szCs w:val="21"/>
                    </w:rPr>
                    <w:t>1</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12</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150型</w:t>
                  </w:r>
                </w:p>
              </w:tc>
              <w:tc>
                <w:tcPr>
                  <w:tcW w:w="925" w:type="dxa"/>
                  <w:shd w:val="clear" w:color="auto" w:fill="auto"/>
                  <w:vAlign w:val="center"/>
                </w:tcPr>
                <w:p>
                  <w:pPr>
                    <w:widowControl/>
                    <w:jc w:val="center"/>
                    <w:rPr>
                      <w:kern w:val="0"/>
                      <w:szCs w:val="21"/>
                    </w:rPr>
                  </w:pPr>
                  <w:r>
                    <w:rPr>
                      <w:kern w:val="0"/>
                      <w:szCs w:val="21"/>
                    </w:rPr>
                    <w:t>1</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13</w:t>
                  </w:r>
                </w:p>
              </w:tc>
              <w:tc>
                <w:tcPr>
                  <w:tcW w:w="2146" w:type="dxa"/>
                  <w:vMerge w:val="restart"/>
                  <w:shd w:val="clear" w:color="auto" w:fill="auto"/>
                  <w:vAlign w:val="center"/>
                </w:tcPr>
                <w:p>
                  <w:pPr>
                    <w:widowControl/>
                    <w:jc w:val="center"/>
                    <w:rPr>
                      <w:kern w:val="0"/>
                      <w:szCs w:val="21"/>
                    </w:rPr>
                  </w:pPr>
                  <w:r>
                    <w:rPr>
                      <w:kern w:val="0"/>
                      <w:szCs w:val="21"/>
                    </w:rPr>
                    <w:t>风钻</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TY28</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14</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YGP35</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15</w:t>
                  </w:r>
                </w:p>
              </w:tc>
              <w:tc>
                <w:tcPr>
                  <w:tcW w:w="2146" w:type="dxa"/>
                  <w:vMerge w:val="restart"/>
                  <w:shd w:val="clear" w:color="auto" w:fill="auto"/>
                  <w:vAlign w:val="center"/>
                </w:tcPr>
                <w:p>
                  <w:pPr>
                    <w:widowControl/>
                    <w:jc w:val="center"/>
                    <w:rPr>
                      <w:kern w:val="0"/>
                      <w:szCs w:val="21"/>
                    </w:rPr>
                  </w:pPr>
                  <w:r>
                    <w:rPr>
                      <w:kern w:val="0"/>
                      <w:szCs w:val="21"/>
                    </w:rPr>
                    <w:t>自卸汽车</w:t>
                  </w:r>
                </w:p>
              </w:tc>
              <w:tc>
                <w:tcPr>
                  <w:tcW w:w="925" w:type="dxa"/>
                  <w:shd w:val="clear" w:color="auto" w:fill="auto"/>
                  <w:vAlign w:val="center"/>
                </w:tcPr>
                <w:p>
                  <w:pPr>
                    <w:widowControl/>
                    <w:jc w:val="center"/>
                    <w:rPr>
                      <w:kern w:val="0"/>
                      <w:szCs w:val="21"/>
                    </w:rPr>
                  </w:pPr>
                  <w:r>
                    <w:rPr>
                      <w:kern w:val="0"/>
                      <w:szCs w:val="21"/>
                    </w:rPr>
                    <w:t>辆</w:t>
                  </w:r>
                </w:p>
              </w:tc>
              <w:tc>
                <w:tcPr>
                  <w:tcW w:w="2146" w:type="dxa"/>
                  <w:shd w:val="clear" w:color="auto" w:fill="auto"/>
                  <w:vAlign w:val="center"/>
                </w:tcPr>
                <w:p>
                  <w:pPr>
                    <w:widowControl/>
                    <w:jc w:val="center"/>
                    <w:rPr>
                      <w:kern w:val="0"/>
                      <w:szCs w:val="21"/>
                    </w:rPr>
                  </w:pPr>
                  <w:r>
                    <w:rPr>
                      <w:kern w:val="0"/>
                      <w:szCs w:val="21"/>
                    </w:rPr>
                    <w:t>15t</w:t>
                  </w:r>
                </w:p>
              </w:tc>
              <w:tc>
                <w:tcPr>
                  <w:tcW w:w="925" w:type="dxa"/>
                  <w:shd w:val="clear" w:color="auto" w:fill="auto"/>
                  <w:vAlign w:val="center"/>
                </w:tcPr>
                <w:p>
                  <w:pPr>
                    <w:widowControl/>
                    <w:jc w:val="center"/>
                    <w:rPr>
                      <w:kern w:val="0"/>
                      <w:szCs w:val="21"/>
                    </w:rPr>
                  </w:pPr>
                  <w:r>
                    <w:rPr>
                      <w:kern w:val="0"/>
                      <w:szCs w:val="21"/>
                    </w:rPr>
                    <w:t>15</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16</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辆</w:t>
                  </w:r>
                </w:p>
              </w:tc>
              <w:tc>
                <w:tcPr>
                  <w:tcW w:w="2146" w:type="dxa"/>
                  <w:shd w:val="clear" w:color="auto" w:fill="auto"/>
                  <w:vAlign w:val="center"/>
                </w:tcPr>
                <w:p>
                  <w:pPr>
                    <w:widowControl/>
                    <w:jc w:val="center"/>
                    <w:rPr>
                      <w:kern w:val="0"/>
                      <w:szCs w:val="21"/>
                    </w:rPr>
                  </w:pPr>
                  <w:r>
                    <w:rPr>
                      <w:kern w:val="0"/>
                      <w:szCs w:val="21"/>
                    </w:rPr>
                    <w:t>10t</w:t>
                  </w:r>
                </w:p>
              </w:tc>
              <w:tc>
                <w:tcPr>
                  <w:tcW w:w="925" w:type="dxa"/>
                  <w:shd w:val="clear" w:color="auto" w:fill="auto"/>
                  <w:vAlign w:val="center"/>
                </w:tcPr>
                <w:p>
                  <w:pPr>
                    <w:widowControl/>
                    <w:jc w:val="center"/>
                    <w:rPr>
                      <w:kern w:val="0"/>
                      <w:szCs w:val="21"/>
                    </w:rPr>
                  </w:pPr>
                  <w:r>
                    <w:rPr>
                      <w:kern w:val="0"/>
                      <w:szCs w:val="21"/>
                    </w:rPr>
                    <w:t>5</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17</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辆</w:t>
                  </w:r>
                </w:p>
              </w:tc>
              <w:tc>
                <w:tcPr>
                  <w:tcW w:w="2146" w:type="dxa"/>
                  <w:shd w:val="clear" w:color="auto" w:fill="auto"/>
                  <w:vAlign w:val="center"/>
                </w:tcPr>
                <w:p>
                  <w:pPr>
                    <w:widowControl/>
                    <w:jc w:val="center"/>
                    <w:rPr>
                      <w:kern w:val="0"/>
                      <w:szCs w:val="21"/>
                    </w:rPr>
                  </w:pPr>
                  <w:r>
                    <w:rPr>
                      <w:kern w:val="0"/>
                      <w:szCs w:val="21"/>
                    </w:rPr>
                    <w:t>8t</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18</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辆</w:t>
                  </w:r>
                </w:p>
              </w:tc>
              <w:tc>
                <w:tcPr>
                  <w:tcW w:w="2146" w:type="dxa"/>
                  <w:shd w:val="clear" w:color="auto" w:fill="auto"/>
                  <w:vAlign w:val="center"/>
                </w:tcPr>
                <w:p>
                  <w:pPr>
                    <w:widowControl/>
                    <w:jc w:val="center"/>
                    <w:rPr>
                      <w:kern w:val="0"/>
                      <w:szCs w:val="21"/>
                    </w:rPr>
                  </w:pPr>
                  <w:r>
                    <w:rPr>
                      <w:kern w:val="0"/>
                      <w:szCs w:val="21"/>
                    </w:rPr>
                    <w:t>5t</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19</w:t>
                  </w:r>
                </w:p>
              </w:tc>
              <w:tc>
                <w:tcPr>
                  <w:tcW w:w="2146" w:type="dxa"/>
                  <w:shd w:val="clear" w:color="auto" w:fill="auto"/>
                  <w:vAlign w:val="center"/>
                </w:tcPr>
                <w:p>
                  <w:pPr>
                    <w:widowControl/>
                    <w:jc w:val="center"/>
                    <w:rPr>
                      <w:kern w:val="0"/>
                      <w:szCs w:val="21"/>
                    </w:rPr>
                  </w:pPr>
                  <w:r>
                    <w:rPr>
                      <w:kern w:val="0"/>
                      <w:szCs w:val="21"/>
                    </w:rPr>
                    <w:t>载重汽车</w:t>
                  </w:r>
                </w:p>
              </w:tc>
              <w:tc>
                <w:tcPr>
                  <w:tcW w:w="925" w:type="dxa"/>
                  <w:shd w:val="clear" w:color="auto" w:fill="auto"/>
                  <w:vAlign w:val="center"/>
                </w:tcPr>
                <w:p>
                  <w:pPr>
                    <w:widowControl/>
                    <w:jc w:val="center"/>
                    <w:rPr>
                      <w:kern w:val="0"/>
                      <w:szCs w:val="21"/>
                    </w:rPr>
                  </w:pPr>
                  <w:r>
                    <w:rPr>
                      <w:kern w:val="0"/>
                      <w:szCs w:val="21"/>
                    </w:rPr>
                    <w:t>辆</w:t>
                  </w:r>
                </w:p>
              </w:tc>
              <w:tc>
                <w:tcPr>
                  <w:tcW w:w="2146" w:type="dxa"/>
                  <w:shd w:val="clear" w:color="auto" w:fill="auto"/>
                  <w:vAlign w:val="center"/>
                </w:tcPr>
                <w:p>
                  <w:pPr>
                    <w:widowControl/>
                    <w:jc w:val="center"/>
                    <w:rPr>
                      <w:kern w:val="0"/>
                      <w:szCs w:val="21"/>
                    </w:rPr>
                  </w:pPr>
                  <w:r>
                    <w:rPr>
                      <w:kern w:val="0"/>
                      <w:szCs w:val="21"/>
                    </w:rPr>
                    <w:t>10t</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20</w:t>
                  </w:r>
                </w:p>
              </w:tc>
              <w:tc>
                <w:tcPr>
                  <w:tcW w:w="2146" w:type="dxa"/>
                  <w:shd w:val="clear" w:color="auto" w:fill="auto"/>
                  <w:vAlign w:val="center"/>
                </w:tcPr>
                <w:p>
                  <w:pPr>
                    <w:widowControl/>
                    <w:jc w:val="center"/>
                    <w:rPr>
                      <w:kern w:val="0"/>
                      <w:szCs w:val="21"/>
                    </w:rPr>
                  </w:pPr>
                  <w:r>
                    <w:rPr>
                      <w:kern w:val="0"/>
                      <w:szCs w:val="21"/>
                    </w:rPr>
                    <w:t>机动翻斗车</w:t>
                  </w:r>
                </w:p>
              </w:tc>
              <w:tc>
                <w:tcPr>
                  <w:tcW w:w="925" w:type="dxa"/>
                  <w:shd w:val="clear" w:color="auto" w:fill="auto"/>
                  <w:vAlign w:val="center"/>
                </w:tcPr>
                <w:p>
                  <w:pPr>
                    <w:widowControl/>
                    <w:jc w:val="center"/>
                    <w:rPr>
                      <w:kern w:val="0"/>
                      <w:szCs w:val="21"/>
                    </w:rPr>
                  </w:pPr>
                  <w:r>
                    <w:rPr>
                      <w:kern w:val="0"/>
                      <w:szCs w:val="21"/>
                    </w:rPr>
                    <w:t>辆</w:t>
                  </w:r>
                </w:p>
              </w:tc>
              <w:tc>
                <w:tcPr>
                  <w:tcW w:w="2146" w:type="dxa"/>
                  <w:shd w:val="clear" w:color="auto" w:fill="auto"/>
                  <w:vAlign w:val="center"/>
                </w:tcPr>
                <w:p>
                  <w:pPr>
                    <w:widowControl/>
                    <w:jc w:val="center"/>
                    <w:rPr>
                      <w:kern w:val="0"/>
                      <w:szCs w:val="21"/>
                    </w:rPr>
                  </w:pPr>
                  <w:r>
                    <w:rPr>
                      <w:kern w:val="0"/>
                      <w:szCs w:val="21"/>
                    </w:rPr>
                    <w:t>0.6m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2l</w:t>
                  </w:r>
                </w:p>
              </w:tc>
              <w:tc>
                <w:tcPr>
                  <w:tcW w:w="2146" w:type="dxa"/>
                  <w:shd w:val="clear" w:color="auto" w:fill="auto"/>
                  <w:vAlign w:val="center"/>
                </w:tcPr>
                <w:p>
                  <w:pPr>
                    <w:widowControl/>
                    <w:jc w:val="center"/>
                    <w:rPr>
                      <w:kern w:val="0"/>
                      <w:szCs w:val="21"/>
                    </w:rPr>
                  </w:pPr>
                  <w:r>
                    <w:rPr>
                      <w:kern w:val="0"/>
                      <w:szCs w:val="21"/>
                    </w:rPr>
                    <w:t>砼搅拌车</w:t>
                  </w:r>
                </w:p>
              </w:tc>
              <w:tc>
                <w:tcPr>
                  <w:tcW w:w="925" w:type="dxa"/>
                  <w:shd w:val="clear" w:color="auto" w:fill="auto"/>
                  <w:vAlign w:val="center"/>
                </w:tcPr>
                <w:p>
                  <w:pPr>
                    <w:widowControl/>
                    <w:jc w:val="center"/>
                    <w:rPr>
                      <w:kern w:val="0"/>
                      <w:szCs w:val="21"/>
                    </w:rPr>
                  </w:pPr>
                  <w:r>
                    <w:rPr>
                      <w:kern w:val="0"/>
                      <w:szCs w:val="21"/>
                    </w:rPr>
                    <w:t>辆</w:t>
                  </w:r>
                </w:p>
              </w:tc>
              <w:tc>
                <w:tcPr>
                  <w:tcW w:w="2146" w:type="dxa"/>
                  <w:shd w:val="clear" w:color="auto" w:fill="auto"/>
                  <w:vAlign w:val="center"/>
                </w:tcPr>
                <w:p>
                  <w:pPr>
                    <w:widowControl/>
                    <w:jc w:val="center"/>
                    <w:rPr>
                      <w:kern w:val="0"/>
                      <w:szCs w:val="21"/>
                    </w:rPr>
                  </w:pPr>
                  <w:r>
                    <w:rPr>
                      <w:kern w:val="0"/>
                      <w:szCs w:val="21"/>
                    </w:rPr>
                    <w:t>3 m</w:t>
                  </w:r>
                  <w:r>
                    <w:rPr>
                      <w:kern w:val="0"/>
                      <w:szCs w:val="21"/>
                      <w:vertAlign w:val="superscript"/>
                    </w:rPr>
                    <w:t>3</w:t>
                  </w:r>
                  <w:r>
                    <w:rPr>
                      <w:kern w:val="0"/>
                      <w:szCs w:val="21"/>
                    </w:rPr>
                    <w:t>/h</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22</w:t>
                  </w:r>
                </w:p>
              </w:tc>
              <w:tc>
                <w:tcPr>
                  <w:tcW w:w="2146" w:type="dxa"/>
                  <w:shd w:val="clear" w:color="auto" w:fill="auto"/>
                  <w:vAlign w:val="center"/>
                </w:tcPr>
                <w:p>
                  <w:pPr>
                    <w:widowControl/>
                    <w:jc w:val="center"/>
                    <w:rPr>
                      <w:kern w:val="0"/>
                      <w:szCs w:val="21"/>
                    </w:rPr>
                  </w:pPr>
                  <w:r>
                    <w:rPr>
                      <w:kern w:val="0"/>
                      <w:szCs w:val="21"/>
                    </w:rPr>
                    <w:t>塔吊</w:t>
                  </w:r>
                </w:p>
              </w:tc>
              <w:tc>
                <w:tcPr>
                  <w:tcW w:w="925" w:type="dxa"/>
                  <w:shd w:val="clear" w:color="auto" w:fill="auto"/>
                  <w:vAlign w:val="center"/>
                </w:tcPr>
                <w:p>
                  <w:pPr>
                    <w:widowControl/>
                    <w:jc w:val="center"/>
                    <w:rPr>
                      <w:kern w:val="0"/>
                      <w:szCs w:val="21"/>
                    </w:rPr>
                  </w:pPr>
                  <w:r>
                    <w:rPr>
                      <w:kern w:val="0"/>
                      <w:szCs w:val="21"/>
                    </w:rPr>
                    <w:t>座</w:t>
                  </w:r>
                </w:p>
              </w:tc>
              <w:tc>
                <w:tcPr>
                  <w:tcW w:w="2146" w:type="dxa"/>
                  <w:shd w:val="clear" w:color="auto" w:fill="auto"/>
                  <w:vAlign w:val="center"/>
                </w:tcPr>
                <w:p>
                  <w:pPr>
                    <w:widowControl/>
                    <w:jc w:val="center"/>
                    <w:rPr>
                      <w:kern w:val="0"/>
                      <w:szCs w:val="21"/>
                    </w:rPr>
                  </w:pPr>
                  <w:r>
                    <w:rPr>
                      <w:kern w:val="0"/>
                      <w:szCs w:val="21"/>
                    </w:rPr>
                    <w:t>10/2 5t</w:t>
                  </w:r>
                </w:p>
              </w:tc>
              <w:tc>
                <w:tcPr>
                  <w:tcW w:w="925" w:type="dxa"/>
                  <w:shd w:val="clear" w:color="auto" w:fill="auto"/>
                  <w:vAlign w:val="center"/>
                </w:tcPr>
                <w:p>
                  <w:pPr>
                    <w:widowControl/>
                    <w:jc w:val="center"/>
                    <w:rPr>
                      <w:kern w:val="0"/>
                      <w:szCs w:val="21"/>
                    </w:rPr>
                  </w:pPr>
                  <w:r>
                    <w:rPr>
                      <w:kern w:val="0"/>
                      <w:szCs w:val="21"/>
                    </w:rPr>
                    <w:t>1</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23</w:t>
                  </w:r>
                </w:p>
              </w:tc>
              <w:tc>
                <w:tcPr>
                  <w:tcW w:w="2146" w:type="dxa"/>
                  <w:shd w:val="clear" w:color="auto" w:fill="auto"/>
                  <w:vAlign w:val="center"/>
                </w:tcPr>
                <w:p>
                  <w:pPr>
                    <w:widowControl/>
                    <w:jc w:val="center"/>
                    <w:rPr>
                      <w:kern w:val="0"/>
                      <w:szCs w:val="21"/>
                    </w:rPr>
                  </w:pPr>
                  <w:r>
                    <w:rPr>
                      <w:kern w:val="0"/>
                      <w:szCs w:val="21"/>
                    </w:rPr>
                    <w:t>履带式起重机</w:t>
                  </w:r>
                </w:p>
              </w:tc>
              <w:tc>
                <w:tcPr>
                  <w:tcW w:w="925" w:type="dxa"/>
                  <w:shd w:val="clear" w:color="auto" w:fill="auto"/>
                  <w:vAlign w:val="center"/>
                </w:tcPr>
                <w:p>
                  <w:pPr>
                    <w:widowControl/>
                    <w:jc w:val="center"/>
                    <w:rPr>
                      <w:kern w:val="0"/>
                      <w:szCs w:val="21"/>
                    </w:rPr>
                  </w:pPr>
                  <w:r>
                    <w:rPr>
                      <w:kern w:val="0"/>
                      <w:szCs w:val="21"/>
                    </w:rPr>
                    <w:t>辆</w:t>
                  </w:r>
                </w:p>
              </w:tc>
              <w:tc>
                <w:tcPr>
                  <w:tcW w:w="2146" w:type="dxa"/>
                  <w:shd w:val="clear" w:color="auto" w:fill="auto"/>
                  <w:vAlign w:val="center"/>
                </w:tcPr>
                <w:p>
                  <w:pPr>
                    <w:widowControl/>
                    <w:jc w:val="center"/>
                    <w:rPr>
                      <w:kern w:val="0"/>
                      <w:szCs w:val="21"/>
                    </w:rPr>
                  </w:pPr>
                  <w:r>
                    <w:rPr>
                      <w:kern w:val="0"/>
                      <w:szCs w:val="21"/>
                    </w:rPr>
                    <w:t>15t</w:t>
                  </w:r>
                </w:p>
              </w:tc>
              <w:tc>
                <w:tcPr>
                  <w:tcW w:w="925" w:type="dxa"/>
                  <w:shd w:val="clear" w:color="auto" w:fill="auto"/>
                  <w:vAlign w:val="center"/>
                </w:tcPr>
                <w:p>
                  <w:pPr>
                    <w:widowControl/>
                    <w:jc w:val="center"/>
                    <w:rPr>
                      <w:kern w:val="0"/>
                      <w:szCs w:val="21"/>
                    </w:rPr>
                  </w:pPr>
                  <w:r>
                    <w:rPr>
                      <w:kern w:val="0"/>
                      <w:szCs w:val="21"/>
                    </w:rPr>
                    <w:t>1</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24</w:t>
                  </w:r>
                </w:p>
              </w:tc>
              <w:tc>
                <w:tcPr>
                  <w:tcW w:w="2146" w:type="dxa"/>
                  <w:shd w:val="clear" w:color="auto" w:fill="auto"/>
                  <w:vAlign w:val="center"/>
                </w:tcPr>
                <w:p>
                  <w:pPr>
                    <w:widowControl/>
                    <w:jc w:val="center"/>
                    <w:rPr>
                      <w:kern w:val="0"/>
                      <w:szCs w:val="21"/>
                    </w:rPr>
                  </w:pPr>
                  <w:r>
                    <w:rPr>
                      <w:kern w:val="0"/>
                      <w:szCs w:val="21"/>
                    </w:rPr>
                    <w:t>砼泵</w:t>
                  </w:r>
                </w:p>
              </w:tc>
              <w:tc>
                <w:tcPr>
                  <w:tcW w:w="925" w:type="dxa"/>
                  <w:shd w:val="clear" w:color="auto" w:fill="auto"/>
                  <w:vAlign w:val="center"/>
                </w:tcPr>
                <w:p>
                  <w:pPr>
                    <w:widowControl/>
                    <w:jc w:val="center"/>
                    <w:rPr>
                      <w:kern w:val="0"/>
                      <w:szCs w:val="21"/>
                    </w:rPr>
                  </w:pPr>
                </w:p>
              </w:tc>
              <w:tc>
                <w:tcPr>
                  <w:tcW w:w="2146" w:type="dxa"/>
                  <w:shd w:val="clear" w:color="auto" w:fill="auto"/>
                  <w:vAlign w:val="center"/>
                </w:tcPr>
                <w:p>
                  <w:pPr>
                    <w:widowControl/>
                    <w:jc w:val="center"/>
                    <w:rPr>
                      <w:kern w:val="0"/>
                      <w:szCs w:val="21"/>
                    </w:rPr>
                  </w:pPr>
                  <w:r>
                    <w:rPr>
                      <w:kern w:val="0"/>
                      <w:szCs w:val="21"/>
                    </w:rPr>
                    <w:t>30 IT13/h</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25</w:t>
                  </w:r>
                </w:p>
              </w:tc>
              <w:tc>
                <w:tcPr>
                  <w:tcW w:w="2146" w:type="dxa"/>
                  <w:shd w:val="clear" w:color="auto" w:fill="auto"/>
                  <w:vAlign w:val="center"/>
                </w:tcPr>
                <w:p>
                  <w:pPr>
                    <w:widowControl/>
                    <w:jc w:val="center"/>
                    <w:rPr>
                      <w:kern w:val="0"/>
                      <w:szCs w:val="21"/>
                    </w:rPr>
                  </w:pPr>
                  <w:r>
                    <w:rPr>
                      <w:kern w:val="0"/>
                      <w:szCs w:val="21"/>
                    </w:rPr>
                    <w:t>拌和站</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H225-1S500</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26</w:t>
                  </w:r>
                </w:p>
              </w:tc>
              <w:tc>
                <w:tcPr>
                  <w:tcW w:w="2146" w:type="dxa"/>
                  <w:shd w:val="clear" w:color="auto" w:fill="auto"/>
                  <w:vAlign w:val="center"/>
                </w:tcPr>
                <w:p>
                  <w:pPr>
                    <w:widowControl/>
                    <w:jc w:val="center"/>
                    <w:rPr>
                      <w:kern w:val="0"/>
                      <w:szCs w:val="21"/>
                    </w:rPr>
                  </w:pPr>
                  <w:r>
                    <w:rPr>
                      <w:kern w:val="0"/>
                      <w:szCs w:val="21"/>
                    </w:rPr>
                    <w:t>插入式振捣器</w:t>
                  </w:r>
                </w:p>
              </w:tc>
              <w:tc>
                <w:tcPr>
                  <w:tcW w:w="925" w:type="dxa"/>
                  <w:shd w:val="clear" w:color="auto" w:fill="auto"/>
                  <w:vAlign w:val="center"/>
                </w:tcPr>
                <w:p>
                  <w:pPr>
                    <w:widowControl/>
                    <w:jc w:val="center"/>
                    <w:rPr>
                      <w:kern w:val="0"/>
                      <w:szCs w:val="21"/>
                    </w:rPr>
                  </w:pPr>
                </w:p>
              </w:tc>
              <w:tc>
                <w:tcPr>
                  <w:tcW w:w="2146" w:type="dxa"/>
                  <w:shd w:val="clear" w:color="auto" w:fill="auto"/>
                  <w:vAlign w:val="center"/>
                </w:tcPr>
                <w:p>
                  <w:pPr>
                    <w:widowControl/>
                    <w:jc w:val="center"/>
                    <w:rPr>
                      <w:kern w:val="0"/>
                      <w:szCs w:val="21"/>
                    </w:rPr>
                  </w:pPr>
                  <w:r>
                    <w:rPr>
                      <w:kern w:val="0"/>
                      <w:szCs w:val="21"/>
                    </w:rPr>
                    <w:t>l.lkw</w:t>
                  </w:r>
                </w:p>
              </w:tc>
              <w:tc>
                <w:tcPr>
                  <w:tcW w:w="925" w:type="dxa"/>
                  <w:shd w:val="clear" w:color="auto" w:fill="auto"/>
                  <w:vAlign w:val="center"/>
                </w:tcPr>
                <w:p>
                  <w:pPr>
                    <w:widowControl/>
                    <w:jc w:val="center"/>
                    <w:rPr>
                      <w:kern w:val="0"/>
                      <w:szCs w:val="21"/>
                    </w:rPr>
                  </w:pPr>
                  <w:r>
                    <w:rPr>
                      <w:kern w:val="0"/>
                      <w:szCs w:val="21"/>
                    </w:rPr>
                    <w:t>5</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27</w:t>
                  </w:r>
                </w:p>
              </w:tc>
              <w:tc>
                <w:tcPr>
                  <w:tcW w:w="2146" w:type="dxa"/>
                  <w:shd w:val="clear" w:color="auto" w:fill="auto"/>
                  <w:vAlign w:val="center"/>
                </w:tcPr>
                <w:p>
                  <w:pPr>
                    <w:widowControl/>
                    <w:jc w:val="center"/>
                    <w:rPr>
                      <w:kern w:val="0"/>
                      <w:szCs w:val="21"/>
                    </w:rPr>
                  </w:pPr>
                  <w:r>
                    <w:rPr>
                      <w:kern w:val="0"/>
                      <w:szCs w:val="21"/>
                    </w:rPr>
                    <w:t>板式振捣器</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2.2 kw</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28</w:t>
                  </w:r>
                </w:p>
              </w:tc>
              <w:tc>
                <w:tcPr>
                  <w:tcW w:w="2146" w:type="dxa"/>
                  <w:vMerge w:val="restart"/>
                  <w:shd w:val="clear" w:color="auto" w:fill="auto"/>
                  <w:vAlign w:val="center"/>
                </w:tcPr>
                <w:p>
                  <w:pPr>
                    <w:widowControl/>
                    <w:jc w:val="center"/>
                    <w:rPr>
                      <w:kern w:val="0"/>
                      <w:szCs w:val="21"/>
                    </w:rPr>
                  </w:pPr>
                  <w:r>
                    <w:rPr>
                      <w:kern w:val="0"/>
                      <w:szCs w:val="21"/>
                    </w:rPr>
                    <w:t>水泵</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IS100-65-315</w:t>
                  </w:r>
                </w:p>
              </w:tc>
              <w:tc>
                <w:tcPr>
                  <w:tcW w:w="925" w:type="dxa"/>
                  <w:shd w:val="clear" w:color="auto" w:fill="auto"/>
                  <w:vAlign w:val="center"/>
                </w:tcPr>
                <w:p>
                  <w:pPr>
                    <w:widowControl/>
                    <w:jc w:val="center"/>
                    <w:rPr>
                      <w:kern w:val="0"/>
                      <w:szCs w:val="21"/>
                    </w:rPr>
                  </w:pPr>
                  <w:r>
                    <w:rPr>
                      <w:kern w:val="0"/>
                      <w:szCs w:val="21"/>
                    </w:rPr>
                    <w:t>5</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29</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IS100-65-250</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30</w:t>
                  </w:r>
                </w:p>
              </w:tc>
              <w:tc>
                <w:tcPr>
                  <w:tcW w:w="2146" w:type="dxa"/>
                  <w:vMerge w:val="restart"/>
                  <w:shd w:val="clear" w:color="auto" w:fill="auto"/>
                  <w:vAlign w:val="center"/>
                </w:tcPr>
                <w:p>
                  <w:pPr>
                    <w:widowControl/>
                    <w:jc w:val="center"/>
                    <w:rPr>
                      <w:kern w:val="0"/>
                      <w:szCs w:val="21"/>
                    </w:rPr>
                  </w:pPr>
                  <w:r>
                    <w:rPr>
                      <w:kern w:val="0"/>
                      <w:szCs w:val="21"/>
                    </w:rPr>
                    <w:t>空压机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SL-40/8</w:t>
                  </w:r>
                </w:p>
              </w:tc>
              <w:tc>
                <w:tcPr>
                  <w:tcW w:w="925" w:type="dxa"/>
                  <w:shd w:val="clear" w:color="auto" w:fill="auto"/>
                  <w:vAlign w:val="center"/>
                </w:tcPr>
                <w:p>
                  <w:pPr>
                    <w:widowControl/>
                    <w:jc w:val="center"/>
                    <w:rPr>
                      <w:kern w:val="0"/>
                      <w:szCs w:val="21"/>
                    </w:rPr>
                  </w:pPr>
                  <w:r>
                    <w:rPr>
                      <w:kern w:val="0"/>
                      <w:szCs w:val="21"/>
                    </w:rPr>
                    <w:t>3</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31</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L8-60/8</w:t>
                  </w:r>
                </w:p>
              </w:tc>
              <w:tc>
                <w:tcPr>
                  <w:tcW w:w="925" w:type="dxa"/>
                  <w:shd w:val="clear" w:color="auto" w:fill="auto"/>
                  <w:vAlign w:val="center"/>
                </w:tcPr>
                <w:p>
                  <w:pPr>
                    <w:widowControl/>
                    <w:jc w:val="center"/>
                    <w:rPr>
                      <w:kern w:val="0"/>
                      <w:szCs w:val="21"/>
                    </w:rPr>
                  </w:pPr>
                  <w:r>
                    <w:rPr>
                      <w:kern w:val="0"/>
                      <w:szCs w:val="21"/>
                    </w:rPr>
                    <w:t>1</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32</w:t>
                  </w:r>
                </w:p>
              </w:tc>
              <w:tc>
                <w:tcPr>
                  <w:tcW w:w="2146" w:type="dxa"/>
                  <w:shd w:val="clear" w:color="auto" w:fill="auto"/>
                  <w:vAlign w:val="center"/>
                </w:tcPr>
                <w:p>
                  <w:pPr>
                    <w:widowControl/>
                    <w:jc w:val="center"/>
                    <w:rPr>
                      <w:kern w:val="0"/>
                      <w:szCs w:val="21"/>
                    </w:rPr>
                  </w:pPr>
                  <w:r>
                    <w:rPr>
                      <w:kern w:val="0"/>
                      <w:szCs w:val="21"/>
                    </w:rPr>
                    <w:t>洒水车</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10t</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33</w:t>
                  </w:r>
                </w:p>
              </w:tc>
              <w:tc>
                <w:tcPr>
                  <w:tcW w:w="2146" w:type="dxa"/>
                  <w:shd w:val="clear" w:color="auto" w:fill="auto"/>
                  <w:vAlign w:val="center"/>
                </w:tcPr>
                <w:p>
                  <w:pPr>
                    <w:widowControl/>
                    <w:jc w:val="center"/>
                    <w:rPr>
                      <w:kern w:val="0"/>
                      <w:szCs w:val="21"/>
                    </w:rPr>
                  </w:pPr>
                  <w:r>
                    <w:rPr>
                      <w:kern w:val="0"/>
                      <w:szCs w:val="21"/>
                    </w:rPr>
                    <w:t>砼喷射机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HPH-6</w:t>
                  </w:r>
                </w:p>
              </w:tc>
              <w:tc>
                <w:tcPr>
                  <w:tcW w:w="925" w:type="dxa"/>
                  <w:shd w:val="clear" w:color="auto" w:fill="auto"/>
                  <w:vAlign w:val="center"/>
                </w:tcPr>
                <w:p>
                  <w:pPr>
                    <w:widowControl/>
                    <w:jc w:val="center"/>
                    <w:rPr>
                      <w:kern w:val="0"/>
                      <w:szCs w:val="21"/>
                    </w:rPr>
                  </w:pPr>
                  <w:r>
                    <w:rPr>
                      <w:kern w:val="0"/>
                      <w:szCs w:val="21"/>
                    </w:rPr>
                    <w:t>1</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34</w:t>
                  </w:r>
                </w:p>
              </w:tc>
              <w:tc>
                <w:tcPr>
                  <w:tcW w:w="2146" w:type="dxa"/>
                  <w:shd w:val="clear" w:color="auto" w:fill="auto"/>
                  <w:vAlign w:val="center"/>
                </w:tcPr>
                <w:p>
                  <w:pPr>
                    <w:widowControl/>
                    <w:jc w:val="center"/>
                    <w:rPr>
                      <w:kern w:val="0"/>
                      <w:szCs w:val="21"/>
                    </w:rPr>
                  </w:pPr>
                  <w:r>
                    <w:rPr>
                      <w:kern w:val="0"/>
                      <w:szCs w:val="21"/>
                    </w:rPr>
                    <w:t>灰浆搅拌机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GZJ-200</w:t>
                  </w:r>
                </w:p>
              </w:tc>
              <w:tc>
                <w:tcPr>
                  <w:tcW w:w="925" w:type="dxa"/>
                  <w:shd w:val="clear" w:color="auto" w:fill="auto"/>
                  <w:vAlign w:val="center"/>
                </w:tcPr>
                <w:p>
                  <w:pPr>
                    <w:widowControl/>
                    <w:jc w:val="center"/>
                    <w:rPr>
                      <w:kern w:val="0"/>
                      <w:szCs w:val="21"/>
                    </w:rPr>
                  </w:pPr>
                  <w:r>
                    <w:rPr>
                      <w:kern w:val="0"/>
                      <w:szCs w:val="21"/>
                    </w:rPr>
                    <w:t>6</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35</w:t>
                  </w:r>
                </w:p>
              </w:tc>
              <w:tc>
                <w:tcPr>
                  <w:tcW w:w="2146" w:type="dxa"/>
                  <w:shd w:val="clear" w:color="auto" w:fill="auto"/>
                  <w:vAlign w:val="center"/>
                </w:tcPr>
                <w:p>
                  <w:pPr>
                    <w:widowControl/>
                    <w:jc w:val="center"/>
                    <w:rPr>
                      <w:kern w:val="0"/>
                      <w:szCs w:val="21"/>
                    </w:rPr>
                  </w:pPr>
                  <w:r>
                    <w:rPr>
                      <w:kern w:val="0"/>
                      <w:szCs w:val="21"/>
                    </w:rPr>
                    <w:t>强制式拌和机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JQ250</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36</w:t>
                  </w:r>
                </w:p>
              </w:tc>
              <w:tc>
                <w:tcPr>
                  <w:tcW w:w="2146" w:type="dxa"/>
                  <w:vMerge w:val="restart"/>
                  <w:shd w:val="clear" w:color="auto" w:fill="auto"/>
                  <w:vAlign w:val="center"/>
                </w:tcPr>
                <w:p>
                  <w:pPr>
                    <w:widowControl/>
                    <w:jc w:val="center"/>
                    <w:rPr>
                      <w:kern w:val="0"/>
                      <w:szCs w:val="21"/>
                    </w:rPr>
                  </w:pPr>
                  <w:r>
                    <w:rPr>
                      <w:kern w:val="0"/>
                      <w:szCs w:val="21"/>
                    </w:rPr>
                    <w:t>灌浆泵</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10011 5</w:t>
                  </w:r>
                </w:p>
              </w:tc>
              <w:tc>
                <w:tcPr>
                  <w:tcW w:w="925" w:type="dxa"/>
                  <w:shd w:val="clear" w:color="auto" w:fill="auto"/>
                  <w:vAlign w:val="center"/>
                </w:tcPr>
                <w:p>
                  <w:pPr>
                    <w:widowControl/>
                    <w:jc w:val="center"/>
                    <w:rPr>
                      <w:kern w:val="0"/>
                      <w:szCs w:val="21"/>
                    </w:rPr>
                  </w:pPr>
                  <w:r>
                    <w:rPr>
                      <w:kern w:val="0"/>
                      <w:szCs w:val="21"/>
                    </w:rPr>
                    <w:t>5</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37</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BW-200/60</w:t>
                  </w:r>
                </w:p>
              </w:tc>
              <w:tc>
                <w:tcPr>
                  <w:tcW w:w="925" w:type="dxa"/>
                  <w:shd w:val="clear" w:color="auto" w:fill="auto"/>
                  <w:vAlign w:val="center"/>
                </w:tcPr>
                <w:p>
                  <w:pPr>
                    <w:widowControl/>
                    <w:jc w:val="center"/>
                    <w:rPr>
                      <w:kern w:val="0"/>
                      <w:szCs w:val="21"/>
                    </w:rPr>
                  </w:pPr>
                  <w:r>
                    <w:rPr>
                      <w:kern w:val="0"/>
                      <w:szCs w:val="21"/>
                    </w:rPr>
                    <w:t>8</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38</w:t>
                  </w:r>
                </w:p>
              </w:tc>
              <w:tc>
                <w:tcPr>
                  <w:tcW w:w="2146" w:type="dxa"/>
                  <w:shd w:val="clear" w:color="auto" w:fill="auto"/>
                  <w:vAlign w:val="center"/>
                </w:tcPr>
                <w:p>
                  <w:pPr>
                    <w:widowControl/>
                    <w:jc w:val="center"/>
                    <w:rPr>
                      <w:kern w:val="0"/>
                      <w:szCs w:val="21"/>
                    </w:rPr>
                  </w:pPr>
                  <w:r>
                    <w:rPr>
                      <w:kern w:val="0"/>
                      <w:szCs w:val="21"/>
                    </w:rPr>
                    <w:t>吊罐</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3m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39</w:t>
                  </w:r>
                </w:p>
              </w:tc>
              <w:tc>
                <w:tcPr>
                  <w:tcW w:w="2146" w:type="dxa"/>
                  <w:shd w:val="clear" w:color="auto" w:fill="auto"/>
                  <w:vAlign w:val="center"/>
                </w:tcPr>
                <w:p>
                  <w:pPr>
                    <w:widowControl/>
                    <w:jc w:val="center"/>
                    <w:rPr>
                      <w:kern w:val="0"/>
                      <w:szCs w:val="21"/>
                    </w:rPr>
                  </w:pPr>
                  <w:r>
                    <w:rPr>
                      <w:kern w:val="0"/>
                      <w:szCs w:val="21"/>
                    </w:rPr>
                    <w:t>吊斗</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0.5m</w:t>
                  </w:r>
                  <w:r>
                    <w:rPr>
                      <w:kern w:val="0"/>
                      <w:szCs w:val="21"/>
                      <w:vertAlign w:val="superscript"/>
                    </w:rPr>
                    <w:t>3</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40</w:t>
                  </w:r>
                </w:p>
              </w:tc>
              <w:tc>
                <w:tcPr>
                  <w:tcW w:w="2146" w:type="dxa"/>
                  <w:shd w:val="clear" w:color="auto" w:fill="auto"/>
                  <w:vAlign w:val="center"/>
                </w:tcPr>
                <w:p>
                  <w:pPr>
                    <w:widowControl/>
                    <w:jc w:val="center"/>
                    <w:rPr>
                      <w:kern w:val="0"/>
                      <w:szCs w:val="21"/>
                    </w:rPr>
                  </w:pPr>
                  <w:r>
                    <w:rPr>
                      <w:kern w:val="0"/>
                      <w:szCs w:val="21"/>
                    </w:rPr>
                    <w:t>卷扬机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15t</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41</w:t>
                  </w:r>
                </w:p>
              </w:tc>
              <w:tc>
                <w:tcPr>
                  <w:tcW w:w="2146" w:type="dxa"/>
                  <w:shd w:val="clear" w:color="auto" w:fill="auto"/>
                  <w:vAlign w:val="center"/>
                </w:tcPr>
                <w:p>
                  <w:pPr>
                    <w:widowControl/>
                    <w:jc w:val="center"/>
                    <w:rPr>
                      <w:kern w:val="0"/>
                      <w:szCs w:val="21"/>
                    </w:rPr>
                  </w:pPr>
                  <w:r>
                    <w:rPr>
                      <w:kern w:val="0"/>
                      <w:szCs w:val="21"/>
                    </w:rPr>
                    <w:t>柴油发电机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250kw</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42</w:t>
                  </w:r>
                </w:p>
              </w:tc>
              <w:tc>
                <w:tcPr>
                  <w:tcW w:w="2146" w:type="dxa"/>
                  <w:vMerge w:val="restart"/>
                  <w:shd w:val="clear" w:color="auto" w:fill="auto"/>
                  <w:vAlign w:val="center"/>
                </w:tcPr>
                <w:p>
                  <w:pPr>
                    <w:widowControl/>
                    <w:jc w:val="center"/>
                    <w:rPr>
                      <w:kern w:val="0"/>
                      <w:szCs w:val="21"/>
                    </w:rPr>
                  </w:pPr>
                  <w:r>
                    <w:rPr>
                      <w:kern w:val="0"/>
                      <w:szCs w:val="21"/>
                    </w:rPr>
                    <w:t>振动筛</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S221250x2500</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43</w:t>
                  </w:r>
                </w:p>
              </w:tc>
              <w:tc>
                <w:tcPr>
                  <w:tcW w:w="2146" w:type="dxa"/>
                  <w:vMerge w:val="continue"/>
                  <w:vAlign w:val="center"/>
                </w:tcPr>
                <w:p>
                  <w:pPr>
                    <w:widowControl/>
                    <w:jc w:val="center"/>
                    <w:rPr>
                      <w:kern w:val="0"/>
                      <w:szCs w:val="21"/>
                    </w:rPr>
                  </w:pP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S22900x1800</w:t>
                  </w:r>
                </w:p>
              </w:tc>
              <w:tc>
                <w:tcPr>
                  <w:tcW w:w="925" w:type="dxa"/>
                  <w:shd w:val="clear" w:color="auto" w:fill="auto"/>
                  <w:vAlign w:val="center"/>
                </w:tcPr>
                <w:p>
                  <w:pPr>
                    <w:widowControl/>
                    <w:jc w:val="center"/>
                    <w:rPr>
                      <w:kern w:val="0"/>
                      <w:szCs w:val="21"/>
                    </w:rPr>
                  </w:pPr>
                  <w:r>
                    <w:rPr>
                      <w:kern w:val="0"/>
                      <w:szCs w:val="21"/>
                    </w:rPr>
                    <w:t>2</w:t>
                  </w:r>
                </w:p>
              </w:tc>
              <w:tc>
                <w:tcPr>
                  <w:tcW w:w="923" w:type="dxa"/>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925" w:type="dxa"/>
                  <w:shd w:val="clear" w:color="auto" w:fill="auto"/>
                  <w:vAlign w:val="center"/>
                </w:tcPr>
                <w:p>
                  <w:pPr>
                    <w:widowControl/>
                    <w:jc w:val="center"/>
                    <w:rPr>
                      <w:kern w:val="0"/>
                      <w:szCs w:val="21"/>
                    </w:rPr>
                  </w:pPr>
                  <w:r>
                    <w:rPr>
                      <w:kern w:val="0"/>
                      <w:szCs w:val="21"/>
                    </w:rPr>
                    <w:t>44</w:t>
                  </w:r>
                </w:p>
              </w:tc>
              <w:tc>
                <w:tcPr>
                  <w:tcW w:w="2146" w:type="dxa"/>
                  <w:shd w:val="clear" w:color="auto" w:fill="auto"/>
                  <w:vAlign w:val="center"/>
                </w:tcPr>
                <w:p>
                  <w:pPr>
                    <w:widowControl/>
                    <w:jc w:val="center"/>
                    <w:rPr>
                      <w:kern w:val="0"/>
                      <w:szCs w:val="21"/>
                    </w:rPr>
                  </w:pPr>
                  <w:r>
                    <w:rPr>
                      <w:kern w:val="0"/>
                      <w:szCs w:val="21"/>
                    </w:rPr>
                    <w:t>洗砂机</w:t>
                  </w:r>
                </w:p>
              </w:tc>
              <w:tc>
                <w:tcPr>
                  <w:tcW w:w="925" w:type="dxa"/>
                  <w:shd w:val="clear" w:color="auto" w:fill="auto"/>
                  <w:vAlign w:val="center"/>
                </w:tcPr>
                <w:p>
                  <w:pPr>
                    <w:widowControl/>
                    <w:jc w:val="center"/>
                    <w:rPr>
                      <w:kern w:val="0"/>
                      <w:szCs w:val="21"/>
                    </w:rPr>
                  </w:pPr>
                  <w:r>
                    <w:rPr>
                      <w:kern w:val="0"/>
                      <w:szCs w:val="21"/>
                    </w:rPr>
                    <w:t>台</w:t>
                  </w:r>
                </w:p>
              </w:tc>
              <w:tc>
                <w:tcPr>
                  <w:tcW w:w="2146" w:type="dxa"/>
                  <w:shd w:val="clear" w:color="auto" w:fill="auto"/>
                  <w:vAlign w:val="center"/>
                </w:tcPr>
                <w:p>
                  <w:pPr>
                    <w:widowControl/>
                    <w:jc w:val="center"/>
                    <w:rPr>
                      <w:kern w:val="0"/>
                      <w:szCs w:val="21"/>
                    </w:rPr>
                  </w:pPr>
                  <w:r>
                    <w:rPr>
                      <w:kern w:val="0"/>
                      <w:szCs w:val="21"/>
                    </w:rPr>
                    <w:t>FG-12</w:t>
                  </w:r>
                </w:p>
              </w:tc>
              <w:tc>
                <w:tcPr>
                  <w:tcW w:w="925" w:type="dxa"/>
                  <w:shd w:val="clear" w:color="auto" w:fill="auto"/>
                  <w:vAlign w:val="center"/>
                </w:tcPr>
                <w:p>
                  <w:pPr>
                    <w:widowControl/>
                    <w:jc w:val="center"/>
                    <w:rPr>
                      <w:kern w:val="0"/>
                      <w:szCs w:val="21"/>
                    </w:rPr>
                  </w:pPr>
                  <w:r>
                    <w:rPr>
                      <w:kern w:val="0"/>
                      <w:szCs w:val="21"/>
                    </w:rPr>
                    <w:t>l</w:t>
                  </w:r>
                </w:p>
              </w:tc>
              <w:tc>
                <w:tcPr>
                  <w:tcW w:w="923" w:type="dxa"/>
                  <w:shd w:val="clear" w:color="auto" w:fill="auto"/>
                  <w:vAlign w:val="center"/>
                </w:tcPr>
                <w:p>
                  <w:pPr>
                    <w:widowControl/>
                    <w:jc w:val="center"/>
                    <w:rPr>
                      <w:kern w:val="0"/>
                      <w:szCs w:val="21"/>
                    </w:rPr>
                  </w:pPr>
                </w:p>
              </w:tc>
            </w:tr>
          </w:tbl>
          <w:p>
            <w:pPr>
              <w:autoSpaceDE w:val="0"/>
              <w:autoSpaceDN w:val="0"/>
              <w:adjustRightInd w:val="0"/>
              <w:spacing w:line="360" w:lineRule="auto"/>
              <w:ind w:firstLine="480" w:firstLineChars="200"/>
              <w:jc w:val="left"/>
              <w:rPr>
                <w:sz w:val="24"/>
              </w:rPr>
            </w:pPr>
          </w:p>
          <w:p>
            <w:pPr>
              <w:autoSpaceDE w:val="0"/>
              <w:autoSpaceDN w:val="0"/>
              <w:adjustRightInd w:val="0"/>
              <w:spacing w:line="360" w:lineRule="auto"/>
              <w:ind w:firstLine="480" w:firstLineChars="200"/>
              <w:jc w:val="left"/>
              <w:rPr>
                <w:rStyle w:val="85"/>
                <w:bCs w:val="0"/>
                <w:kern w:val="0"/>
                <w:sz w:val="24"/>
              </w:rPr>
            </w:pPr>
            <w:r>
              <w:rPr>
                <w:sz w:val="24"/>
              </w:rPr>
              <w:t>（3）施工导</w:t>
            </w:r>
            <w:r>
              <w:rPr>
                <w:rFonts w:hint="eastAsia"/>
                <w:sz w:val="24"/>
              </w:rPr>
              <w:t>截</w:t>
            </w:r>
            <w:r>
              <w:rPr>
                <w:sz w:val="24"/>
              </w:rPr>
              <w:t>流</w:t>
            </w:r>
          </w:p>
          <w:p>
            <w:pPr>
              <w:spacing w:line="360" w:lineRule="auto"/>
              <w:ind w:firstLine="480"/>
              <w:rPr>
                <w:sz w:val="24"/>
              </w:rPr>
            </w:pPr>
            <w:r>
              <w:rPr>
                <w:rFonts w:hint="eastAsia" w:ascii="宋体" w:hAnsi="宋体" w:cs="宋体"/>
                <w:sz w:val="24"/>
              </w:rPr>
              <w:t>①</w:t>
            </w:r>
            <w:r>
              <w:rPr>
                <w:rFonts w:hint="eastAsia"/>
                <w:sz w:val="24"/>
              </w:rPr>
              <w:t>导流</w:t>
            </w:r>
          </w:p>
          <w:p>
            <w:pPr>
              <w:spacing w:line="360" w:lineRule="auto"/>
              <w:ind w:firstLine="480"/>
              <w:rPr>
                <w:sz w:val="24"/>
              </w:rPr>
            </w:pPr>
            <w:r>
              <w:rPr>
                <w:rFonts w:hint="eastAsia"/>
                <w:sz w:val="24"/>
              </w:rPr>
              <w:t>本工程</w:t>
            </w:r>
            <w:r>
              <w:rPr>
                <w:sz w:val="24"/>
              </w:rPr>
              <w:t>建设采用分期围堰和涵洞的组合导流方式</w:t>
            </w:r>
            <w:r>
              <w:rPr>
                <w:rFonts w:hint="eastAsia"/>
                <w:sz w:val="24"/>
              </w:rPr>
              <w:t>，</w:t>
            </w:r>
            <w:r>
              <w:rPr>
                <w:sz w:val="24"/>
              </w:rPr>
              <w:t>工程建设首先</w:t>
            </w:r>
            <w:r>
              <w:rPr>
                <w:rFonts w:hint="eastAsia"/>
                <w:sz w:val="24"/>
              </w:rPr>
              <w:t>修建</w:t>
            </w:r>
            <w:r>
              <w:rPr>
                <w:sz w:val="24"/>
              </w:rPr>
              <w:t>导流涵洞和上游围堰，由原河床进行导流；涵洞及</w:t>
            </w:r>
            <w:r>
              <w:rPr>
                <w:rFonts w:hint="eastAsia"/>
                <w:sz w:val="24"/>
              </w:rPr>
              <w:t>坝体</w:t>
            </w:r>
            <w:r>
              <w:rPr>
                <w:sz w:val="24"/>
              </w:rPr>
              <w:t>修建完毕，采用涵洞+</w:t>
            </w:r>
            <w:r>
              <w:rPr>
                <w:rFonts w:hint="eastAsia"/>
                <w:sz w:val="24"/>
              </w:rPr>
              <w:t>坝体</w:t>
            </w:r>
            <w:r>
              <w:rPr>
                <w:sz w:val="24"/>
              </w:rPr>
              <w:t>的导流方式</w:t>
            </w:r>
            <w:r>
              <w:rPr>
                <w:rFonts w:hint="eastAsia"/>
                <w:sz w:val="24"/>
              </w:rPr>
              <w:t>。</w:t>
            </w:r>
          </w:p>
          <w:p>
            <w:pPr>
              <w:spacing w:line="360" w:lineRule="auto"/>
              <w:ind w:firstLine="480"/>
              <w:rPr>
                <w:sz w:val="24"/>
              </w:rPr>
            </w:pPr>
            <w:r>
              <w:rPr>
                <w:rFonts w:hint="eastAsia"/>
                <w:sz w:val="24"/>
              </w:rPr>
              <w:t>各期导流建筑物洪水标准如下：</w:t>
            </w:r>
          </w:p>
          <w:p>
            <w:pPr>
              <w:spacing w:line="360" w:lineRule="auto"/>
              <w:ind w:firstLine="480"/>
              <w:rPr>
                <w:sz w:val="24"/>
              </w:rPr>
            </w:pPr>
            <w:r>
              <w:rPr>
                <w:rFonts w:hint="eastAsia"/>
                <w:sz w:val="24"/>
              </w:rPr>
              <w:t>第一年4月～8月期间修建导流冲沙放水涵洞。</w:t>
            </w:r>
          </w:p>
          <w:p>
            <w:pPr>
              <w:spacing w:line="360" w:lineRule="auto"/>
              <w:ind w:firstLine="480"/>
              <w:rPr>
                <w:sz w:val="24"/>
              </w:rPr>
            </w:pPr>
            <w:r>
              <w:rPr>
                <w:rFonts w:hint="eastAsia"/>
                <w:sz w:val="24"/>
              </w:rPr>
              <w:t>第一年8月～第二年4月枯水期利用导流涵洞+上游临时围堰进行分段导流，导流建筑物级别为5级，其洪水设防标准为10年一遇，主要控制因素是水量控制，相应枯水期最大流量为</w:t>
            </w:r>
            <w:r>
              <w:rPr>
                <w:sz w:val="24"/>
              </w:rPr>
              <w:t>8.0</w:t>
            </w:r>
            <w:r>
              <w:rPr>
                <w:rFonts w:hint="eastAsia"/>
                <w:sz w:val="24"/>
              </w:rPr>
              <w:t>m</w:t>
            </w:r>
            <w:r>
              <w:rPr>
                <w:rFonts w:hint="eastAsia"/>
                <w:sz w:val="24"/>
                <w:vertAlign w:val="superscript"/>
              </w:rPr>
              <w:t>3</w:t>
            </w:r>
            <w:r>
              <w:rPr>
                <w:rFonts w:hint="eastAsia"/>
                <w:sz w:val="24"/>
              </w:rPr>
              <w:t>/s，主要保护对象是河床段坝基砼心墙基座浇筑、坝基灌浆及坝体填筑在施工期的安全。</w:t>
            </w:r>
          </w:p>
          <w:p>
            <w:pPr>
              <w:spacing w:line="360" w:lineRule="auto"/>
              <w:ind w:firstLine="480"/>
              <w:rPr>
                <w:sz w:val="24"/>
              </w:rPr>
            </w:pPr>
            <w:r>
              <w:rPr>
                <w:rFonts w:hint="eastAsia"/>
                <w:sz w:val="24"/>
              </w:rPr>
              <w:t>第二年汛期（</w:t>
            </w:r>
            <w:r>
              <w:rPr>
                <w:sz w:val="24"/>
              </w:rPr>
              <w:t>5</w:t>
            </w:r>
            <w:r>
              <w:rPr>
                <w:rFonts w:hint="eastAsia"/>
                <w:sz w:val="24"/>
              </w:rPr>
              <w:t>月～10月）采用涵洞+坝体围堰导流，坝体围堰洪水设防标准为</w:t>
            </w:r>
            <w:r>
              <w:rPr>
                <w:sz w:val="24"/>
              </w:rPr>
              <w:t>2</w:t>
            </w:r>
            <w:r>
              <w:rPr>
                <w:rFonts w:hint="eastAsia"/>
                <w:sz w:val="24"/>
              </w:rPr>
              <w:t>0年一遇，主要控制因素包括洪峰和洪量两部分，相应的红山嘴水库坝址断面的洪峰流量为</w:t>
            </w:r>
            <w:r>
              <w:rPr>
                <w:sz w:val="24"/>
              </w:rPr>
              <w:t>83.2</w:t>
            </w:r>
            <w:r>
              <w:rPr>
                <w:rFonts w:hint="eastAsia"/>
                <w:sz w:val="24"/>
              </w:rPr>
              <w:t>m</w:t>
            </w:r>
            <w:r>
              <w:rPr>
                <w:rFonts w:hint="eastAsia"/>
                <w:sz w:val="24"/>
                <w:vertAlign w:val="superscript"/>
              </w:rPr>
              <w:t>3</w:t>
            </w:r>
            <w:r>
              <w:rPr>
                <w:rFonts w:hint="eastAsia"/>
                <w:sz w:val="24"/>
              </w:rPr>
              <w:t>/s，水库调节后最大下泄流量</w:t>
            </w:r>
            <w:r>
              <w:rPr>
                <w:sz w:val="24"/>
              </w:rPr>
              <w:t>44.43</w:t>
            </w:r>
            <w:r>
              <w:rPr>
                <w:rFonts w:hint="eastAsia"/>
                <w:sz w:val="24"/>
              </w:rPr>
              <w:t>m</w:t>
            </w:r>
            <w:r>
              <w:rPr>
                <w:rFonts w:hint="eastAsia"/>
                <w:sz w:val="24"/>
                <w:vertAlign w:val="superscript"/>
              </w:rPr>
              <w:t>3</w:t>
            </w:r>
            <w:r>
              <w:rPr>
                <w:rFonts w:hint="eastAsia"/>
                <w:sz w:val="24"/>
              </w:rPr>
              <w:t>/s，相应的坝前水位为</w:t>
            </w:r>
            <w:r>
              <w:rPr>
                <w:sz w:val="24"/>
              </w:rPr>
              <w:t>1322.11</w:t>
            </w:r>
            <w:r>
              <w:rPr>
                <w:rFonts w:hint="eastAsia"/>
                <w:sz w:val="24"/>
              </w:rPr>
              <w:t>m，高出库底</w:t>
            </w:r>
            <w:r>
              <w:rPr>
                <w:sz w:val="24"/>
              </w:rPr>
              <w:t>18.11</w:t>
            </w:r>
            <w:r>
              <w:rPr>
                <w:rFonts w:hint="eastAsia"/>
                <w:sz w:val="24"/>
              </w:rPr>
              <w:t>m。主要保护对象是坝体围堰。</w:t>
            </w:r>
          </w:p>
          <w:p>
            <w:pPr>
              <w:adjustRightInd w:val="0"/>
              <w:snapToGrid w:val="0"/>
              <w:spacing w:line="360" w:lineRule="auto"/>
              <w:ind w:firstLine="420"/>
              <w:rPr>
                <w:sz w:val="24"/>
              </w:rPr>
            </w:pPr>
            <w:r>
              <w:rPr>
                <w:rFonts w:hint="eastAsia" w:ascii="宋体" w:hAnsi="宋体" w:cs="宋体"/>
                <w:sz w:val="24"/>
              </w:rPr>
              <w:t>②</w:t>
            </w:r>
            <w:r>
              <w:rPr>
                <w:rFonts w:hint="eastAsia"/>
                <w:sz w:val="24"/>
              </w:rPr>
              <w:t>截流</w:t>
            </w:r>
          </w:p>
          <w:p>
            <w:pPr>
              <w:adjustRightInd w:val="0"/>
              <w:snapToGrid w:val="0"/>
              <w:spacing w:line="360" w:lineRule="auto"/>
              <w:ind w:firstLine="420"/>
              <w:rPr>
                <w:sz w:val="24"/>
              </w:rPr>
            </w:pPr>
            <w:r>
              <w:rPr>
                <w:rFonts w:hint="eastAsia"/>
                <w:sz w:val="24"/>
              </w:rPr>
              <w:t>本工程截流</w:t>
            </w:r>
            <w:r>
              <w:rPr>
                <w:sz w:val="24"/>
              </w:rPr>
              <w:t>采用单戗堤立堵方式</w:t>
            </w:r>
            <w:r>
              <w:rPr>
                <w:rFonts w:hint="eastAsia"/>
                <w:sz w:val="24"/>
              </w:rPr>
              <w:t>，相应截流戗堤水位为1311.3m，截流堤顶高程为1312.8m，顶宽10.0m，最大高度2.5m，上下游边坡分别为1:2.0及1:1.5。</w:t>
            </w:r>
          </w:p>
          <w:p>
            <w:pPr>
              <w:adjustRightInd w:val="0"/>
              <w:snapToGrid w:val="0"/>
              <w:spacing w:line="360" w:lineRule="auto"/>
              <w:ind w:firstLine="420"/>
              <w:rPr>
                <w:sz w:val="24"/>
              </w:rPr>
            </w:pPr>
            <w:r>
              <w:rPr>
                <w:rFonts w:hint="eastAsia"/>
                <w:sz w:val="24"/>
              </w:rPr>
              <w:t>工程施工</w:t>
            </w:r>
            <w:r>
              <w:rPr>
                <w:sz w:val="24"/>
              </w:rPr>
              <w:t>计划安排截流在第一年8</w:t>
            </w:r>
            <w:r>
              <w:rPr>
                <w:rFonts w:hint="eastAsia"/>
                <w:sz w:val="24"/>
              </w:rPr>
              <w:t>月</w:t>
            </w:r>
            <w:r>
              <w:rPr>
                <w:sz w:val="24"/>
              </w:rPr>
              <w:t>中旬进行，最大流量为</w:t>
            </w:r>
            <w:r>
              <w:rPr>
                <w:rFonts w:hint="eastAsia"/>
                <w:sz w:val="24"/>
              </w:rPr>
              <w:t>4.2</w:t>
            </w:r>
            <w:r>
              <w:rPr>
                <w:sz w:val="24"/>
              </w:rPr>
              <w:t>m</w:t>
            </w:r>
            <w:r>
              <w:rPr>
                <w:sz w:val="24"/>
                <w:vertAlign w:val="superscript"/>
              </w:rPr>
              <w:t>3</w:t>
            </w:r>
            <w:r>
              <w:rPr>
                <w:sz w:val="24"/>
              </w:rPr>
              <w:t>/s，相应截流流量为</w:t>
            </w:r>
            <w:r>
              <w:rPr>
                <w:rFonts w:hint="eastAsia"/>
                <w:sz w:val="24"/>
              </w:rPr>
              <w:t>4.2</w:t>
            </w:r>
            <w:r>
              <w:rPr>
                <w:sz w:val="24"/>
              </w:rPr>
              <w:t>m</w:t>
            </w:r>
            <w:r>
              <w:rPr>
                <w:sz w:val="24"/>
                <w:vertAlign w:val="superscript"/>
              </w:rPr>
              <w:t>3</w:t>
            </w:r>
            <w:r>
              <w:rPr>
                <w:sz w:val="24"/>
              </w:rPr>
              <w:t>/s。</w:t>
            </w:r>
          </w:p>
          <w:p>
            <w:pPr>
              <w:adjustRightInd w:val="0"/>
              <w:snapToGrid w:val="0"/>
              <w:spacing w:line="360" w:lineRule="auto"/>
              <w:ind w:firstLine="420"/>
              <w:rPr>
                <w:sz w:val="24"/>
              </w:rPr>
            </w:pPr>
            <w:r>
              <w:rPr>
                <w:rFonts w:hint="eastAsia" w:ascii="宋体" w:hAnsi="宋体" w:cs="宋体"/>
                <w:sz w:val="24"/>
              </w:rPr>
              <w:t>③</w:t>
            </w:r>
            <w:r>
              <w:rPr>
                <w:rFonts w:hint="eastAsia"/>
                <w:sz w:val="24"/>
              </w:rPr>
              <w:t>基坑排水</w:t>
            </w:r>
          </w:p>
          <w:p>
            <w:pPr>
              <w:adjustRightInd w:val="0"/>
              <w:snapToGrid w:val="0"/>
              <w:spacing w:line="360" w:lineRule="auto"/>
              <w:ind w:firstLine="420"/>
              <w:rPr>
                <w:sz w:val="24"/>
              </w:rPr>
            </w:pPr>
            <w:r>
              <w:rPr>
                <w:rFonts w:hint="eastAsia"/>
                <w:sz w:val="24"/>
              </w:rPr>
              <w:t>本工程基坑排水为经常性排水，主要包括围堰与基坑渗水、降雨、施工弃水等施工用水，经常性排水</w:t>
            </w:r>
            <w:r>
              <w:rPr>
                <w:sz w:val="24"/>
              </w:rPr>
              <w:t>设计强度为</w:t>
            </w:r>
            <w:r>
              <w:rPr>
                <w:rFonts w:hint="eastAsia"/>
                <w:sz w:val="24"/>
              </w:rPr>
              <w:t>80m</w:t>
            </w:r>
            <w:r>
              <w:rPr>
                <w:rFonts w:hint="eastAsia"/>
                <w:sz w:val="24"/>
                <w:vertAlign w:val="superscript"/>
              </w:rPr>
              <w:t>3</w:t>
            </w:r>
            <w:r>
              <w:rPr>
                <w:rFonts w:hint="eastAsia"/>
                <w:sz w:val="24"/>
              </w:rPr>
              <w:t>/h。</w:t>
            </w:r>
          </w:p>
          <w:p>
            <w:pPr>
              <w:adjustRightInd w:val="0"/>
              <w:snapToGrid w:val="0"/>
              <w:spacing w:line="360" w:lineRule="auto"/>
              <w:ind w:firstLine="420"/>
              <w:rPr>
                <w:sz w:val="24"/>
              </w:rPr>
            </w:pPr>
            <w:r>
              <w:rPr>
                <w:rFonts w:hint="eastAsia" w:ascii="宋体" w:hAnsi="宋体" w:cs="宋体"/>
                <w:sz w:val="24"/>
              </w:rPr>
              <w:t>④</w:t>
            </w:r>
            <w:r>
              <w:rPr>
                <w:rFonts w:hint="eastAsia"/>
                <w:sz w:val="24"/>
              </w:rPr>
              <w:t>下闸蓄水</w:t>
            </w:r>
            <w:r>
              <w:rPr>
                <w:sz w:val="24"/>
              </w:rPr>
              <w:t>及下游供水</w:t>
            </w:r>
          </w:p>
          <w:p>
            <w:pPr>
              <w:pStyle w:val="63"/>
              <w:ind w:firstLine="480"/>
              <w:jc w:val="both"/>
              <w:rPr>
                <w:rFonts w:ascii="Times New Roman" w:hAnsi="Times New Roman"/>
                <w:bCs/>
              </w:rPr>
            </w:pPr>
            <w:r>
              <w:rPr>
                <w:rFonts w:hint="eastAsia" w:ascii="Times New Roman" w:hAnsi="Times New Roman"/>
                <w:bCs/>
              </w:rPr>
              <w:t>根据施工进度安排，本工程在第一年3月底截流至第三年4月底施工期间河道来水均由导流泄洪</w:t>
            </w:r>
            <w:r>
              <w:rPr>
                <w:rFonts w:hint="eastAsia" w:ascii="Times New Roman" w:hAnsi="Times New Roman"/>
                <w:bCs/>
                <w:lang w:eastAsia="zh-CN"/>
              </w:rPr>
              <w:t>冲沙</w:t>
            </w:r>
            <w:r>
              <w:rPr>
                <w:rFonts w:hint="eastAsia" w:ascii="Times New Roman" w:hAnsi="Times New Roman"/>
                <w:bCs/>
              </w:rPr>
              <w:t>洞给下游供水及泄流。本工程在枯水期没有蓄水条件，在洪水期下闸蓄水至正常蓄洪水位，蓄水过程中利用导流放水冲沙涵洞控制下泄流量，以满足下游供水要求。</w:t>
            </w:r>
          </w:p>
          <w:p>
            <w:pPr>
              <w:pStyle w:val="63"/>
              <w:ind w:firstLine="480"/>
              <w:rPr>
                <w:bCs/>
              </w:rPr>
            </w:pPr>
            <w:r>
              <w:rPr>
                <w:rFonts w:hint="eastAsia"/>
                <w:bCs/>
              </w:rPr>
              <w:t>（4）施工工艺</w:t>
            </w:r>
          </w:p>
          <w:p>
            <w:pPr>
              <w:adjustRightInd w:val="0"/>
              <w:snapToGrid w:val="0"/>
              <w:spacing w:line="360" w:lineRule="auto"/>
              <w:ind w:firstLine="480" w:firstLineChars="200"/>
              <w:rPr>
                <w:sz w:val="24"/>
              </w:rPr>
            </w:pPr>
            <w:r>
              <w:rPr>
                <w:rFonts w:hint="eastAsia" w:ascii="宋体" w:hAnsi="宋体" w:cs="宋体"/>
                <w:sz w:val="24"/>
              </w:rPr>
              <w:t>①</w:t>
            </w:r>
            <w:r>
              <w:rPr>
                <w:rFonts w:hint="eastAsia"/>
                <w:sz w:val="24"/>
              </w:rPr>
              <w:t>大坝工程</w:t>
            </w:r>
            <w:r>
              <w:rPr>
                <w:sz w:val="24"/>
              </w:rPr>
              <w:t>施工</w:t>
            </w:r>
          </w:p>
          <w:p>
            <w:pPr>
              <w:adjustRightInd w:val="0"/>
              <w:snapToGrid w:val="0"/>
              <w:spacing w:line="360" w:lineRule="auto"/>
              <w:ind w:firstLine="480" w:firstLineChars="200"/>
              <w:rPr>
                <w:sz w:val="24"/>
              </w:rPr>
            </w:pPr>
            <w:r>
              <w:rPr>
                <w:rFonts w:hint="eastAsia"/>
                <w:sz w:val="24"/>
              </w:rPr>
              <w:t>大坝</w:t>
            </w:r>
            <w:r>
              <w:rPr>
                <w:sz w:val="24"/>
              </w:rPr>
              <w:t>采用</w:t>
            </w:r>
            <w:r>
              <w:rPr>
                <w:rFonts w:hint="eastAsia"/>
                <w:sz w:val="24"/>
              </w:rPr>
              <w:t>沥青砼</w:t>
            </w:r>
            <w:r>
              <w:rPr>
                <w:sz w:val="24"/>
              </w:rPr>
              <w:t>心墙坝，</w:t>
            </w:r>
            <w:r>
              <w:rPr>
                <w:rFonts w:hint="eastAsia"/>
                <w:sz w:val="24"/>
              </w:rPr>
              <w:t>主要</w:t>
            </w:r>
            <w:r>
              <w:rPr>
                <w:sz w:val="24"/>
              </w:rPr>
              <w:t>施工</w:t>
            </w:r>
            <w:r>
              <w:rPr>
                <w:rFonts w:hint="eastAsia"/>
                <w:sz w:val="24"/>
              </w:rPr>
              <w:t>项目</w:t>
            </w:r>
            <w:r>
              <w:rPr>
                <w:sz w:val="24"/>
              </w:rPr>
              <w:t>包括</w:t>
            </w:r>
            <w:r>
              <w:rPr>
                <w:rFonts w:hint="eastAsia"/>
                <w:sz w:val="24"/>
              </w:rPr>
              <w:t>土石方明挖、土石方填筑、砼浇筑、灌浆工程等。施工程序为：坝基土石方开挖—河床段前坝坡脚心墙基座浇筑—截流及左岸岸坡段砼防渗墙浇筑及基础帷幕灌浆—坝体上游围堰填筑—坝体填筑—上下游护坡。</w:t>
            </w:r>
          </w:p>
          <w:p>
            <w:pPr>
              <w:adjustRightInd w:val="0"/>
              <w:snapToGrid w:val="0"/>
              <w:spacing w:line="360" w:lineRule="auto"/>
              <w:ind w:firstLine="480" w:firstLineChars="200"/>
              <w:rPr>
                <w:rFonts w:ascii="宋体" w:hAnsi="宋体" w:cs="宋体"/>
                <w:sz w:val="24"/>
              </w:rPr>
            </w:pPr>
            <w:r>
              <w:rPr>
                <w:rFonts w:hint="eastAsia" w:ascii="宋体" w:hAnsi="宋体" w:cs="宋体"/>
                <w:sz w:val="24"/>
              </w:rPr>
              <w:t>②导流放水</w:t>
            </w:r>
            <w:r>
              <w:rPr>
                <w:rFonts w:ascii="宋体" w:hAnsi="宋体" w:cs="宋体"/>
                <w:sz w:val="24"/>
              </w:rPr>
              <w:t>冲</w:t>
            </w:r>
            <w:r>
              <w:rPr>
                <w:rFonts w:hint="eastAsia" w:ascii="宋体" w:hAnsi="宋体" w:cs="宋体"/>
                <w:sz w:val="24"/>
              </w:rPr>
              <w:t>沙</w:t>
            </w:r>
            <w:r>
              <w:rPr>
                <w:rFonts w:ascii="宋体" w:hAnsi="宋体" w:cs="宋体"/>
                <w:sz w:val="24"/>
              </w:rPr>
              <w:t>涵洞</w:t>
            </w:r>
            <w:r>
              <w:rPr>
                <w:rFonts w:hint="eastAsia" w:ascii="宋体" w:hAnsi="宋体" w:cs="宋体"/>
                <w:sz w:val="24"/>
              </w:rPr>
              <w:t>施工</w:t>
            </w:r>
          </w:p>
          <w:p>
            <w:pPr>
              <w:pStyle w:val="45"/>
              <w:spacing w:before="120"/>
              <w:ind w:firstLine="480"/>
            </w:pPr>
            <w:r>
              <w:rPr>
                <w:rFonts w:hint="eastAsia"/>
              </w:rPr>
              <w:t>导流放水冲沙涵洞布置在右岸坡脚，为坝下埋涵，前期作为导流洞，后期作为永久放水冲沙洞，是临时和永久完全结合的建筑物。全长</w:t>
            </w:r>
            <w:r>
              <w:t>344.38</w:t>
            </w:r>
            <w:r>
              <w:rPr>
                <w:rFonts w:hint="eastAsia"/>
              </w:rPr>
              <w:t>m，由明渠段、有压洞身段、闸井段、无压洞身段、出口消力池段、海漫段组成，导流期设计泄水流量</w:t>
            </w:r>
            <w:r>
              <w:t>44.43</w:t>
            </w:r>
            <w:r>
              <w:rPr>
                <w:rFonts w:hint="eastAsia"/>
              </w:rPr>
              <w:t>m</w:t>
            </w:r>
            <w:r>
              <w:rPr>
                <w:rFonts w:hint="eastAsia"/>
                <w:vertAlign w:val="superscript"/>
              </w:rPr>
              <w:t>3</w:t>
            </w:r>
            <w:r>
              <w:rPr>
                <w:rFonts w:hint="eastAsia"/>
              </w:rPr>
              <w:t>/</w:t>
            </w:r>
            <w:r>
              <w:t>s。</w:t>
            </w:r>
          </w:p>
          <w:p>
            <w:pPr>
              <w:pStyle w:val="45"/>
              <w:spacing w:before="120"/>
              <w:ind w:firstLine="480"/>
            </w:pPr>
            <w:r>
              <w:rPr>
                <w:rFonts w:hint="eastAsia"/>
              </w:rPr>
              <w:t>主要土建施工项目包括：土方明挖1.49万m</w:t>
            </w:r>
            <w:r>
              <w:rPr>
                <w:rFonts w:hint="eastAsia"/>
                <w:vertAlign w:val="superscript"/>
              </w:rPr>
              <w:t>3</w:t>
            </w:r>
            <w:r>
              <w:rPr>
                <w:rFonts w:hint="eastAsia"/>
              </w:rPr>
              <w:t>、石方明挖0.89万m</w:t>
            </w:r>
            <w:r>
              <w:rPr>
                <w:rFonts w:hint="eastAsia"/>
                <w:vertAlign w:val="superscript"/>
              </w:rPr>
              <w:t>3</w:t>
            </w:r>
            <w:r>
              <w:rPr>
                <w:rFonts w:hint="eastAsia"/>
              </w:rPr>
              <w:t>、涵洞洞身砼浇筑0.25万m</w:t>
            </w:r>
            <w:r>
              <w:rPr>
                <w:rFonts w:hint="eastAsia"/>
                <w:vertAlign w:val="superscript"/>
              </w:rPr>
              <w:t>3</w:t>
            </w:r>
            <w:r>
              <w:rPr>
                <w:rFonts w:hint="eastAsia"/>
              </w:rPr>
              <w:t>、闸井及底廊砼0.15万m</w:t>
            </w:r>
            <w:r>
              <w:rPr>
                <w:rFonts w:hint="eastAsia"/>
                <w:vertAlign w:val="superscript"/>
              </w:rPr>
              <w:t>3</w:t>
            </w:r>
            <w:r>
              <w:rPr>
                <w:rFonts w:hint="eastAsia"/>
              </w:rPr>
              <w:t>、出口消能砼0.05万m</w:t>
            </w:r>
            <w:r>
              <w:rPr>
                <w:rFonts w:hint="eastAsia"/>
                <w:vertAlign w:val="superscript"/>
              </w:rPr>
              <w:t>3</w:t>
            </w:r>
            <w:r>
              <w:rPr>
                <w:rFonts w:hint="eastAsia"/>
              </w:rPr>
              <w:t>、固结灌浆0.02万m</w:t>
            </w:r>
            <w:r>
              <w:rPr>
                <w:vertAlign w:val="superscript"/>
              </w:rPr>
              <w:t>3</w:t>
            </w:r>
            <w:r>
              <w:rPr>
                <w:rFonts w:hint="eastAsia"/>
              </w:rPr>
              <w:t>。施工程序为：基础土石方开挖，开挖按自下游向上游、自顶部向下部的梯段开挖原则进行，闸井基础固结灌浆，钢筋砼浇筑，金属结构安装；在洞身施工的同时进行下游自身消力池及溢洪洞消力池的施工。洞身及下游消力池浇筑完后进行闸井浇筑，闸井砼浇筑到启闭机安装平台1338.2m后进行启闭机安装，洞身及下游消能建筑物砼浇筑在第一年7月中旬完成，闸井在第二年7月底完成闸门及启闭机的安装和调试。</w:t>
            </w:r>
          </w:p>
          <w:p>
            <w:pPr>
              <w:adjustRightInd w:val="0"/>
              <w:snapToGrid w:val="0"/>
              <w:spacing w:line="360" w:lineRule="auto"/>
              <w:ind w:left="480"/>
              <w:rPr>
                <w:bCs/>
                <w:sz w:val="24"/>
              </w:rPr>
            </w:pPr>
            <w:r>
              <w:rPr>
                <w:rFonts w:hint="eastAsia" w:ascii="宋体" w:hAnsi="宋体" w:cs="宋体"/>
                <w:bCs/>
                <w:sz w:val="24"/>
              </w:rPr>
              <w:t>③</w:t>
            </w:r>
            <w:r>
              <w:rPr>
                <w:rFonts w:hint="eastAsia"/>
                <w:bCs/>
                <w:sz w:val="24"/>
              </w:rPr>
              <w:t>溢洪道施工</w:t>
            </w:r>
          </w:p>
          <w:p>
            <w:pPr>
              <w:pStyle w:val="57"/>
              <w:spacing w:line="360" w:lineRule="auto"/>
              <w:ind w:firstLine="480"/>
              <w:rPr>
                <w:sz w:val="24"/>
              </w:rPr>
            </w:pPr>
            <w:r>
              <w:rPr>
                <w:rFonts w:hint="eastAsia"/>
                <w:sz w:val="24"/>
              </w:rPr>
              <w:t>溢洪洞布置在右岸，由进口段、控制段、泄槽段、消力池段组成。堰顶高程</w:t>
            </w:r>
            <w:r>
              <w:rPr>
                <w:sz w:val="24"/>
              </w:rPr>
              <w:t>1333.82</w:t>
            </w:r>
            <w:r>
              <w:rPr>
                <w:rFonts w:hint="eastAsia"/>
                <w:sz w:val="24"/>
              </w:rPr>
              <w:t>m，全长</w:t>
            </w:r>
            <w:r>
              <w:rPr>
                <w:sz w:val="24"/>
              </w:rPr>
              <w:t>327.6</w:t>
            </w:r>
            <w:r>
              <w:rPr>
                <w:rFonts w:hint="eastAsia"/>
                <w:sz w:val="24"/>
              </w:rPr>
              <w:t>m。</w:t>
            </w:r>
          </w:p>
          <w:p>
            <w:pPr>
              <w:pStyle w:val="57"/>
              <w:spacing w:line="360" w:lineRule="auto"/>
              <w:ind w:firstLine="480"/>
              <w:rPr>
                <w:sz w:val="24"/>
              </w:rPr>
            </w:pPr>
            <w:r>
              <w:rPr>
                <w:rFonts w:hint="eastAsia"/>
                <w:sz w:val="24"/>
              </w:rPr>
              <w:t>根据施工进度，溢洪道第一年8月开始施工，第二年7月底完工，总工期为15个月。主要土建施工项目包括：土方明挖3.77万m</w:t>
            </w:r>
            <w:r>
              <w:rPr>
                <w:rFonts w:hint="eastAsia"/>
                <w:sz w:val="24"/>
                <w:vertAlign w:val="superscript"/>
              </w:rPr>
              <w:t>3</w:t>
            </w:r>
            <w:r>
              <w:rPr>
                <w:rFonts w:hint="eastAsia"/>
                <w:sz w:val="24"/>
              </w:rPr>
              <w:t>、石方明挖8.94万m</w:t>
            </w:r>
            <w:r>
              <w:rPr>
                <w:rFonts w:hint="eastAsia"/>
                <w:sz w:val="24"/>
                <w:vertAlign w:val="superscript"/>
              </w:rPr>
              <w:t>3</w:t>
            </w:r>
            <w:r>
              <w:rPr>
                <w:rFonts w:hint="eastAsia"/>
                <w:sz w:val="24"/>
              </w:rPr>
              <w:t>、砼浇筑0.86万m</w:t>
            </w:r>
            <w:r>
              <w:rPr>
                <w:rFonts w:hint="eastAsia"/>
                <w:sz w:val="24"/>
                <w:vertAlign w:val="superscript"/>
              </w:rPr>
              <w:t>3</w:t>
            </w:r>
            <w:r>
              <w:rPr>
                <w:rFonts w:hint="eastAsia"/>
                <w:sz w:val="24"/>
              </w:rPr>
              <w:t>、固结灌浆0.01万m</w:t>
            </w:r>
            <w:r>
              <w:rPr>
                <w:sz w:val="24"/>
                <w:vertAlign w:val="superscript"/>
              </w:rPr>
              <w:t>3</w:t>
            </w:r>
            <w:r>
              <w:rPr>
                <w:rFonts w:hint="eastAsia"/>
                <w:sz w:val="24"/>
              </w:rPr>
              <w:t>。</w:t>
            </w:r>
          </w:p>
          <w:p>
            <w:pPr>
              <w:pStyle w:val="57"/>
              <w:spacing w:line="360" w:lineRule="auto"/>
              <w:ind w:firstLine="480"/>
              <w:rPr>
                <w:sz w:val="24"/>
              </w:rPr>
            </w:pPr>
            <w:r>
              <w:rPr>
                <w:rFonts w:hint="eastAsia"/>
                <w:sz w:val="24"/>
              </w:rPr>
              <w:t>溢洪道施工程序及进度计划：施工期第一年8月开始进行土石方开挖，第一年</w:t>
            </w:r>
            <w:r>
              <w:rPr>
                <w:sz w:val="24"/>
              </w:rPr>
              <w:t>10</w:t>
            </w:r>
            <w:r>
              <w:rPr>
                <w:rFonts w:hint="eastAsia"/>
                <w:sz w:val="24"/>
              </w:rPr>
              <w:t>月底完成土石方开挖；第二年5月～7月进行砼浇筑。</w:t>
            </w:r>
          </w:p>
          <w:p>
            <w:pPr>
              <w:adjustRightInd w:val="0"/>
              <w:snapToGrid w:val="0"/>
              <w:spacing w:line="360" w:lineRule="auto"/>
              <w:rPr>
                <w:b/>
                <w:sz w:val="24"/>
              </w:rPr>
            </w:pPr>
            <w:r>
              <w:rPr>
                <w:rFonts w:hint="eastAsia"/>
                <w:b/>
                <w:sz w:val="24"/>
              </w:rPr>
              <w:t>二</w:t>
            </w:r>
            <w:r>
              <w:rPr>
                <w:b/>
                <w:sz w:val="24"/>
              </w:rPr>
              <w:t>、施工进度安排</w:t>
            </w:r>
          </w:p>
          <w:p>
            <w:pPr>
              <w:adjustRightInd w:val="0"/>
              <w:snapToGrid w:val="0"/>
              <w:spacing w:line="360" w:lineRule="auto"/>
              <w:ind w:firstLine="480" w:firstLineChars="200"/>
              <w:rPr>
                <w:sz w:val="24"/>
              </w:rPr>
            </w:pPr>
            <w:r>
              <w:rPr>
                <w:sz w:val="24"/>
              </w:rPr>
              <w:t>本工程筹建期7个月</w:t>
            </w:r>
            <w:r>
              <w:rPr>
                <w:rFonts w:hint="eastAsia"/>
                <w:sz w:val="24"/>
              </w:rPr>
              <w:t>，施工期</w:t>
            </w:r>
            <w:r>
              <w:rPr>
                <w:sz w:val="24"/>
              </w:rPr>
              <w:t>22</w:t>
            </w:r>
            <w:r>
              <w:rPr>
                <w:rFonts w:hint="eastAsia"/>
                <w:sz w:val="24"/>
              </w:rPr>
              <w:t>个月，施工期由</w:t>
            </w:r>
            <w:r>
              <w:rPr>
                <w:sz w:val="24"/>
              </w:rPr>
              <w:t>施工准备期、主体工程施工期、工程完建期</w:t>
            </w:r>
            <w:r>
              <w:rPr>
                <w:rFonts w:hint="eastAsia"/>
                <w:sz w:val="24"/>
              </w:rPr>
              <w:t>三个阶段组成</w:t>
            </w:r>
            <w:r>
              <w:rPr>
                <w:sz w:val="24"/>
              </w:rPr>
              <w:t>。</w:t>
            </w:r>
          </w:p>
          <w:p>
            <w:pPr>
              <w:autoSpaceDE w:val="0"/>
              <w:autoSpaceDN w:val="0"/>
              <w:adjustRightInd w:val="0"/>
              <w:spacing w:line="360" w:lineRule="auto"/>
              <w:ind w:firstLine="480" w:firstLineChars="200"/>
              <w:jc w:val="left"/>
              <w:rPr>
                <w:sz w:val="24"/>
              </w:rPr>
            </w:pPr>
            <w:r>
              <w:rPr>
                <w:rFonts w:hint="eastAsia"/>
                <w:sz w:val="24"/>
              </w:rPr>
              <w:t>（1）</w:t>
            </w:r>
            <w:r>
              <w:rPr>
                <w:sz w:val="24"/>
              </w:rPr>
              <w:t>筹建期</w:t>
            </w:r>
            <w:r>
              <w:rPr>
                <w:rFonts w:hint="eastAsia"/>
                <w:sz w:val="24"/>
              </w:rPr>
              <w:t>：主要完成由业主单位负责的对外交通道路建设、征地、移民、招标评标签约工作、施工35kV用电线路建设等工作，</w:t>
            </w:r>
            <w:r>
              <w:rPr>
                <w:sz w:val="24"/>
              </w:rPr>
              <w:t>同时</w:t>
            </w:r>
            <w:r>
              <w:rPr>
                <w:rFonts w:hint="eastAsia"/>
                <w:sz w:val="24"/>
              </w:rPr>
              <w:t>在工程筹建期部分场内交通道路、业主单位生产、生活房屋、生活生产区用水用电系统应动工建设</w:t>
            </w:r>
            <w:r>
              <w:rPr>
                <w:sz w:val="24"/>
              </w:rPr>
              <w:t>。</w:t>
            </w:r>
          </w:p>
          <w:p>
            <w:pPr>
              <w:adjustRightInd w:val="0"/>
              <w:snapToGrid w:val="0"/>
              <w:spacing w:line="360" w:lineRule="auto"/>
              <w:ind w:firstLine="480" w:firstLineChars="200"/>
              <w:rPr>
                <w:sz w:val="24"/>
              </w:rPr>
            </w:pPr>
            <w:r>
              <w:rPr>
                <w:rFonts w:hint="eastAsia"/>
                <w:sz w:val="24"/>
              </w:rPr>
              <w:t>（2）</w:t>
            </w:r>
            <w:r>
              <w:rPr>
                <w:sz w:val="24"/>
              </w:rPr>
              <w:t>施工准备期</w:t>
            </w:r>
            <w:r>
              <w:rPr>
                <w:rFonts w:hint="eastAsia"/>
                <w:sz w:val="24"/>
              </w:rPr>
              <w:t>：为第一年</w:t>
            </w:r>
            <w:r>
              <w:rPr>
                <w:sz w:val="24"/>
              </w:rPr>
              <w:t>3</w:t>
            </w:r>
            <w:r>
              <w:rPr>
                <w:rFonts w:hint="eastAsia"/>
                <w:sz w:val="24"/>
              </w:rPr>
              <w:t>月初～第二年</w:t>
            </w:r>
            <w:r>
              <w:rPr>
                <w:sz w:val="24"/>
              </w:rPr>
              <w:t>4</w:t>
            </w:r>
            <w:r>
              <w:rPr>
                <w:rFonts w:hint="eastAsia"/>
                <w:sz w:val="24"/>
              </w:rPr>
              <w:t>月底。主要</w:t>
            </w:r>
            <w:r>
              <w:rPr>
                <w:sz w:val="24"/>
              </w:rPr>
              <w:t>工程项目有</w:t>
            </w:r>
            <w:r>
              <w:rPr>
                <w:rFonts w:hint="eastAsia"/>
                <w:sz w:val="24"/>
              </w:rPr>
              <w:t>：完成砂石筛分加工厂、砼拌和站系统；施工供风、供水；生产、生活用房；完成导流放水冲沙涵洞工程，并具备过水条件；完成岸坡土石方开挖及基础灌浆；完成上游围堰基础帷幕灌浆；完成导流放水洞进口段、洞身段及下游消能段的土建工程；完成溢洪道进口土石方开挖等</w:t>
            </w:r>
            <w:r>
              <w:rPr>
                <w:sz w:val="24"/>
              </w:rPr>
              <w:t>。</w:t>
            </w:r>
          </w:p>
          <w:p>
            <w:pPr>
              <w:adjustRightInd w:val="0"/>
              <w:snapToGrid w:val="0"/>
              <w:spacing w:line="360" w:lineRule="auto"/>
              <w:ind w:firstLine="480" w:firstLineChars="200"/>
              <w:rPr>
                <w:sz w:val="24"/>
              </w:rPr>
            </w:pPr>
            <w:r>
              <w:rPr>
                <w:rFonts w:hint="eastAsia"/>
                <w:sz w:val="24"/>
              </w:rPr>
              <w:t>（3）</w:t>
            </w:r>
            <w:r>
              <w:rPr>
                <w:sz w:val="24"/>
              </w:rPr>
              <w:t>主体工程施工期</w:t>
            </w:r>
            <w:r>
              <w:rPr>
                <w:rFonts w:hint="eastAsia"/>
                <w:sz w:val="24"/>
              </w:rPr>
              <w:t>：第一年5月初～第二年10月底大坝基本施工完成。导流放水冲沙涵洞工程，河床段坝基开挖及灌浆处理、上下游围堰填筑、坝体填筑、溢洪道开挖和砼浇筑，导流放水冲沙涵洞闸井部分砼浇筑，金属结构安装及调试等。本期控制性关键项目是坝体填筑、坝顶砼施工。</w:t>
            </w:r>
          </w:p>
          <w:p>
            <w:pPr>
              <w:adjustRightInd w:val="0"/>
              <w:snapToGrid w:val="0"/>
              <w:spacing w:line="360" w:lineRule="auto"/>
              <w:ind w:firstLine="480" w:firstLineChars="200"/>
              <w:rPr>
                <w:rFonts w:ascii="宋体" w:hAnsi="宋体" w:cs="宋体"/>
                <w:kern w:val="0"/>
                <w:szCs w:val="21"/>
              </w:rPr>
            </w:pPr>
            <w:r>
              <w:rPr>
                <w:rFonts w:hint="eastAsia"/>
                <w:sz w:val="24"/>
              </w:rPr>
              <w:t>（4）</w:t>
            </w:r>
            <w:r>
              <w:rPr>
                <w:sz w:val="24"/>
              </w:rPr>
              <w:t>工程完建期</w:t>
            </w:r>
            <w:r>
              <w:rPr>
                <w:rFonts w:hint="eastAsia"/>
                <w:sz w:val="24"/>
              </w:rPr>
              <w:t>：从第二年10月底～12月底工程竣工，共2个月。主体工程的收尾工作，并进行场地的清理及竣工验收工作等。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583" w:hRule="atLeast"/>
          <w:jc w:val="center"/>
        </w:trPr>
        <w:tc>
          <w:tcPr>
            <w:tcW w:w="874"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其他</w:t>
            </w:r>
          </w:p>
        </w:tc>
        <w:tc>
          <w:tcPr>
            <w:tcW w:w="8216" w:type="dxa"/>
            <w:vAlign w:val="bottom"/>
          </w:tcPr>
          <w:p>
            <w:pPr>
              <w:adjustRightInd w:val="0"/>
              <w:snapToGrid w:val="0"/>
              <w:spacing w:line="360" w:lineRule="auto"/>
              <w:rPr>
                <w:b/>
                <w:sz w:val="24"/>
              </w:rPr>
            </w:pPr>
            <w:r>
              <w:rPr>
                <w:rFonts w:hint="eastAsia"/>
                <w:b/>
                <w:sz w:val="24"/>
              </w:rPr>
              <w:t>一、工程选址</w:t>
            </w:r>
          </w:p>
          <w:p>
            <w:pPr>
              <w:adjustRightInd w:val="0"/>
              <w:snapToGrid w:val="0"/>
              <w:spacing w:line="360" w:lineRule="auto"/>
              <w:ind w:firstLine="480" w:firstLineChars="200"/>
              <w:rPr>
                <w:sz w:val="24"/>
              </w:rPr>
            </w:pPr>
            <w:r>
              <w:rPr>
                <w:rFonts w:hint="eastAsia"/>
                <w:sz w:val="24"/>
              </w:rPr>
              <w:t>本工程在东城渠首</w:t>
            </w:r>
            <w:r>
              <w:rPr>
                <w:sz w:val="24"/>
              </w:rPr>
              <w:t>上游</w:t>
            </w:r>
            <w:r>
              <w:rPr>
                <w:rFonts w:hint="eastAsia"/>
                <w:sz w:val="24"/>
              </w:rPr>
              <w:t>选择两个坝址，其中</w:t>
            </w:r>
            <w:r>
              <w:rPr>
                <w:sz w:val="24"/>
              </w:rPr>
              <w:t>，</w:t>
            </w:r>
            <w:r>
              <w:rPr>
                <w:rFonts w:hint="eastAsia"/>
                <w:sz w:val="24"/>
              </w:rPr>
              <w:t>上坝址位于</w:t>
            </w:r>
            <w:r>
              <w:rPr>
                <w:sz w:val="24"/>
              </w:rPr>
              <w:t>东城渠首上游</w:t>
            </w:r>
            <w:r>
              <w:rPr>
                <w:rFonts w:hint="eastAsia"/>
                <w:sz w:val="24"/>
              </w:rPr>
              <w:t>470</w:t>
            </w:r>
            <w:r>
              <w:rPr>
                <w:sz w:val="24"/>
              </w:rPr>
              <w:t>m处，</w:t>
            </w:r>
            <w:r>
              <w:rPr>
                <w:rFonts w:hint="eastAsia"/>
                <w:sz w:val="24"/>
              </w:rPr>
              <w:t>坝轴线</w:t>
            </w:r>
            <w:r>
              <w:rPr>
                <w:sz w:val="24"/>
              </w:rPr>
              <w:t>总长187.50m，最大坝高56.2m</w:t>
            </w:r>
            <w:r>
              <w:rPr>
                <w:rFonts w:hint="eastAsia"/>
                <w:sz w:val="24"/>
              </w:rPr>
              <w:t>，</w:t>
            </w:r>
            <w:r>
              <w:rPr>
                <w:sz w:val="24"/>
              </w:rPr>
              <w:t>正常蓄水位1333.82m</w:t>
            </w:r>
            <w:r>
              <w:rPr>
                <w:rFonts w:hint="eastAsia"/>
                <w:sz w:val="24"/>
              </w:rPr>
              <w:t>，</w:t>
            </w:r>
            <w:r>
              <w:rPr>
                <w:sz w:val="24"/>
              </w:rPr>
              <w:t>采用</w:t>
            </w:r>
            <w:r>
              <w:rPr>
                <w:rFonts w:hint="eastAsia"/>
                <w:sz w:val="24"/>
              </w:rPr>
              <w:t>沥青砼心墙</w:t>
            </w:r>
            <w:r>
              <w:rPr>
                <w:sz w:val="24"/>
              </w:rPr>
              <w:t>坝</w:t>
            </w:r>
            <w:r>
              <w:rPr>
                <w:rFonts w:hint="eastAsia"/>
                <w:sz w:val="24"/>
              </w:rPr>
              <w:t>；下坝址</w:t>
            </w:r>
            <w:r>
              <w:rPr>
                <w:sz w:val="24"/>
              </w:rPr>
              <w:t>位</w:t>
            </w:r>
            <w:r>
              <w:rPr>
                <w:rFonts w:hint="eastAsia"/>
                <w:sz w:val="24"/>
              </w:rPr>
              <w:t>上坝址</w:t>
            </w:r>
            <w:r>
              <w:rPr>
                <w:sz w:val="24"/>
              </w:rPr>
              <w:t>下游约330</w:t>
            </w:r>
            <w:r>
              <w:rPr>
                <w:rFonts w:hint="eastAsia"/>
                <w:sz w:val="24"/>
              </w:rPr>
              <w:t>m</w:t>
            </w:r>
            <w:r>
              <w:rPr>
                <w:sz w:val="24"/>
              </w:rPr>
              <w:t>处</w:t>
            </w:r>
            <w:r>
              <w:rPr>
                <w:rFonts w:hint="eastAsia"/>
                <w:sz w:val="24"/>
              </w:rPr>
              <w:t>，坝轴线总长</w:t>
            </w:r>
            <w:r>
              <w:rPr>
                <w:sz w:val="24"/>
              </w:rPr>
              <w:t>251.23</w:t>
            </w:r>
            <w:r>
              <w:rPr>
                <w:rFonts w:hint="eastAsia"/>
                <w:sz w:val="24"/>
              </w:rPr>
              <w:t>m，最大坝高</w:t>
            </w:r>
            <w:r>
              <w:rPr>
                <w:sz w:val="24"/>
              </w:rPr>
              <w:t>56.3</w:t>
            </w:r>
            <w:r>
              <w:rPr>
                <w:rFonts w:hint="eastAsia"/>
                <w:sz w:val="24"/>
              </w:rPr>
              <w:t>m，正常</w:t>
            </w:r>
            <w:r>
              <w:rPr>
                <w:sz w:val="24"/>
              </w:rPr>
              <w:t>蓄水位</w:t>
            </w:r>
            <w:r>
              <w:rPr>
                <w:rFonts w:hint="eastAsia"/>
                <w:sz w:val="24"/>
              </w:rPr>
              <w:t>1325.85</w:t>
            </w:r>
            <w:r>
              <w:rPr>
                <w:sz w:val="24"/>
              </w:rPr>
              <w:t>m，采用</w:t>
            </w:r>
            <w:r>
              <w:rPr>
                <w:rFonts w:hint="eastAsia"/>
                <w:sz w:val="24"/>
              </w:rPr>
              <w:t>沥青砼心墙</w:t>
            </w:r>
            <w:r>
              <w:rPr>
                <w:sz w:val="24"/>
              </w:rPr>
              <w:t>坝</w:t>
            </w:r>
            <w:r>
              <w:rPr>
                <w:rFonts w:hint="eastAsia"/>
                <w:sz w:val="24"/>
              </w:rPr>
              <w:t>。</w:t>
            </w:r>
          </w:p>
          <w:p>
            <w:pPr>
              <w:adjustRightInd w:val="0"/>
              <w:snapToGrid w:val="0"/>
              <w:spacing w:line="360" w:lineRule="auto"/>
              <w:ind w:firstLine="480" w:firstLineChars="200"/>
              <w:rPr>
                <w:sz w:val="24"/>
              </w:rPr>
            </w:pPr>
            <w:r>
              <w:rPr>
                <w:sz w:val="24"/>
              </w:rPr>
              <w:t>经综合分析比较：所选</w:t>
            </w:r>
            <w:r>
              <w:rPr>
                <w:rFonts w:hint="eastAsia"/>
                <w:sz w:val="24"/>
              </w:rPr>
              <w:t>两</w:t>
            </w:r>
            <w:r>
              <w:rPr>
                <w:sz w:val="24"/>
              </w:rPr>
              <w:t>个坝址位于同一地貌单元内，工程地质条件基本一致</w:t>
            </w:r>
            <w:r>
              <w:rPr>
                <w:rFonts w:hint="eastAsia"/>
                <w:sz w:val="24"/>
              </w:rPr>
              <w:t>；上</w:t>
            </w:r>
            <w:r>
              <w:rPr>
                <w:sz w:val="24"/>
              </w:rPr>
              <w:t>、下</w:t>
            </w:r>
            <w:r>
              <w:rPr>
                <w:rFonts w:hint="eastAsia"/>
                <w:sz w:val="24"/>
              </w:rPr>
              <w:t>坝址均涉及恢复改建</w:t>
            </w:r>
            <w:r>
              <w:rPr>
                <w:sz w:val="24"/>
              </w:rPr>
              <w:t>人饮供水设施一处</w:t>
            </w:r>
            <w:r>
              <w:rPr>
                <w:rFonts w:hint="eastAsia"/>
                <w:sz w:val="24"/>
              </w:rPr>
              <w:t>，</w:t>
            </w:r>
            <w:r>
              <w:rPr>
                <w:sz w:val="24"/>
              </w:rPr>
              <w:t>且都存在改建乡村道路</w:t>
            </w:r>
            <w:r>
              <w:rPr>
                <w:rFonts w:hint="eastAsia"/>
                <w:sz w:val="24"/>
              </w:rPr>
              <w:t>、输电线路及电信</w:t>
            </w:r>
            <w:r>
              <w:rPr>
                <w:sz w:val="24"/>
              </w:rPr>
              <w:t>设施</w:t>
            </w:r>
            <w:r>
              <w:rPr>
                <w:rFonts w:hint="eastAsia"/>
                <w:sz w:val="24"/>
              </w:rPr>
              <w:t>等，下坝址</w:t>
            </w:r>
            <w:r>
              <w:rPr>
                <w:sz w:val="24"/>
              </w:rPr>
              <w:t>生产安置及搬迁</w:t>
            </w:r>
            <w:r>
              <w:rPr>
                <w:rFonts w:hint="eastAsia"/>
                <w:sz w:val="24"/>
              </w:rPr>
              <w:t>26户101人</w:t>
            </w:r>
            <w:r>
              <w:rPr>
                <w:sz w:val="24"/>
              </w:rPr>
              <w:t>，</w:t>
            </w:r>
            <w:r>
              <w:rPr>
                <w:rFonts w:hint="eastAsia"/>
                <w:sz w:val="24"/>
              </w:rPr>
              <w:t>多于</w:t>
            </w:r>
            <w:r>
              <w:rPr>
                <w:sz w:val="24"/>
              </w:rPr>
              <w:t>上坝址</w:t>
            </w:r>
            <w:r>
              <w:rPr>
                <w:rFonts w:hint="eastAsia"/>
                <w:sz w:val="24"/>
              </w:rPr>
              <w:t>生产</w:t>
            </w:r>
            <w:r>
              <w:rPr>
                <w:sz w:val="24"/>
              </w:rPr>
              <w:t>安置及搬迁</w:t>
            </w:r>
            <w:r>
              <w:rPr>
                <w:rFonts w:hint="eastAsia"/>
                <w:sz w:val="24"/>
              </w:rPr>
              <w:t>14户</w:t>
            </w:r>
            <w:r>
              <w:rPr>
                <w:sz w:val="24"/>
              </w:rPr>
              <w:t>48</w:t>
            </w:r>
            <w:r>
              <w:rPr>
                <w:rFonts w:hint="eastAsia"/>
                <w:sz w:val="24"/>
              </w:rPr>
              <w:t>人；下坝址</w:t>
            </w:r>
            <w:r>
              <w:rPr>
                <w:sz w:val="24"/>
              </w:rPr>
              <w:t>坝轴线较长，最大坝高较高，</w:t>
            </w:r>
            <w:r>
              <w:rPr>
                <w:rFonts w:hint="eastAsia"/>
                <w:sz w:val="24"/>
              </w:rPr>
              <w:t>淹没损失</w:t>
            </w:r>
            <w:r>
              <w:rPr>
                <w:sz w:val="24"/>
              </w:rPr>
              <w:t>大于上坝址</w:t>
            </w:r>
            <w:r>
              <w:rPr>
                <w:rFonts w:hint="eastAsia"/>
                <w:sz w:val="24"/>
              </w:rPr>
              <w:t>；上坝址投资为两个方案最低。两</w:t>
            </w:r>
            <w:r>
              <w:rPr>
                <w:sz w:val="24"/>
              </w:rPr>
              <w:t>个坝址方案对河流水文情势及水环境的影响特征及性质相似</w:t>
            </w:r>
            <w:r>
              <w:rPr>
                <w:rFonts w:hint="eastAsia"/>
                <w:sz w:val="24"/>
              </w:rPr>
              <w:t>；</w:t>
            </w:r>
            <w:r>
              <w:rPr>
                <w:sz w:val="24"/>
              </w:rPr>
              <w:t>对区域陆生动植物、水土流失等的影响均表现为淹没和工程占地对植物造成的一次性破坏、生物量损失，以及对陆生动物栖息地的占用、新增水土流失等</w:t>
            </w:r>
            <w:r>
              <w:rPr>
                <w:rFonts w:hint="eastAsia"/>
                <w:sz w:val="24"/>
              </w:rPr>
              <w:t>。两个方案均</w:t>
            </w:r>
            <w:r>
              <w:rPr>
                <w:sz w:val="24"/>
              </w:rPr>
              <w:t>可通过采取临时占地恢复、水土保持措施等环境保护措施缓解不利影响</w:t>
            </w:r>
            <w:r>
              <w:rPr>
                <w:rFonts w:hint="eastAsia"/>
                <w:sz w:val="24"/>
              </w:rPr>
              <w:t>，两个</w:t>
            </w:r>
            <w:r>
              <w:rPr>
                <w:sz w:val="24"/>
              </w:rPr>
              <w:t>方案环境影响差异不明显。</w:t>
            </w:r>
            <w:r>
              <w:rPr>
                <w:rFonts w:hint="eastAsia"/>
                <w:sz w:val="24"/>
              </w:rPr>
              <w:t>综合考虑环境影响、施工工期、投资等因素，</w:t>
            </w:r>
            <w:r>
              <w:rPr>
                <w:sz w:val="24"/>
              </w:rPr>
              <w:t>选定</w:t>
            </w:r>
            <w:r>
              <w:rPr>
                <w:rFonts w:hint="eastAsia"/>
                <w:sz w:val="24"/>
              </w:rPr>
              <w:t>上坝址</w:t>
            </w:r>
            <w:r>
              <w:rPr>
                <w:sz w:val="24"/>
              </w:rPr>
              <w:t>作为推荐坝址。</w:t>
            </w:r>
          </w:p>
        </w:tc>
      </w:tr>
    </w:tbl>
    <w:p>
      <w:pPr>
        <w:pStyle w:val="17"/>
        <w:jc w:val="center"/>
        <w:outlineLvl w:val="0"/>
        <w:rPr>
          <w:rFonts w:ascii="黑体" w:hAnsi="黑体" w:eastAsia="黑体"/>
          <w:snapToGrid w:val="0"/>
          <w:sz w:val="30"/>
          <w:szCs w:val="30"/>
        </w:rPr>
      </w:pPr>
      <w:r>
        <w:rPr>
          <w:rFonts w:eastAsia="仿宋_GB2312"/>
          <w:b/>
          <w:bCs/>
        </w:rPr>
        <w:br w:type="page"/>
      </w:r>
      <w:r>
        <w:rPr>
          <w:rFonts w:hint="eastAsia" w:ascii="黑体" w:hAnsi="黑体" w:eastAsia="黑体"/>
          <w:snapToGrid w:val="0"/>
          <w:sz w:val="30"/>
          <w:szCs w:val="30"/>
        </w:rPr>
        <w:t>三、生态环境现状、保护目标及评价标准</w:t>
      </w:r>
    </w:p>
    <w:tbl>
      <w:tblPr>
        <w:tblStyle w:val="21"/>
        <w:tblW w:w="9204"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7"/>
        <w:gridCol w:w="84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12" w:hRule="atLeast"/>
          <w:jc w:val="center"/>
        </w:trPr>
        <w:tc>
          <w:tcPr>
            <w:tcW w:w="757"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生态环境现状</w:t>
            </w:r>
          </w:p>
        </w:tc>
        <w:tc>
          <w:tcPr>
            <w:tcW w:w="8447" w:type="dxa"/>
            <w:vAlign w:val="center"/>
          </w:tcPr>
          <w:p>
            <w:pPr>
              <w:adjustRightInd w:val="0"/>
              <w:snapToGrid w:val="0"/>
              <w:spacing w:line="360" w:lineRule="auto"/>
              <w:rPr>
                <w:b/>
                <w:sz w:val="24"/>
                <w:szCs w:val="32"/>
              </w:rPr>
            </w:pPr>
            <w:r>
              <w:rPr>
                <w:rFonts w:hint="eastAsia"/>
                <w:b/>
                <w:sz w:val="24"/>
                <w:szCs w:val="32"/>
              </w:rPr>
              <w:t>一、主体</w:t>
            </w:r>
            <w:r>
              <w:rPr>
                <w:b/>
                <w:sz w:val="24"/>
                <w:szCs w:val="32"/>
              </w:rPr>
              <w:t>功能区划</w:t>
            </w:r>
          </w:p>
          <w:p>
            <w:pPr>
              <w:adjustRightInd w:val="0"/>
              <w:snapToGrid w:val="0"/>
              <w:spacing w:line="360" w:lineRule="auto"/>
              <w:ind w:firstLine="480" w:firstLineChars="200"/>
              <w:rPr>
                <w:sz w:val="24"/>
              </w:rPr>
            </w:pPr>
            <w:r>
              <w:rPr>
                <w:kern w:val="0"/>
                <w:sz w:val="24"/>
              </w:rPr>
              <w:t>对照《新疆维吾尔自治区主体功能区规划》（2016年10月24日正式发布实施）</w:t>
            </w:r>
            <w:r>
              <w:rPr>
                <w:rFonts w:hint="eastAsia"/>
                <w:kern w:val="0"/>
                <w:sz w:val="24"/>
              </w:rPr>
              <w:t>，木垒县红山嘴</w:t>
            </w:r>
            <w:r>
              <w:rPr>
                <w:kern w:val="0"/>
                <w:sz w:val="24"/>
              </w:rPr>
              <w:t>水库工程建设区不涉及自然保护区、森林公园等</w:t>
            </w:r>
            <w:r>
              <w:rPr>
                <w:rFonts w:hint="eastAsia"/>
                <w:kern w:val="0"/>
                <w:sz w:val="24"/>
              </w:rPr>
              <w:t>划定</w:t>
            </w:r>
            <w:r>
              <w:rPr>
                <w:kern w:val="0"/>
                <w:sz w:val="24"/>
              </w:rPr>
              <w:t>的禁止开发区域。工程所在的</w:t>
            </w:r>
            <w:r>
              <w:rPr>
                <w:rFonts w:hint="eastAsia"/>
                <w:kern w:val="0"/>
                <w:sz w:val="24"/>
              </w:rPr>
              <w:t>木垒县</w:t>
            </w:r>
            <w:r>
              <w:rPr>
                <w:kern w:val="0"/>
                <w:sz w:val="24"/>
              </w:rPr>
              <w:t>属“</w:t>
            </w:r>
            <w:r>
              <w:rPr>
                <w:rFonts w:hint="eastAsia"/>
                <w:kern w:val="0"/>
                <w:sz w:val="24"/>
              </w:rPr>
              <w:t>准噶尔东部</w:t>
            </w:r>
            <w:r>
              <w:rPr>
                <w:kern w:val="0"/>
                <w:sz w:val="24"/>
              </w:rPr>
              <w:t>荒漠草原生态功能区”，为限制开发区</w:t>
            </w:r>
            <w:r>
              <w:rPr>
                <w:rFonts w:hint="eastAsia"/>
                <w:kern w:val="0"/>
                <w:sz w:val="24"/>
              </w:rPr>
              <w:t>（自治区级</w:t>
            </w:r>
            <w:r>
              <w:rPr>
                <w:kern w:val="0"/>
                <w:sz w:val="24"/>
              </w:rPr>
              <w:t>新疆重点生态功能区</w:t>
            </w:r>
            <w:r>
              <w:rPr>
                <w:rFonts w:hint="eastAsia"/>
                <w:kern w:val="0"/>
                <w:sz w:val="24"/>
              </w:rPr>
              <w:t>）</w:t>
            </w:r>
            <w:r>
              <w:rPr>
                <w:kern w:val="0"/>
                <w:sz w:val="24"/>
              </w:rPr>
              <w:t>。</w:t>
            </w:r>
            <w:r>
              <w:rPr>
                <w:rFonts w:hint="eastAsia"/>
                <w:kern w:val="0"/>
                <w:sz w:val="24"/>
              </w:rPr>
              <w:t>其功能定位是：保障国家及自治区生态安全的主体区域，全疆乃至全国重要的生态功能区，人与自然和谐相处的生态文明区；其发展方向为保护荒漠植被，保护野生动物，禁止砍挖和樵采，减少人为干扰，保护自然遗产和生物多样性。</w:t>
            </w:r>
            <w:r>
              <w:rPr>
                <w:sz w:val="24"/>
              </w:rPr>
              <w:t>通过</w:t>
            </w:r>
            <w:r>
              <w:rPr>
                <w:rFonts w:hint="eastAsia"/>
                <w:sz w:val="24"/>
              </w:rPr>
              <w:t>红山嘴水库的建设</w:t>
            </w:r>
            <w:r>
              <w:rPr>
                <w:sz w:val="24"/>
              </w:rPr>
              <w:t>，可以</w:t>
            </w:r>
            <w:r>
              <w:rPr>
                <w:rFonts w:hint="eastAsia"/>
                <w:sz w:val="24"/>
              </w:rPr>
              <w:t>满足红山嘴水库控制灌区高标准农田建设灌溉用水要求，</w:t>
            </w:r>
            <w:r>
              <w:rPr>
                <w:sz w:val="24"/>
              </w:rPr>
              <w:t>有利于增加当地农民收入，有利于社会稳定；</w:t>
            </w:r>
            <w:r>
              <w:rPr>
                <w:rFonts w:hint="eastAsia"/>
                <w:sz w:val="24"/>
              </w:rPr>
              <w:t>工程</w:t>
            </w:r>
            <w:r>
              <w:rPr>
                <w:sz w:val="24"/>
              </w:rPr>
              <w:t>建设后可保障生态水量</w:t>
            </w:r>
            <w:r>
              <w:rPr>
                <w:rFonts w:hint="eastAsia"/>
                <w:sz w:val="24"/>
              </w:rPr>
              <w:t>的下泄</w:t>
            </w:r>
            <w:r>
              <w:rPr>
                <w:sz w:val="24"/>
              </w:rPr>
              <w:t>，</w:t>
            </w:r>
            <w:r>
              <w:rPr>
                <w:rFonts w:hint="eastAsia"/>
                <w:sz w:val="24"/>
              </w:rPr>
              <w:t>对维护其</w:t>
            </w:r>
            <w:r>
              <w:rPr>
                <w:sz w:val="24"/>
              </w:rPr>
              <w:t>生态环境有一定的有利影响</w:t>
            </w:r>
            <w:r>
              <w:rPr>
                <w:rFonts w:hint="eastAsia"/>
                <w:sz w:val="24"/>
              </w:rPr>
              <w:t>；</w:t>
            </w:r>
            <w:r>
              <w:rPr>
                <w:sz w:val="24"/>
              </w:rPr>
              <w:t>工程建设对生态</w:t>
            </w:r>
            <w:r>
              <w:rPr>
                <w:rFonts w:hint="eastAsia"/>
                <w:sz w:val="24"/>
              </w:rPr>
              <w:t>环境</w:t>
            </w:r>
            <w:r>
              <w:rPr>
                <w:sz w:val="24"/>
              </w:rPr>
              <w:t>的影响主要体现在施工期对地表植被的占压以及施工活动对地表植被的扰动等，本次环评提出要注重生态保护，加强施工期污染防治、环境管理等环境保护措施，在严格落实各项措施并加强工程区水土流失防治工作后，本工程符合新疆主体功能区规划的要求。</w:t>
            </w:r>
          </w:p>
          <w:p>
            <w:pPr>
              <w:adjustRightInd w:val="0"/>
              <w:snapToGrid w:val="0"/>
              <w:spacing w:line="360" w:lineRule="auto"/>
              <w:rPr>
                <w:b/>
                <w:sz w:val="24"/>
                <w:szCs w:val="32"/>
              </w:rPr>
            </w:pPr>
            <w:r>
              <w:rPr>
                <w:rFonts w:hint="eastAsia"/>
                <w:b/>
                <w:sz w:val="24"/>
                <w:szCs w:val="32"/>
              </w:rPr>
              <w:t>二、</w:t>
            </w:r>
            <w:r>
              <w:rPr>
                <w:b/>
                <w:sz w:val="24"/>
                <w:szCs w:val="32"/>
              </w:rPr>
              <w:t>生态功能区划</w:t>
            </w:r>
          </w:p>
          <w:p>
            <w:pPr>
              <w:spacing w:line="360" w:lineRule="auto"/>
              <w:ind w:firstLine="480" w:firstLineChars="200"/>
              <w:rPr>
                <w:sz w:val="24"/>
              </w:rPr>
            </w:pPr>
            <w:r>
              <w:rPr>
                <w:rFonts w:hint="eastAsia"/>
                <w:sz w:val="24"/>
              </w:rPr>
              <w:t>根据《新疆生态功能区划》（</w:t>
            </w:r>
            <w:r>
              <w:rPr>
                <w:sz w:val="24"/>
              </w:rPr>
              <w:t>2004年8月），</w:t>
            </w:r>
            <w:r>
              <w:rPr>
                <w:rFonts w:hint="eastAsia"/>
                <w:sz w:val="24"/>
              </w:rPr>
              <w:t>全</w:t>
            </w:r>
            <w:r>
              <w:rPr>
                <w:sz w:val="24"/>
              </w:rPr>
              <w:t>疆共划定了63个重要生态系统服务功能区</w:t>
            </w:r>
            <w:r>
              <w:rPr>
                <w:rFonts w:hint="eastAsia"/>
                <w:sz w:val="24"/>
              </w:rPr>
              <w:t>，</w:t>
            </w:r>
            <w:r>
              <w:rPr>
                <w:sz w:val="24"/>
              </w:rPr>
              <w:t>本</w:t>
            </w:r>
            <w:r>
              <w:rPr>
                <w:rFonts w:hint="eastAsia"/>
                <w:sz w:val="24"/>
              </w:rPr>
              <w:t>次工程建设</w:t>
            </w:r>
            <w:r>
              <w:rPr>
                <w:sz w:val="24"/>
              </w:rPr>
              <w:t>区域</w:t>
            </w:r>
            <w:r>
              <w:rPr>
                <w:rFonts w:hint="eastAsia"/>
                <w:sz w:val="24"/>
              </w:rPr>
              <w:t>属于阜康-木垒绿洲农业、荒漠草地保护生态功能区，该功能区主要生态服务功能、主要生态环境问题、保护措施及发展方向等详见表</w:t>
            </w:r>
            <w:r>
              <w:rPr>
                <w:sz w:val="24"/>
              </w:rPr>
              <w:t>1</w:t>
            </w:r>
            <w:r>
              <w:rPr>
                <w:rFonts w:hint="eastAsia"/>
                <w:sz w:val="24"/>
              </w:rPr>
              <w:t>。</w:t>
            </w:r>
          </w:p>
          <w:p>
            <w:pPr>
              <w:jc w:val="left"/>
              <w:rPr>
                <w:rFonts w:ascii="黑体" w:hAnsi="黑体" w:eastAsia="黑体"/>
                <w:sz w:val="24"/>
              </w:rPr>
            </w:pPr>
            <w:r>
              <w:rPr>
                <w:rFonts w:ascii="黑体" w:hAnsi="黑体" w:eastAsia="黑体"/>
                <w:sz w:val="24"/>
              </w:rPr>
              <w:t>表</w:t>
            </w:r>
            <w:r>
              <w:rPr>
                <w:rFonts w:eastAsia="黑体"/>
                <w:sz w:val="24"/>
              </w:rPr>
              <w:t>1</w:t>
            </w:r>
            <w:r>
              <w:rPr>
                <w:rFonts w:ascii="黑体" w:hAnsi="黑体" w:eastAsia="黑体"/>
                <w:sz w:val="24"/>
              </w:rPr>
              <w:t xml:space="preserve">                       工程区生态功能区划一览表</w:t>
            </w:r>
          </w:p>
          <w:tbl>
            <w:tblPr>
              <w:tblStyle w:val="92"/>
              <w:tblW w:w="8226"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149"/>
              <w:gridCol w:w="60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生态区</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准噶尔盆地温带荒漠与绿洲生态功能区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生态亚区</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准噶尔盆地南部荒漠绿洲农业生态亚区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生态功能区</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阜康-木垒绿洲农业</w:t>
                  </w:r>
                  <w:r>
                    <w:rPr>
                      <w:rFonts w:hint="eastAsia" w:ascii="Times New Roman" w:hAnsi="Times New Roman" w:eastAsia="宋体" w:cs="Times New Roman"/>
                      <w:kern w:val="0"/>
                      <w:sz w:val="18"/>
                      <w:szCs w:val="18"/>
                      <w:lang w:eastAsia="zh-CN"/>
                    </w:rPr>
                    <w:t>、</w:t>
                  </w:r>
                  <w:r>
                    <w:rPr>
                      <w:rFonts w:ascii="Times New Roman" w:hAnsi="Times New Roman" w:eastAsia="宋体" w:cs="Times New Roman"/>
                      <w:kern w:val="0"/>
                      <w:sz w:val="18"/>
                      <w:szCs w:val="18"/>
                      <w:lang w:eastAsia="zh-CN"/>
                    </w:rPr>
                    <w:t>荒漠草地保护生态功能区</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隶属行政区</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阜康市、吉木萨尔县、奇台县、木垒县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主要生态服务功能</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农牧业产品生产、人居环境、荒漠化控制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主要生态问题</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地下水超采、荒漠植被退化、沙漠化威胁、局部土壤盐渍化、河流萎</w:t>
                  </w:r>
                </w:p>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缩、滥开荒地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保护目标</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保护基本农田、保护荒漠植被、保护土壤环境质量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保护措施</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节水灌溉、草场休牧、对前山坡耕地和北部沙化土地实施退耕还林</w:t>
                  </w:r>
                </w:p>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（草），在水源无保障、植被稀少、生态脆弱地带禁止开荒、加强农田投入品的使用管理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20" w:hRule="atLeast"/>
              </w:trPr>
              <w:tc>
                <w:tcPr>
                  <w:tcW w:w="2149"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发展方向</w:t>
                  </w:r>
                </w:p>
              </w:tc>
              <w:tc>
                <w:tcPr>
                  <w:tcW w:w="6077" w:type="dxa"/>
                  <w:vAlign w:val="center"/>
                </w:tcPr>
                <w:p>
                  <w:pPr>
                    <w:widowControl/>
                    <w:autoSpaceDE w:val="0"/>
                    <w:autoSpaceDN w:val="0"/>
                    <w:jc w:val="center"/>
                    <w:rPr>
                      <w:rFonts w:ascii="Times New Roman" w:hAnsi="Times New Roman" w:eastAsia="宋体" w:cs="Times New Roman"/>
                      <w:kern w:val="0"/>
                      <w:sz w:val="18"/>
                      <w:szCs w:val="18"/>
                      <w:lang w:eastAsia="zh-CN"/>
                    </w:rPr>
                  </w:pPr>
                  <w:r>
                    <w:rPr>
                      <w:rFonts w:ascii="Times New Roman" w:hAnsi="Times New Roman" w:eastAsia="宋体" w:cs="Times New Roman"/>
                      <w:kern w:val="0"/>
                      <w:sz w:val="18"/>
                      <w:szCs w:val="18"/>
                      <w:lang w:eastAsia="zh-CN"/>
                    </w:rPr>
                    <w:t>农牧结合，发展优质、高效特色农业</w:t>
                  </w:r>
                </w:p>
              </w:tc>
            </w:tr>
          </w:tbl>
          <w:p>
            <w:pPr>
              <w:rPr>
                <w:sz w:val="24"/>
              </w:rPr>
            </w:pPr>
          </w:p>
          <w:p>
            <w:pPr>
              <w:spacing w:line="360" w:lineRule="auto"/>
              <w:ind w:firstLine="480" w:firstLineChars="200"/>
              <w:rPr>
                <w:sz w:val="24"/>
              </w:rPr>
            </w:pPr>
            <w:r>
              <w:rPr>
                <w:rFonts w:hint="eastAsia"/>
                <w:sz w:val="24"/>
              </w:rPr>
              <w:t>通过红山嘴水库的建设，经水库</w:t>
            </w:r>
            <w:r>
              <w:rPr>
                <w:sz w:val="24"/>
              </w:rPr>
              <w:t>调蓄作用</w:t>
            </w:r>
            <w:r>
              <w:rPr>
                <w:rFonts w:hint="eastAsia"/>
                <w:sz w:val="24"/>
              </w:rPr>
              <w:t>，增加</w:t>
            </w:r>
            <w:r>
              <w:rPr>
                <w:sz w:val="24"/>
              </w:rPr>
              <w:t>了地表水资源</w:t>
            </w:r>
            <w:r>
              <w:rPr>
                <w:rFonts w:hint="eastAsia"/>
                <w:sz w:val="24"/>
              </w:rPr>
              <w:t>利用率</w:t>
            </w:r>
            <w:r>
              <w:rPr>
                <w:sz w:val="24"/>
              </w:rPr>
              <w:t>，减少</w:t>
            </w:r>
            <w:r>
              <w:rPr>
                <w:rFonts w:hint="eastAsia"/>
                <w:sz w:val="24"/>
              </w:rPr>
              <w:t>地下水</w:t>
            </w:r>
            <w:r>
              <w:rPr>
                <w:sz w:val="24"/>
              </w:rPr>
              <w:t>开采</w:t>
            </w:r>
            <w:r>
              <w:rPr>
                <w:rFonts w:hint="eastAsia"/>
                <w:sz w:val="24"/>
              </w:rPr>
              <w:t>量</w:t>
            </w:r>
            <w:r>
              <w:rPr>
                <w:sz w:val="24"/>
              </w:rPr>
              <w:t>，</w:t>
            </w:r>
            <w:r>
              <w:rPr>
                <w:rFonts w:hint="eastAsia"/>
                <w:sz w:val="24"/>
              </w:rPr>
              <w:t>提高</w:t>
            </w:r>
            <w:r>
              <w:rPr>
                <w:sz w:val="24"/>
              </w:rPr>
              <w:t>了</w:t>
            </w:r>
            <w:r>
              <w:rPr>
                <w:rFonts w:hint="eastAsia"/>
                <w:sz w:val="24"/>
              </w:rPr>
              <w:t>灌溉</w:t>
            </w:r>
            <w:r>
              <w:rPr>
                <w:sz w:val="24"/>
              </w:rPr>
              <w:t>用水保证</w:t>
            </w:r>
            <w:r>
              <w:rPr>
                <w:rFonts w:hint="eastAsia"/>
                <w:sz w:val="24"/>
              </w:rPr>
              <w:t>率，有利于其农业</w:t>
            </w:r>
            <w:r>
              <w:rPr>
                <w:sz w:val="24"/>
              </w:rPr>
              <w:t>发展</w:t>
            </w:r>
            <w:r>
              <w:rPr>
                <w:rFonts w:hint="eastAsia"/>
                <w:sz w:val="24"/>
              </w:rPr>
              <w:t>；工程建设后可保障生态水量的下泄，对维护其生态环境有一定的有利影响；本工程对环境的影响性质属于生态型，工程对生态的影响主要表现为施工期的临时占地、扰动地表及工程开挖等活动引发的生物量损失和水土流失，其环境影响可通过实施播撒适生种草籽等水土保持措施和加强施工期污染防治、环境管理等予以减缓和恢复，同时由于扰动区域较小，不会对该区域景观和生物多样性产生较大的不利影响。在此前提下，木垒县红山嘴水库工程的建设与生态功能区划中的要求是协调一致的。</w:t>
            </w:r>
          </w:p>
          <w:p>
            <w:pPr>
              <w:adjustRightInd w:val="0"/>
              <w:snapToGrid w:val="0"/>
              <w:spacing w:line="360" w:lineRule="auto"/>
              <w:rPr>
                <w:b/>
                <w:sz w:val="24"/>
                <w:szCs w:val="32"/>
              </w:rPr>
            </w:pPr>
            <w:r>
              <w:rPr>
                <w:rFonts w:hint="eastAsia"/>
                <w:b/>
                <w:sz w:val="24"/>
                <w:szCs w:val="32"/>
              </w:rPr>
              <w:t>三、自然环境概况及</w:t>
            </w:r>
            <w:r>
              <w:rPr>
                <w:b/>
                <w:sz w:val="24"/>
                <w:szCs w:val="32"/>
              </w:rPr>
              <w:t>环境质量现状</w:t>
            </w:r>
          </w:p>
          <w:p>
            <w:pPr>
              <w:adjustRightInd w:val="0"/>
              <w:snapToGrid w:val="0"/>
              <w:spacing w:line="360" w:lineRule="auto"/>
              <w:ind w:firstLine="480" w:firstLineChars="200"/>
              <w:rPr>
                <w:sz w:val="24"/>
              </w:rPr>
            </w:pPr>
            <w:r>
              <w:rPr>
                <w:rFonts w:hint="eastAsia"/>
                <w:sz w:val="24"/>
              </w:rPr>
              <w:t>（1）东城河流域概况</w:t>
            </w:r>
          </w:p>
          <w:p>
            <w:pPr>
              <w:adjustRightInd w:val="0"/>
              <w:snapToGrid w:val="0"/>
              <w:spacing w:line="360" w:lineRule="auto"/>
              <w:ind w:firstLine="480" w:firstLineChars="200"/>
              <w:rPr>
                <w:sz w:val="24"/>
              </w:rPr>
            </w:pPr>
            <w:r>
              <w:rPr>
                <w:sz w:val="24"/>
              </w:rPr>
              <w:t>本次工程建设区位于</w:t>
            </w:r>
            <w:r>
              <w:rPr>
                <w:rFonts w:hint="eastAsia"/>
                <w:sz w:val="24"/>
              </w:rPr>
              <w:t>东城河流域</w:t>
            </w:r>
            <w:r>
              <w:rPr>
                <w:sz w:val="24"/>
              </w:rPr>
              <w:t>东城渠首上游</w:t>
            </w:r>
            <w:r>
              <w:rPr>
                <w:rFonts w:hint="eastAsia"/>
                <w:sz w:val="24"/>
              </w:rPr>
              <w:t>的</w:t>
            </w:r>
            <w:r>
              <w:rPr>
                <w:sz w:val="24"/>
              </w:rPr>
              <w:t>中低山区。</w:t>
            </w:r>
          </w:p>
          <w:p>
            <w:pPr>
              <w:adjustRightInd w:val="0"/>
              <w:snapToGrid w:val="0"/>
              <w:spacing w:line="360" w:lineRule="auto"/>
              <w:ind w:firstLine="480" w:firstLineChars="200"/>
              <w:rPr>
                <w:sz w:val="24"/>
              </w:rPr>
            </w:pPr>
            <w:r>
              <w:rPr>
                <w:rFonts w:hint="eastAsia"/>
                <w:sz w:val="24"/>
              </w:rPr>
              <w:t>东城河</w:t>
            </w:r>
            <w:r>
              <w:rPr>
                <w:sz w:val="24"/>
              </w:rPr>
              <w:t>流域</w:t>
            </w:r>
            <w:r>
              <w:rPr>
                <w:rFonts w:hint="eastAsia"/>
                <w:sz w:val="24"/>
              </w:rPr>
              <w:t>地处博格达山脉与准噶尔盆地之间过渡带的南侧，总体地势南高北低，地理位置介于E90</w:t>
            </w:r>
            <w:r>
              <w:rPr>
                <w:rFonts w:cs="宋体"/>
                <w:kern w:val="0"/>
                <w:sz w:val="24"/>
              </w:rPr>
              <w:t>°</w:t>
            </w:r>
            <w:r>
              <w:rPr>
                <w:rFonts w:hint="eastAsia"/>
                <w:sz w:val="24"/>
              </w:rPr>
              <w:t>01</w:t>
            </w:r>
            <w:r>
              <w:rPr>
                <w:rFonts w:cs="宋体"/>
                <w:kern w:val="0"/>
                <w:sz w:val="24"/>
              </w:rPr>
              <w:t>′</w:t>
            </w:r>
            <w:r>
              <w:rPr>
                <w:rFonts w:hint="eastAsia"/>
                <w:sz w:val="24"/>
              </w:rPr>
              <w:t>～90</w:t>
            </w:r>
            <w:r>
              <w:rPr>
                <w:rFonts w:cs="宋体"/>
                <w:kern w:val="0"/>
                <w:sz w:val="24"/>
              </w:rPr>
              <w:t>°</w:t>
            </w:r>
            <w:r>
              <w:rPr>
                <w:rFonts w:hint="eastAsia"/>
                <w:sz w:val="24"/>
              </w:rPr>
              <w:t>15</w:t>
            </w:r>
            <w:r>
              <w:rPr>
                <w:rFonts w:cs="宋体"/>
                <w:kern w:val="0"/>
                <w:sz w:val="24"/>
              </w:rPr>
              <w:t>′</w:t>
            </w:r>
            <w:r>
              <w:rPr>
                <w:rFonts w:hint="eastAsia"/>
                <w:sz w:val="24"/>
              </w:rPr>
              <w:t>、N43</w:t>
            </w:r>
            <w:r>
              <w:rPr>
                <w:rFonts w:cs="宋体"/>
                <w:kern w:val="0"/>
                <w:sz w:val="24"/>
              </w:rPr>
              <w:t>°</w:t>
            </w:r>
            <w:r>
              <w:rPr>
                <w:rFonts w:hint="eastAsia"/>
                <w:sz w:val="24"/>
              </w:rPr>
              <w:t>38</w:t>
            </w:r>
            <w:r>
              <w:rPr>
                <w:rFonts w:cs="宋体"/>
                <w:kern w:val="0"/>
                <w:sz w:val="24"/>
              </w:rPr>
              <w:t>′</w:t>
            </w:r>
            <w:r>
              <w:rPr>
                <w:rFonts w:hint="eastAsia"/>
                <w:sz w:val="24"/>
              </w:rPr>
              <w:t>～44</w:t>
            </w:r>
            <w:r>
              <w:rPr>
                <w:rFonts w:cs="宋体"/>
                <w:kern w:val="0"/>
                <w:sz w:val="24"/>
              </w:rPr>
              <w:t>°</w:t>
            </w:r>
            <w:r>
              <w:rPr>
                <w:rFonts w:hint="eastAsia"/>
                <w:sz w:val="24"/>
              </w:rPr>
              <w:t>03</w:t>
            </w:r>
            <w:r>
              <w:rPr>
                <w:rFonts w:cs="宋体"/>
                <w:kern w:val="0"/>
                <w:sz w:val="24"/>
              </w:rPr>
              <w:t>′</w:t>
            </w:r>
            <w:r>
              <w:rPr>
                <w:rFonts w:hint="eastAsia"/>
                <w:sz w:val="24"/>
              </w:rPr>
              <w:t>，流域面积526.88km</w:t>
            </w:r>
            <w:r>
              <w:rPr>
                <w:rFonts w:hint="eastAsia"/>
                <w:sz w:val="24"/>
                <w:vertAlign w:val="superscript"/>
              </w:rPr>
              <w:t>2</w:t>
            </w:r>
            <w:r>
              <w:rPr>
                <w:rFonts w:hint="eastAsia"/>
                <w:sz w:val="24"/>
              </w:rPr>
              <w:t>。东城河发源</w:t>
            </w:r>
            <w:r>
              <w:rPr>
                <w:sz w:val="24"/>
              </w:rPr>
              <w:t>于天山东段的博格达山脉</w:t>
            </w:r>
            <w:r>
              <w:rPr>
                <w:rFonts w:hint="eastAsia"/>
                <w:sz w:val="24"/>
              </w:rPr>
              <w:t>中山段</w:t>
            </w:r>
            <w:r>
              <w:rPr>
                <w:sz w:val="24"/>
              </w:rPr>
              <w:t>，</w:t>
            </w:r>
            <w:r>
              <w:rPr>
                <w:rFonts w:hint="eastAsia"/>
                <w:sz w:val="24"/>
              </w:rPr>
              <w:t>支流呈扇状分布，干流位居其中，东城渠首以上流域主要有东沟、直沟以及翻身沟汇流而成，东城渠首以下有发源于低山丘陵带的沈家沟、孙家沟、咬牙沟汇入东城河流入东城水库（现已经废弃），</w:t>
            </w:r>
            <w:r>
              <w:rPr>
                <w:sz w:val="24"/>
              </w:rPr>
              <w:t>多年平均年径流量693×10</w:t>
            </w:r>
            <w:r>
              <w:rPr>
                <w:sz w:val="24"/>
                <w:vertAlign w:val="superscript"/>
              </w:rPr>
              <w:t>4</w:t>
            </w:r>
            <w:r>
              <w:rPr>
                <w:sz w:val="24"/>
              </w:rPr>
              <w:t>m</w:t>
            </w:r>
            <w:r>
              <w:rPr>
                <w:sz w:val="24"/>
                <w:vertAlign w:val="superscript"/>
              </w:rPr>
              <w:t>3</w:t>
            </w:r>
            <w:r>
              <w:rPr>
                <w:rFonts w:hint="eastAsia"/>
                <w:sz w:val="24"/>
              </w:rPr>
              <w:t>。</w:t>
            </w:r>
          </w:p>
          <w:p>
            <w:pPr>
              <w:adjustRightInd w:val="0"/>
              <w:snapToGrid w:val="0"/>
              <w:spacing w:line="360" w:lineRule="auto"/>
              <w:ind w:firstLine="480" w:firstLineChars="200"/>
              <w:rPr>
                <w:sz w:val="24"/>
              </w:rPr>
            </w:pPr>
            <w:r>
              <w:rPr>
                <w:rFonts w:hint="eastAsia"/>
                <w:sz w:val="24"/>
              </w:rPr>
              <w:t>（2）</w:t>
            </w:r>
            <w:r>
              <w:rPr>
                <w:sz w:val="24"/>
              </w:rPr>
              <w:t>地形、地貌</w:t>
            </w:r>
          </w:p>
          <w:p>
            <w:pPr>
              <w:adjustRightInd w:val="0"/>
              <w:snapToGrid w:val="0"/>
              <w:spacing w:line="360" w:lineRule="auto"/>
              <w:ind w:firstLine="480" w:firstLineChars="200"/>
              <w:rPr>
                <w:sz w:val="24"/>
              </w:rPr>
            </w:pPr>
            <w:r>
              <w:rPr>
                <w:rFonts w:hint="eastAsia"/>
                <w:sz w:val="24"/>
              </w:rPr>
              <w:t>红山嘴</w:t>
            </w:r>
            <w:r>
              <w:rPr>
                <w:sz w:val="24"/>
              </w:rPr>
              <w:t>水库</w:t>
            </w:r>
            <w:r>
              <w:rPr>
                <w:rFonts w:hint="eastAsia"/>
                <w:sz w:val="24"/>
              </w:rPr>
              <w:t>位于东城河</w:t>
            </w:r>
            <w:r>
              <w:rPr>
                <w:sz w:val="24"/>
              </w:rPr>
              <w:t>中</w:t>
            </w:r>
            <w:r>
              <w:rPr>
                <w:rFonts w:hint="eastAsia"/>
                <w:sz w:val="24"/>
              </w:rPr>
              <w:t>低山区</w:t>
            </w:r>
            <w:r>
              <w:rPr>
                <w:sz w:val="24"/>
              </w:rPr>
              <w:t>，</w:t>
            </w:r>
            <w:r>
              <w:rPr>
                <w:rFonts w:hint="eastAsia"/>
                <w:sz w:val="24"/>
              </w:rPr>
              <w:t>属</w:t>
            </w:r>
            <w:r>
              <w:rPr>
                <w:sz w:val="24"/>
              </w:rPr>
              <w:t>构造剥蚀地貌</w:t>
            </w:r>
            <w:r>
              <w:rPr>
                <w:rFonts w:hint="eastAsia"/>
                <w:sz w:val="24"/>
              </w:rPr>
              <w:t>。</w:t>
            </w:r>
            <w:r>
              <w:rPr>
                <w:sz w:val="24"/>
              </w:rPr>
              <w:t>库区</w:t>
            </w:r>
            <w:r>
              <w:rPr>
                <w:rFonts w:hint="eastAsia"/>
                <w:sz w:val="24"/>
              </w:rPr>
              <w:t>范围</w:t>
            </w:r>
            <w:r>
              <w:rPr>
                <w:sz w:val="24"/>
              </w:rPr>
              <w:t>内</w:t>
            </w:r>
            <w:r>
              <w:rPr>
                <w:rFonts w:hint="eastAsia"/>
                <w:sz w:val="24"/>
              </w:rPr>
              <w:t>河谷</w:t>
            </w:r>
            <w:r>
              <w:rPr>
                <w:sz w:val="24"/>
              </w:rPr>
              <w:t>两岸呈不对称的“U”</w:t>
            </w:r>
            <w:r>
              <w:rPr>
                <w:rFonts w:hint="eastAsia"/>
                <w:sz w:val="24"/>
              </w:rPr>
              <w:t>型</w:t>
            </w:r>
            <w:r>
              <w:rPr>
                <w:sz w:val="24"/>
              </w:rPr>
              <w:t>河谷，自南向北库区河谷逐渐变宽，谷底</w:t>
            </w:r>
            <w:r>
              <w:rPr>
                <w:rFonts w:hint="eastAsia"/>
                <w:sz w:val="24"/>
              </w:rPr>
              <w:t>宽40</w:t>
            </w:r>
            <w:r>
              <w:rPr>
                <w:sz w:val="24"/>
              </w:rPr>
              <w:t>m</w:t>
            </w:r>
            <w:r>
              <w:rPr>
                <w:rFonts w:hint="eastAsia"/>
                <w:sz w:val="24"/>
              </w:rPr>
              <w:t>～110</w:t>
            </w:r>
            <w:r>
              <w:rPr>
                <w:sz w:val="24"/>
              </w:rPr>
              <w:t>m</w:t>
            </w:r>
            <w:r>
              <w:rPr>
                <w:rFonts w:hint="eastAsia"/>
                <w:sz w:val="24"/>
              </w:rPr>
              <w:t>。</w:t>
            </w:r>
            <w:r>
              <w:rPr>
                <w:sz w:val="24"/>
              </w:rPr>
              <w:t>河流</w:t>
            </w:r>
            <w:r>
              <w:rPr>
                <w:rFonts w:hint="eastAsia"/>
                <w:sz w:val="24"/>
              </w:rPr>
              <w:t>在</w:t>
            </w:r>
            <w:r>
              <w:rPr>
                <w:sz w:val="24"/>
              </w:rPr>
              <w:t>河谷中呈“S”</w:t>
            </w:r>
            <w:r>
              <w:rPr>
                <w:rFonts w:hint="eastAsia"/>
                <w:sz w:val="24"/>
              </w:rPr>
              <w:t>状</w:t>
            </w:r>
            <w:r>
              <w:rPr>
                <w:sz w:val="24"/>
              </w:rPr>
              <w:t>发育，略偏向右岸，河床面高程</w:t>
            </w:r>
            <w:r>
              <w:rPr>
                <w:rFonts w:hint="eastAsia"/>
                <w:sz w:val="24"/>
              </w:rPr>
              <w:t>1294</w:t>
            </w:r>
            <w:r>
              <w:rPr>
                <w:sz w:val="24"/>
              </w:rPr>
              <w:t>m</w:t>
            </w:r>
            <w:r>
              <w:rPr>
                <w:rFonts w:hint="eastAsia"/>
                <w:sz w:val="24"/>
              </w:rPr>
              <w:t>～1329</w:t>
            </w:r>
            <w:r>
              <w:rPr>
                <w:sz w:val="24"/>
              </w:rPr>
              <w:t>m</w:t>
            </w:r>
            <w:r>
              <w:rPr>
                <w:rFonts w:hint="eastAsia"/>
                <w:sz w:val="24"/>
              </w:rPr>
              <w:t>，纵坡较大，坡度3%～4%，主河道宽约15</w:t>
            </w:r>
            <w:r>
              <w:rPr>
                <w:sz w:val="24"/>
              </w:rPr>
              <w:t>m</w:t>
            </w:r>
            <w:r>
              <w:rPr>
                <w:rFonts w:hint="eastAsia"/>
                <w:sz w:val="24"/>
              </w:rPr>
              <w:t>～25m，河流切割深度不大，一般多在1.0</w:t>
            </w:r>
            <w:r>
              <w:rPr>
                <w:sz w:val="24"/>
              </w:rPr>
              <w:t>m</w:t>
            </w:r>
            <w:r>
              <w:rPr>
                <w:rFonts w:hint="eastAsia"/>
                <w:sz w:val="24"/>
              </w:rPr>
              <w:t>～2.5m。由于河流略偏向右岸，对河岸冲刷，右岸河床岸坡崩塌多呈陡坎状，高差约1.5m，左岸为柏油乡村公路，河床岸坡平缓。</w:t>
            </w:r>
          </w:p>
          <w:p>
            <w:pPr>
              <w:adjustRightInd w:val="0"/>
              <w:snapToGrid w:val="0"/>
              <w:spacing w:line="360" w:lineRule="auto"/>
              <w:ind w:firstLine="480" w:firstLineChars="200"/>
              <w:rPr>
                <w:sz w:val="24"/>
              </w:rPr>
            </w:pPr>
            <w:r>
              <w:rPr>
                <w:rFonts w:hint="eastAsia"/>
                <w:sz w:val="24"/>
              </w:rPr>
              <w:t>河谷右侧山体分布连续，呈EW走向，山体较为宽厚、高耸，山体顶部较为陡峻，谷峰交错，山体植被较少，基岩多数裸露；左侧山体海拔由西南向东北方向逐渐降低，上部山体地势平缓，为风积黄土层覆盖，现为农田、旱地，</w:t>
            </w:r>
            <w:r>
              <w:rPr>
                <w:sz w:val="24"/>
              </w:rPr>
              <w:t>下部基岩裸露</w:t>
            </w:r>
            <w:r>
              <w:rPr>
                <w:rFonts w:hint="eastAsia"/>
                <w:sz w:val="24"/>
              </w:rPr>
              <w:t>。</w:t>
            </w:r>
          </w:p>
          <w:p>
            <w:pPr>
              <w:adjustRightInd w:val="0"/>
              <w:snapToGrid w:val="0"/>
              <w:spacing w:line="360" w:lineRule="auto"/>
              <w:ind w:firstLine="480" w:firstLineChars="200"/>
              <w:rPr>
                <w:sz w:val="24"/>
              </w:rPr>
            </w:pPr>
            <w:r>
              <w:rPr>
                <w:rFonts w:hint="eastAsia"/>
                <w:sz w:val="24"/>
              </w:rPr>
              <w:t>（3）</w:t>
            </w:r>
            <w:r>
              <w:rPr>
                <w:sz w:val="24"/>
              </w:rPr>
              <w:t>气象</w:t>
            </w:r>
          </w:p>
          <w:p>
            <w:pPr>
              <w:adjustRightInd w:val="0"/>
              <w:snapToGrid w:val="0"/>
              <w:spacing w:line="360" w:lineRule="auto"/>
              <w:ind w:firstLine="480" w:firstLineChars="200"/>
              <w:rPr>
                <w:sz w:val="24"/>
              </w:rPr>
            </w:pPr>
            <w:r>
              <w:rPr>
                <w:sz w:val="24"/>
              </w:rPr>
              <w:t>工程</w:t>
            </w:r>
            <w:r>
              <w:rPr>
                <w:rFonts w:hint="eastAsia"/>
                <w:sz w:val="24"/>
              </w:rPr>
              <w:t>所在区域</w:t>
            </w:r>
            <w:r>
              <w:rPr>
                <w:sz w:val="24"/>
              </w:rPr>
              <w:t>为典型的</w:t>
            </w:r>
            <w:r>
              <w:rPr>
                <w:rFonts w:hint="eastAsia"/>
                <w:sz w:val="24"/>
              </w:rPr>
              <w:t>中温带大陆</w:t>
            </w:r>
            <w:r>
              <w:rPr>
                <w:sz w:val="24"/>
              </w:rPr>
              <w:t>半荒漠干旱性气候，四季分明，光热量充足，</w:t>
            </w:r>
            <w:r>
              <w:rPr>
                <w:rFonts w:hint="eastAsia"/>
                <w:sz w:val="24"/>
              </w:rPr>
              <w:t>降水量年内变化大，季节性分配不均匀，</w:t>
            </w:r>
            <w:r>
              <w:rPr>
                <w:sz w:val="24"/>
              </w:rPr>
              <w:t>气温日较差大，</w:t>
            </w:r>
            <w:r>
              <w:rPr>
                <w:rFonts w:hint="eastAsia"/>
                <w:sz w:val="24"/>
              </w:rPr>
              <w:t>冷热</w:t>
            </w:r>
            <w:r>
              <w:rPr>
                <w:sz w:val="24"/>
              </w:rPr>
              <w:t>悬殊。工程区多年平均气温为5.1℃，极端最高气温为36.9℃，极端最低气温为-31.7℃，多年平均年降水量为382.0mm，多年平均年蒸发量为2205.0mm，多年平均年日照时数为2611.4h，多年平均风速为3.1m/s，</w:t>
            </w:r>
            <w:r>
              <w:rPr>
                <w:rFonts w:hint="eastAsia"/>
                <w:sz w:val="24"/>
              </w:rPr>
              <w:t>多年</w:t>
            </w:r>
            <w:r>
              <w:rPr>
                <w:sz w:val="24"/>
              </w:rPr>
              <w:t>平均最大风速为15m/s，最大积雪深度41.9cm，最大冻土深为140cm。</w:t>
            </w:r>
          </w:p>
          <w:p>
            <w:pPr>
              <w:pStyle w:val="45"/>
              <w:ind w:firstLine="480"/>
            </w:pPr>
            <w:r>
              <w:t>（4）水文</w:t>
            </w:r>
          </w:p>
          <w:p>
            <w:pPr>
              <w:pStyle w:val="45"/>
              <w:ind w:firstLine="480"/>
            </w:pPr>
            <w:r>
              <w:rPr>
                <w:rFonts w:hint="eastAsia"/>
              </w:rPr>
              <w:t>东城河发源于天山北坡东段博格达山中山带，径流以冰雪（川）消融水及降水为主要补给源，支流呈扇状分布，干流位居其中。从东城河渠首测验断面1982年～2020年的实测年径流系列来看，东城河径流量的年际变化比较平稳，多年平均年径流量为6</w:t>
            </w:r>
            <w:r>
              <w:t>93</w:t>
            </w:r>
            <w:r>
              <w:rPr>
                <w:rFonts w:hint="eastAsia"/>
              </w:rPr>
              <w:t>×10</w:t>
            </w:r>
            <w:r>
              <w:rPr>
                <w:rFonts w:hint="eastAsia"/>
                <w:vertAlign w:val="superscript"/>
              </w:rPr>
              <w:t>4</w:t>
            </w:r>
            <w:r>
              <w:rPr>
                <w:rFonts w:hint="eastAsia"/>
              </w:rPr>
              <w:t>m</w:t>
            </w:r>
            <w:r>
              <w:rPr>
                <w:rFonts w:hint="eastAsia"/>
                <w:vertAlign w:val="superscript"/>
              </w:rPr>
              <w:t>3</w:t>
            </w:r>
            <w:r>
              <w:rPr>
                <w:rFonts w:hint="eastAsia"/>
              </w:rPr>
              <w:t>，最大年径流量为1465×10</w:t>
            </w:r>
            <w:r>
              <w:rPr>
                <w:rFonts w:hint="eastAsia"/>
                <w:vertAlign w:val="superscript"/>
              </w:rPr>
              <w:t>4</w:t>
            </w:r>
            <w:r>
              <w:rPr>
                <w:rFonts w:hint="eastAsia"/>
              </w:rPr>
              <w:t>m</w:t>
            </w:r>
            <w:r>
              <w:rPr>
                <w:rFonts w:hint="eastAsia"/>
                <w:vertAlign w:val="superscript"/>
              </w:rPr>
              <w:t>3</w:t>
            </w:r>
            <w:r>
              <w:rPr>
                <w:rFonts w:hint="eastAsia"/>
              </w:rPr>
              <w:t>，最小年径流量为</w:t>
            </w:r>
            <w:r>
              <w:t>315</w:t>
            </w:r>
            <w:r>
              <w:rPr>
                <w:rFonts w:hint="eastAsia"/>
              </w:rPr>
              <w:t>×10</w:t>
            </w:r>
            <w:r>
              <w:rPr>
                <w:rFonts w:hint="eastAsia"/>
                <w:vertAlign w:val="superscript"/>
              </w:rPr>
              <w:t>4</w:t>
            </w:r>
            <w:r>
              <w:rPr>
                <w:rFonts w:hint="eastAsia"/>
              </w:rPr>
              <w:t>m</w:t>
            </w:r>
            <w:r>
              <w:rPr>
                <w:rFonts w:hint="eastAsia"/>
                <w:vertAlign w:val="superscript"/>
              </w:rPr>
              <w:t>3</w:t>
            </w:r>
            <w:r>
              <w:rPr>
                <w:rFonts w:hint="eastAsia"/>
              </w:rPr>
              <w:t>；最大年径流量与最小年径流量的比值为</w:t>
            </w:r>
            <w:r>
              <w:t>4.7</w:t>
            </w:r>
            <w:r>
              <w:rPr>
                <w:rFonts w:hint="eastAsia"/>
              </w:rPr>
              <w:t>。红山嘴</w:t>
            </w:r>
            <w:r>
              <w:t>水库坝址断面</w:t>
            </w:r>
            <w:r>
              <w:rPr>
                <w:rFonts w:hint="eastAsia"/>
              </w:rPr>
              <w:t>不同</w:t>
            </w:r>
            <w:r>
              <w:t>保证率设计年径流量成果</w:t>
            </w:r>
            <w:r>
              <w:rPr>
                <w:rFonts w:hint="eastAsia"/>
              </w:rPr>
              <w:t>详见</w:t>
            </w:r>
            <w:r>
              <w:t>表2</w:t>
            </w:r>
            <w:r>
              <w:rPr>
                <w:rFonts w:hint="eastAsia"/>
              </w:rPr>
              <w:t>。</w:t>
            </w:r>
          </w:p>
          <w:p>
            <w:pPr>
              <w:jc w:val="left"/>
              <w:rPr>
                <w:rFonts w:ascii="黑体" w:hAnsi="黑体" w:eastAsia="黑体"/>
                <w:sz w:val="24"/>
              </w:rPr>
            </w:pPr>
            <w:r>
              <w:rPr>
                <w:rFonts w:ascii="黑体" w:hAnsi="黑体" w:eastAsia="黑体"/>
                <w:sz w:val="24"/>
              </w:rPr>
              <w:t>表2      红山嘴水库坝址断面不同保证率设计年径流量成果表</w:t>
            </w:r>
          </w:p>
          <w:tbl>
            <w:tblPr>
              <w:tblStyle w:val="21"/>
              <w:tblW w:w="82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4"/>
              <w:gridCol w:w="896"/>
              <w:gridCol w:w="1243"/>
              <w:gridCol w:w="842"/>
              <w:gridCol w:w="842"/>
              <w:gridCol w:w="743"/>
              <w:gridCol w:w="743"/>
              <w:gridCol w:w="743"/>
              <w:gridCol w:w="7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424" w:type="dxa"/>
                  <w:vMerge w:val="restart"/>
                  <w:vAlign w:val="center"/>
                </w:tcPr>
                <w:p>
                  <w:pPr>
                    <w:pStyle w:val="99"/>
                    <w:rPr>
                      <w:rFonts w:cs="Times New Roman"/>
                    </w:rPr>
                  </w:pPr>
                  <w:r>
                    <w:rPr>
                      <w:rFonts w:cs="Times New Roman"/>
                    </w:rPr>
                    <w:t>均值</w:t>
                  </w:r>
                </w:p>
                <w:p>
                  <w:pPr>
                    <w:pStyle w:val="99"/>
                    <w:rPr>
                      <w:rFonts w:cs="Times New Roman"/>
                    </w:rPr>
                  </w:pPr>
                  <w:r>
                    <w:rPr>
                      <w:rFonts w:cs="Times New Roman"/>
                    </w:rPr>
                    <w:t>（10</w:t>
                  </w:r>
                  <w:r>
                    <w:rPr>
                      <w:rFonts w:cs="Times New Roman"/>
                      <w:vertAlign w:val="superscript"/>
                    </w:rPr>
                    <w:t>4</w:t>
                  </w:r>
                  <w:r>
                    <w:rPr>
                      <w:rFonts w:cs="Times New Roman"/>
                    </w:rPr>
                    <w:t>m</w:t>
                  </w:r>
                  <w:r>
                    <w:rPr>
                      <w:rFonts w:cs="Times New Roman"/>
                      <w:vertAlign w:val="superscript"/>
                    </w:rPr>
                    <w:t>3</w:t>
                  </w:r>
                  <w:r>
                    <w:rPr>
                      <w:rFonts w:cs="Times New Roman"/>
                    </w:rPr>
                    <w:t>）</w:t>
                  </w:r>
                </w:p>
              </w:tc>
              <w:tc>
                <w:tcPr>
                  <w:tcW w:w="896" w:type="dxa"/>
                  <w:vMerge w:val="restart"/>
                  <w:vAlign w:val="center"/>
                </w:tcPr>
                <w:p>
                  <w:pPr>
                    <w:pStyle w:val="99"/>
                    <w:rPr>
                      <w:rFonts w:cs="Times New Roman"/>
                    </w:rPr>
                  </w:pPr>
                  <w:r>
                    <w:rPr>
                      <w:rFonts w:cs="Times New Roman"/>
                    </w:rPr>
                    <w:t>Cv值</w:t>
                  </w:r>
                </w:p>
              </w:tc>
              <w:tc>
                <w:tcPr>
                  <w:tcW w:w="1243" w:type="dxa"/>
                  <w:vMerge w:val="restart"/>
                  <w:vAlign w:val="center"/>
                </w:tcPr>
                <w:p>
                  <w:pPr>
                    <w:pStyle w:val="99"/>
                    <w:rPr>
                      <w:rFonts w:cs="Times New Roman"/>
                    </w:rPr>
                  </w:pPr>
                  <w:r>
                    <w:rPr>
                      <w:rFonts w:cs="Times New Roman"/>
                    </w:rPr>
                    <w:t>Cs/Cv值</w:t>
                  </w:r>
                </w:p>
              </w:tc>
              <w:tc>
                <w:tcPr>
                  <w:tcW w:w="4658" w:type="dxa"/>
                  <w:gridSpan w:val="6"/>
                  <w:vAlign w:val="center"/>
                </w:tcPr>
                <w:p>
                  <w:pPr>
                    <w:pStyle w:val="99"/>
                    <w:rPr>
                      <w:rFonts w:cs="Times New Roman"/>
                    </w:rPr>
                  </w:pPr>
                  <w:r>
                    <w:rPr>
                      <w:rFonts w:cs="Times New Roman"/>
                    </w:rPr>
                    <w:t>不同保证率设计年径流量（10</w:t>
                  </w:r>
                  <w:r>
                    <w:rPr>
                      <w:rFonts w:cs="Times New Roman"/>
                      <w:vertAlign w:val="superscript"/>
                    </w:rPr>
                    <w:t>4</w:t>
                  </w:r>
                  <w:r>
                    <w:rPr>
                      <w:rFonts w:cs="Times New Roman"/>
                    </w:rPr>
                    <w:t>m</w:t>
                  </w:r>
                  <w:r>
                    <w:rPr>
                      <w:rFonts w:cs="Times New Roman"/>
                      <w:vertAlign w:val="superscript"/>
                    </w:rPr>
                    <w:t>3</w:t>
                  </w: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424" w:type="dxa"/>
                  <w:vMerge w:val="continue"/>
                  <w:vAlign w:val="center"/>
                </w:tcPr>
                <w:p>
                  <w:pPr>
                    <w:pStyle w:val="99"/>
                    <w:rPr>
                      <w:rFonts w:cs="Times New Roman"/>
                    </w:rPr>
                  </w:pPr>
                </w:p>
              </w:tc>
              <w:tc>
                <w:tcPr>
                  <w:tcW w:w="896" w:type="dxa"/>
                  <w:vMerge w:val="continue"/>
                  <w:vAlign w:val="center"/>
                </w:tcPr>
                <w:p>
                  <w:pPr>
                    <w:pStyle w:val="99"/>
                    <w:rPr>
                      <w:rFonts w:cs="Times New Roman"/>
                    </w:rPr>
                  </w:pPr>
                </w:p>
              </w:tc>
              <w:tc>
                <w:tcPr>
                  <w:tcW w:w="1243" w:type="dxa"/>
                  <w:vMerge w:val="continue"/>
                  <w:vAlign w:val="center"/>
                </w:tcPr>
                <w:p>
                  <w:pPr>
                    <w:pStyle w:val="99"/>
                    <w:rPr>
                      <w:rFonts w:cs="Times New Roman"/>
                    </w:rPr>
                  </w:pPr>
                </w:p>
              </w:tc>
              <w:tc>
                <w:tcPr>
                  <w:tcW w:w="842" w:type="dxa"/>
                  <w:vAlign w:val="center"/>
                </w:tcPr>
                <w:p>
                  <w:pPr>
                    <w:pStyle w:val="99"/>
                    <w:rPr>
                      <w:rFonts w:cs="Times New Roman"/>
                    </w:rPr>
                  </w:pPr>
                  <w:r>
                    <w:rPr>
                      <w:rFonts w:cs="Times New Roman"/>
                    </w:rPr>
                    <w:t>5%</w:t>
                  </w:r>
                </w:p>
              </w:tc>
              <w:tc>
                <w:tcPr>
                  <w:tcW w:w="842" w:type="dxa"/>
                  <w:vAlign w:val="center"/>
                </w:tcPr>
                <w:p>
                  <w:pPr>
                    <w:pStyle w:val="99"/>
                    <w:rPr>
                      <w:rFonts w:cs="Times New Roman"/>
                    </w:rPr>
                  </w:pPr>
                  <w:r>
                    <w:rPr>
                      <w:rFonts w:cs="Times New Roman"/>
                    </w:rPr>
                    <w:t>25%</w:t>
                  </w:r>
                </w:p>
              </w:tc>
              <w:tc>
                <w:tcPr>
                  <w:tcW w:w="743" w:type="dxa"/>
                  <w:vAlign w:val="center"/>
                </w:tcPr>
                <w:p>
                  <w:pPr>
                    <w:pStyle w:val="99"/>
                    <w:rPr>
                      <w:rFonts w:cs="Times New Roman"/>
                    </w:rPr>
                  </w:pPr>
                  <w:r>
                    <w:rPr>
                      <w:rFonts w:cs="Times New Roman"/>
                    </w:rPr>
                    <w:t>50%</w:t>
                  </w:r>
                </w:p>
              </w:tc>
              <w:tc>
                <w:tcPr>
                  <w:tcW w:w="743" w:type="dxa"/>
                  <w:vAlign w:val="center"/>
                </w:tcPr>
                <w:p>
                  <w:pPr>
                    <w:pStyle w:val="99"/>
                    <w:rPr>
                      <w:rFonts w:cs="Times New Roman"/>
                    </w:rPr>
                  </w:pPr>
                  <w:r>
                    <w:rPr>
                      <w:rFonts w:cs="Times New Roman"/>
                    </w:rPr>
                    <w:t>75%</w:t>
                  </w:r>
                </w:p>
              </w:tc>
              <w:tc>
                <w:tcPr>
                  <w:tcW w:w="743" w:type="dxa"/>
                  <w:vAlign w:val="center"/>
                </w:tcPr>
                <w:p>
                  <w:pPr>
                    <w:pStyle w:val="99"/>
                    <w:rPr>
                      <w:rFonts w:cs="Times New Roman"/>
                    </w:rPr>
                  </w:pPr>
                  <w:r>
                    <w:rPr>
                      <w:rFonts w:cs="Times New Roman"/>
                    </w:rPr>
                    <w:t>85%</w:t>
                  </w:r>
                </w:p>
              </w:tc>
              <w:tc>
                <w:tcPr>
                  <w:tcW w:w="745" w:type="dxa"/>
                  <w:vAlign w:val="center"/>
                </w:tcPr>
                <w:p>
                  <w:pPr>
                    <w:pStyle w:val="99"/>
                    <w:rPr>
                      <w:rFonts w:cs="Times New Roman"/>
                    </w:rPr>
                  </w:pPr>
                  <w:r>
                    <w:rPr>
                      <w:rFonts w:cs="Times New Roman"/>
                    </w:rPr>
                    <w: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exact"/>
                <w:jc w:val="center"/>
              </w:trPr>
              <w:tc>
                <w:tcPr>
                  <w:tcW w:w="1424" w:type="dxa"/>
                  <w:vAlign w:val="center"/>
                </w:tcPr>
                <w:p>
                  <w:pPr>
                    <w:pStyle w:val="99"/>
                    <w:rPr>
                      <w:rFonts w:cs="Times New Roman"/>
                    </w:rPr>
                  </w:pPr>
                  <w:r>
                    <w:rPr>
                      <w:rFonts w:cs="Times New Roman"/>
                      <w:sz w:val="22"/>
                      <w:szCs w:val="22"/>
                    </w:rPr>
                    <w:t>911</w:t>
                  </w:r>
                </w:p>
              </w:tc>
              <w:tc>
                <w:tcPr>
                  <w:tcW w:w="896" w:type="dxa"/>
                  <w:vAlign w:val="center"/>
                </w:tcPr>
                <w:p>
                  <w:pPr>
                    <w:pStyle w:val="99"/>
                    <w:rPr>
                      <w:rFonts w:cs="Times New Roman"/>
                    </w:rPr>
                  </w:pPr>
                  <w:r>
                    <w:rPr>
                      <w:rFonts w:cs="Times New Roman"/>
                      <w:sz w:val="22"/>
                      <w:szCs w:val="22"/>
                    </w:rPr>
                    <w:t>0.36</w:t>
                  </w:r>
                </w:p>
              </w:tc>
              <w:tc>
                <w:tcPr>
                  <w:tcW w:w="1243" w:type="dxa"/>
                  <w:vAlign w:val="center"/>
                </w:tcPr>
                <w:p>
                  <w:pPr>
                    <w:pStyle w:val="99"/>
                    <w:rPr>
                      <w:rFonts w:cs="Times New Roman"/>
                    </w:rPr>
                  </w:pPr>
                  <w:r>
                    <w:rPr>
                      <w:rFonts w:cs="Times New Roman"/>
                      <w:sz w:val="22"/>
                      <w:szCs w:val="22"/>
                    </w:rPr>
                    <w:t>2.75</w:t>
                  </w:r>
                </w:p>
              </w:tc>
              <w:tc>
                <w:tcPr>
                  <w:tcW w:w="842" w:type="dxa"/>
                  <w:vAlign w:val="center"/>
                </w:tcPr>
                <w:p>
                  <w:pPr>
                    <w:pStyle w:val="99"/>
                    <w:rPr>
                      <w:rFonts w:cs="Times New Roman"/>
                      <w:sz w:val="22"/>
                      <w:szCs w:val="22"/>
                    </w:rPr>
                  </w:pPr>
                  <w:r>
                    <w:rPr>
                      <w:rFonts w:cs="Times New Roman"/>
                      <w:sz w:val="22"/>
                      <w:szCs w:val="22"/>
                    </w:rPr>
                    <w:t>1526</w:t>
                  </w:r>
                </w:p>
              </w:tc>
              <w:tc>
                <w:tcPr>
                  <w:tcW w:w="842" w:type="dxa"/>
                  <w:vAlign w:val="center"/>
                </w:tcPr>
                <w:p>
                  <w:pPr>
                    <w:pStyle w:val="99"/>
                    <w:rPr>
                      <w:rFonts w:cs="Times New Roman"/>
                    </w:rPr>
                  </w:pPr>
                  <w:r>
                    <w:rPr>
                      <w:rFonts w:cs="Times New Roman"/>
                      <w:sz w:val="22"/>
                      <w:szCs w:val="22"/>
                    </w:rPr>
                    <w:t>1093</w:t>
                  </w:r>
                </w:p>
              </w:tc>
              <w:tc>
                <w:tcPr>
                  <w:tcW w:w="743" w:type="dxa"/>
                  <w:vAlign w:val="center"/>
                </w:tcPr>
                <w:p>
                  <w:pPr>
                    <w:pStyle w:val="99"/>
                    <w:rPr>
                      <w:rFonts w:cs="Times New Roman"/>
                    </w:rPr>
                  </w:pPr>
                  <w:r>
                    <w:rPr>
                      <w:rFonts w:cs="Times New Roman"/>
                      <w:sz w:val="22"/>
                      <w:szCs w:val="22"/>
                    </w:rPr>
                    <w:t>858</w:t>
                  </w:r>
                </w:p>
              </w:tc>
              <w:tc>
                <w:tcPr>
                  <w:tcW w:w="743" w:type="dxa"/>
                  <w:vAlign w:val="center"/>
                </w:tcPr>
                <w:p>
                  <w:pPr>
                    <w:pStyle w:val="99"/>
                    <w:rPr>
                      <w:rFonts w:cs="Times New Roman"/>
                    </w:rPr>
                  </w:pPr>
                  <w:r>
                    <w:rPr>
                      <w:rFonts w:cs="Times New Roman"/>
                      <w:sz w:val="22"/>
                      <w:szCs w:val="22"/>
                    </w:rPr>
                    <w:t>671</w:t>
                  </w:r>
                </w:p>
              </w:tc>
              <w:tc>
                <w:tcPr>
                  <w:tcW w:w="743" w:type="dxa"/>
                  <w:vAlign w:val="center"/>
                </w:tcPr>
                <w:p>
                  <w:pPr>
                    <w:pStyle w:val="99"/>
                    <w:rPr>
                      <w:rFonts w:cs="Times New Roman"/>
                    </w:rPr>
                  </w:pPr>
                  <w:r>
                    <w:rPr>
                      <w:rFonts w:cs="Times New Roman"/>
                      <w:sz w:val="22"/>
                      <w:szCs w:val="22"/>
                    </w:rPr>
                    <w:t>589</w:t>
                  </w:r>
                </w:p>
              </w:tc>
              <w:tc>
                <w:tcPr>
                  <w:tcW w:w="745" w:type="dxa"/>
                  <w:vAlign w:val="center"/>
                </w:tcPr>
                <w:p>
                  <w:pPr>
                    <w:pStyle w:val="99"/>
                    <w:rPr>
                      <w:rFonts w:cs="Times New Roman"/>
                    </w:rPr>
                  </w:pPr>
                  <w:r>
                    <w:rPr>
                      <w:rFonts w:cs="Times New Roman"/>
                      <w:sz w:val="22"/>
                      <w:szCs w:val="22"/>
                    </w:rPr>
                    <w:t>478</w:t>
                  </w:r>
                </w:p>
              </w:tc>
            </w:tr>
          </w:tbl>
          <w:p>
            <w:pPr>
              <w:ind w:firstLine="220"/>
              <w:rPr>
                <w:sz w:val="11"/>
                <w:szCs w:val="11"/>
              </w:rPr>
            </w:pPr>
          </w:p>
          <w:p>
            <w:pPr>
              <w:pStyle w:val="45"/>
              <w:ind w:firstLine="480"/>
              <w:rPr>
                <w:szCs w:val="20"/>
              </w:rPr>
            </w:pPr>
            <w:r>
              <w:rPr>
                <w:rFonts w:hint="eastAsia"/>
              </w:rPr>
              <w:t>（5）</w:t>
            </w:r>
            <w:r>
              <w:t>水文地质</w:t>
            </w:r>
          </w:p>
          <w:p>
            <w:pPr>
              <w:pStyle w:val="45"/>
              <w:ind w:firstLine="480"/>
              <w:rPr>
                <w:szCs w:val="20"/>
              </w:rPr>
            </w:pPr>
            <w:r>
              <w:rPr>
                <w:rFonts w:hint="eastAsia"/>
                <w:szCs w:val="20"/>
              </w:rPr>
              <w:t>库区</w:t>
            </w:r>
            <w:r>
              <w:rPr>
                <w:szCs w:val="20"/>
              </w:rPr>
              <w:t>位于中低山区，地下水类型主要有基岩裂隙水和</w:t>
            </w:r>
            <w:r>
              <w:rPr>
                <w:rFonts w:hint="eastAsia"/>
                <w:szCs w:val="20"/>
              </w:rPr>
              <w:t>孔隙</w:t>
            </w:r>
            <w:r>
              <w:rPr>
                <w:szCs w:val="20"/>
              </w:rPr>
              <w:t>潜水，</w:t>
            </w:r>
            <w:r>
              <w:rPr>
                <w:rFonts w:hint="eastAsia"/>
                <w:szCs w:val="20"/>
              </w:rPr>
              <w:t>基岩裂隙水主要赋存于库区上游高山区古生界石炭系、二叠系砂岩、砾岩层中，孔隙潜水分布于河床砂卵砾石覆盖层中。</w:t>
            </w:r>
          </w:p>
          <w:p>
            <w:pPr>
              <w:pStyle w:val="45"/>
              <w:ind w:firstLine="480"/>
              <w:rPr>
                <w:szCs w:val="20"/>
              </w:rPr>
            </w:pPr>
            <w:r>
              <w:rPr>
                <w:rFonts w:hint="eastAsia"/>
                <w:szCs w:val="20"/>
              </w:rPr>
              <w:t>基岩裂隙水主要受大气降水补给，贮存在强风化-弱风化岩体的裂隙中，并沿裂隙网络运移，向河流排泄。基岩裂隙水贫乏，无统一水面，且具有季节性变化明显的特点。</w:t>
            </w:r>
          </w:p>
          <w:p>
            <w:pPr>
              <w:pStyle w:val="45"/>
              <w:ind w:firstLine="480"/>
              <w:rPr>
                <w:szCs w:val="20"/>
              </w:rPr>
            </w:pPr>
            <w:r>
              <w:rPr>
                <w:rFonts w:hint="eastAsia"/>
                <w:szCs w:val="20"/>
              </w:rPr>
              <w:t>孔隙潜水地下水位埋深0.5</w:t>
            </w:r>
            <w:r>
              <w:rPr>
                <w:szCs w:val="20"/>
              </w:rPr>
              <w:t>m</w:t>
            </w:r>
            <w:r>
              <w:rPr>
                <w:rFonts w:hint="eastAsia"/>
                <w:szCs w:val="20"/>
              </w:rPr>
              <w:t>～1.5m，含水层厚度17.5</w:t>
            </w:r>
            <w:r>
              <w:rPr>
                <w:szCs w:val="20"/>
              </w:rPr>
              <w:t>m</w:t>
            </w:r>
            <w:r>
              <w:rPr>
                <w:rFonts w:hint="eastAsia"/>
                <w:szCs w:val="20"/>
              </w:rPr>
              <w:t>～18.0m，渗透系数大于10 cm/s～2cm/s，属强透水层，地下水以潜流的形式补给下游。</w:t>
            </w:r>
          </w:p>
          <w:p>
            <w:pPr>
              <w:pStyle w:val="45"/>
              <w:ind w:firstLine="480"/>
              <w:rPr>
                <w:szCs w:val="20"/>
              </w:rPr>
            </w:pPr>
            <w:r>
              <w:rPr>
                <w:rFonts w:hint="eastAsia"/>
                <w:szCs w:val="20"/>
              </w:rPr>
              <w:t>据河水水质分析资料地下水类型SO</w:t>
            </w:r>
            <w:r>
              <w:rPr>
                <w:rFonts w:hint="eastAsia"/>
                <w:szCs w:val="20"/>
                <w:vertAlign w:val="subscript"/>
              </w:rPr>
              <w:t>4</w:t>
            </w:r>
            <w:r>
              <w:rPr>
                <w:rFonts w:hint="eastAsia"/>
                <w:szCs w:val="20"/>
                <w:vertAlign w:val="superscript"/>
              </w:rPr>
              <w:t>2-</w:t>
            </w:r>
            <w:r>
              <w:rPr>
                <w:rFonts w:hint="eastAsia"/>
                <w:szCs w:val="20"/>
              </w:rPr>
              <w:t>-HCO</w:t>
            </w:r>
            <w:r>
              <w:rPr>
                <w:rFonts w:hint="eastAsia"/>
                <w:szCs w:val="20"/>
                <w:vertAlign w:val="superscript"/>
              </w:rPr>
              <w:t>-</w:t>
            </w:r>
            <w:r>
              <w:rPr>
                <w:rFonts w:hint="eastAsia"/>
                <w:szCs w:val="20"/>
                <w:vertAlign w:val="subscript"/>
              </w:rPr>
              <w:t>3</w:t>
            </w:r>
            <w:r>
              <w:rPr>
                <w:rFonts w:hint="eastAsia"/>
                <w:szCs w:val="20"/>
              </w:rPr>
              <w:t>-Ca</w:t>
            </w:r>
            <w:r>
              <w:rPr>
                <w:rFonts w:hint="eastAsia"/>
                <w:szCs w:val="20"/>
                <w:vertAlign w:val="superscript"/>
              </w:rPr>
              <w:t>2+</w:t>
            </w:r>
            <w:r>
              <w:rPr>
                <w:rFonts w:hint="eastAsia"/>
                <w:szCs w:val="20"/>
              </w:rPr>
              <w:t>-Na</w:t>
            </w:r>
            <w:r>
              <w:rPr>
                <w:rFonts w:hint="eastAsia"/>
                <w:szCs w:val="20"/>
                <w:vertAlign w:val="superscript"/>
              </w:rPr>
              <w:t>+</w:t>
            </w:r>
            <w:r>
              <w:rPr>
                <w:rFonts w:hint="eastAsia"/>
                <w:szCs w:val="20"/>
              </w:rPr>
              <w:t>型，pH=7.5～8.5。</w:t>
            </w:r>
          </w:p>
          <w:p>
            <w:pPr>
              <w:pStyle w:val="45"/>
              <w:ind w:firstLine="480"/>
            </w:pPr>
            <w:r>
              <w:rPr>
                <w:rFonts w:hint="eastAsia"/>
              </w:rPr>
              <w:t>（6）</w:t>
            </w:r>
            <w:r>
              <w:t>地表水环境</w:t>
            </w:r>
          </w:p>
          <w:p>
            <w:pPr>
              <w:adjustRightInd w:val="0"/>
              <w:snapToGrid w:val="0"/>
              <w:spacing w:line="360" w:lineRule="auto"/>
              <w:ind w:firstLine="480" w:firstLineChars="200"/>
              <w:rPr>
                <w:sz w:val="24"/>
              </w:rPr>
            </w:pPr>
            <w:r>
              <w:rPr>
                <w:rFonts w:hint="eastAsia"/>
                <w:sz w:val="24"/>
              </w:rPr>
              <w:t>根据《新疆</w:t>
            </w:r>
            <w:r>
              <w:rPr>
                <w:sz w:val="24"/>
              </w:rPr>
              <w:t>木垒县东城河流域规划</w:t>
            </w:r>
            <w:r>
              <w:rPr>
                <w:rFonts w:hint="eastAsia"/>
                <w:sz w:val="24"/>
              </w:rPr>
              <w:t>》及</w:t>
            </w:r>
            <w:r>
              <w:rPr>
                <w:sz w:val="24"/>
              </w:rPr>
              <w:t>流域规划环评，东城河东城渠首以上河段执行</w:t>
            </w:r>
            <w:r>
              <w:rPr>
                <w:rFonts w:hint="eastAsia" w:ascii="宋体" w:hAnsi="宋体"/>
                <w:sz w:val="24"/>
              </w:rPr>
              <w:t>Ⅱ类</w:t>
            </w:r>
            <w:r>
              <w:rPr>
                <w:rFonts w:ascii="宋体" w:hAnsi="宋体"/>
                <w:sz w:val="24"/>
              </w:rPr>
              <w:t>水质标准</w:t>
            </w:r>
            <w:r>
              <w:rPr>
                <w:rFonts w:hint="eastAsia" w:ascii="宋体" w:hAnsi="宋体"/>
                <w:sz w:val="24"/>
              </w:rPr>
              <w:t>，东城河渠首以下河段执行Ⅲ类水质标准</w:t>
            </w:r>
            <w:r>
              <w:rPr>
                <w:sz w:val="24"/>
              </w:rPr>
              <w:t>。</w:t>
            </w:r>
            <w:r>
              <w:rPr>
                <w:rFonts w:hint="eastAsia"/>
                <w:sz w:val="24"/>
              </w:rPr>
              <w:t>本工程</w:t>
            </w:r>
            <w:r>
              <w:rPr>
                <w:sz w:val="24"/>
              </w:rPr>
              <w:t>位于东城</w:t>
            </w:r>
            <w:r>
              <w:rPr>
                <w:rFonts w:hint="eastAsia"/>
                <w:sz w:val="24"/>
              </w:rPr>
              <w:t>渠首</w:t>
            </w:r>
            <w:r>
              <w:rPr>
                <w:sz w:val="24"/>
              </w:rPr>
              <w:t>以上</w:t>
            </w:r>
            <w:r>
              <w:rPr>
                <w:rFonts w:hint="eastAsia"/>
                <w:sz w:val="24"/>
              </w:rPr>
              <w:t>河段</w:t>
            </w:r>
            <w:r>
              <w:rPr>
                <w:sz w:val="24"/>
              </w:rPr>
              <w:t>，执行</w:t>
            </w:r>
            <w:r>
              <w:rPr>
                <w:rFonts w:hint="eastAsia" w:ascii="宋体" w:hAnsi="宋体"/>
                <w:sz w:val="24"/>
              </w:rPr>
              <w:t>Ⅱ类</w:t>
            </w:r>
            <w:r>
              <w:rPr>
                <w:rFonts w:ascii="宋体" w:hAnsi="宋体"/>
                <w:sz w:val="24"/>
              </w:rPr>
              <w:t>水质标准</w:t>
            </w:r>
            <w:r>
              <w:rPr>
                <w:rFonts w:hint="eastAsia" w:ascii="宋体" w:hAnsi="宋体"/>
                <w:sz w:val="24"/>
              </w:rPr>
              <w:t>。</w:t>
            </w:r>
          </w:p>
          <w:p>
            <w:pPr>
              <w:pStyle w:val="45"/>
              <w:ind w:firstLine="480"/>
              <w:rPr>
                <w:szCs w:val="20"/>
              </w:rPr>
            </w:pPr>
            <w:r>
              <w:rPr>
                <w:szCs w:val="20"/>
              </w:rPr>
              <w:t>根据</w:t>
            </w:r>
            <w:r>
              <w:rPr>
                <w:rFonts w:hint="eastAsia"/>
                <w:szCs w:val="20"/>
              </w:rPr>
              <w:t>现场调查</w:t>
            </w:r>
            <w:r>
              <w:rPr>
                <w:szCs w:val="20"/>
              </w:rPr>
              <w:t>及咨询</w:t>
            </w:r>
            <w:r>
              <w:rPr>
                <w:rFonts w:hint="eastAsia"/>
                <w:szCs w:val="20"/>
              </w:rPr>
              <w:t>相关管理部门</w:t>
            </w:r>
            <w:r>
              <w:rPr>
                <w:szCs w:val="20"/>
              </w:rPr>
              <w:t>，</w:t>
            </w:r>
            <w:r>
              <w:rPr>
                <w:rFonts w:hint="eastAsia"/>
                <w:szCs w:val="20"/>
              </w:rPr>
              <w:t>东城河流域</w:t>
            </w:r>
            <w:r>
              <w:rPr>
                <w:szCs w:val="20"/>
              </w:rPr>
              <w:t>无工业、企业分布，河段无工业企业排污口和集中生活入河点源；主要污染源为少量农牧业面源污染，</w:t>
            </w:r>
            <w:r>
              <w:rPr>
                <w:rFonts w:hint="eastAsia"/>
                <w:szCs w:val="20"/>
              </w:rPr>
              <w:t>主要</w:t>
            </w:r>
            <w:r>
              <w:rPr>
                <w:szCs w:val="20"/>
              </w:rPr>
              <w:t>以地下</w:t>
            </w:r>
            <w:r>
              <w:rPr>
                <w:rFonts w:hint="eastAsia"/>
                <w:szCs w:val="20"/>
              </w:rPr>
              <w:t>潜流</w:t>
            </w:r>
            <w:r>
              <w:rPr>
                <w:szCs w:val="20"/>
              </w:rPr>
              <w:t>方式汇入东城河。</w:t>
            </w:r>
            <w:r>
              <w:rPr>
                <w:rFonts w:hint="eastAsia"/>
                <w:szCs w:val="20"/>
              </w:rPr>
              <w:t>红山嘴</w:t>
            </w:r>
            <w:r>
              <w:rPr>
                <w:szCs w:val="20"/>
              </w:rPr>
              <w:t>水库工程</w:t>
            </w:r>
            <w:r>
              <w:rPr>
                <w:rFonts w:hint="eastAsia"/>
                <w:szCs w:val="20"/>
              </w:rPr>
              <w:t>淹没区</w:t>
            </w:r>
            <w:r>
              <w:rPr>
                <w:szCs w:val="20"/>
              </w:rPr>
              <w:t>范围内无</w:t>
            </w:r>
            <w:r>
              <w:rPr>
                <w:rFonts w:hint="eastAsia"/>
                <w:szCs w:val="20"/>
              </w:rPr>
              <w:t>取水口</w:t>
            </w:r>
            <w:r>
              <w:rPr>
                <w:szCs w:val="20"/>
              </w:rPr>
              <w:t>、</w:t>
            </w:r>
            <w:r>
              <w:rPr>
                <w:rFonts w:hint="eastAsia"/>
                <w:szCs w:val="20"/>
              </w:rPr>
              <w:t>及</w:t>
            </w:r>
            <w:r>
              <w:rPr>
                <w:szCs w:val="20"/>
              </w:rPr>
              <w:t>工业企业排污口和集中生活入河点源</w:t>
            </w:r>
            <w:r>
              <w:rPr>
                <w:rFonts w:hint="eastAsia"/>
                <w:szCs w:val="20"/>
              </w:rPr>
              <w:t>。</w:t>
            </w:r>
          </w:p>
          <w:p>
            <w:pPr>
              <w:adjustRightInd w:val="0"/>
              <w:snapToGrid w:val="0"/>
              <w:spacing w:line="360" w:lineRule="auto"/>
              <w:ind w:firstLine="480" w:firstLineChars="200"/>
              <w:rPr>
                <w:sz w:val="24"/>
              </w:rPr>
            </w:pPr>
            <w:r>
              <w:rPr>
                <w:rFonts w:hint="eastAsia"/>
                <w:sz w:val="24"/>
              </w:rPr>
              <w:t>本次环评委托新疆锡水金山环境科技有限公司于2022年12月29日，对工程坝址断面、东城渠首下游断面及坝址下游1.5km断面的地表水质进行了采样分析检测结果见表</w:t>
            </w:r>
            <w:r>
              <w:rPr>
                <w:sz w:val="24"/>
              </w:rPr>
              <w:t>3</w:t>
            </w:r>
            <w:r>
              <w:rPr>
                <w:rFonts w:hint="eastAsia"/>
                <w:sz w:val="24"/>
              </w:rPr>
              <w:t>；于202</w:t>
            </w:r>
            <w:r>
              <w:rPr>
                <w:sz w:val="24"/>
              </w:rPr>
              <w:t>3</w:t>
            </w:r>
            <w:r>
              <w:rPr>
                <w:rFonts w:hint="eastAsia"/>
                <w:sz w:val="24"/>
              </w:rPr>
              <w:t>年</w:t>
            </w:r>
            <w:r>
              <w:rPr>
                <w:sz w:val="24"/>
              </w:rPr>
              <w:t>7</w:t>
            </w:r>
            <w:r>
              <w:rPr>
                <w:rFonts w:hint="eastAsia"/>
                <w:sz w:val="24"/>
              </w:rPr>
              <w:t>月</w:t>
            </w:r>
            <w:r>
              <w:rPr>
                <w:sz w:val="24"/>
              </w:rPr>
              <w:t>7</w:t>
            </w:r>
            <w:r>
              <w:rPr>
                <w:rFonts w:hint="eastAsia"/>
                <w:sz w:val="24"/>
              </w:rPr>
              <w:t>日，对坝址</w:t>
            </w:r>
            <w:r>
              <w:rPr>
                <w:sz w:val="24"/>
              </w:rPr>
              <w:t>上游</w:t>
            </w:r>
            <w:r>
              <w:rPr>
                <w:rFonts w:hint="eastAsia"/>
                <w:sz w:val="24"/>
              </w:rPr>
              <w:t>500</w:t>
            </w:r>
            <w:r>
              <w:rPr>
                <w:sz w:val="24"/>
              </w:rPr>
              <w:t>m断面</w:t>
            </w:r>
            <w:r>
              <w:rPr>
                <w:rFonts w:hint="eastAsia"/>
                <w:sz w:val="24"/>
              </w:rPr>
              <w:t>、工程坝址</w:t>
            </w:r>
            <w:r>
              <w:rPr>
                <w:sz w:val="24"/>
              </w:rPr>
              <w:t>断面</w:t>
            </w:r>
            <w:r>
              <w:rPr>
                <w:rFonts w:hint="eastAsia"/>
                <w:sz w:val="24"/>
              </w:rPr>
              <w:t>和</w:t>
            </w:r>
            <w:r>
              <w:rPr>
                <w:sz w:val="24"/>
              </w:rPr>
              <w:t>东城</w:t>
            </w:r>
            <w:r>
              <w:rPr>
                <w:rFonts w:hint="eastAsia"/>
                <w:sz w:val="24"/>
              </w:rPr>
              <w:t>渠首</w:t>
            </w:r>
            <w:r>
              <w:rPr>
                <w:sz w:val="24"/>
              </w:rPr>
              <w:t>下游断面</w:t>
            </w:r>
            <w:r>
              <w:rPr>
                <w:rFonts w:hint="eastAsia"/>
                <w:sz w:val="24"/>
              </w:rPr>
              <w:t>的地表水质进行了采样分析，检测分析</w:t>
            </w:r>
            <w:r>
              <w:rPr>
                <w:sz w:val="24"/>
              </w:rPr>
              <w:t>结果</w:t>
            </w:r>
            <w:r>
              <w:rPr>
                <w:rFonts w:hint="eastAsia"/>
                <w:sz w:val="24"/>
              </w:rPr>
              <w:t>见</w:t>
            </w:r>
            <w:r>
              <w:rPr>
                <w:sz w:val="24"/>
              </w:rPr>
              <w:t>表</w:t>
            </w:r>
            <w:r>
              <w:rPr>
                <w:rFonts w:hint="eastAsia"/>
                <w:sz w:val="24"/>
              </w:rPr>
              <w:t>4。</w:t>
            </w:r>
          </w:p>
          <w:p>
            <w:pPr>
              <w:jc w:val="left"/>
              <w:rPr>
                <w:rFonts w:ascii="黑体" w:hAnsi="黑体" w:eastAsia="黑体"/>
                <w:sz w:val="24"/>
              </w:rPr>
            </w:pPr>
            <w:r>
              <w:rPr>
                <w:rFonts w:hint="eastAsia" w:ascii="黑体" w:hAnsi="黑体" w:eastAsia="黑体"/>
                <w:sz w:val="24"/>
              </w:rPr>
              <w:t>表</w:t>
            </w:r>
            <w:r>
              <w:rPr>
                <w:rFonts w:eastAsia="黑体"/>
                <w:sz w:val="24"/>
              </w:rPr>
              <w:t>3</w:t>
            </w:r>
            <w:r>
              <w:rPr>
                <w:rFonts w:ascii="黑体" w:hAnsi="黑体" w:eastAsia="黑体"/>
                <w:sz w:val="24"/>
              </w:rPr>
              <w:t xml:space="preserve">                2022</w:t>
            </w:r>
            <w:r>
              <w:rPr>
                <w:rFonts w:hint="eastAsia" w:ascii="黑体" w:hAnsi="黑体" w:eastAsia="黑体"/>
                <w:sz w:val="24"/>
              </w:rPr>
              <w:t>年12月水质现状监测及评价结果   单位</w:t>
            </w:r>
            <w:r>
              <w:rPr>
                <w:rFonts w:ascii="黑体" w:hAnsi="黑体" w:eastAsia="黑体"/>
                <w:sz w:val="24"/>
              </w:rPr>
              <w:t>：mg/L</w:t>
            </w:r>
          </w:p>
          <w:tbl>
            <w:tblPr>
              <w:tblStyle w:val="21"/>
              <w:tblW w:w="8231" w:type="dxa"/>
              <w:tblInd w:w="0" w:type="dxa"/>
              <w:tblLayout w:type="fixed"/>
              <w:tblCellMar>
                <w:top w:w="0" w:type="dxa"/>
                <w:left w:w="108" w:type="dxa"/>
                <w:bottom w:w="0" w:type="dxa"/>
                <w:right w:w="108" w:type="dxa"/>
              </w:tblCellMar>
            </w:tblPr>
            <w:tblGrid>
              <w:gridCol w:w="1127"/>
              <w:gridCol w:w="903"/>
              <w:gridCol w:w="903"/>
              <w:gridCol w:w="576"/>
              <w:gridCol w:w="903"/>
              <w:gridCol w:w="903"/>
              <w:gridCol w:w="611"/>
              <w:gridCol w:w="903"/>
              <w:gridCol w:w="903"/>
              <w:gridCol w:w="499"/>
            </w:tblGrid>
            <w:tr>
              <w:tblPrEx>
                <w:tblLayout w:type="fixed"/>
                <w:tblCellMar>
                  <w:top w:w="0" w:type="dxa"/>
                  <w:left w:w="108" w:type="dxa"/>
                  <w:bottom w:w="0" w:type="dxa"/>
                  <w:right w:w="108" w:type="dxa"/>
                </w:tblCellMar>
              </w:tblPrEx>
              <w:trPr>
                <w:trHeight w:val="20" w:hRule="atLeast"/>
                <w:tblHeader/>
              </w:trPr>
              <w:tc>
                <w:tcPr>
                  <w:tcW w:w="1127" w:type="dxa"/>
                  <w:vMerge w:val="restart"/>
                  <w:tcBorders>
                    <w:top w:val="single" w:color="auto" w:sz="4" w:space="0"/>
                    <w:left w:val="single" w:color="auto" w:sz="4" w:space="0"/>
                    <w:right w:val="single" w:color="auto" w:sz="4" w:space="0"/>
                    <w:tl2br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断面</w:t>
                  </w:r>
                </w:p>
                <w:p>
                  <w:pPr>
                    <w:widowControl/>
                    <w:jc w:val="center"/>
                    <w:rPr>
                      <w:rFonts w:cs="宋体"/>
                      <w:kern w:val="0"/>
                      <w:sz w:val="18"/>
                      <w:szCs w:val="18"/>
                    </w:rPr>
                  </w:pPr>
                </w:p>
                <w:p>
                  <w:pPr>
                    <w:widowControl/>
                    <w:jc w:val="center"/>
                    <w:rPr>
                      <w:rFonts w:cs="宋体"/>
                      <w:kern w:val="0"/>
                      <w:sz w:val="18"/>
                      <w:szCs w:val="18"/>
                    </w:rPr>
                  </w:pPr>
                </w:p>
                <w:p>
                  <w:pPr>
                    <w:jc w:val="center"/>
                    <w:rPr>
                      <w:rFonts w:cs="宋体"/>
                      <w:kern w:val="0"/>
                      <w:sz w:val="18"/>
                      <w:szCs w:val="18"/>
                    </w:rPr>
                  </w:pPr>
                  <w:r>
                    <w:rPr>
                      <w:rFonts w:hint="eastAsia" w:cs="宋体"/>
                      <w:kern w:val="0"/>
                      <w:sz w:val="18"/>
                      <w:szCs w:val="18"/>
                    </w:rPr>
                    <w:t>监测项目</w:t>
                  </w:r>
                </w:p>
              </w:tc>
              <w:tc>
                <w:tcPr>
                  <w:tcW w:w="23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拟建红山嘴水库坝址处</w:t>
                  </w:r>
                </w:p>
              </w:tc>
              <w:tc>
                <w:tcPr>
                  <w:tcW w:w="2417"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东城渠首下游断面</w:t>
                  </w:r>
                </w:p>
              </w:tc>
              <w:tc>
                <w:tcPr>
                  <w:tcW w:w="2305"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 w:val="18"/>
                      <w:szCs w:val="18"/>
                    </w:rPr>
                  </w:pPr>
                  <w:r>
                    <w:rPr>
                      <w:rFonts w:hint="eastAsia" w:cs="宋体"/>
                      <w:kern w:val="0"/>
                      <w:sz w:val="18"/>
                      <w:szCs w:val="18"/>
                    </w:rPr>
                    <w:t>坝址下游1.5</w:t>
                  </w:r>
                  <w:r>
                    <w:rPr>
                      <w:rFonts w:cs="宋体"/>
                      <w:kern w:val="0"/>
                      <w:sz w:val="18"/>
                      <w:szCs w:val="18"/>
                    </w:rPr>
                    <w:t>km</w:t>
                  </w:r>
                </w:p>
              </w:tc>
            </w:tr>
            <w:tr>
              <w:tblPrEx>
                <w:tblLayout w:type="fixed"/>
                <w:tblCellMar>
                  <w:top w:w="0" w:type="dxa"/>
                  <w:left w:w="108" w:type="dxa"/>
                  <w:bottom w:w="0" w:type="dxa"/>
                  <w:right w:w="108" w:type="dxa"/>
                </w:tblCellMar>
              </w:tblPrEx>
              <w:trPr>
                <w:trHeight w:val="624" w:hRule="atLeast"/>
                <w:tblHeader/>
              </w:trPr>
              <w:tc>
                <w:tcPr>
                  <w:tcW w:w="1127" w:type="dxa"/>
                  <w:vMerge w:val="continue"/>
                  <w:tcBorders>
                    <w:left w:val="single" w:color="auto" w:sz="4" w:space="0"/>
                    <w:right w:val="single" w:color="auto" w:sz="4" w:space="0"/>
                    <w:tl2br w:val="single" w:color="auto" w:sz="4" w:space="0"/>
                  </w:tcBorders>
                  <w:vAlign w:val="center"/>
                </w:tcPr>
                <w:p>
                  <w:pPr>
                    <w:widowControl/>
                    <w:jc w:val="center"/>
                    <w:rPr>
                      <w:rFonts w:cs="宋体"/>
                      <w:kern w:val="0"/>
                      <w:sz w:val="18"/>
                      <w:szCs w:val="18"/>
                    </w:rPr>
                  </w:pPr>
                </w:p>
              </w:tc>
              <w:tc>
                <w:tcPr>
                  <w:tcW w:w="238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E</w:t>
                  </w:r>
                  <w:r>
                    <w:rPr>
                      <w:rFonts w:hint="eastAsia" w:cs="宋体"/>
                      <w:kern w:val="0"/>
                      <w:sz w:val="18"/>
                      <w:szCs w:val="18"/>
                    </w:rPr>
                    <w:t>：</w:t>
                  </w:r>
                  <w:r>
                    <w:rPr>
                      <w:rFonts w:cs="宋体"/>
                      <w:kern w:val="0"/>
                      <w:sz w:val="18"/>
                      <w:szCs w:val="18"/>
                    </w:rPr>
                    <w:t>90°10′49.36″</w:t>
                  </w:r>
                </w:p>
                <w:p>
                  <w:pPr>
                    <w:widowControl/>
                    <w:jc w:val="center"/>
                    <w:rPr>
                      <w:rFonts w:cs="宋体"/>
                      <w:kern w:val="0"/>
                      <w:sz w:val="18"/>
                      <w:szCs w:val="18"/>
                    </w:rPr>
                  </w:pPr>
                  <w:r>
                    <w:rPr>
                      <w:rFonts w:cs="宋体"/>
                      <w:kern w:val="0"/>
                      <w:sz w:val="18"/>
                      <w:szCs w:val="18"/>
                    </w:rPr>
                    <w:t>N</w:t>
                  </w:r>
                  <w:r>
                    <w:rPr>
                      <w:rFonts w:hint="eastAsia" w:cs="宋体"/>
                      <w:kern w:val="0"/>
                      <w:sz w:val="18"/>
                      <w:szCs w:val="18"/>
                    </w:rPr>
                    <w:t>：</w:t>
                  </w:r>
                  <w:r>
                    <w:rPr>
                      <w:rFonts w:cs="宋体"/>
                      <w:kern w:val="0"/>
                      <w:sz w:val="18"/>
                      <w:szCs w:val="18"/>
                    </w:rPr>
                    <w:t>43°44′36.48″</w:t>
                  </w:r>
                </w:p>
              </w:tc>
              <w:tc>
                <w:tcPr>
                  <w:tcW w:w="2417"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E</w:t>
                  </w:r>
                  <w:r>
                    <w:rPr>
                      <w:rFonts w:hint="eastAsia" w:cs="宋体"/>
                      <w:kern w:val="0"/>
                      <w:sz w:val="18"/>
                      <w:szCs w:val="18"/>
                    </w:rPr>
                    <w:t>：</w:t>
                  </w:r>
                  <w:r>
                    <w:rPr>
                      <w:rFonts w:cs="宋体"/>
                      <w:kern w:val="0"/>
                      <w:sz w:val="18"/>
                      <w:szCs w:val="18"/>
                    </w:rPr>
                    <w:t>90°10′34.61″</w:t>
                  </w:r>
                </w:p>
                <w:p>
                  <w:pPr>
                    <w:widowControl/>
                    <w:jc w:val="center"/>
                    <w:rPr>
                      <w:rFonts w:cs="宋体"/>
                      <w:kern w:val="0"/>
                      <w:sz w:val="18"/>
                      <w:szCs w:val="18"/>
                    </w:rPr>
                  </w:pPr>
                  <w:r>
                    <w:rPr>
                      <w:rFonts w:cs="宋体"/>
                      <w:kern w:val="0"/>
                      <w:sz w:val="18"/>
                      <w:szCs w:val="18"/>
                    </w:rPr>
                    <w:t>N</w:t>
                  </w:r>
                  <w:r>
                    <w:rPr>
                      <w:rFonts w:hint="eastAsia" w:cs="宋体"/>
                      <w:kern w:val="0"/>
                      <w:sz w:val="18"/>
                      <w:szCs w:val="18"/>
                    </w:rPr>
                    <w:t>：</w:t>
                  </w:r>
                  <w:r>
                    <w:rPr>
                      <w:rFonts w:cs="宋体"/>
                      <w:kern w:val="0"/>
                      <w:sz w:val="18"/>
                      <w:szCs w:val="18"/>
                    </w:rPr>
                    <w:t>43°45′1.74″</w:t>
                  </w:r>
                </w:p>
              </w:tc>
              <w:tc>
                <w:tcPr>
                  <w:tcW w:w="230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E</w:t>
                  </w:r>
                  <w:r>
                    <w:rPr>
                      <w:rFonts w:hint="eastAsia" w:cs="宋体"/>
                      <w:kern w:val="0"/>
                      <w:sz w:val="18"/>
                      <w:szCs w:val="18"/>
                    </w:rPr>
                    <w:t>：</w:t>
                  </w:r>
                  <w:r>
                    <w:rPr>
                      <w:rFonts w:cs="宋体"/>
                      <w:kern w:val="0"/>
                      <w:sz w:val="18"/>
                      <w:szCs w:val="18"/>
                    </w:rPr>
                    <w:t>90°10′23.98″</w:t>
                  </w:r>
                </w:p>
                <w:p>
                  <w:pPr>
                    <w:widowControl/>
                    <w:jc w:val="center"/>
                    <w:rPr>
                      <w:rFonts w:cs="宋体"/>
                      <w:kern w:val="0"/>
                      <w:sz w:val="18"/>
                      <w:szCs w:val="18"/>
                    </w:rPr>
                  </w:pPr>
                  <w:r>
                    <w:rPr>
                      <w:rFonts w:cs="宋体"/>
                      <w:kern w:val="0"/>
                      <w:sz w:val="18"/>
                      <w:szCs w:val="18"/>
                    </w:rPr>
                    <w:t>N</w:t>
                  </w:r>
                  <w:r>
                    <w:rPr>
                      <w:rFonts w:hint="eastAsia" w:cs="宋体"/>
                      <w:kern w:val="0"/>
                      <w:sz w:val="18"/>
                      <w:szCs w:val="18"/>
                    </w:rPr>
                    <w:t>：</w:t>
                  </w:r>
                  <w:r>
                    <w:rPr>
                      <w:rFonts w:cs="宋体"/>
                      <w:kern w:val="0"/>
                      <w:sz w:val="18"/>
                      <w:szCs w:val="18"/>
                    </w:rPr>
                    <w:t>43°45′45.58″</w:t>
                  </w:r>
                </w:p>
              </w:tc>
            </w:tr>
            <w:tr>
              <w:tblPrEx>
                <w:tblLayout w:type="fixed"/>
                <w:tblCellMar>
                  <w:top w:w="0" w:type="dxa"/>
                  <w:left w:w="108" w:type="dxa"/>
                  <w:bottom w:w="0" w:type="dxa"/>
                  <w:right w:w="108" w:type="dxa"/>
                </w:tblCellMar>
              </w:tblPrEx>
              <w:trPr>
                <w:trHeight w:val="20" w:hRule="atLeast"/>
              </w:trPr>
              <w:tc>
                <w:tcPr>
                  <w:tcW w:w="1127" w:type="dxa"/>
                  <w:vMerge w:val="continue"/>
                  <w:tcBorders>
                    <w:left w:val="single" w:color="auto" w:sz="4" w:space="0"/>
                    <w:bottom w:val="single" w:color="auto" w:sz="4" w:space="0"/>
                    <w:right w:val="single" w:color="auto" w:sz="4" w:space="0"/>
                    <w:tl2br w:val="single" w:color="auto" w:sz="4" w:space="0"/>
                  </w:tcBorders>
                  <w:shd w:val="clear" w:color="auto" w:fill="auto"/>
                  <w:vAlign w:val="center"/>
                </w:tcPr>
                <w:p>
                  <w:pPr>
                    <w:widowControl/>
                    <w:jc w:val="center"/>
                    <w:rPr>
                      <w:rFonts w:cs="宋体"/>
                      <w:kern w:val="0"/>
                      <w:sz w:val="18"/>
                      <w:szCs w:val="18"/>
                    </w:rPr>
                  </w:pP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监测</w:t>
                  </w:r>
                  <w:r>
                    <w:rPr>
                      <w:rFonts w:cs="宋体"/>
                      <w:kern w:val="0"/>
                      <w:sz w:val="18"/>
                      <w:szCs w:val="18"/>
                    </w:rPr>
                    <w:t>结果</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单因子指数</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评价</w:t>
                  </w:r>
                  <w:r>
                    <w:rPr>
                      <w:rFonts w:cs="宋体"/>
                      <w:kern w:val="0"/>
                      <w:sz w:val="18"/>
                      <w:szCs w:val="18"/>
                    </w:rPr>
                    <w:t>结果</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监测</w:t>
                  </w:r>
                  <w:r>
                    <w:rPr>
                      <w:rFonts w:cs="宋体"/>
                      <w:kern w:val="0"/>
                      <w:sz w:val="18"/>
                      <w:szCs w:val="18"/>
                    </w:rPr>
                    <w:t>结果</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单因子指数</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评价</w:t>
                  </w:r>
                  <w:r>
                    <w:rPr>
                      <w:rFonts w:cs="宋体"/>
                      <w:kern w:val="0"/>
                      <w:sz w:val="18"/>
                      <w:szCs w:val="18"/>
                    </w:rPr>
                    <w:t>结果</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监测</w:t>
                  </w:r>
                  <w:r>
                    <w:rPr>
                      <w:rFonts w:cs="宋体"/>
                      <w:kern w:val="0"/>
                      <w:sz w:val="18"/>
                      <w:szCs w:val="18"/>
                    </w:rPr>
                    <w:t>结果</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单因子指数</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cs="宋体"/>
                      <w:kern w:val="0"/>
                      <w:sz w:val="18"/>
                      <w:szCs w:val="18"/>
                    </w:rPr>
                    <w:t>评价</w:t>
                  </w:r>
                  <w:r>
                    <w:rPr>
                      <w:rFonts w:cs="宋体"/>
                      <w:kern w:val="0"/>
                      <w:sz w:val="18"/>
                      <w:szCs w:val="18"/>
                    </w:rPr>
                    <w:t>结果</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pH</w:t>
                  </w:r>
                  <w:r>
                    <w:rPr>
                      <w:rFonts w:hint="eastAsia" w:cs="宋体"/>
                      <w:kern w:val="0"/>
                      <w:sz w:val="18"/>
                      <w:szCs w:val="18"/>
                    </w:rPr>
                    <w:t>（无量纲）</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7</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7.1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0.05</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7.2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0.1</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溶解氧</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10.88</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10.44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0.1</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10.23</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0.1</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高锰酸盐指数</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2.8</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0.7</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2.6</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0.7</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2.7</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0.7</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化学需氧量</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9</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0.6</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8</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0.5</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9</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0.6</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五日生化需氧量</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0.3</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0.4</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0.4</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氨氮</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0.122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0.113</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0.111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总磷</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铜</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&lt;0.00025</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&lt;0.00025</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&lt;0.00025</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锌</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&lt;0.01</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&lt;0.01</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&lt;0.01</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氟化物</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0.66</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0.66</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0.62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0.62</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0.65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0.65</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硒</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0.0004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0.04</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0.0005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0.05</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0.0006</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0.06</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砷</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0.0006</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0.012</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0.0006</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0.012</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0.0008</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0.016</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汞</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&lt;0.00004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&lt;0.8</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&lt;0.00004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&lt;0.8</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&lt;0.00004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&lt;0.8</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镉</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&lt;0.05</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&lt;0.05</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&lt;0.05</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六价铬</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0.014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0.28</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0.2</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0.019</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0.38</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铅</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&lt;0.25</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&lt;0.25</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&lt;0.0025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&lt;0.25</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氰化物</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&lt;0.08</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&lt;0.08</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&lt;0.004</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&lt;0.08</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挥发酚</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&lt;0.0003</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&lt;0.15</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&lt;0.0003</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&lt;0.15</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&lt;0.0003</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&lt;0.15</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石油类</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0.4</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0.4</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0.02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0.4</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硫化物</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&lt;0.1</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&lt;0.1</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&lt;0.01</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&lt;0.1</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阴离子表面活性剂</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&lt;0.25</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&lt;0.25</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&lt;0.05</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&lt;0.25</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2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hint="eastAsia" w:cs="宋体"/>
                      <w:kern w:val="0"/>
                      <w:sz w:val="18"/>
                      <w:szCs w:val="18"/>
                    </w:rPr>
                    <w:t>粪大肠菌群（MPN/L）</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1.1×10</w:t>
                  </w:r>
                  <w:r>
                    <w:rPr>
                      <w:rFonts w:cs="宋体"/>
                      <w:kern w:val="0"/>
                      <w:sz w:val="18"/>
                      <w:szCs w:val="18"/>
                      <w:vertAlign w:val="superscript"/>
                    </w:rPr>
                    <w:t>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0.055</w:t>
                  </w:r>
                </w:p>
              </w:tc>
              <w:tc>
                <w:tcPr>
                  <w:tcW w:w="576"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1.4×10</w:t>
                  </w:r>
                  <w:r>
                    <w:rPr>
                      <w:rFonts w:cs="宋体"/>
                      <w:kern w:val="0"/>
                      <w:sz w:val="18"/>
                      <w:szCs w:val="18"/>
                      <w:vertAlign w:val="superscript"/>
                    </w:rPr>
                    <w:t>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0.07</w:t>
                  </w:r>
                </w:p>
              </w:tc>
              <w:tc>
                <w:tcPr>
                  <w:tcW w:w="611"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c>
                <w:tcPr>
                  <w:tcW w:w="90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cs="宋体"/>
                      <w:kern w:val="0"/>
                      <w:sz w:val="18"/>
                      <w:szCs w:val="18"/>
                    </w:rPr>
                  </w:pPr>
                  <w:r>
                    <w:rPr>
                      <w:rFonts w:cs="宋体"/>
                      <w:kern w:val="0"/>
                      <w:sz w:val="18"/>
                      <w:szCs w:val="18"/>
                    </w:rPr>
                    <w:t>1.7×10</w:t>
                  </w:r>
                  <w:r>
                    <w:rPr>
                      <w:rFonts w:cs="宋体"/>
                      <w:kern w:val="0"/>
                      <w:sz w:val="18"/>
                      <w:szCs w:val="18"/>
                      <w:vertAlign w:val="superscript"/>
                    </w:rPr>
                    <w:t>2</w:t>
                  </w:r>
                </w:p>
              </w:tc>
              <w:tc>
                <w:tcPr>
                  <w:tcW w:w="903"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eastAsia="等线"/>
                      <w:sz w:val="18"/>
                      <w:szCs w:val="18"/>
                    </w:rPr>
                    <w:t>0.085</w:t>
                  </w:r>
                </w:p>
              </w:tc>
              <w:tc>
                <w:tcPr>
                  <w:tcW w:w="499" w:type="dxa"/>
                  <w:tcBorders>
                    <w:top w:val="single" w:color="auto" w:sz="4" w:space="0"/>
                    <w:left w:val="single" w:color="auto" w:sz="4" w:space="0"/>
                    <w:bottom w:val="single" w:color="auto" w:sz="4" w:space="0"/>
                    <w:right w:val="single" w:color="auto" w:sz="4" w:space="0"/>
                  </w:tcBorders>
                  <w:vAlign w:val="center"/>
                </w:tcPr>
                <w:p>
                  <w:pPr>
                    <w:widowControl/>
                    <w:jc w:val="center"/>
                    <w:rPr>
                      <w:rFonts w:cs="宋体"/>
                      <w:kern w:val="0"/>
                      <w:sz w:val="18"/>
                      <w:szCs w:val="18"/>
                    </w:rPr>
                  </w:pPr>
                  <w:r>
                    <w:rPr>
                      <w:rFonts w:hint="eastAsia" w:ascii="宋体" w:hAnsi="宋体" w:cs="宋体"/>
                      <w:kern w:val="0"/>
                      <w:sz w:val="18"/>
                      <w:szCs w:val="18"/>
                    </w:rPr>
                    <w:t>Ⅱ</w:t>
                  </w:r>
                </w:p>
              </w:tc>
            </w:tr>
          </w:tbl>
          <w:p>
            <w:pPr>
              <w:jc w:val="left"/>
              <w:rPr>
                <w:rFonts w:ascii="黑体" w:hAnsi="黑体" w:eastAsia="黑体"/>
                <w:sz w:val="24"/>
              </w:rPr>
            </w:pPr>
            <w:r>
              <w:rPr>
                <w:rFonts w:hint="eastAsia" w:ascii="黑体" w:hAnsi="黑体" w:eastAsia="黑体"/>
                <w:sz w:val="24"/>
              </w:rPr>
              <w:t>表</w:t>
            </w:r>
            <w:r>
              <w:rPr>
                <w:rFonts w:eastAsia="黑体"/>
                <w:sz w:val="24"/>
              </w:rPr>
              <w:t>4</w:t>
            </w:r>
            <w:r>
              <w:rPr>
                <w:rFonts w:ascii="黑体" w:hAnsi="黑体" w:eastAsia="黑体"/>
                <w:sz w:val="24"/>
              </w:rPr>
              <w:t xml:space="preserve">              2023</w:t>
            </w:r>
            <w:r>
              <w:rPr>
                <w:rFonts w:hint="eastAsia" w:ascii="黑体" w:hAnsi="黑体" w:eastAsia="黑体"/>
                <w:sz w:val="24"/>
              </w:rPr>
              <w:t>年</w:t>
            </w:r>
            <w:r>
              <w:rPr>
                <w:rFonts w:ascii="黑体" w:hAnsi="黑体" w:eastAsia="黑体"/>
                <w:sz w:val="24"/>
              </w:rPr>
              <w:t>7</w:t>
            </w:r>
            <w:r>
              <w:rPr>
                <w:rFonts w:hint="eastAsia" w:ascii="黑体" w:hAnsi="黑体" w:eastAsia="黑体"/>
                <w:sz w:val="24"/>
              </w:rPr>
              <w:t>月水质现状监测及评价结果         单位</w:t>
            </w:r>
            <w:r>
              <w:rPr>
                <w:rFonts w:ascii="黑体" w:hAnsi="黑体" w:eastAsia="黑体"/>
                <w:sz w:val="24"/>
              </w:rPr>
              <w:t>：mg/L</w:t>
            </w:r>
          </w:p>
          <w:tbl>
            <w:tblPr>
              <w:tblStyle w:val="21"/>
              <w:tblW w:w="8231" w:type="dxa"/>
              <w:tblInd w:w="0" w:type="dxa"/>
              <w:tblLayout w:type="fixed"/>
              <w:tblCellMar>
                <w:top w:w="0" w:type="dxa"/>
                <w:left w:w="108" w:type="dxa"/>
                <w:bottom w:w="0" w:type="dxa"/>
                <w:right w:w="108" w:type="dxa"/>
              </w:tblCellMar>
            </w:tblPr>
            <w:tblGrid>
              <w:gridCol w:w="1158"/>
              <w:gridCol w:w="910"/>
              <w:gridCol w:w="779"/>
              <w:gridCol w:w="589"/>
              <w:gridCol w:w="965"/>
              <w:gridCol w:w="907"/>
              <w:gridCol w:w="649"/>
              <w:gridCol w:w="907"/>
              <w:gridCol w:w="779"/>
              <w:gridCol w:w="588"/>
            </w:tblGrid>
            <w:tr>
              <w:tblPrEx>
                <w:tblLayout w:type="fixed"/>
                <w:tblCellMar>
                  <w:top w:w="0" w:type="dxa"/>
                  <w:left w:w="108" w:type="dxa"/>
                  <w:bottom w:w="0" w:type="dxa"/>
                  <w:right w:w="108" w:type="dxa"/>
                </w:tblCellMar>
              </w:tblPrEx>
              <w:trPr>
                <w:trHeight w:val="20" w:hRule="atLeast"/>
              </w:trPr>
              <w:tc>
                <w:tcPr>
                  <w:tcW w:w="1158" w:type="dxa"/>
                  <w:vMerge w:val="restart"/>
                  <w:tcBorders>
                    <w:top w:val="single" w:color="auto" w:sz="8" w:space="0"/>
                    <w:left w:val="single" w:color="auto" w:sz="8" w:space="0"/>
                    <w:bottom w:val="nil"/>
                    <w:right w:val="single" w:color="auto" w:sz="8" w:space="0"/>
                    <w:tl2br w:val="single" w:color="auto"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断面</w:t>
                  </w:r>
                </w:p>
                <w:p>
                  <w:pPr>
                    <w:widowControl/>
                    <w:jc w:val="center"/>
                    <w:rPr>
                      <w:kern w:val="0"/>
                      <w:sz w:val="18"/>
                      <w:szCs w:val="18"/>
                    </w:rPr>
                  </w:pPr>
                  <w:r>
                    <w:rPr>
                      <w:kern w:val="0"/>
                      <w:sz w:val="18"/>
                      <w:szCs w:val="18"/>
                    </w:rPr>
                    <w:t>　</w:t>
                  </w:r>
                </w:p>
                <w:p>
                  <w:pPr>
                    <w:widowControl/>
                    <w:jc w:val="center"/>
                    <w:rPr>
                      <w:kern w:val="0"/>
                      <w:sz w:val="18"/>
                      <w:szCs w:val="18"/>
                    </w:rPr>
                  </w:pPr>
                  <w:r>
                    <w:rPr>
                      <w:kern w:val="0"/>
                      <w:sz w:val="18"/>
                      <w:szCs w:val="18"/>
                    </w:rPr>
                    <w:t>　</w:t>
                  </w:r>
                </w:p>
                <w:p>
                  <w:pPr>
                    <w:widowControl/>
                    <w:jc w:val="center"/>
                    <w:rPr>
                      <w:rFonts w:ascii="宋体" w:hAnsi="宋体" w:cs="宋体"/>
                      <w:kern w:val="0"/>
                      <w:sz w:val="18"/>
                      <w:szCs w:val="18"/>
                    </w:rPr>
                  </w:pPr>
                  <w:r>
                    <w:rPr>
                      <w:rFonts w:hint="eastAsia" w:ascii="宋体" w:hAnsi="宋体" w:cs="宋体"/>
                      <w:kern w:val="0"/>
                      <w:sz w:val="18"/>
                      <w:szCs w:val="18"/>
                    </w:rPr>
                    <w:t>监测项目</w:t>
                  </w:r>
                </w:p>
                <w:p>
                  <w:pPr>
                    <w:jc w:val="left"/>
                    <w:rPr>
                      <w:rFonts w:ascii="宋体" w:hAnsi="宋体" w:cs="宋体"/>
                      <w:kern w:val="0"/>
                      <w:sz w:val="18"/>
                      <w:szCs w:val="18"/>
                    </w:rPr>
                  </w:pPr>
                  <w:r>
                    <w:rPr>
                      <w:rFonts w:hint="eastAsia" w:ascii="宋体" w:hAnsi="宋体" w:cs="宋体"/>
                      <w:kern w:val="0"/>
                      <w:sz w:val="22"/>
                      <w:szCs w:val="22"/>
                    </w:rPr>
                    <w:t>　</w:t>
                  </w:r>
                </w:p>
              </w:tc>
              <w:tc>
                <w:tcPr>
                  <w:tcW w:w="2278" w:type="dxa"/>
                  <w:gridSpan w:val="3"/>
                  <w:tcBorders>
                    <w:top w:val="single" w:color="auto" w:sz="8" w:space="0"/>
                    <w:left w:val="single" w:color="auto" w:sz="8" w:space="0"/>
                    <w:bottom w:val="nil"/>
                    <w:right w:val="single" w:color="000000"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坝址上游</w:t>
                  </w:r>
                  <w:r>
                    <w:rPr>
                      <w:kern w:val="0"/>
                      <w:sz w:val="18"/>
                      <w:szCs w:val="18"/>
                    </w:rPr>
                    <w:t>500m</w:t>
                  </w:r>
                </w:p>
              </w:tc>
              <w:tc>
                <w:tcPr>
                  <w:tcW w:w="2521" w:type="dxa"/>
                  <w:gridSpan w:val="3"/>
                  <w:tcBorders>
                    <w:top w:val="single" w:color="auto" w:sz="8" w:space="0"/>
                    <w:left w:val="single" w:color="auto" w:sz="8" w:space="0"/>
                    <w:bottom w:val="nil"/>
                    <w:right w:val="single" w:color="000000"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拟建红山嘴水库坝址处</w:t>
                  </w:r>
                </w:p>
              </w:tc>
              <w:tc>
                <w:tcPr>
                  <w:tcW w:w="2274" w:type="dxa"/>
                  <w:gridSpan w:val="3"/>
                  <w:tcBorders>
                    <w:top w:val="single" w:color="auto" w:sz="8" w:space="0"/>
                    <w:left w:val="single" w:color="auto" w:sz="8" w:space="0"/>
                    <w:bottom w:val="nil"/>
                    <w:right w:val="single" w:color="000000" w:sz="8" w:space="0"/>
                  </w:tcBorders>
                  <w:shd w:val="clear" w:color="auto" w:fill="auto"/>
                  <w:noWrap/>
                  <w:vAlign w:val="center"/>
                </w:tcPr>
                <w:p>
                  <w:pPr>
                    <w:widowControl/>
                    <w:jc w:val="center"/>
                    <w:rPr>
                      <w:rFonts w:ascii="宋体" w:hAnsi="宋体" w:cs="宋体"/>
                      <w:kern w:val="0"/>
                      <w:sz w:val="18"/>
                      <w:szCs w:val="18"/>
                    </w:rPr>
                  </w:pPr>
                  <w:r>
                    <w:rPr>
                      <w:rFonts w:hint="eastAsia" w:ascii="宋体" w:hAnsi="宋体" w:cs="宋体"/>
                      <w:kern w:val="0"/>
                      <w:sz w:val="18"/>
                      <w:szCs w:val="18"/>
                    </w:rPr>
                    <w:t>东城渠首下游断面</w:t>
                  </w:r>
                </w:p>
              </w:tc>
            </w:tr>
            <w:tr>
              <w:tblPrEx>
                <w:tblLayout w:type="fixed"/>
                <w:tblCellMar>
                  <w:top w:w="0" w:type="dxa"/>
                  <w:left w:w="108" w:type="dxa"/>
                  <w:bottom w:w="0" w:type="dxa"/>
                  <w:right w:w="108" w:type="dxa"/>
                </w:tblCellMar>
              </w:tblPrEx>
              <w:trPr>
                <w:trHeight w:val="20" w:hRule="atLeast"/>
              </w:trPr>
              <w:tc>
                <w:tcPr>
                  <w:tcW w:w="1158" w:type="dxa"/>
                  <w:vMerge w:val="continue"/>
                  <w:tcBorders>
                    <w:left w:val="single" w:color="auto" w:sz="8" w:space="0"/>
                    <w:right w:val="single" w:color="auto" w:sz="8" w:space="0"/>
                    <w:tl2br w:val="single" w:color="auto" w:sz="4" w:space="0"/>
                  </w:tcBorders>
                  <w:shd w:val="clear" w:color="auto" w:fill="auto"/>
                  <w:vAlign w:val="center"/>
                </w:tcPr>
                <w:p>
                  <w:pPr>
                    <w:jc w:val="left"/>
                    <w:rPr>
                      <w:kern w:val="0"/>
                      <w:sz w:val="18"/>
                      <w:szCs w:val="18"/>
                    </w:rPr>
                  </w:pPr>
                </w:p>
              </w:tc>
              <w:tc>
                <w:tcPr>
                  <w:tcW w:w="2278" w:type="dxa"/>
                  <w:gridSpan w:val="3"/>
                  <w:tcBorders>
                    <w:top w:val="single" w:color="auto" w:sz="8" w:space="0"/>
                    <w:left w:val="nil"/>
                    <w:bottom w:val="nil"/>
                    <w:right w:val="single" w:color="000000" w:sz="8" w:space="0"/>
                  </w:tcBorders>
                  <w:shd w:val="clear" w:color="auto" w:fill="auto"/>
                  <w:vAlign w:val="center"/>
                </w:tcPr>
                <w:p>
                  <w:pPr>
                    <w:widowControl/>
                    <w:jc w:val="center"/>
                    <w:rPr>
                      <w:kern w:val="0"/>
                      <w:sz w:val="18"/>
                      <w:szCs w:val="18"/>
                    </w:rPr>
                  </w:pPr>
                  <w:r>
                    <w:rPr>
                      <w:kern w:val="0"/>
                      <w:sz w:val="18"/>
                      <w:szCs w:val="18"/>
                    </w:rPr>
                    <w:t>E</w:t>
                  </w:r>
                  <w:r>
                    <w:rPr>
                      <w:rFonts w:hint="eastAsia" w:ascii="宋体" w:hAnsi="宋体"/>
                      <w:kern w:val="0"/>
                      <w:sz w:val="18"/>
                      <w:szCs w:val="18"/>
                    </w:rPr>
                    <w:t>：</w:t>
                  </w:r>
                  <w:r>
                    <w:rPr>
                      <w:kern w:val="0"/>
                      <w:sz w:val="18"/>
                      <w:szCs w:val="18"/>
                    </w:rPr>
                    <w:t>90°11′10.69″</w:t>
                  </w:r>
                </w:p>
              </w:tc>
              <w:tc>
                <w:tcPr>
                  <w:tcW w:w="2521" w:type="dxa"/>
                  <w:gridSpan w:val="3"/>
                  <w:tcBorders>
                    <w:top w:val="single" w:color="auto" w:sz="8" w:space="0"/>
                    <w:left w:val="nil"/>
                    <w:bottom w:val="nil"/>
                    <w:right w:val="single" w:color="000000" w:sz="8" w:space="0"/>
                  </w:tcBorders>
                  <w:shd w:val="clear" w:color="auto" w:fill="auto"/>
                  <w:vAlign w:val="center"/>
                </w:tcPr>
                <w:p>
                  <w:pPr>
                    <w:widowControl/>
                    <w:jc w:val="center"/>
                    <w:rPr>
                      <w:kern w:val="0"/>
                      <w:sz w:val="18"/>
                      <w:szCs w:val="18"/>
                    </w:rPr>
                  </w:pPr>
                  <w:r>
                    <w:rPr>
                      <w:kern w:val="0"/>
                      <w:sz w:val="18"/>
                      <w:szCs w:val="18"/>
                    </w:rPr>
                    <w:t>E</w:t>
                  </w:r>
                  <w:r>
                    <w:rPr>
                      <w:rFonts w:hint="eastAsia" w:ascii="宋体" w:hAnsi="宋体"/>
                      <w:kern w:val="0"/>
                      <w:sz w:val="18"/>
                      <w:szCs w:val="18"/>
                    </w:rPr>
                    <w:t>：</w:t>
                  </w:r>
                  <w:r>
                    <w:rPr>
                      <w:kern w:val="0"/>
                      <w:sz w:val="18"/>
                      <w:szCs w:val="18"/>
                    </w:rPr>
                    <w:t>90°10′49.06″</w:t>
                  </w:r>
                </w:p>
              </w:tc>
              <w:tc>
                <w:tcPr>
                  <w:tcW w:w="2274" w:type="dxa"/>
                  <w:gridSpan w:val="3"/>
                  <w:tcBorders>
                    <w:top w:val="single" w:color="auto" w:sz="8" w:space="0"/>
                    <w:left w:val="nil"/>
                    <w:bottom w:val="nil"/>
                    <w:right w:val="single" w:color="000000" w:sz="8" w:space="0"/>
                  </w:tcBorders>
                  <w:shd w:val="clear" w:color="auto" w:fill="auto"/>
                  <w:vAlign w:val="center"/>
                </w:tcPr>
                <w:p>
                  <w:pPr>
                    <w:widowControl/>
                    <w:jc w:val="center"/>
                    <w:rPr>
                      <w:kern w:val="0"/>
                      <w:sz w:val="18"/>
                      <w:szCs w:val="18"/>
                    </w:rPr>
                  </w:pPr>
                  <w:r>
                    <w:rPr>
                      <w:kern w:val="0"/>
                      <w:sz w:val="18"/>
                      <w:szCs w:val="18"/>
                    </w:rPr>
                    <w:t>E</w:t>
                  </w:r>
                  <w:r>
                    <w:rPr>
                      <w:rFonts w:hint="eastAsia" w:ascii="宋体" w:hAnsi="宋体"/>
                      <w:kern w:val="0"/>
                      <w:sz w:val="18"/>
                      <w:szCs w:val="18"/>
                    </w:rPr>
                    <w:t>：</w:t>
                  </w:r>
                  <w:r>
                    <w:rPr>
                      <w:kern w:val="0"/>
                      <w:sz w:val="18"/>
                      <w:szCs w:val="18"/>
                    </w:rPr>
                    <w:t>90°10′39.26″</w:t>
                  </w:r>
                </w:p>
              </w:tc>
            </w:tr>
            <w:tr>
              <w:tblPrEx>
                <w:tblLayout w:type="fixed"/>
                <w:tblCellMar>
                  <w:top w:w="0" w:type="dxa"/>
                  <w:left w:w="108" w:type="dxa"/>
                  <w:bottom w:w="0" w:type="dxa"/>
                  <w:right w:w="108" w:type="dxa"/>
                </w:tblCellMar>
              </w:tblPrEx>
              <w:trPr>
                <w:trHeight w:val="20" w:hRule="atLeast"/>
              </w:trPr>
              <w:tc>
                <w:tcPr>
                  <w:tcW w:w="1158" w:type="dxa"/>
                  <w:vMerge w:val="continue"/>
                  <w:tcBorders>
                    <w:left w:val="single" w:color="auto" w:sz="8" w:space="0"/>
                    <w:right w:val="single" w:color="auto" w:sz="8" w:space="0"/>
                    <w:tl2br w:val="single" w:color="auto" w:sz="4" w:space="0"/>
                  </w:tcBorders>
                  <w:shd w:val="clear" w:color="auto" w:fill="auto"/>
                  <w:vAlign w:val="center"/>
                </w:tcPr>
                <w:p>
                  <w:pPr>
                    <w:jc w:val="left"/>
                    <w:rPr>
                      <w:rFonts w:ascii="宋体" w:hAnsi="宋体" w:cs="宋体"/>
                      <w:kern w:val="0"/>
                      <w:sz w:val="18"/>
                      <w:szCs w:val="18"/>
                    </w:rPr>
                  </w:pPr>
                </w:p>
              </w:tc>
              <w:tc>
                <w:tcPr>
                  <w:tcW w:w="2278" w:type="dxa"/>
                  <w:gridSpan w:val="3"/>
                  <w:tcBorders>
                    <w:top w:val="nil"/>
                    <w:left w:val="nil"/>
                    <w:bottom w:val="single" w:color="auto" w:sz="8" w:space="0"/>
                    <w:right w:val="single" w:color="000000" w:sz="8" w:space="0"/>
                  </w:tcBorders>
                  <w:shd w:val="clear" w:color="auto" w:fill="auto"/>
                  <w:vAlign w:val="center"/>
                </w:tcPr>
                <w:p>
                  <w:pPr>
                    <w:widowControl/>
                    <w:jc w:val="center"/>
                    <w:rPr>
                      <w:kern w:val="0"/>
                      <w:sz w:val="18"/>
                      <w:szCs w:val="18"/>
                    </w:rPr>
                  </w:pPr>
                  <w:r>
                    <w:rPr>
                      <w:kern w:val="0"/>
                      <w:sz w:val="18"/>
                      <w:szCs w:val="18"/>
                    </w:rPr>
                    <w:t>N</w:t>
                  </w:r>
                  <w:r>
                    <w:rPr>
                      <w:rFonts w:hint="eastAsia" w:ascii="宋体" w:hAnsi="宋体"/>
                      <w:kern w:val="0"/>
                      <w:sz w:val="18"/>
                      <w:szCs w:val="18"/>
                    </w:rPr>
                    <w:t>：</w:t>
                  </w:r>
                  <w:r>
                    <w:rPr>
                      <w:kern w:val="0"/>
                      <w:sz w:val="18"/>
                      <w:szCs w:val="18"/>
                    </w:rPr>
                    <w:t>43°44′16.90″</w:t>
                  </w:r>
                </w:p>
              </w:tc>
              <w:tc>
                <w:tcPr>
                  <w:tcW w:w="2521" w:type="dxa"/>
                  <w:gridSpan w:val="3"/>
                  <w:tcBorders>
                    <w:top w:val="nil"/>
                    <w:left w:val="nil"/>
                    <w:bottom w:val="single" w:color="auto" w:sz="8" w:space="0"/>
                    <w:right w:val="single" w:color="000000" w:sz="8" w:space="0"/>
                  </w:tcBorders>
                  <w:shd w:val="clear" w:color="auto" w:fill="auto"/>
                  <w:vAlign w:val="center"/>
                </w:tcPr>
                <w:p>
                  <w:pPr>
                    <w:widowControl/>
                    <w:jc w:val="center"/>
                    <w:rPr>
                      <w:kern w:val="0"/>
                      <w:sz w:val="18"/>
                      <w:szCs w:val="18"/>
                    </w:rPr>
                  </w:pPr>
                  <w:r>
                    <w:rPr>
                      <w:kern w:val="0"/>
                      <w:sz w:val="18"/>
                      <w:szCs w:val="18"/>
                    </w:rPr>
                    <w:t>N</w:t>
                  </w:r>
                  <w:r>
                    <w:rPr>
                      <w:rFonts w:hint="eastAsia" w:ascii="宋体" w:hAnsi="宋体"/>
                      <w:kern w:val="0"/>
                      <w:sz w:val="18"/>
                      <w:szCs w:val="18"/>
                    </w:rPr>
                    <w:t>：</w:t>
                  </w:r>
                  <w:r>
                    <w:rPr>
                      <w:kern w:val="0"/>
                      <w:sz w:val="18"/>
                      <w:szCs w:val="18"/>
                    </w:rPr>
                    <w:t>43°44′29.41″</w:t>
                  </w:r>
                </w:p>
              </w:tc>
              <w:tc>
                <w:tcPr>
                  <w:tcW w:w="2274" w:type="dxa"/>
                  <w:gridSpan w:val="3"/>
                  <w:tcBorders>
                    <w:top w:val="nil"/>
                    <w:left w:val="nil"/>
                    <w:bottom w:val="single" w:color="auto" w:sz="8" w:space="0"/>
                    <w:right w:val="single" w:color="000000" w:sz="8" w:space="0"/>
                  </w:tcBorders>
                  <w:shd w:val="clear" w:color="auto" w:fill="auto"/>
                  <w:vAlign w:val="center"/>
                </w:tcPr>
                <w:p>
                  <w:pPr>
                    <w:widowControl/>
                    <w:jc w:val="center"/>
                    <w:rPr>
                      <w:kern w:val="0"/>
                      <w:sz w:val="18"/>
                      <w:szCs w:val="18"/>
                    </w:rPr>
                  </w:pPr>
                  <w:r>
                    <w:rPr>
                      <w:kern w:val="0"/>
                      <w:sz w:val="18"/>
                      <w:szCs w:val="18"/>
                    </w:rPr>
                    <w:t>N</w:t>
                  </w:r>
                  <w:r>
                    <w:rPr>
                      <w:rFonts w:hint="eastAsia" w:ascii="宋体" w:hAnsi="宋体"/>
                      <w:kern w:val="0"/>
                      <w:sz w:val="18"/>
                      <w:szCs w:val="18"/>
                    </w:rPr>
                    <w:t>：</w:t>
                  </w:r>
                  <w:r>
                    <w:rPr>
                      <w:kern w:val="0"/>
                      <w:sz w:val="18"/>
                      <w:szCs w:val="18"/>
                    </w:rPr>
                    <w:t>43°44′54.84″</w:t>
                  </w:r>
                </w:p>
              </w:tc>
            </w:tr>
            <w:tr>
              <w:tblPrEx>
                <w:tblLayout w:type="fixed"/>
                <w:tblCellMar>
                  <w:top w:w="0" w:type="dxa"/>
                  <w:left w:w="108" w:type="dxa"/>
                  <w:bottom w:w="0" w:type="dxa"/>
                  <w:right w:w="108" w:type="dxa"/>
                </w:tblCellMar>
              </w:tblPrEx>
              <w:trPr>
                <w:trHeight w:val="20" w:hRule="atLeast"/>
              </w:trPr>
              <w:tc>
                <w:tcPr>
                  <w:tcW w:w="1158" w:type="dxa"/>
                  <w:vMerge w:val="continue"/>
                  <w:tcBorders>
                    <w:left w:val="single" w:color="auto" w:sz="8" w:space="0"/>
                    <w:bottom w:val="single" w:color="auto" w:sz="8" w:space="0"/>
                    <w:right w:val="single" w:color="auto" w:sz="8" w:space="0"/>
                    <w:tl2br w:val="single" w:color="auto" w:sz="4" w:space="0"/>
                  </w:tcBorders>
                  <w:shd w:val="clear" w:color="auto" w:fill="auto"/>
                  <w:vAlign w:val="center"/>
                </w:tcPr>
                <w:p>
                  <w:pPr>
                    <w:widowControl/>
                    <w:jc w:val="left"/>
                    <w:rPr>
                      <w:rFonts w:ascii="宋体" w:hAnsi="宋体" w:cs="宋体"/>
                      <w:kern w:val="0"/>
                      <w:sz w:val="22"/>
                      <w:szCs w:val="22"/>
                    </w:rPr>
                  </w:pPr>
                </w:p>
              </w:tc>
              <w:tc>
                <w:tcPr>
                  <w:tcW w:w="910"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监测结果</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单因子指数</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评价结果</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监测结果</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单因子指数</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评价结果</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监测结果</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单因子指数</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评价结果</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pH</w:t>
                  </w:r>
                  <w:r>
                    <w:rPr>
                      <w:rFonts w:hint="eastAsia" w:ascii="宋体" w:hAnsi="宋体"/>
                      <w:kern w:val="0"/>
                      <w:sz w:val="18"/>
                      <w:szCs w:val="18"/>
                    </w:rPr>
                    <w:t>（无量纲）</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7.3</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0.15</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7.3</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0.15</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7.4</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0.2</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溶解氧</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7.97</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0.753</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8.02</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0.748</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7.93</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0.757</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高锰酸盐指数</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2.3</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0.575</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2.3</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0.575</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2.2</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0.55</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化学需氧量</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12</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0.8</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9</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0.6</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13</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0.867</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五日生化需氧量</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1.4</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0.467</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1.2</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0.4</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1.6</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0.533</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氨氮</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0.01</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0.03</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0.03</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0.18</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0.18</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总磷</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0.01</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0.125</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0.625</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Ⅲ</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铜</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锌</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氟化物</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0.52</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0.52</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0.52</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0.49</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0.49</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硒</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0.7</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0.07</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0.7</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0.07</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0.5</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0.05</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砷</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0.02</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1</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0.02</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0.9</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0.018</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汞</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&lt;0.04</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&lt;0.8</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&lt;0.04</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&lt;0.8</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&lt;0.04</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&lt;0.8</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镉</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&lt;0.2</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&lt;0.2</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&lt;0.2</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六价铬</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&lt;0.004</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&lt;0.08</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&lt;0.004</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&lt;0.08</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&lt;0.004</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&lt;0.08</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铅</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&lt;0.001</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氰化物</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&lt;0.004</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&lt;0.08</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&lt;0.004</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&lt;0.08</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&lt;0.004</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&lt;0.08</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挥发酚</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&lt;0.0003</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&lt;0.15</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&lt;0.0003</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&lt;0.15</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&lt;0.0003</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&lt;0.15</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石油类</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&lt;0.2</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&lt;0.2</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&lt;0.2</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硫化物</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&lt;0.01</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阴离子表面活性剂</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&lt;0.5</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&lt;0.5</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&lt;0.05</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&lt;0.5</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r>
              <w:tblPrEx>
                <w:tblLayout w:type="fixed"/>
                <w:tblCellMar>
                  <w:top w:w="0" w:type="dxa"/>
                  <w:left w:w="108" w:type="dxa"/>
                  <w:bottom w:w="0" w:type="dxa"/>
                  <w:right w:w="108" w:type="dxa"/>
                </w:tblCellMar>
              </w:tblPrEx>
              <w:trPr>
                <w:trHeight w:val="20" w:hRule="atLeast"/>
              </w:trPr>
              <w:tc>
                <w:tcPr>
                  <w:tcW w:w="1158" w:type="dxa"/>
                  <w:tcBorders>
                    <w:top w:val="nil"/>
                    <w:left w:val="single" w:color="auto" w:sz="8" w:space="0"/>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粪大肠菌群（</w:t>
                  </w:r>
                  <w:r>
                    <w:rPr>
                      <w:kern w:val="0"/>
                      <w:sz w:val="18"/>
                      <w:szCs w:val="18"/>
                    </w:rPr>
                    <w:t>MPN/L</w:t>
                  </w:r>
                  <w:r>
                    <w:rPr>
                      <w:rFonts w:hint="eastAsia" w:ascii="宋体" w:hAnsi="宋体" w:cs="宋体"/>
                      <w:kern w:val="0"/>
                      <w:sz w:val="18"/>
                      <w:szCs w:val="18"/>
                    </w:rPr>
                    <w:t>）</w:t>
                  </w:r>
                </w:p>
              </w:tc>
              <w:tc>
                <w:tcPr>
                  <w:tcW w:w="910"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2.8×10</w:t>
                  </w:r>
                  <w:r>
                    <w:rPr>
                      <w:kern w:val="0"/>
                      <w:sz w:val="18"/>
                      <w:szCs w:val="18"/>
                      <w:vertAlign w:val="superscript"/>
                    </w:rPr>
                    <w:t>2</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0.14</w:t>
                  </w:r>
                </w:p>
              </w:tc>
              <w:tc>
                <w:tcPr>
                  <w:tcW w:w="58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65"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3.3×10</w:t>
                  </w:r>
                  <w:r>
                    <w:rPr>
                      <w:kern w:val="0"/>
                      <w:sz w:val="18"/>
                      <w:szCs w:val="18"/>
                      <w:vertAlign w:val="superscript"/>
                    </w:rPr>
                    <w:t>2</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0.165</w:t>
                  </w:r>
                </w:p>
              </w:tc>
              <w:tc>
                <w:tcPr>
                  <w:tcW w:w="649"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c>
                <w:tcPr>
                  <w:tcW w:w="907"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3.0×10</w:t>
                  </w:r>
                  <w:r>
                    <w:rPr>
                      <w:kern w:val="0"/>
                      <w:sz w:val="18"/>
                      <w:szCs w:val="18"/>
                      <w:vertAlign w:val="superscript"/>
                    </w:rPr>
                    <w:t>2</w:t>
                  </w:r>
                </w:p>
              </w:tc>
              <w:tc>
                <w:tcPr>
                  <w:tcW w:w="779" w:type="dxa"/>
                  <w:tcBorders>
                    <w:top w:val="nil"/>
                    <w:left w:val="nil"/>
                    <w:bottom w:val="single" w:color="auto" w:sz="8" w:space="0"/>
                    <w:right w:val="single" w:color="auto" w:sz="8" w:space="0"/>
                  </w:tcBorders>
                  <w:shd w:val="clear" w:color="auto" w:fill="auto"/>
                  <w:vAlign w:val="center"/>
                </w:tcPr>
                <w:p>
                  <w:pPr>
                    <w:widowControl/>
                    <w:jc w:val="center"/>
                    <w:rPr>
                      <w:kern w:val="0"/>
                      <w:sz w:val="18"/>
                      <w:szCs w:val="18"/>
                    </w:rPr>
                  </w:pPr>
                  <w:r>
                    <w:rPr>
                      <w:kern w:val="0"/>
                      <w:sz w:val="18"/>
                      <w:szCs w:val="18"/>
                    </w:rPr>
                    <w:t>0.15</w:t>
                  </w:r>
                </w:p>
              </w:tc>
              <w:tc>
                <w:tcPr>
                  <w:tcW w:w="588" w:type="dxa"/>
                  <w:tcBorders>
                    <w:top w:val="nil"/>
                    <w:left w:val="nil"/>
                    <w:bottom w:val="single" w:color="auto" w:sz="8" w:space="0"/>
                    <w:right w:val="single" w:color="auto" w:sz="8"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Ⅱ</w:t>
                  </w:r>
                </w:p>
              </w:tc>
            </w:tr>
          </w:tbl>
          <w:p>
            <w:pPr>
              <w:rPr>
                <w:sz w:val="24"/>
              </w:rPr>
            </w:pPr>
          </w:p>
          <w:p>
            <w:pPr>
              <w:adjustRightInd w:val="0"/>
              <w:snapToGrid w:val="0"/>
              <w:spacing w:line="360" w:lineRule="auto"/>
              <w:ind w:firstLine="480" w:firstLineChars="200"/>
              <w:rPr>
                <w:sz w:val="24"/>
              </w:rPr>
            </w:pPr>
            <w:r>
              <w:rPr>
                <w:rFonts w:hint="eastAsia"/>
                <w:sz w:val="24"/>
              </w:rPr>
              <w:t>根据表</w:t>
            </w:r>
            <w:r>
              <w:rPr>
                <w:sz w:val="24"/>
              </w:rPr>
              <w:t>3</w:t>
            </w:r>
            <w:r>
              <w:rPr>
                <w:rFonts w:hint="eastAsia"/>
                <w:sz w:val="24"/>
              </w:rPr>
              <w:t>、</w:t>
            </w:r>
            <w:r>
              <w:rPr>
                <w:sz w:val="24"/>
              </w:rPr>
              <w:t>表</w:t>
            </w:r>
            <w:r>
              <w:rPr>
                <w:rFonts w:hint="eastAsia"/>
                <w:sz w:val="24"/>
              </w:rPr>
              <w:t>4</w:t>
            </w:r>
            <w:r>
              <w:rPr>
                <w:sz w:val="24"/>
              </w:rPr>
              <w:t>中数据，</w:t>
            </w:r>
            <w:r>
              <w:rPr>
                <w:rFonts w:hint="eastAsia"/>
                <w:sz w:val="24"/>
              </w:rPr>
              <w:t>坝址上游</w:t>
            </w:r>
            <w:r>
              <w:rPr>
                <w:sz w:val="24"/>
              </w:rPr>
              <w:t>500m断面</w:t>
            </w:r>
            <w:r>
              <w:rPr>
                <w:rFonts w:hint="eastAsia"/>
                <w:sz w:val="24"/>
              </w:rPr>
              <w:t>、工程坝址断面</w:t>
            </w:r>
            <w:r>
              <w:rPr>
                <w:sz w:val="24"/>
              </w:rPr>
              <w:t>水质指标均满足《地表水环境质量标准》（GB3838-2002）中</w:t>
            </w:r>
            <w:r>
              <w:rPr>
                <w:rFonts w:hint="eastAsia" w:ascii="宋体" w:hAnsi="宋体"/>
                <w:sz w:val="24"/>
              </w:rPr>
              <w:t>Ⅱ</w:t>
            </w:r>
            <w:r>
              <w:rPr>
                <w:sz w:val="24"/>
              </w:rPr>
              <w:t>类水质标准</w:t>
            </w:r>
            <w:r>
              <w:rPr>
                <w:rFonts w:hint="eastAsia"/>
                <w:sz w:val="24"/>
              </w:rPr>
              <w:t>，</w:t>
            </w:r>
            <w:r>
              <w:rPr>
                <w:sz w:val="24"/>
              </w:rPr>
              <w:t>东城</w:t>
            </w:r>
            <w:r>
              <w:rPr>
                <w:rFonts w:hint="eastAsia"/>
                <w:sz w:val="24"/>
              </w:rPr>
              <w:t>渠首</w:t>
            </w:r>
            <w:r>
              <w:rPr>
                <w:sz w:val="24"/>
              </w:rPr>
              <w:t>下游断面</w:t>
            </w:r>
            <w:r>
              <w:rPr>
                <w:rFonts w:hint="eastAsia"/>
                <w:sz w:val="24"/>
              </w:rPr>
              <w:t>、坝址下游1.5km水质</w:t>
            </w:r>
            <w:r>
              <w:rPr>
                <w:sz w:val="24"/>
              </w:rPr>
              <w:t>指标</w:t>
            </w:r>
            <w:r>
              <w:rPr>
                <w:rFonts w:hint="eastAsia"/>
                <w:sz w:val="24"/>
              </w:rPr>
              <w:t>能够</w:t>
            </w:r>
            <w:r>
              <w:rPr>
                <w:sz w:val="24"/>
              </w:rPr>
              <w:t>满足《地表水环境质量标准》（GB3838-2002）中</w:t>
            </w:r>
            <w:r>
              <w:rPr>
                <w:rFonts w:hint="eastAsia" w:ascii="宋体" w:hAnsi="宋体"/>
                <w:sz w:val="24"/>
              </w:rPr>
              <w:t>Ⅲ</w:t>
            </w:r>
            <w:r>
              <w:rPr>
                <w:sz w:val="24"/>
              </w:rPr>
              <w:t>类水质标准</w:t>
            </w:r>
            <w:r>
              <w:rPr>
                <w:rFonts w:hint="eastAsia"/>
                <w:sz w:val="24"/>
              </w:rPr>
              <w:t>，能够满足水环境水质目标要求</w:t>
            </w:r>
            <w:r>
              <w:rPr>
                <w:sz w:val="24"/>
              </w:rPr>
              <w:t>。</w:t>
            </w:r>
          </w:p>
          <w:p>
            <w:pPr>
              <w:pStyle w:val="45"/>
              <w:ind w:firstLine="480"/>
            </w:pPr>
            <w:r>
              <w:rPr>
                <w:rFonts w:hint="eastAsia"/>
              </w:rPr>
              <w:t>（7）</w:t>
            </w:r>
            <w:r>
              <w:t>陆生生态</w:t>
            </w:r>
          </w:p>
          <w:p>
            <w:pPr>
              <w:adjustRightInd w:val="0"/>
              <w:snapToGrid w:val="0"/>
              <w:spacing w:line="360" w:lineRule="auto"/>
              <w:ind w:firstLine="480" w:firstLineChars="200"/>
              <w:rPr>
                <w:sz w:val="24"/>
              </w:rPr>
            </w:pPr>
            <w:r>
              <w:rPr>
                <w:rFonts w:hint="eastAsia"/>
                <w:sz w:val="24"/>
              </w:rPr>
              <w:t>本次项目占地范围内不涉及自然保护区、风景名胜、湿地公园、森林公园、国家基本农田等环境敏感区。</w:t>
            </w:r>
          </w:p>
          <w:p>
            <w:pPr>
              <w:pStyle w:val="45"/>
              <w:ind w:firstLine="480"/>
            </w:pPr>
            <w:r>
              <w:rPr>
                <w:rFonts w:hint="eastAsia" w:ascii="宋体" w:hAnsi="宋体" w:cs="宋体"/>
              </w:rPr>
              <w:t>①</w:t>
            </w:r>
            <w:r>
              <w:rPr>
                <w:rFonts w:hint="eastAsia"/>
              </w:rPr>
              <w:t>植被区划</w:t>
            </w:r>
          </w:p>
          <w:p>
            <w:pPr>
              <w:adjustRightInd w:val="0"/>
              <w:snapToGrid w:val="0"/>
              <w:spacing w:line="360" w:lineRule="auto"/>
              <w:ind w:firstLine="480" w:firstLineChars="200"/>
              <w:rPr>
                <w:sz w:val="24"/>
              </w:rPr>
            </w:pPr>
            <w:r>
              <w:rPr>
                <w:rFonts w:hint="eastAsia"/>
                <w:sz w:val="24"/>
              </w:rPr>
              <w:t>本次工程占地及影响区域</w:t>
            </w:r>
            <w:r>
              <w:rPr>
                <w:sz w:val="24"/>
              </w:rPr>
              <w:t>植被区划属于</w:t>
            </w:r>
            <w:r>
              <w:rPr>
                <w:rFonts w:hint="eastAsia"/>
                <w:sz w:val="24"/>
              </w:rPr>
              <w:t>V</w:t>
            </w:r>
            <w:r>
              <w:rPr>
                <w:sz w:val="24"/>
              </w:rPr>
              <w:t>II</w:t>
            </w:r>
            <w:r>
              <w:rPr>
                <w:rFonts w:hint="eastAsia"/>
                <w:sz w:val="24"/>
              </w:rPr>
              <w:t>温带荒漠区域—V</w:t>
            </w:r>
            <w:r>
              <w:rPr>
                <w:sz w:val="24"/>
              </w:rPr>
              <w:t>IIA</w:t>
            </w:r>
            <w:r>
              <w:rPr>
                <w:rFonts w:hint="eastAsia"/>
                <w:sz w:val="24"/>
              </w:rPr>
              <w:t>西部荒漠</w:t>
            </w:r>
            <w:r>
              <w:rPr>
                <w:sz w:val="24"/>
              </w:rPr>
              <w:t>亚区域</w:t>
            </w:r>
            <w:r>
              <w:rPr>
                <w:rFonts w:hint="eastAsia"/>
                <w:sz w:val="24"/>
              </w:rPr>
              <w:t>—V</w:t>
            </w:r>
            <w:r>
              <w:rPr>
                <w:sz w:val="24"/>
              </w:rPr>
              <w:t>IIA</w:t>
            </w:r>
            <w:r>
              <w:rPr>
                <w:rFonts w:hint="eastAsia"/>
                <w:sz w:val="24"/>
              </w:rPr>
              <w:t>i温带半灌木、</w:t>
            </w:r>
            <w:r>
              <w:rPr>
                <w:sz w:val="24"/>
              </w:rPr>
              <w:t>矮乔灌木</w:t>
            </w:r>
            <w:r>
              <w:rPr>
                <w:rFonts w:hint="eastAsia"/>
                <w:sz w:val="24"/>
              </w:rPr>
              <w:t>荒漠地带—V</w:t>
            </w:r>
            <w:r>
              <w:rPr>
                <w:sz w:val="24"/>
              </w:rPr>
              <w:t>IIA</w:t>
            </w:r>
            <w:r>
              <w:rPr>
                <w:rFonts w:hint="eastAsia"/>
                <w:sz w:val="24"/>
              </w:rPr>
              <w:t>i</w:t>
            </w:r>
            <w:r>
              <w:rPr>
                <w:sz w:val="24"/>
              </w:rPr>
              <w:t>-1</w:t>
            </w:r>
            <w:r>
              <w:rPr>
                <w:rFonts w:hint="eastAsia"/>
                <w:sz w:val="24"/>
              </w:rPr>
              <w:t>准噶尔盆地</w:t>
            </w:r>
            <w:r>
              <w:rPr>
                <w:sz w:val="24"/>
              </w:rPr>
              <w:t>琐琐、半灌木荒漠区</w:t>
            </w:r>
            <w:r>
              <w:rPr>
                <w:rFonts w:hint="eastAsia"/>
                <w:sz w:val="24"/>
              </w:rPr>
              <w:t>—V</w:t>
            </w:r>
            <w:r>
              <w:rPr>
                <w:sz w:val="24"/>
              </w:rPr>
              <w:t>IIA</w:t>
            </w:r>
            <w:r>
              <w:rPr>
                <w:rFonts w:hint="eastAsia"/>
                <w:sz w:val="24"/>
              </w:rPr>
              <w:t>i</w:t>
            </w:r>
            <w:r>
              <w:rPr>
                <w:sz w:val="24"/>
              </w:rPr>
              <w:t>-1g</w:t>
            </w:r>
            <w:r>
              <w:rPr>
                <w:rFonts w:hint="eastAsia"/>
                <w:sz w:val="24"/>
              </w:rPr>
              <w:t>乌苏</w:t>
            </w:r>
            <w:r>
              <w:rPr>
                <w:sz w:val="24"/>
              </w:rPr>
              <w:t>—</w:t>
            </w:r>
            <w:r>
              <w:rPr>
                <w:rFonts w:hint="eastAsia"/>
                <w:sz w:val="24"/>
              </w:rPr>
              <w:t>木垒</w:t>
            </w:r>
            <w:r>
              <w:rPr>
                <w:sz w:val="24"/>
              </w:rPr>
              <w:t>洪积平原小蓬、小叶碱蓬半灌木、矮半</w:t>
            </w:r>
            <w:r>
              <w:rPr>
                <w:rFonts w:hint="eastAsia"/>
                <w:sz w:val="24"/>
              </w:rPr>
              <w:t>灌木</w:t>
            </w:r>
            <w:r>
              <w:rPr>
                <w:sz w:val="24"/>
              </w:rPr>
              <w:t>荒漠小区</w:t>
            </w:r>
            <w:r>
              <w:rPr>
                <w:rFonts w:hint="eastAsia"/>
                <w:sz w:val="24"/>
              </w:rPr>
              <w:t>。</w:t>
            </w:r>
          </w:p>
          <w:p>
            <w:pPr>
              <w:pStyle w:val="45"/>
              <w:ind w:firstLine="480"/>
            </w:pPr>
            <w:r>
              <w:rPr>
                <w:rFonts w:hint="eastAsia" w:ascii="宋体" w:hAnsi="宋体" w:cs="宋体"/>
              </w:rPr>
              <w:t>②</w:t>
            </w:r>
            <w:r>
              <w:rPr>
                <w:rFonts w:hint="eastAsia"/>
              </w:rPr>
              <w:t>植被类型</w:t>
            </w:r>
          </w:p>
          <w:p>
            <w:pPr>
              <w:adjustRightInd w:val="0"/>
              <w:snapToGrid w:val="0"/>
              <w:spacing w:line="360" w:lineRule="auto"/>
              <w:ind w:firstLine="480" w:firstLineChars="200"/>
              <w:rPr>
                <w:sz w:val="24"/>
              </w:rPr>
            </w:pPr>
            <w:r>
              <w:rPr>
                <w:rFonts w:hint="eastAsia"/>
                <w:sz w:val="24"/>
              </w:rPr>
              <w:t>工程建设区域主要呈现荒漠戈壁景观，根据新疆</w:t>
            </w:r>
            <w:r>
              <w:rPr>
                <w:sz w:val="24"/>
              </w:rPr>
              <w:t>1：100万植被类型图叠图成果，</w:t>
            </w:r>
            <w:r>
              <w:rPr>
                <w:rFonts w:hint="eastAsia"/>
                <w:sz w:val="24"/>
              </w:rPr>
              <w:t>本次工程建设区植被属于草原中的温带丛生</w:t>
            </w:r>
            <w:r>
              <w:rPr>
                <w:sz w:val="24"/>
              </w:rPr>
              <w:t>禾草</w:t>
            </w:r>
            <w:r>
              <w:rPr>
                <w:rFonts w:hint="eastAsia"/>
                <w:sz w:val="24"/>
              </w:rPr>
              <w:t>草原中的针茅草原。</w:t>
            </w:r>
          </w:p>
          <w:p>
            <w:pPr>
              <w:adjustRightInd w:val="0"/>
              <w:snapToGrid w:val="0"/>
              <w:spacing w:line="360" w:lineRule="auto"/>
              <w:ind w:firstLine="480" w:firstLineChars="200"/>
              <w:rPr>
                <w:sz w:val="24"/>
              </w:rPr>
            </w:pPr>
            <w:r>
              <w:rPr>
                <w:rFonts w:hint="eastAsia"/>
                <w:sz w:val="24"/>
              </w:rPr>
              <w:t>本次评价工作人员</w:t>
            </w:r>
            <w:r>
              <w:rPr>
                <w:sz w:val="24"/>
              </w:rPr>
              <w:t>分别</w:t>
            </w:r>
            <w:r>
              <w:rPr>
                <w:rFonts w:hint="eastAsia"/>
                <w:sz w:val="24"/>
              </w:rPr>
              <w:t>于2022年</w:t>
            </w:r>
            <w:r>
              <w:rPr>
                <w:sz w:val="24"/>
              </w:rPr>
              <w:t>12</w:t>
            </w:r>
            <w:r>
              <w:rPr>
                <w:rFonts w:hint="eastAsia"/>
                <w:sz w:val="24"/>
              </w:rPr>
              <w:t>月和2023年3月前往</w:t>
            </w:r>
            <w:r>
              <w:rPr>
                <w:sz w:val="24"/>
              </w:rPr>
              <w:t>现场</w:t>
            </w:r>
            <w:r>
              <w:rPr>
                <w:rFonts w:hint="eastAsia"/>
                <w:sz w:val="24"/>
              </w:rPr>
              <w:t>在工程占地区域开展了陆生生态现场调查，重点调查了水库淹没区、坝址区、管理站、生产生活区、弃渣场</w:t>
            </w:r>
            <w:r>
              <w:rPr>
                <w:sz w:val="24"/>
              </w:rPr>
              <w:t>、料场</w:t>
            </w:r>
            <w:r>
              <w:rPr>
                <w:rFonts w:hint="eastAsia"/>
                <w:sz w:val="24"/>
              </w:rPr>
              <w:t>等工程占地区及</w:t>
            </w:r>
            <w:r>
              <w:rPr>
                <w:sz w:val="24"/>
              </w:rPr>
              <w:t>工程下游影响河段</w:t>
            </w:r>
            <w:r>
              <w:rPr>
                <w:rFonts w:hint="eastAsia"/>
                <w:sz w:val="24"/>
              </w:rPr>
              <w:t>。调查过程针对工程占地区域的植被设置了</w:t>
            </w:r>
            <w:r>
              <w:rPr>
                <w:sz w:val="24"/>
              </w:rPr>
              <w:t>12</w:t>
            </w:r>
            <w:r>
              <w:rPr>
                <w:rFonts w:hint="eastAsia"/>
                <w:sz w:val="24"/>
              </w:rPr>
              <w:t>个植被样方，记录样方内植被组成、盖度、数量等指标，并拍照记录，样方调查情况见表</w:t>
            </w:r>
            <w:r>
              <w:rPr>
                <w:sz w:val="24"/>
              </w:rPr>
              <w:t>5</w:t>
            </w:r>
            <w:r>
              <w:rPr>
                <w:rFonts w:hint="eastAsia"/>
                <w:sz w:val="24"/>
              </w:rPr>
              <w:t>。</w:t>
            </w:r>
          </w:p>
          <w:p>
            <w:pPr>
              <w:jc w:val="left"/>
              <w:rPr>
                <w:rFonts w:ascii="黑体" w:hAnsi="黑体" w:eastAsia="黑体"/>
                <w:sz w:val="24"/>
              </w:rPr>
            </w:pPr>
            <w:r>
              <w:rPr>
                <w:rFonts w:hint="eastAsia" w:ascii="黑体" w:hAnsi="黑体" w:eastAsia="黑体"/>
                <w:sz w:val="24"/>
              </w:rPr>
              <w:t>表</w:t>
            </w:r>
            <w:r>
              <w:rPr>
                <w:rFonts w:eastAsia="黑体"/>
                <w:sz w:val="24"/>
              </w:rPr>
              <w:t>5</w:t>
            </w:r>
            <w:r>
              <w:rPr>
                <w:rFonts w:ascii="黑体" w:hAnsi="黑体" w:eastAsia="黑体"/>
                <w:sz w:val="24"/>
              </w:rPr>
              <w:t xml:space="preserve">                      </w:t>
            </w:r>
            <w:r>
              <w:rPr>
                <w:rFonts w:hint="eastAsia" w:ascii="黑体" w:hAnsi="黑体" w:eastAsia="黑体"/>
                <w:sz w:val="24"/>
              </w:rPr>
              <w:t>工程占地区域植被样方调查表</w:t>
            </w:r>
          </w:p>
          <w:tbl>
            <w:tblPr>
              <w:tblStyle w:val="21"/>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731"/>
              <w:gridCol w:w="776"/>
              <w:gridCol w:w="818"/>
              <w:gridCol w:w="3706"/>
              <w:gridCol w:w="1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序号</w:t>
                  </w:r>
                </w:p>
              </w:tc>
              <w:tc>
                <w:tcPr>
                  <w:tcW w:w="731" w:type="dxa"/>
                  <w:shd w:val="clear" w:color="auto" w:fill="auto"/>
                  <w:noWrap/>
                  <w:vAlign w:val="center"/>
                </w:tcPr>
                <w:p>
                  <w:pPr>
                    <w:widowControl/>
                    <w:jc w:val="center"/>
                    <w:rPr>
                      <w:kern w:val="0"/>
                      <w:szCs w:val="21"/>
                    </w:rPr>
                  </w:pPr>
                  <w:r>
                    <w:rPr>
                      <w:rFonts w:hint="eastAsia"/>
                      <w:kern w:val="0"/>
                      <w:szCs w:val="21"/>
                    </w:rPr>
                    <w:t>位置</w:t>
                  </w:r>
                </w:p>
              </w:tc>
              <w:tc>
                <w:tcPr>
                  <w:tcW w:w="776" w:type="dxa"/>
                  <w:shd w:val="clear" w:color="auto" w:fill="auto"/>
                  <w:noWrap/>
                  <w:vAlign w:val="center"/>
                </w:tcPr>
                <w:p>
                  <w:pPr>
                    <w:widowControl/>
                    <w:jc w:val="center"/>
                    <w:rPr>
                      <w:kern w:val="0"/>
                      <w:szCs w:val="21"/>
                    </w:rPr>
                  </w:pPr>
                  <w:r>
                    <w:rPr>
                      <w:kern w:val="0"/>
                      <w:szCs w:val="21"/>
                    </w:rPr>
                    <w:t>经度</w:t>
                  </w:r>
                </w:p>
              </w:tc>
              <w:tc>
                <w:tcPr>
                  <w:tcW w:w="818" w:type="dxa"/>
                  <w:shd w:val="clear" w:color="auto" w:fill="auto"/>
                  <w:noWrap/>
                  <w:vAlign w:val="center"/>
                </w:tcPr>
                <w:p>
                  <w:pPr>
                    <w:widowControl/>
                    <w:jc w:val="center"/>
                    <w:rPr>
                      <w:kern w:val="0"/>
                      <w:szCs w:val="21"/>
                    </w:rPr>
                  </w:pPr>
                  <w:r>
                    <w:rPr>
                      <w:kern w:val="0"/>
                      <w:szCs w:val="21"/>
                    </w:rPr>
                    <w:t>纬度</w:t>
                  </w:r>
                </w:p>
              </w:tc>
              <w:tc>
                <w:tcPr>
                  <w:tcW w:w="3706" w:type="dxa"/>
                  <w:shd w:val="clear" w:color="auto" w:fill="auto"/>
                  <w:noWrap/>
                  <w:vAlign w:val="center"/>
                </w:tcPr>
                <w:p>
                  <w:pPr>
                    <w:widowControl/>
                    <w:jc w:val="center"/>
                    <w:rPr>
                      <w:kern w:val="0"/>
                      <w:szCs w:val="21"/>
                    </w:rPr>
                  </w:pPr>
                  <w:r>
                    <w:rPr>
                      <w:rFonts w:hint="eastAsia"/>
                      <w:kern w:val="0"/>
                      <w:szCs w:val="21"/>
                    </w:rPr>
                    <w:t>现场照片</w:t>
                  </w:r>
                </w:p>
              </w:tc>
              <w:tc>
                <w:tcPr>
                  <w:tcW w:w="1554" w:type="dxa"/>
                  <w:vAlign w:val="center"/>
                </w:tcPr>
                <w:p>
                  <w:pPr>
                    <w:widowControl/>
                    <w:jc w:val="center"/>
                    <w:rPr>
                      <w:kern w:val="0"/>
                      <w:szCs w:val="21"/>
                    </w:rPr>
                  </w:pPr>
                  <w:r>
                    <w:rPr>
                      <w:rFonts w:hint="eastAsia"/>
                      <w:kern w:val="0"/>
                      <w:szCs w:val="21"/>
                    </w:rPr>
                    <w:t>植被类型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1</w:t>
                  </w:r>
                </w:p>
              </w:tc>
              <w:tc>
                <w:tcPr>
                  <w:tcW w:w="731" w:type="dxa"/>
                  <w:shd w:val="clear" w:color="auto" w:fill="auto"/>
                  <w:noWrap/>
                  <w:vAlign w:val="center"/>
                </w:tcPr>
                <w:p>
                  <w:pPr>
                    <w:widowControl/>
                    <w:jc w:val="center"/>
                    <w:rPr>
                      <w:kern w:val="0"/>
                      <w:szCs w:val="21"/>
                    </w:rPr>
                  </w:pPr>
                  <w:r>
                    <w:rPr>
                      <w:rFonts w:hint="eastAsia"/>
                      <w:kern w:val="0"/>
                      <w:szCs w:val="21"/>
                    </w:rPr>
                    <w:t>1#道路</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46.39″ </w:t>
                  </w:r>
                </w:p>
              </w:tc>
              <w:tc>
                <w:tcPr>
                  <w:tcW w:w="818" w:type="dxa"/>
                  <w:shd w:val="clear" w:color="auto" w:fill="auto"/>
                  <w:noWrap/>
                  <w:vAlign w:val="center"/>
                </w:tcPr>
                <w:p>
                  <w:pPr>
                    <w:widowControl/>
                    <w:jc w:val="center"/>
                    <w:rPr>
                      <w:kern w:val="0"/>
                      <w:szCs w:val="21"/>
                    </w:rPr>
                  </w:pPr>
                  <w:r>
                    <w:rPr>
                      <w:kern w:val="0"/>
                      <w:szCs w:val="21"/>
                    </w:rPr>
                    <w:t>43°45′</w:t>
                  </w:r>
                </w:p>
                <w:p>
                  <w:pPr>
                    <w:widowControl/>
                    <w:jc w:val="center"/>
                    <w:rPr>
                      <w:kern w:val="0"/>
                      <w:szCs w:val="21"/>
                    </w:rPr>
                  </w:pPr>
                  <w:r>
                    <w:rPr>
                      <w:kern w:val="0"/>
                      <w:szCs w:val="21"/>
                    </w:rPr>
                    <w:t xml:space="preserve">00.80″ </w:t>
                  </w:r>
                </w:p>
              </w:tc>
              <w:tc>
                <w:tcPr>
                  <w:tcW w:w="3706" w:type="dxa"/>
                  <w:shd w:val="clear" w:color="auto" w:fill="auto"/>
                  <w:noWrap/>
                  <w:vAlign w:val="center"/>
                </w:tcPr>
                <w:p>
                  <w:pPr>
                    <w:widowControl/>
                    <w:jc w:val="center"/>
                    <w:rPr>
                      <w:kern w:val="0"/>
                      <w:szCs w:val="21"/>
                    </w:rPr>
                  </w:pPr>
                  <w:r>
                    <w:drawing>
                      <wp:inline distT="0" distB="0" distL="0" distR="0">
                        <wp:extent cx="2159635" cy="1259840"/>
                        <wp:effectExtent l="0" t="0" r="0" b="0"/>
                        <wp:docPr id="50" name="图片 50"/>
                        <wp:cNvGraphicFramePr/>
                        <a:graphic xmlns:a="http://schemas.openxmlformats.org/drawingml/2006/main">
                          <a:graphicData uri="http://schemas.openxmlformats.org/drawingml/2006/picture">
                            <pic:pic xmlns:pic="http://schemas.openxmlformats.org/drawingml/2006/picture">
                              <pic:nvPicPr>
                                <pic:cNvPr id="50" name="图片 50"/>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pPr>
                  <w:r>
                    <w:rPr>
                      <w:rFonts w:hint="eastAsia"/>
                      <w:kern w:val="0"/>
                      <w:szCs w:val="21"/>
                    </w:rPr>
                    <w:t>地表植被以蒿类和针茅为建群种，并生长有木地肤、假木贼、角果藜等植物，植被盖度约为</w:t>
                  </w:r>
                  <w:r>
                    <w:rPr>
                      <w:kern w:val="0"/>
                      <w:szCs w:val="21"/>
                    </w:rPr>
                    <w:t>10%</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2</w:t>
                  </w:r>
                </w:p>
              </w:tc>
              <w:tc>
                <w:tcPr>
                  <w:tcW w:w="731" w:type="dxa"/>
                  <w:shd w:val="clear" w:color="auto" w:fill="auto"/>
                  <w:noWrap/>
                  <w:vAlign w:val="center"/>
                </w:tcPr>
                <w:p>
                  <w:pPr>
                    <w:widowControl/>
                    <w:jc w:val="center"/>
                    <w:rPr>
                      <w:kern w:val="0"/>
                      <w:szCs w:val="21"/>
                    </w:rPr>
                  </w:pPr>
                  <w:r>
                    <w:rPr>
                      <w:rFonts w:hint="eastAsia"/>
                      <w:kern w:val="0"/>
                      <w:szCs w:val="21"/>
                    </w:rPr>
                    <w:t>临时生活区</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44.51″ </w:t>
                  </w:r>
                </w:p>
              </w:tc>
              <w:tc>
                <w:tcPr>
                  <w:tcW w:w="818" w:type="dxa"/>
                  <w:shd w:val="clear" w:color="auto" w:fill="auto"/>
                  <w:noWrap/>
                  <w:vAlign w:val="center"/>
                </w:tcPr>
                <w:p>
                  <w:pPr>
                    <w:widowControl/>
                    <w:jc w:val="center"/>
                    <w:rPr>
                      <w:kern w:val="0"/>
                      <w:szCs w:val="21"/>
                    </w:rPr>
                  </w:pPr>
                  <w:r>
                    <w:rPr>
                      <w:kern w:val="0"/>
                      <w:szCs w:val="21"/>
                    </w:rPr>
                    <w:t>43°45′</w:t>
                  </w:r>
                </w:p>
                <w:p>
                  <w:pPr>
                    <w:widowControl/>
                    <w:jc w:val="center"/>
                    <w:rPr>
                      <w:kern w:val="0"/>
                      <w:szCs w:val="21"/>
                    </w:rPr>
                  </w:pPr>
                  <w:r>
                    <w:rPr>
                      <w:kern w:val="0"/>
                      <w:szCs w:val="21"/>
                    </w:rPr>
                    <w:t xml:space="preserve">01.34″ </w:t>
                  </w:r>
                </w:p>
              </w:tc>
              <w:tc>
                <w:tcPr>
                  <w:tcW w:w="3706" w:type="dxa"/>
                  <w:shd w:val="clear" w:color="auto" w:fill="auto"/>
                  <w:noWrap/>
                  <w:vAlign w:val="center"/>
                </w:tcPr>
                <w:p>
                  <w:pPr>
                    <w:widowControl/>
                    <w:jc w:val="center"/>
                    <w:rPr>
                      <w:kern w:val="0"/>
                      <w:szCs w:val="21"/>
                    </w:rPr>
                  </w:pPr>
                  <w:r>
                    <w:drawing>
                      <wp:inline distT="0" distB="0" distL="0" distR="0">
                        <wp:extent cx="2159635" cy="1259840"/>
                        <wp:effectExtent l="0" t="0" r="0" b="0"/>
                        <wp:docPr id="9" name="图片 9" descr="C:\Users\hanxiaoxuan\AppData\Roaming\feiq\RichOle\25831534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hanxiaoxuan\AppData\Roaming\feiq\RichOle\2583153418.bmp"/>
                                <pic:cNvPicPr>
                                  <a:picLocks noChangeAspect="1" noChangeArrowheads="1"/>
                                </pic:cNvPicPr>
                              </pic:nvPicPr>
                              <pic:blipFill>
                                <a:blip r:embed="rId6" cstate="print">
                                  <a:extLst>
                                    <a:ext uri="{28A0092B-C50C-407E-A947-70E740481C1C}">
                                      <a14:useLocalDpi xmlns:a14="http://schemas.microsoft.com/office/drawing/2010/main" val="0"/>
                                    </a:ext>
                                  </a:extLst>
                                </a:blip>
                                <a:srcRect l="5802" t="7674" r="6093" b="13461"/>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pPr>
                  <w:r>
                    <w:rPr>
                      <w:rFonts w:hint="eastAsia"/>
                      <w:kern w:val="0"/>
                      <w:szCs w:val="21"/>
                    </w:rPr>
                    <w:t>占地区域植物以伊犁娟蒿和针茅为主、伴生有木地肤、小蓬、猪毛菜等植被，植被盖度约</w:t>
                  </w:r>
                  <w:r>
                    <w:rPr>
                      <w:kern w:val="0"/>
                      <w:szCs w:val="21"/>
                    </w:rPr>
                    <w:t>15</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3</w:t>
                  </w:r>
                </w:p>
              </w:tc>
              <w:tc>
                <w:tcPr>
                  <w:tcW w:w="731" w:type="dxa"/>
                  <w:shd w:val="clear" w:color="auto" w:fill="auto"/>
                  <w:noWrap/>
                  <w:vAlign w:val="center"/>
                </w:tcPr>
                <w:p>
                  <w:pPr>
                    <w:widowControl/>
                    <w:jc w:val="center"/>
                    <w:rPr>
                      <w:kern w:val="0"/>
                      <w:szCs w:val="21"/>
                    </w:rPr>
                  </w:pPr>
                  <w:r>
                    <w:rPr>
                      <w:rFonts w:hint="eastAsia"/>
                      <w:kern w:val="0"/>
                      <w:szCs w:val="21"/>
                    </w:rPr>
                    <w:t>临时道路</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21.11″ </w:t>
                  </w:r>
                </w:p>
              </w:tc>
              <w:tc>
                <w:tcPr>
                  <w:tcW w:w="818" w:type="dxa"/>
                  <w:shd w:val="clear" w:color="auto" w:fill="auto"/>
                  <w:noWrap/>
                  <w:vAlign w:val="center"/>
                </w:tcPr>
                <w:p>
                  <w:pPr>
                    <w:widowControl/>
                    <w:jc w:val="center"/>
                    <w:rPr>
                      <w:kern w:val="0"/>
                      <w:szCs w:val="21"/>
                    </w:rPr>
                  </w:pPr>
                  <w:r>
                    <w:rPr>
                      <w:kern w:val="0"/>
                      <w:szCs w:val="21"/>
                    </w:rPr>
                    <w:t>43°45′</w:t>
                  </w:r>
                </w:p>
                <w:p>
                  <w:pPr>
                    <w:widowControl/>
                    <w:jc w:val="center"/>
                    <w:rPr>
                      <w:kern w:val="0"/>
                      <w:szCs w:val="21"/>
                    </w:rPr>
                  </w:pPr>
                  <w:r>
                    <w:rPr>
                      <w:kern w:val="0"/>
                      <w:szCs w:val="21"/>
                    </w:rPr>
                    <w:t xml:space="preserve">01.52″ </w:t>
                  </w:r>
                </w:p>
              </w:tc>
              <w:tc>
                <w:tcPr>
                  <w:tcW w:w="3706" w:type="dxa"/>
                  <w:shd w:val="clear" w:color="auto" w:fill="auto"/>
                  <w:noWrap/>
                  <w:vAlign w:val="center"/>
                </w:tcPr>
                <w:p>
                  <w:pPr>
                    <w:widowControl/>
                    <w:jc w:val="center"/>
                    <w:rPr>
                      <w:kern w:val="0"/>
                      <w:szCs w:val="21"/>
                    </w:rPr>
                  </w:pPr>
                  <w:r>
                    <w:drawing>
                      <wp:inline distT="0" distB="0" distL="0" distR="0">
                        <wp:extent cx="2159635" cy="1259840"/>
                        <wp:effectExtent l="0" t="0" r="0" b="0"/>
                        <wp:docPr id="10" name="图片 10" descr="C:\Users\hanxiaoxuan\AppData\Roaming\feiq\RichOle\242146976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hanxiaoxuan\AppData\Roaming\feiq\RichOle\2421469768.bmp"/>
                                <pic:cNvPicPr>
                                  <a:picLocks noChangeAspect="1" noChangeArrowheads="1"/>
                                </pic:cNvPicPr>
                              </pic:nvPicPr>
                              <pic:blipFill>
                                <a:blip r:embed="rId7" cstate="print">
                                  <a:extLst>
                                    <a:ext uri="{28A0092B-C50C-407E-A947-70E740481C1C}">
                                      <a14:useLocalDpi xmlns:a14="http://schemas.microsoft.com/office/drawing/2010/main" val="0"/>
                                    </a:ext>
                                  </a:extLst>
                                </a:blip>
                                <a:srcRect l="8182" t="21172" r="46148" b="13991"/>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pStyle w:val="100"/>
                    <w:jc w:val="center"/>
                    <w:rPr>
                      <w:rFonts w:hAnsi="Times New Roman" w:eastAsia="宋体"/>
                      <w:sz w:val="21"/>
                      <w:szCs w:val="23"/>
                    </w:rPr>
                  </w:pPr>
                  <w:r>
                    <w:rPr>
                      <w:rFonts w:hint="eastAsia" w:eastAsia="宋体"/>
                      <w:sz w:val="21"/>
                      <w:szCs w:val="23"/>
                    </w:rPr>
                    <w:t>植物以针茅为主，地表伴生生长有小蓬、猪毛菜等植被，区域植被盖度约</w:t>
                  </w:r>
                  <w:r>
                    <w:rPr>
                      <w:rFonts w:ascii="Times New Roman" w:hAnsi="Times New Roman" w:eastAsia="宋体" w:cs="Times New Roman"/>
                      <w:sz w:val="21"/>
                      <w:szCs w:val="23"/>
                    </w:rPr>
                    <w:t>20</w:t>
                  </w:r>
                  <w:r>
                    <w:rPr>
                      <w:rFonts w:hint="eastAsia" w:hAnsi="Times New Roman" w:eastAsia="宋体"/>
                      <w:sz w:val="21"/>
                      <w:szCs w:val="2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4</w:t>
                  </w:r>
                </w:p>
              </w:tc>
              <w:tc>
                <w:tcPr>
                  <w:tcW w:w="731" w:type="dxa"/>
                  <w:shd w:val="clear" w:color="auto" w:fill="auto"/>
                  <w:noWrap/>
                  <w:vAlign w:val="center"/>
                </w:tcPr>
                <w:p>
                  <w:pPr>
                    <w:widowControl/>
                    <w:jc w:val="center"/>
                    <w:rPr>
                      <w:kern w:val="0"/>
                      <w:szCs w:val="21"/>
                    </w:rPr>
                  </w:pPr>
                  <w:r>
                    <w:rPr>
                      <w:rFonts w:hint="eastAsia"/>
                      <w:kern w:val="0"/>
                      <w:szCs w:val="21"/>
                    </w:rPr>
                    <w:t>运行管理站</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51.82″ </w:t>
                  </w:r>
                </w:p>
              </w:tc>
              <w:tc>
                <w:tcPr>
                  <w:tcW w:w="818" w:type="dxa"/>
                  <w:shd w:val="clear" w:color="auto" w:fill="auto"/>
                  <w:noWrap/>
                  <w:vAlign w:val="center"/>
                </w:tcPr>
                <w:p>
                  <w:pPr>
                    <w:widowControl/>
                    <w:jc w:val="center"/>
                    <w:rPr>
                      <w:kern w:val="0"/>
                      <w:szCs w:val="21"/>
                    </w:rPr>
                  </w:pPr>
                  <w:r>
                    <w:rPr>
                      <w:kern w:val="0"/>
                      <w:szCs w:val="21"/>
                    </w:rPr>
                    <w:t>43°44′</w:t>
                  </w:r>
                </w:p>
                <w:p>
                  <w:pPr>
                    <w:widowControl/>
                    <w:jc w:val="center"/>
                    <w:rPr>
                      <w:kern w:val="0"/>
                      <w:szCs w:val="21"/>
                    </w:rPr>
                  </w:pPr>
                  <w:r>
                    <w:rPr>
                      <w:kern w:val="0"/>
                      <w:szCs w:val="21"/>
                    </w:rPr>
                    <w:t xml:space="preserve">45.94″ </w:t>
                  </w:r>
                </w:p>
              </w:tc>
              <w:tc>
                <w:tcPr>
                  <w:tcW w:w="3706" w:type="dxa"/>
                  <w:shd w:val="clear" w:color="auto" w:fill="auto"/>
                  <w:noWrap/>
                  <w:vAlign w:val="center"/>
                </w:tcPr>
                <w:p>
                  <w:pPr>
                    <w:widowControl/>
                    <w:jc w:val="center"/>
                    <w:rPr>
                      <w:kern w:val="0"/>
                      <w:szCs w:val="21"/>
                    </w:rPr>
                  </w:pPr>
                  <w:r>
                    <w:drawing>
                      <wp:inline distT="0" distB="0" distL="0" distR="0">
                        <wp:extent cx="2159635" cy="1259840"/>
                        <wp:effectExtent l="0" t="0" r="0" b="0"/>
                        <wp:docPr id="7" name="图片 7" descr="C:\Users\hanxiaoxuan\AppData\Roaming\feiq\RichOle\264265681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hanxiaoxuan\AppData\Roaming\feiq\RichOle\2642656818.bmp"/>
                                <pic:cNvPicPr>
                                  <a:picLocks noChangeAspect="1" noChangeArrowheads="1"/>
                                </pic:cNvPicPr>
                              </pic:nvPicPr>
                              <pic:blipFill>
                                <a:blip r:embed="rId8" cstate="print">
                                  <a:extLst>
                                    <a:ext uri="{28A0092B-C50C-407E-A947-70E740481C1C}">
                                      <a14:useLocalDpi xmlns:a14="http://schemas.microsoft.com/office/drawing/2010/main" val="0"/>
                                    </a:ext>
                                  </a:extLst>
                                </a:blip>
                                <a:srcRect l="4760" t="13232" r="8886" b="14781"/>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pPr>
                  <w:r>
                    <w:rPr>
                      <w:rFonts w:hint="eastAsia"/>
                      <w:kern w:val="0"/>
                      <w:szCs w:val="21"/>
                    </w:rPr>
                    <w:t>占地区域植物以伊犁娟蒿和针茅为主、伴生有木地肤、驼绒藜、假木贼、小蓬、猪毛菜等植被，植被盖度约植被盖度约为</w:t>
                  </w:r>
                  <w:r>
                    <w:rPr>
                      <w:kern w:val="0"/>
                      <w:szCs w:val="21"/>
                    </w:rPr>
                    <w:t>10%</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5</w:t>
                  </w:r>
                </w:p>
              </w:tc>
              <w:tc>
                <w:tcPr>
                  <w:tcW w:w="731" w:type="dxa"/>
                  <w:shd w:val="clear" w:color="auto" w:fill="auto"/>
                  <w:noWrap/>
                  <w:vAlign w:val="center"/>
                </w:tcPr>
                <w:p>
                  <w:pPr>
                    <w:widowControl/>
                    <w:jc w:val="center"/>
                    <w:rPr>
                      <w:kern w:val="0"/>
                      <w:szCs w:val="21"/>
                    </w:rPr>
                  </w:pPr>
                  <w:r>
                    <w:rPr>
                      <w:rFonts w:hint="eastAsia"/>
                      <w:kern w:val="0"/>
                      <w:szCs w:val="21"/>
                    </w:rPr>
                    <w:t>水库淹没范围</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53.82″ </w:t>
                  </w:r>
                </w:p>
              </w:tc>
              <w:tc>
                <w:tcPr>
                  <w:tcW w:w="818" w:type="dxa"/>
                  <w:shd w:val="clear" w:color="auto" w:fill="auto"/>
                  <w:noWrap/>
                  <w:vAlign w:val="center"/>
                </w:tcPr>
                <w:p>
                  <w:pPr>
                    <w:widowControl/>
                    <w:jc w:val="center"/>
                    <w:rPr>
                      <w:kern w:val="0"/>
                      <w:szCs w:val="21"/>
                    </w:rPr>
                  </w:pPr>
                  <w:r>
                    <w:rPr>
                      <w:kern w:val="0"/>
                      <w:szCs w:val="21"/>
                    </w:rPr>
                    <w:t>43°44′</w:t>
                  </w:r>
                </w:p>
                <w:p>
                  <w:pPr>
                    <w:widowControl/>
                    <w:jc w:val="center"/>
                    <w:rPr>
                      <w:kern w:val="0"/>
                      <w:szCs w:val="21"/>
                    </w:rPr>
                  </w:pPr>
                  <w:r>
                    <w:rPr>
                      <w:kern w:val="0"/>
                      <w:szCs w:val="21"/>
                    </w:rPr>
                    <w:t xml:space="preserve">46.69″ </w:t>
                  </w:r>
                </w:p>
              </w:tc>
              <w:tc>
                <w:tcPr>
                  <w:tcW w:w="3706" w:type="dxa"/>
                  <w:shd w:val="clear" w:color="auto" w:fill="auto"/>
                  <w:noWrap/>
                  <w:vAlign w:val="center"/>
                </w:tcPr>
                <w:p>
                  <w:pPr>
                    <w:widowControl/>
                    <w:jc w:val="center"/>
                    <w:rPr>
                      <w:kern w:val="0"/>
                      <w:szCs w:val="21"/>
                    </w:rPr>
                  </w:pPr>
                  <w:r>
                    <w:drawing>
                      <wp:inline distT="0" distB="0" distL="0" distR="0">
                        <wp:extent cx="2159635" cy="125984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pPr>
                  <w:r>
                    <w:rPr>
                      <w:rFonts w:hint="eastAsia"/>
                      <w:kern w:val="0"/>
                      <w:szCs w:val="21"/>
                    </w:rPr>
                    <w:t>占地区域植物以伊犁娟蒿和针茅为主、伴生有驼绒藜、假木贼、小蓬、猪毛菜等，植被盖度约植被盖度约为</w:t>
                  </w:r>
                  <w:r>
                    <w:rPr>
                      <w:kern w:val="0"/>
                      <w:szCs w:val="21"/>
                    </w:rPr>
                    <w:t>10%</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6</w:t>
                  </w:r>
                </w:p>
              </w:tc>
              <w:tc>
                <w:tcPr>
                  <w:tcW w:w="731" w:type="dxa"/>
                  <w:shd w:val="clear" w:color="auto" w:fill="auto"/>
                  <w:noWrap/>
                  <w:vAlign w:val="center"/>
                </w:tcPr>
                <w:p>
                  <w:pPr>
                    <w:widowControl/>
                    <w:jc w:val="center"/>
                    <w:rPr>
                      <w:kern w:val="0"/>
                      <w:szCs w:val="21"/>
                    </w:rPr>
                  </w:pPr>
                  <w:r>
                    <w:rPr>
                      <w:rFonts w:hint="eastAsia"/>
                      <w:kern w:val="0"/>
                      <w:szCs w:val="21"/>
                    </w:rPr>
                    <w:t>临时</w:t>
                  </w:r>
                  <w:r>
                    <w:rPr>
                      <w:kern w:val="0"/>
                      <w:szCs w:val="21"/>
                    </w:rPr>
                    <w:t>生产区</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49.34″ </w:t>
                  </w:r>
                </w:p>
              </w:tc>
              <w:tc>
                <w:tcPr>
                  <w:tcW w:w="818" w:type="dxa"/>
                  <w:shd w:val="clear" w:color="auto" w:fill="auto"/>
                  <w:noWrap/>
                  <w:vAlign w:val="center"/>
                </w:tcPr>
                <w:p>
                  <w:pPr>
                    <w:widowControl/>
                    <w:jc w:val="center"/>
                    <w:rPr>
                      <w:kern w:val="0"/>
                      <w:szCs w:val="21"/>
                    </w:rPr>
                  </w:pPr>
                  <w:r>
                    <w:rPr>
                      <w:kern w:val="0"/>
                      <w:szCs w:val="21"/>
                    </w:rPr>
                    <w:t>43°45′</w:t>
                  </w:r>
                </w:p>
                <w:p>
                  <w:pPr>
                    <w:widowControl/>
                    <w:jc w:val="center"/>
                    <w:rPr>
                      <w:kern w:val="0"/>
                      <w:szCs w:val="21"/>
                    </w:rPr>
                  </w:pPr>
                  <w:r>
                    <w:rPr>
                      <w:kern w:val="0"/>
                      <w:szCs w:val="21"/>
                    </w:rPr>
                    <w:t xml:space="preserve">01.56″ </w:t>
                  </w:r>
                </w:p>
              </w:tc>
              <w:tc>
                <w:tcPr>
                  <w:tcW w:w="3706" w:type="dxa"/>
                  <w:shd w:val="clear" w:color="auto" w:fill="auto"/>
                  <w:noWrap/>
                  <w:vAlign w:val="center"/>
                </w:tcPr>
                <w:p>
                  <w:pPr>
                    <w:widowControl/>
                    <w:jc w:val="center"/>
                    <w:rPr>
                      <w:kern w:val="0"/>
                      <w:szCs w:val="21"/>
                    </w:rPr>
                  </w:pPr>
                  <w:r>
                    <w:drawing>
                      <wp:inline distT="0" distB="0" distL="0" distR="0">
                        <wp:extent cx="2159635" cy="1259840"/>
                        <wp:effectExtent l="0" t="0" r="0" b="0"/>
                        <wp:docPr id="11" name="图片 11" descr="G:\飞Q自动接收\feiq\AutoRecv Files\hxx(74867A27CF1E)\2023-07-18 11_16_22\_cgi-bin_mmwebwx-bin_webwxgetmsgimg__&amp;MsgID=8251894524890900713&amp;skey=@crypt_1504f90b_91ab2ae766b6279761370f3b9171f8e6&amp;mmweb_appid=wx_webfilehelp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G:\飞Q自动接收\feiq\AutoRecv Files\hxx(74867A27CF1E)\2023-07-18 11_16_22\_cgi-bin_mmwebwx-bin_webwxgetmsgimg__&amp;MsgID=8251894524890900713&amp;skey=@crypt_1504f90b_91ab2ae766b6279761370f3b9171f8e6&amp;mmweb_appid=wx_webfilehelper.jpg"/>
                                <pic:cNvPicPr preferRelativeResize="0">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pPr>
                  <w:r>
                    <w:rPr>
                      <w:rFonts w:hint="eastAsia"/>
                      <w:kern w:val="0"/>
                      <w:szCs w:val="21"/>
                    </w:rPr>
                    <w:t>占地区域植物以伊犁娟蒿和针茅为主、伴生有木地肤、猪毛菜、</w:t>
                  </w:r>
                  <w:r>
                    <w:rPr>
                      <w:rFonts w:hint="eastAsia"/>
                    </w:rPr>
                    <w:t>早熟禾、苔草、角果藜</w:t>
                  </w:r>
                  <w:r>
                    <w:rPr>
                      <w:rFonts w:hint="eastAsia"/>
                      <w:kern w:val="0"/>
                      <w:szCs w:val="21"/>
                    </w:rPr>
                    <w:t>等植被，植被盖度约</w:t>
                  </w:r>
                  <w:r>
                    <w:rPr>
                      <w:kern w:val="0"/>
                      <w:szCs w:val="21"/>
                    </w:rPr>
                    <w:t>30</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kern w:val="0"/>
                      <w:szCs w:val="21"/>
                    </w:rPr>
                    <w:t>7</w:t>
                  </w:r>
                </w:p>
              </w:tc>
              <w:tc>
                <w:tcPr>
                  <w:tcW w:w="731" w:type="dxa"/>
                  <w:shd w:val="clear" w:color="auto" w:fill="auto"/>
                  <w:noWrap/>
                  <w:vAlign w:val="center"/>
                </w:tcPr>
                <w:p>
                  <w:pPr>
                    <w:widowControl/>
                    <w:jc w:val="center"/>
                    <w:rPr>
                      <w:kern w:val="0"/>
                      <w:szCs w:val="21"/>
                    </w:rPr>
                  </w:pPr>
                  <w:r>
                    <w:rPr>
                      <w:rFonts w:hint="eastAsia"/>
                      <w:kern w:val="0"/>
                      <w:szCs w:val="21"/>
                    </w:rPr>
                    <w:t>2#临时弃渣场</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50.14″ </w:t>
                  </w:r>
                </w:p>
              </w:tc>
              <w:tc>
                <w:tcPr>
                  <w:tcW w:w="818" w:type="dxa"/>
                  <w:shd w:val="clear" w:color="auto" w:fill="auto"/>
                  <w:noWrap/>
                  <w:vAlign w:val="center"/>
                </w:tcPr>
                <w:p>
                  <w:pPr>
                    <w:widowControl/>
                    <w:jc w:val="center"/>
                    <w:rPr>
                      <w:kern w:val="0"/>
                      <w:szCs w:val="21"/>
                    </w:rPr>
                  </w:pPr>
                  <w:r>
                    <w:rPr>
                      <w:kern w:val="0"/>
                      <w:szCs w:val="21"/>
                    </w:rPr>
                    <w:t>43°44′</w:t>
                  </w:r>
                </w:p>
                <w:p>
                  <w:pPr>
                    <w:widowControl/>
                    <w:jc w:val="center"/>
                    <w:rPr>
                      <w:kern w:val="0"/>
                      <w:szCs w:val="21"/>
                    </w:rPr>
                  </w:pPr>
                  <w:r>
                    <w:rPr>
                      <w:kern w:val="0"/>
                      <w:szCs w:val="21"/>
                    </w:rPr>
                    <w:t xml:space="preserve">58.13″ </w:t>
                  </w:r>
                </w:p>
              </w:tc>
              <w:tc>
                <w:tcPr>
                  <w:tcW w:w="3706" w:type="dxa"/>
                  <w:shd w:val="clear" w:color="auto" w:fill="auto"/>
                  <w:noWrap/>
                  <w:vAlign w:val="center"/>
                </w:tcPr>
                <w:p>
                  <w:pPr>
                    <w:widowControl/>
                    <w:jc w:val="center"/>
                    <w:rPr>
                      <w:kern w:val="0"/>
                      <w:szCs w:val="21"/>
                    </w:rPr>
                  </w:pPr>
                  <w:r>
                    <w:drawing>
                      <wp:inline distT="0" distB="0" distL="0" distR="0">
                        <wp:extent cx="2159635" cy="1259840"/>
                        <wp:effectExtent l="0" t="0" r="0" b="0"/>
                        <wp:docPr id="48" name="图片 48" descr="IMG_20191219_134429_爱奇艺"/>
                        <wp:cNvGraphicFramePr/>
                        <a:graphic xmlns:a="http://schemas.openxmlformats.org/drawingml/2006/main">
                          <a:graphicData uri="http://schemas.openxmlformats.org/drawingml/2006/picture">
                            <pic:pic xmlns:pic="http://schemas.openxmlformats.org/drawingml/2006/picture">
                              <pic:nvPicPr>
                                <pic:cNvPr id="48" name="图片 48" descr="IMG_20191219_134429_爱奇艺"/>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pPr>
                  <w:r>
                    <w:rPr>
                      <w:rFonts w:hint="eastAsia"/>
                      <w:kern w:val="0"/>
                      <w:szCs w:val="21"/>
                    </w:rPr>
                    <w:t>占地区域植物以伊犁娟蒿和针茅为主、伴生有驼绒藜、假木贼、小蓬等，植被盖度约植被盖度约为</w:t>
                  </w:r>
                  <w:r>
                    <w:rPr>
                      <w:kern w:val="0"/>
                      <w:szCs w:val="21"/>
                    </w:rPr>
                    <w:t>10%</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kern w:val="0"/>
                      <w:szCs w:val="21"/>
                    </w:rPr>
                    <w:t>8</w:t>
                  </w:r>
                </w:p>
              </w:tc>
              <w:tc>
                <w:tcPr>
                  <w:tcW w:w="731" w:type="dxa"/>
                  <w:shd w:val="clear" w:color="auto" w:fill="auto"/>
                  <w:noWrap/>
                  <w:vAlign w:val="center"/>
                </w:tcPr>
                <w:p>
                  <w:pPr>
                    <w:widowControl/>
                    <w:jc w:val="center"/>
                    <w:rPr>
                      <w:kern w:val="0"/>
                      <w:szCs w:val="21"/>
                    </w:rPr>
                  </w:pPr>
                  <w:r>
                    <w:rPr>
                      <w:kern w:val="0"/>
                      <w:szCs w:val="21"/>
                    </w:rPr>
                    <w:t>1</w:t>
                  </w:r>
                  <w:r>
                    <w:rPr>
                      <w:rFonts w:hint="eastAsia"/>
                      <w:kern w:val="0"/>
                      <w:szCs w:val="21"/>
                    </w:rPr>
                    <w:t>#弃渣场</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50.01″ </w:t>
                  </w:r>
                </w:p>
              </w:tc>
              <w:tc>
                <w:tcPr>
                  <w:tcW w:w="818" w:type="dxa"/>
                  <w:shd w:val="clear" w:color="auto" w:fill="auto"/>
                  <w:noWrap/>
                  <w:vAlign w:val="center"/>
                </w:tcPr>
                <w:p>
                  <w:pPr>
                    <w:widowControl/>
                    <w:jc w:val="center"/>
                    <w:rPr>
                      <w:kern w:val="0"/>
                      <w:szCs w:val="21"/>
                    </w:rPr>
                  </w:pPr>
                  <w:r>
                    <w:rPr>
                      <w:kern w:val="0"/>
                      <w:szCs w:val="21"/>
                    </w:rPr>
                    <w:t>43°44′</w:t>
                  </w:r>
                </w:p>
                <w:p>
                  <w:pPr>
                    <w:widowControl/>
                    <w:jc w:val="center"/>
                    <w:rPr>
                      <w:kern w:val="0"/>
                      <w:szCs w:val="21"/>
                    </w:rPr>
                  </w:pPr>
                  <w:r>
                    <w:rPr>
                      <w:kern w:val="0"/>
                      <w:szCs w:val="21"/>
                    </w:rPr>
                    <w:t xml:space="preserve">53.91″ </w:t>
                  </w:r>
                </w:p>
              </w:tc>
              <w:tc>
                <w:tcPr>
                  <w:tcW w:w="3706" w:type="dxa"/>
                  <w:shd w:val="clear" w:color="auto" w:fill="auto"/>
                  <w:noWrap/>
                  <w:vAlign w:val="center"/>
                </w:tcPr>
                <w:p>
                  <w:pPr>
                    <w:widowControl/>
                    <w:jc w:val="center"/>
                    <w:rPr>
                      <w:kern w:val="0"/>
                      <w:szCs w:val="21"/>
                    </w:rPr>
                  </w:pPr>
                  <w:r>
                    <w:rPr>
                      <w:kern w:val="0"/>
                      <w:szCs w:val="21"/>
                    </w:rPr>
                    <w:drawing>
                      <wp:inline distT="0" distB="0" distL="0" distR="0">
                        <wp:extent cx="2159635" cy="125984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referRelativeResize="0">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rPr>
                      <w:kern w:val="0"/>
                      <w:szCs w:val="21"/>
                    </w:rPr>
                  </w:pPr>
                  <w:r>
                    <w:rPr>
                      <w:rFonts w:hint="eastAsia"/>
                      <w:kern w:val="0"/>
                      <w:szCs w:val="21"/>
                    </w:rPr>
                    <w:t>占地区域植物以伊犁娟蒿和针茅为主、伴生有木地肤、小蓬、骆驼刺、猪毛菜等植被，植被盖度约</w:t>
                  </w:r>
                  <w:r>
                    <w:rPr>
                      <w:kern w:val="0"/>
                      <w:szCs w:val="21"/>
                    </w:rPr>
                    <w:t>20</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kern w:val="0"/>
                      <w:szCs w:val="21"/>
                    </w:rPr>
                    <w:t>9</w:t>
                  </w:r>
                </w:p>
              </w:tc>
              <w:tc>
                <w:tcPr>
                  <w:tcW w:w="731" w:type="dxa"/>
                  <w:shd w:val="clear" w:color="auto" w:fill="auto"/>
                  <w:noWrap/>
                  <w:vAlign w:val="center"/>
                </w:tcPr>
                <w:p>
                  <w:pPr>
                    <w:widowControl/>
                    <w:jc w:val="center"/>
                    <w:rPr>
                      <w:kern w:val="0"/>
                      <w:szCs w:val="21"/>
                    </w:rPr>
                  </w:pPr>
                  <w:r>
                    <w:rPr>
                      <w:kern w:val="0"/>
                      <w:szCs w:val="21"/>
                    </w:rPr>
                    <w:t>3</w:t>
                  </w:r>
                  <w:r>
                    <w:rPr>
                      <w:rFonts w:hint="eastAsia"/>
                      <w:kern w:val="0"/>
                      <w:szCs w:val="21"/>
                    </w:rPr>
                    <w:t>#弃渣场</w:t>
                  </w:r>
                </w:p>
              </w:tc>
              <w:tc>
                <w:tcPr>
                  <w:tcW w:w="776" w:type="dxa"/>
                  <w:shd w:val="clear" w:color="auto" w:fill="auto"/>
                  <w:noWrap/>
                  <w:vAlign w:val="center"/>
                </w:tcPr>
                <w:p>
                  <w:pPr>
                    <w:widowControl/>
                    <w:jc w:val="center"/>
                    <w:rPr>
                      <w:kern w:val="0"/>
                      <w:szCs w:val="21"/>
                    </w:rPr>
                  </w:pPr>
                  <w:r>
                    <w:rPr>
                      <w:kern w:val="0"/>
                      <w:szCs w:val="21"/>
                    </w:rPr>
                    <w:t>90°05′</w:t>
                  </w:r>
                </w:p>
                <w:p>
                  <w:pPr>
                    <w:widowControl/>
                    <w:jc w:val="center"/>
                    <w:rPr>
                      <w:kern w:val="0"/>
                      <w:szCs w:val="21"/>
                    </w:rPr>
                  </w:pPr>
                  <w:r>
                    <w:rPr>
                      <w:kern w:val="0"/>
                      <w:szCs w:val="21"/>
                    </w:rPr>
                    <w:t xml:space="preserve">09.71″ </w:t>
                  </w:r>
                </w:p>
              </w:tc>
              <w:tc>
                <w:tcPr>
                  <w:tcW w:w="818" w:type="dxa"/>
                  <w:shd w:val="clear" w:color="auto" w:fill="auto"/>
                  <w:noWrap/>
                  <w:vAlign w:val="center"/>
                </w:tcPr>
                <w:p>
                  <w:pPr>
                    <w:widowControl/>
                    <w:jc w:val="center"/>
                    <w:rPr>
                      <w:kern w:val="0"/>
                      <w:szCs w:val="21"/>
                    </w:rPr>
                  </w:pPr>
                  <w:r>
                    <w:rPr>
                      <w:kern w:val="0"/>
                      <w:szCs w:val="21"/>
                    </w:rPr>
                    <w:t>43°50′</w:t>
                  </w:r>
                </w:p>
                <w:p>
                  <w:pPr>
                    <w:widowControl/>
                    <w:jc w:val="center"/>
                    <w:rPr>
                      <w:kern w:val="0"/>
                      <w:szCs w:val="21"/>
                    </w:rPr>
                  </w:pPr>
                  <w:r>
                    <w:rPr>
                      <w:kern w:val="0"/>
                      <w:szCs w:val="21"/>
                    </w:rPr>
                    <w:t xml:space="preserve">22.50″ </w:t>
                  </w:r>
                </w:p>
              </w:tc>
              <w:tc>
                <w:tcPr>
                  <w:tcW w:w="3706" w:type="dxa"/>
                  <w:shd w:val="clear" w:color="auto" w:fill="auto"/>
                  <w:noWrap/>
                  <w:vAlign w:val="center"/>
                </w:tcPr>
                <w:p>
                  <w:pPr>
                    <w:widowControl/>
                    <w:jc w:val="center"/>
                    <w:rPr>
                      <w:kern w:val="0"/>
                      <w:szCs w:val="21"/>
                    </w:rPr>
                  </w:pPr>
                  <w:r>
                    <w:rPr>
                      <w:kern w:val="0"/>
                      <w:szCs w:val="21"/>
                    </w:rPr>
                    <w:drawing>
                      <wp:inline distT="0" distB="0" distL="0" distR="0">
                        <wp:extent cx="2159635" cy="12598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rPr>
                      <w:kern w:val="0"/>
                      <w:szCs w:val="21"/>
                    </w:rPr>
                  </w:pPr>
                  <w:r>
                    <w:rPr>
                      <w:rFonts w:hint="eastAsia"/>
                    </w:rPr>
                    <w:t>位于东城水库附近，占地区周边受人类影响，天然植被较少，地表植被以针茅为主，偶见芦苇生长于周边，地表植被覆盖度约5%。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1</w:t>
                  </w:r>
                  <w:r>
                    <w:rPr>
                      <w:kern w:val="0"/>
                      <w:szCs w:val="21"/>
                    </w:rPr>
                    <w:t>0</w:t>
                  </w:r>
                </w:p>
              </w:tc>
              <w:tc>
                <w:tcPr>
                  <w:tcW w:w="731" w:type="dxa"/>
                  <w:shd w:val="clear" w:color="auto" w:fill="auto"/>
                  <w:noWrap/>
                  <w:vAlign w:val="center"/>
                </w:tcPr>
                <w:p>
                  <w:pPr>
                    <w:widowControl/>
                    <w:jc w:val="center"/>
                    <w:rPr>
                      <w:kern w:val="0"/>
                      <w:szCs w:val="21"/>
                    </w:rPr>
                  </w:pPr>
                  <w:r>
                    <w:rPr>
                      <w:kern w:val="0"/>
                      <w:szCs w:val="21"/>
                    </w:rPr>
                    <w:t>C3</w:t>
                  </w:r>
                  <w:r>
                    <w:rPr>
                      <w:rFonts w:hint="eastAsia"/>
                      <w:kern w:val="0"/>
                      <w:szCs w:val="21"/>
                    </w:rPr>
                    <w:t>料场</w:t>
                  </w:r>
                </w:p>
              </w:tc>
              <w:tc>
                <w:tcPr>
                  <w:tcW w:w="776" w:type="dxa"/>
                  <w:shd w:val="clear" w:color="auto" w:fill="auto"/>
                  <w:noWrap/>
                  <w:vAlign w:val="center"/>
                </w:tcPr>
                <w:p>
                  <w:pPr>
                    <w:widowControl/>
                    <w:jc w:val="center"/>
                    <w:rPr>
                      <w:kern w:val="0"/>
                      <w:szCs w:val="21"/>
                    </w:rPr>
                  </w:pPr>
                  <w:r>
                    <w:rPr>
                      <w:kern w:val="0"/>
                      <w:szCs w:val="21"/>
                    </w:rPr>
                    <w:t>90°06′</w:t>
                  </w:r>
                </w:p>
                <w:p>
                  <w:pPr>
                    <w:widowControl/>
                    <w:jc w:val="center"/>
                    <w:rPr>
                      <w:kern w:val="0"/>
                      <w:szCs w:val="21"/>
                    </w:rPr>
                  </w:pPr>
                  <w:r>
                    <w:rPr>
                      <w:kern w:val="0"/>
                      <w:szCs w:val="21"/>
                    </w:rPr>
                    <w:t xml:space="preserve">49.56″ </w:t>
                  </w:r>
                </w:p>
              </w:tc>
              <w:tc>
                <w:tcPr>
                  <w:tcW w:w="818" w:type="dxa"/>
                  <w:shd w:val="clear" w:color="auto" w:fill="auto"/>
                  <w:noWrap/>
                  <w:vAlign w:val="center"/>
                </w:tcPr>
                <w:p>
                  <w:pPr>
                    <w:widowControl/>
                    <w:jc w:val="center"/>
                    <w:rPr>
                      <w:kern w:val="0"/>
                      <w:szCs w:val="21"/>
                    </w:rPr>
                  </w:pPr>
                  <w:r>
                    <w:rPr>
                      <w:kern w:val="0"/>
                      <w:szCs w:val="21"/>
                    </w:rPr>
                    <w:t>43°49′</w:t>
                  </w:r>
                </w:p>
                <w:p>
                  <w:pPr>
                    <w:widowControl/>
                    <w:jc w:val="center"/>
                    <w:rPr>
                      <w:kern w:val="0"/>
                      <w:szCs w:val="21"/>
                    </w:rPr>
                  </w:pPr>
                  <w:r>
                    <w:rPr>
                      <w:kern w:val="0"/>
                      <w:szCs w:val="21"/>
                    </w:rPr>
                    <w:t xml:space="preserve">46.47″ </w:t>
                  </w:r>
                </w:p>
              </w:tc>
              <w:tc>
                <w:tcPr>
                  <w:tcW w:w="3706" w:type="dxa"/>
                  <w:shd w:val="clear" w:color="auto" w:fill="auto"/>
                  <w:noWrap/>
                  <w:vAlign w:val="center"/>
                </w:tcPr>
                <w:p>
                  <w:pPr>
                    <w:widowControl/>
                    <w:jc w:val="center"/>
                    <w:rPr>
                      <w:kern w:val="0"/>
                      <w:szCs w:val="21"/>
                    </w:rPr>
                  </w:pPr>
                  <w:r>
                    <w:drawing>
                      <wp:inline distT="0" distB="0" distL="0" distR="0">
                        <wp:extent cx="2159635" cy="1259840"/>
                        <wp:effectExtent l="0" t="0" r="0" b="0"/>
                        <wp:docPr id="46" name="图片 46"/>
                        <wp:cNvGraphicFramePr/>
                        <a:graphic xmlns:a="http://schemas.openxmlformats.org/drawingml/2006/main">
                          <a:graphicData uri="http://schemas.openxmlformats.org/drawingml/2006/picture">
                            <pic:pic xmlns:pic="http://schemas.openxmlformats.org/drawingml/2006/picture">
                              <pic:nvPicPr>
                                <pic:cNvPr id="46" name="图片 4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pPr>
                  <w:r>
                    <w:rPr>
                      <w:rFonts w:hint="eastAsia"/>
                      <w:kern w:val="0"/>
                      <w:szCs w:val="21"/>
                    </w:rPr>
                    <w:t>占地区域植物以伊犁娟蒿为主、伴生有小蓬、猪毛菜、</w:t>
                  </w:r>
                  <w:r>
                    <w:rPr>
                      <w:rFonts w:hint="eastAsia"/>
                    </w:rPr>
                    <w:t>早熟禾、角果藜</w:t>
                  </w:r>
                  <w:r>
                    <w:rPr>
                      <w:rFonts w:hint="eastAsia"/>
                      <w:kern w:val="0"/>
                      <w:szCs w:val="21"/>
                    </w:rPr>
                    <w:t>等，植被盖度约</w:t>
                  </w:r>
                  <w:r>
                    <w:rPr>
                      <w:kern w:val="0"/>
                      <w:szCs w:val="21"/>
                    </w:rPr>
                    <w:t>20</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11</w:t>
                  </w:r>
                </w:p>
              </w:tc>
              <w:tc>
                <w:tcPr>
                  <w:tcW w:w="731" w:type="dxa"/>
                  <w:shd w:val="clear" w:color="auto" w:fill="auto"/>
                  <w:noWrap/>
                  <w:vAlign w:val="center"/>
                </w:tcPr>
                <w:p>
                  <w:pPr>
                    <w:widowControl/>
                    <w:jc w:val="center"/>
                    <w:rPr>
                      <w:kern w:val="0"/>
                      <w:szCs w:val="21"/>
                    </w:rPr>
                  </w:pPr>
                  <w:r>
                    <w:rPr>
                      <w:rFonts w:hint="eastAsia"/>
                      <w:kern w:val="0"/>
                      <w:szCs w:val="21"/>
                    </w:rPr>
                    <w:t>T1土料场</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45.38″ </w:t>
                  </w:r>
                </w:p>
              </w:tc>
              <w:tc>
                <w:tcPr>
                  <w:tcW w:w="818" w:type="dxa"/>
                  <w:shd w:val="clear" w:color="auto" w:fill="auto"/>
                  <w:noWrap/>
                  <w:vAlign w:val="center"/>
                </w:tcPr>
                <w:p>
                  <w:pPr>
                    <w:widowControl/>
                    <w:jc w:val="center"/>
                    <w:rPr>
                      <w:kern w:val="0"/>
                      <w:szCs w:val="21"/>
                    </w:rPr>
                  </w:pPr>
                  <w:r>
                    <w:rPr>
                      <w:kern w:val="0"/>
                      <w:szCs w:val="21"/>
                    </w:rPr>
                    <w:t>43°44′</w:t>
                  </w:r>
                </w:p>
                <w:p>
                  <w:pPr>
                    <w:widowControl/>
                    <w:jc w:val="center"/>
                    <w:rPr>
                      <w:kern w:val="0"/>
                      <w:szCs w:val="21"/>
                    </w:rPr>
                  </w:pPr>
                  <w:r>
                    <w:rPr>
                      <w:kern w:val="0"/>
                      <w:szCs w:val="21"/>
                    </w:rPr>
                    <w:t xml:space="preserve">54.94″ </w:t>
                  </w:r>
                </w:p>
              </w:tc>
              <w:tc>
                <w:tcPr>
                  <w:tcW w:w="3706" w:type="dxa"/>
                  <w:shd w:val="clear" w:color="auto" w:fill="auto"/>
                  <w:noWrap/>
                  <w:vAlign w:val="center"/>
                </w:tcPr>
                <w:p>
                  <w:pPr>
                    <w:widowControl/>
                    <w:jc w:val="center"/>
                  </w:pPr>
                  <w:r>
                    <w:drawing>
                      <wp:inline distT="0" distB="0" distL="0" distR="0">
                        <wp:extent cx="2159635" cy="1259840"/>
                        <wp:effectExtent l="0" t="0" r="0" b="0"/>
                        <wp:docPr id="54" name="图片 54" descr="IMG_20220709_111949"/>
                        <wp:cNvGraphicFramePr/>
                        <a:graphic xmlns:a="http://schemas.openxmlformats.org/drawingml/2006/main">
                          <a:graphicData uri="http://schemas.openxmlformats.org/drawingml/2006/picture">
                            <pic:pic xmlns:pic="http://schemas.openxmlformats.org/drawingml/2006/picture">
                              <pic:nvPicPr>
                                <pic:cNvPr id="54" name="图片 54" descr="IMG_20220709_111949"/>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t="12395"/>
                                <a:stretch>
                                  <a:fillRect/>
                                </a:stretch>
                              </pic:blipFill>
                              <pic:spPr>
                                <a:xfrm>
                                  <a:off x="0" y="0"/>
                                  <a:ext cx="2160000" cy="1260000"/>
                                </a:xfrm>
                                <a:prstGeom prst="rect">
                                  <a:avLst/>
                                </a:prstGeom>
                                <a:noFill/>
                                <a:ln>
                                  <a:noFill/>
                                </a:ln>
                              </pic:spPr>
                            </pic:pic>
                          </a:graphicData>
                        </a:graphic>
                      </wp:inline>
                    </w:drawing>
                  </w:r>
                </w:p>
              </w:tc>
              <w:tc>
                <w:tcPr>
                  <w:tcW w:w="1554" w:type="dxa"/>
                  <w:vAlign w:val="center"/>
                </w:tcPr>
                <w:p>
                  <w:pPr>
                    <w:widowControl/>
                    <w:jc w:val="center"/>
                  </w:pPr>
                  <w:r>
                    <w:rPr>
                      <w:rFonts w:hint="eastAsia"/>
                      <w:kern w:val="0"/>
                      <w:szCs w:val="21"/>
                    </w:rPr>
                    <w:t>占地区域植物以伊犁娟蒿和针茅为主、伴生有木地肤、小蓬、猪毛菜、</w:t>
                  </w:r>
                  <w:r>
                    <w:rPr>
                      <w:rFonts w:hint="eastAsia"/>
                    </w:rPr>
                    <w:t>早熟禾、苔草、角果藜</w:t>
                  </w:r>
                  <w:r>
                    <w:rPr>
                      <w:rFonts w:hint="eastAsia"/>
                      <w:kern w:val="0"/>
                      <w:szCs w:val="21"/>
                    </w:rPr>
                    <w:t>等植被，植被盖度约</w:t>
                  </w:r>
                  <w:r>
                    <w:rPr>
                      <w:kern w:val="0"/>
                      <w:szCs w:val="21"/>
                    </w:rPr>
                    <w:t>25</w:t>
                  </w:r>
                  <w:r>
                    <w:rPr>
                      <w:rFonts w:hint="eastAsia"/>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trPr>
              <w:tc>
                <w:tcPr>
                  <w:tcW w:w="636" w:type="dxa"/>
                  <w:shd w:val="clear" w:color="auto" w:fill="auto"/>
                  <w:noWrap/>
                  <w:vAlign w:val="center"/>
                </w:tcPr>
                <w:p>
                  <w:pPr>
                    <w:widowControl/>
                    <w:jc w:val="center"/>
                    <w:rPr>
                      <w:kern w:val="0"/>
                      <w:szCs w:val="21"/>
                    </w:rPr>
                  </w:pPr>
                  <w:r>
                    <w:rPr>
                      <w:rFonts w:hint="eastAsia"/>
                      <w:kern w:val="0"/>
                      <w:szCs w:val="21"/>
                    </w:rPr>
                    <w:t>12</w:t>
                  </w:r>
                </w:p>
              </w:tc>
              <w:tc>
                <w:tcPr>
                  <w:tcW w:w="731" w:type="dxa"/>
                  <w:shd w:val="clear" w:color="auto" w:fill="auto"/>
                  <w:noWrap/>
                  <w:vAlign w:val="center"/>
                </w:tcPr>
                <w:p>
                  <w:pPr>
                    <w:widowControl/>
                    <w:jc w:val="center"/>
                    <w:rPr>
                      <w:kern w:val="0"/>
                      <w:szCs w:val="21"/>
                    </w:rPr>
                  </w:pPr>
                  <w:r>
                    <w:rPr>
                      <w:rFonts w:hint="eastAsia"/>
                      <w:kern w:val="0"/>
                      <w:szCs w:val="21"/>
                    </w:rPr>
                    <w:t>C</w:t>
                  </w:r>
                  <w:r>
                    <w:rPr>
                      <w:kern w:val="0"/>
                      <w:szCs w:val="21"/>
                    </w:rPr>
                    <w:t>1-</w:t>
                  </w:r>
                  <w:r>
                    <w:rPr>
                      <w:rFonts w:hint="eastAsia"/>
                      <w:kern w:val="0"/>
                      <w:szCs w:val="21"/>
                    </w:rPr>
                    <w:t>1料场</w:t>
                  </w:r>
                </w:p>
              </w:tc>
              <w:tc>
                <w:tcPr>
                  <w:tcW w:w="776" w:type="dxa"/>
                  <w:shd w:val="clear" w:color="auto" w:fill="auto"/>
                  <w:noWrap/>
                  <w:vAlign w:val="center"/>
                </w:tcPr>
                <w:p>
                  <w:pPr>
                    <w:widowControl/>
                    <w:jc w:val="center"/>
                    <w:rPr>
                      <w:kern w:val="0"/>
                      <w:szCs w:val="21"/>
                    </w:rPr>
                  </w:pPr>
                  <w:r>
                    <w:rPr>
                      <w:kern w:val="0"/>
                      <w:szCs w:val="21"/>
                    </w:rPr>
                    <w:t>90°10′</w:t>
                  </w:r>
                </w:p>
                <w:p>
                  <w:pPr>
                    <w:widowControl/>
                    <w:jc w:val="center"/>
                    <w:rPr>
                      <w:kern w:val="0"/>
                      <w:szCs w:val="21"/>
                    </w:rPr>
                  </w:pPr>
                  <w:r>
                    <w:rPr>
                      <w:kern w:val="0"/>
                      <w:szCs w:val="21"/>
                    </w:rPr>
                    <w:t xml:space="preserve">49.82″ </w:t>
                  </w:r>
                </w:p>
              </w:tc>
              <w:tc>
                <w:tcPr>
                  <w:tcW w:w="818" w:type="dxa"/>
                  <w:shd w:val="clear" w:color="auto" w:fill="auto"/>
                  <w:noWrap/>
                  <w:vAlign w:val="center"/>
                </w:tcPr>
                <w:p>
                  <w:pPr>
                    <w:widowControl/>
                    <w:jc w:val="center"/>
                    <w:rPr>
                      <w:kern w:val="0"/>
                      <w:szCs w:val="21"/>
                    </w:rPr>
                  </w:pPr>
                  <w:r>
                    <w:rPr>
                      <w:kern w:val="0"/>
                      <w:szCs w:val="21"/>
                    </w:rPr>
                    <w:t>43°44′</w:t>
                  </w:r>
                </w:p>
                <w:p>
                  <w:pPr>
                    <w:widowControl/>
                    <w:jc w:val="center"/>
                    <w:rPr>
                      <w:kern w:val="0"/>
                      <w:szCs w:val="21"/>
                    </w:rPr>
                  </w:pPr>
                  <w:r>
                    <w:rPr>
                      <w:kern w:val="0"/>
                      <w:szCs w:val="21"/>
                    </w:rPr>
                    <w:t xml:space="preserve">50.69″ </w:t>
                  </w:r>
                </w:p>
              </w:tc>
              <w:tc>
                <w:tcPr>
                  <w:tcW w:w="3706" w:type="dxa"/>
                  <w:shd w:val="clear" w:color="auto" w:fill="auto"/>
                  <w:noWrap/>
                  <w:vAlign w:val="center"/>
                </w:tcPr>
                <w:p>
                  <w:pPr>
                    <w:widowControl/>
                    <w:jc w:val="center"/>
                  </w:pPr>
                  <w:r>
                    <w:drawing>
                      <wp:inline distT="0" distB="0" distL="0" distR="0">
                        <wp:extent cx="2159635" cy="1259840"/>
                        <wp:effectExtent l="0" t="0" r="0" b="0"/>
                        <wp:docPr id="14" name="图片 14"/>
                        <wp:cNvGraphicFramePr/>
                        <a:graphic xmlns:a="http://schemas.openxmlformats.org/drawingml/2006/main">
                          <a:graphicData uri="http://schemas.openxmlformats.org/drawingml/2006/picture">
                            <pic:pic xmlns:pic="http://schemas.openxmlformats.org/drawingml/2006/picture">
                              <pic:nvPicPr>
                                <pic:cNvPr id="14" name="图片 14"/>
                                <pic:cNvPicPr preferRelativeResize="0"/>
                              </pic:nvPicPr>
                              <pic:blipFill>
                                <a:blip r:embed="rId16"/>
                                <a:stretch>
                                  <a:fillRect/>
                                </a:stretch>
                              </pic:blipFill>
                              <pic:spPr>
                                <a:xfrm>
                                  <a:off x="0" y="0"/>
                                  <a:ext cx="2160000" cy="1260000"/>
                                </a:xfrm>
                                <a:prstGeom prst="rect">
                                  <a:avLst/>
                                </a:prstGeom>
                              </pic:spPr>
                            </pic:pic>
                          </a:graphicData>
                        </a:graphic>
                      </wp:inline>
                    </w:drawing>
                  </w:r>
                </w:p>
              </w:tc>
              <w:tc>
                <w:tcPr>
                  <w:tcW w:w="1554" w:type="dxa"/>
                  <w:vAlign w:val="center"/>
                </w:tcPr>
                <w:p>
                  <w:pPr>
                    <w:widowControl/>
                    <w:jc w:val="center"/>
                    <w:rPr>
                      <w:kern w:val="0"/>
                      <w:szCs w:val="21"/>
                    </w:rPr>
                  </w:pPr>
                  <w:r>
                    <w:rPr>
                      <w:rFonts w:hint="eastAsia"/>
                      <w:kern w:val="0"/>
                      <w:szCs w:val="21"/>
                    </w:rPr>
                    <w:t>占地区位于河道内，地表多砾石覆盖；区域上植被较稀少，草本植物有羊茅、针茅、芨芨草、早熟禾、篙属类等植被，植被盖度不足5%。</w:t>
                  </w:r>
                </w:p>
              </w:tc>
            </w:tr>
          </w:tbl>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本工程</w:t>
            </w:r>
            <w:r>
              <w:rPr>
                <w:sz w:val="24"/>
              </w:rPr>
              <w:t>位于东城河中低山区，距离人类村镇较近，</w:t>
            </w:r>
            <w:r>
              <w:rPr>
                <w:rFonts w:hint="eastAsia"/>
                <w:sz w:val="24"/>
              </w:rPr>
              <w:t>人类活动频繁，受人类活动及气候影响，区域天然植物种类贫乏。根据现场调查，工程淹没、占地区主要为荒漠常见植被，植被</w:t>
            </w:r>
            <w:r>
              <w:rPr>
                <w:sz w:val="24"/>
              </w:rPr>
              <w:t>盖度</w:t>
            </w:r>
            <w:r>
              <w:rPr>
                <w:rFonts w:hint="eastAsia"/>
                <w:sz w:val="24"/>
              </w:rPr>
              <w:t>约为</w:t>
            </w:r>
            <w:r>
              <w:rPr>
                <w:sz w:val="24"/>
              </w:rPr>
              <w:t>10%～</w:t>
            </w:r>
            <w:r>
              <w:rPr>
                <w:rFonts w:hint="eastAsia"/>
                <w:sz w:val="24"/>
              </w:rPr>
              <w:t>30</w:t>
            </w:r>
            <w:r>
              <w:rPr>
                <w:sz w:val="24"/>
              </w:rPr>
              <w:t>%</w:t>
            </w:r>
            <w:r>
              <w:rPr>
                <w:rFonts w:hint="eastAsia"/>
                <w:sz w:val="24"/>
              </w:rPr>
              <w:t>，以伊犁绢蒿和针茅群系为建群种，伴生有地肤、驼绒藜、假木贼、小蓬、猪毛菜等，工程存在的道路改复建工程可能占用部分灌木林地和以雪岭云杉为主的有林地。工程</w:t>
            </w:r>
            <w:r>
              <w:rPr>
                <w:sz w:val="24"/>
              </w:rPr>
              <w:t>占地范围内未发现保护植物。</w:t>
            </w:r>
          </w:p>
          <w:p>
            <w:pPr>
              <w:pStyle w:val="45"/>
              <w:ind w:firstLine="480"/>
            </w:pPr>
            <w:r>
              <w:rPr>
                <w:rFonts w:hint="eastAsia" w:ascii="宋体" w:hAnsi="宋体" w:cs="宋体"/>
              </w:rPr>
              <w:t>③</w:t>
            </w:r>
            <w:r>
              <w:rPr>
                <w:rFonts w:hint="eastAsia"/>
              </w:rPr>
              <w:t>动物</w:t>
            </w:r>
          </w:p>
          <w:p>
            <w:pPr>
              <w:pStyle w:val="45"/>
              <w:ind w:firstLine="480"/>
            </w:pPr>
            <w:r>
              <w:rPr>
                <w:rFonts w:hint="eastAsia"/>
              </w:rPr>
              <w:t>工程</w:t>
            </w:r>
            <w:r>
              <w:t>建设区位于东城河中低山区，</w:t>
            </w:r>
            <w:r>
              <w:rPr>
                <w:rFonts w:hint="eastAsia"/>
              </w:rPr>
              <w:t>以</w:t>
            </w:r>
            <w:r>
              <w:t>山地荒漠为主，</w:t>
            </w:r>
            <w:r>
              <w:rPr>
                <w:rFonts w:hint="eastAsia"/>
              </w:rPr>
              <w:t>距离</w:t>
            </w:r>
            <w:r>
              <w:t>人类村镇较近，人类活动频繁</w:t>
            </w:r>
            <w:r>
              <w:rPr>
                <w:rFonts w:hint="eastAsia"/>
              </w:rPr>
              <w:t>，</w:t>
            </w:r>
            <w:r>
              <w:t>基本无大型兽类活动</w:t>
            </w:r>
            <w:r>
              <w:rPr>
                <w:rFonts w:hint="eastAsia"/>
              </w:rPr>
              <w:t>。</w:t>
            </w:r>
            <w:r>
              <w:t>根据</w:t>
            </w:r>
            <w:r>
              <w:rPr>
                <w:rFonts w:hint="eastAsia"/>
              </w:rPr>
              <w:t>相关资料</w:t>
            </w:r>
            <w:r>
              <w:t>及现场调查，工程区附近未见保护动物分布，野生动物主要为</w:t>
            </w:r>
            <w:r>
              <w:rPr>
                <w:rFonts w:hint="eastAsia"/>
              </w:rPr>
              <w:t>常见</w:t>
            </w:r>
            <w:r>
              <w:t>于</w:t>
            </w:r>
            <w:r>
              <w:rPr>
                <w:rFonts w:hint="eastAsia"/>
              </w:rPr>
              <w:t>山地</w:t>
            </w:r>
            <w:r>
              <w:t>荒漠区域</w:t>
            </w:r>
            <w:r>
              <w:rPr>
                <w:rFonts w:hint="eastAsia"/>
              </w:rPr>
              <w:t>的两栖类</w:t>
            </w:r>
            <w:r>
              <w:t>、爬行类、</w:t>
            </w:r>
            <w:r>
              <w:rPr>
                <w:rFonts w:hint="eastAsia"/>
              </w:rPr>
              <w:t>鸟类</w:t>
            </w:r>
            <w:r>
              <w:t>和</w:t>
            </w:r>
            <w:r>
              <w:rPr>
                <w:rFonts w:hint="eastAsia"/>
              </w:rPr>
              <w:t>小型</w:t>
            </w:r>
            <w:r>
              <w:t>兽类，如</w:t>
            </w:r>
            <w:r>
              <w:rPr>
                <w:rFonts w:hint="eastAsia"/>
              </w:rPr>
              <w:t>两栖类</w:t>
            </w:r>
            <w:r>
              <w:t>的绿蟾蜍</w:t>
            </w:r>
            <w:r>
              <w:rPr>
                <w:rFonts w:hint="eastAsia"/>
              </w:rPr>
              <w:t>，</w:t>
            </w:r>
            <w:r>
              <w:t>爬行类的</w:t>
            </w:r>
            <w:r>
              <w:rPr>
                <w:rFonts w:hint="eastAsia"/>
              </w:rPr>
              <w:t>快步麻蜥、密点麻蜥、花条蛇等</w:t>
            </w:r>
            <w:r>
              <w:t>，鸟类的</w:t>
            </w:r>
            <w:r>
              <w:rPr>
                <w:rFonts w:hint="eastAsia"/>
              </w:rPr>
              <w:t>石雀、黑顶麻雀、树麻雀等</w:t>
            </w:r>
            <w:r>
              <w:t>，小型兽类的</w:t>
            </w:r>
            <w:r>
              <w:rPr>
                <w:rFonts w:hint="eastAsia"/>
              </w:rPr>
              <w:t>蒙古兔、灰旱獭、黑田鼠等</w:t>
            </w:r>
            <w:r>
              <w:t>。</w:t>
            </w:r>
          </w:p>
          <w:p>
            <w:pPr>
              <w:pStyle w:val="45"/>
              <w:ind w:firstLine="480"/>
            </w:pPr>
            <w:r>
              <w:rPr>
                <w:rFonts w:hint="eastAsia" w:ascii="宋体" w:hAnsi="宋体" w:cs="宋体"/>
              </w:rPr>
              <w:t>④</w:t>
            </w:r>
            <w:r>
              <w:rPr>
                <w:rFonts w:hint="eastAsia"/>
              </w:rPr>
              <w:t>鱼类</w:t>
            </w:r>
          </w:p>
          <w:p>
            <w:pPr>
              <w:adjustRightInd w:val="0"/>
              <w:snapToGrid w:val="0"/>
              <w:spacing w:line="360" w:lineRule="auto"/>
              <w:ind w:firstLine="480" w:firstLineChars="200"/>
              <w:rPr>
                <w:sz w:val="24"/>
              </w:rPr>
            </w:pPr>
            <w:r>
              <w:rPr>
                <w:rFonts w:hint="eastAsia"/>
                <w:sz w:val="24"/>
              </w:rPr>
              <w:t>根据《新疆</w:t>
            </w:r>
            <w:r>
              <w:rPr>
                <w:sz w:val="24"/>
              </w:rPr>
              <w:t>木垒县东城河流域规划</w:t>
            </w:r>
            <w:r>
              <w:rPr>
                <w:rFonts w:hint="eastAsia"/>
                <w:sz w:val="24"/>
              </w:rPr>
              <w:t>环境</w:t>
            </w:r>
            <w:r>
              <w:rPr>
                <w:sz w:val="24"/>
              </w:rPr>
              <w:t>影响评价报告书</w:t>
            </w:r>
            <w:r>
              <w:rPr>
                <w:rFonts w:hint="eastAsia"/>
                <w:sz w:val="24"/>
              </w:rPr>
              <w:t>》中进行现场调查结果、查阅相关资料并结合历史文献，东城河现有</w:t>
            </w:r>
            <w:r>
              <w:rPr>
                <w:sz w:val="24"/>
              </w:rPr>
              <w:t>浮游植物</w:t>
            </w:r>
            <w:r>
              <w:rPr>
                <w:rFonts w:hint="eastAsia"/>
                <w:sz w:val="24"/>
              </w:rPr>
              <w:t>5门16种</w:t>
            </w:r>
            <w:r>
              <w:rPr>
                <w:sz w:val="24"/>
              </w:rPr>
              <w:t>，其中硅藻门</w:t>
            </w:r>
            <w:r>
              <w:rPr>
                <w:rFonts w:hint="eastAsia"/>
                <w:sz w:val="24"/>
              </w:rPr>
              <w:t>7种</w:t>
            </w:r>
            <w:r>
              <w:rPr>
                <w:sz w:val="24"/>
              </w:rPr>
              <w:t>、绿藻门</w:t>
            </w:r>
            <w:r>
              <w:rPr>
                <w:rFonts w:hint="eastAsia"/>
                <w:sz w:val="24"/>
              </w:rPr>
              <w:t>4种</w:t>
            </w:r>
            <w:r>
              <w:rPr>
                <w:sz w:val="24"/>
              </w:rPr>
              <w:t>、蓝藻门</w:t>
            </w:r>
            <w:r>
              <w:rPr>
                <w:rFonts w:hint="eastAsia"/>
                <w:sz w:val="24"/>
              </w:rPr>
              <w:t>3种</w:t>
            </w:r>
            <w:r>
              <w:rPr>
                <w:sz w:val="24"/>
              </w:rPr>
              <w:t>、</w:t>
            </w:r>
            <w:r>
              <w:rPr>
                <w:rFonts w:hint="eastAsia"/>
                <w:sz w:val="24"/>
              </w:rPr>
              <w:t>甲</w:t>
            </w:r>
            <w:r>
              <w:rPr>
                <w:sz w:val="24"/>
              </w:rPr>
              <w:t>藻</w:t>
            </w:r>
            <w:r>
              <w:rPr>
                <w:rFonts w:hint="eastAsia"/>
                <w:sz w:val="24"/>
              </w:rPr>
              <w:t>门1种</w:t>
            </w:r>
            <w:r>
              <w:rPr>
                <w:sz w:val="24"/>
              </w:rPr>
              <w:t>、金藻门</w:t>
            </w:r>
            <w:r>
              <w:rPr>
                <w:rFonts w:hint="eastAsia"/>
                <w:sz w:val="24"/>
              </w:rPr>
              <w:t>1种</w:t>
            </w:r>
            <w:r>
              <w:rPr>
                <w:sz w:val="24"/>
              </w:rPr>
              <w:t>；</w:t>
            </w:r>
            <w:r>
              <w:rPr>
                <w:rFonts w:hint="eastAsia"/>
                <w:sz w:val="24"/>
              </w:rPr>
              <w:t>固有</w:t>
            </w:r>
            <w:r>
              <w:rPr>
                <w:sz w:val="24"/>
              </w:rPr>
              <w:t>动物</w:t>
            </w:r>
            <w:r>
              <w:rPr>
                <w:rFonts w:hint="eastAsia"/>
                <w:sz w:val="24"/>
              </w:rPr>
              <w:t>7种</w:t>
            </w:r>
            <w:r>
              <w:rPr>
                <w:sz w:val="24"/>
              </w:rPr>
              <w:t>，其中轮虫</w:t>
            </w:r>
            <w:r>
              <w:rPr>
                <w:rFonts w:hint="eastAsia"/>
                <w:sz w:val="24"/>
              </w:rPr>
              <w:t>5种</w:t>
            </w:r>
            <w:r>
              <w:rPr>
                <w:sz w:val="24"/>
              </w:rPr>
              <w:t>、原生动物</w:t>
            </w:r>
            <w:r>
              <w:rPr>
                <w:rFonts w:hint="eastAsia"/>
                <w:sz w:val="24"/>
              </w:rPr>
              <w:t>2种</w:t>
            </w:r>
            <w:r>
              <w:rPr>
                <w:sz w:val="24"/>
              </w:rPr>
              <w:t>；</w:t>
            </w:r>
            <w:r>
              <w:rPr>
                <w:rFonts w:hint="eastAsia"/>
                <w:sz w:val="24"/>
              </w:rPr>
              <w:t>底栖动物</w:t>
            </w:r>
            <w:r>
              <w:rPr>
                <w:sz w:val="24"/>
              </w:rPr>
              <w:t>有</w:t>
            </w:r>
            <w:r>
              <w:rPr>
                <w:rFonts w:hint="eastAsia"/>
                <w:sz w:val="24"/>
              </w:rPr>
              <w:t>2门3目</w:t>
            </w:r>
            <w:r>
              <w:rPr>
                <w:sz w:val="24"/>
              </w:rPr>
              <w:t>，分别为萝卜螺属、</w:t>
            </w:r>
            <w:r>
              <w:rPr>
                <w:rFonts w:hint="eastAsia"/>
                <w:sz w:val="24"/>
              </w:rPr>
              <w:t>端足目</w:t>
            </w:r>
            <w:r>
              <w:rPr>
                <w:sz w:val="24"/>
              </w:rPr>
              <w:t>、</w:t>
            </w:r>
            <w:r>
              <w:rPr>
                <w:rFonts w:hint="eastAsia"/>
                <w:sz w:val="24"/>
              </w:rPr>
              <w:t>襀翅目；</w:t>
            </w:r>
            <w:r>
              <w:rPr>
                <w:sz w:val="24"/>
              </w:rPr>
              <w:t>未发现水生维管束植物。</w:t>
            </w:r>
          </w:p>
          <w:p>
            <w:pPr>
              <w:adjustRightInd w:val="0"/>
              <w:snapToGrid w:val="0"/>
              <w:spacing w:line="360" w:lineRule="auto"/>
              <w:ind w:firstLine="480" w:firstLineChars="200"/>
              <w:rPr>
                <w:sz w:val="24"/>
              </w:rPr>
            </w:pPr>
            <w:r>
              <w:rPr>
                <w:rFonts w:hint="eastAsia"/>
                <w:sz w:val="24"/>
              </w:rPr>
              <w:t>东城河现有鱼类</w:t>
            </w:r>
            <w:r>
              <w:rPr>
                <w:sz w:val="24"/>
              </w:rPr>
              <w:t>2种，</w:t>
            </w:r>
            <w:r>
              <w:rPr>
                <w:rFonts w:hint="eastAsia"/>
                <w:sz w:val="24"/>
              </w:rPr>
              <w:t>分别为新疆高原鳅和小</w:t>
            </w:r>
            <w:r>
              <w:rPr>
                <w:sz w:val="24"/>
              </w:rPr>
              <w:t>眼须鳅</w:t>
            </w:r>
            <w:r>
              <w:rPr>
                <w:rFonts w:hint="eastAsia"/>
                <w:sz w:val="24"/>
              </w:rPr>
              <w:t>，</w:t>
            </w:r>
            <w:r>
              <w:rPr>
                <w:sz w:val="24"/>
              </w:rPr>
              <w:t>无自治区或国家</w:t>
            </w:r>
            <w:r>
              <w:rPr>
                <w:rFonts w:hint="eastAsia"/>
                <w:sz w:val="24"/>
              </w:rPr>
              <w:t>的</w:t>
            </w:r>
            <w:r>
              <w:rPr>
                <w:sz w:val="24"/>
              </w:rPr>
              <w:t>保护鱼类</w:t>
            </w:r>
            <w:r>
              <w:rPr>
                <w:rFonts w:hint="eastAsia"/>
                <w:sz w:val="24"/>
              </w:rPr>
              <w:t>，</w:t>
            </w:r>
            <w:r>
              <w:rPr>
                <w:sz w:val="24"/>
              </w:rPr>
              <w:t>未记载濒危动物名录。</w:t>
            </w:r>
            <w:r>
              <w:rPr>
                <w:rFonts w:hint="eastAsia"/>
                <w:sz w:val="24"/>
              </w:rPr>
              <w:t>目前，东城渠首以上河段水生生态环境保护相对较好，河道基本保持原始状态，沿途基本没有人类活动的影响，但由于河流径流量较小，鱼类资源量稀少；东城渠首以下河段，现状受灌区引水影响河道减水严重，已对水生生态系统造成较大影响，鱼类资源更为稀少。</w:t>
            </w:r>
          </w:p>
          <w:p>
            <w:pPr>
              <w:pStyle w:val="45"/>
              <w:ind w:firstLine="480"/>
            </w:pPr>
            <w:r>
              <w:rPr>
                <w:rFonts w:hint="eastAsia"/>
              </w:rPr>
              <w:t>（8）</w:t>
            </w:r>
            <w:r>
              <w:t>土壤</w:t>
            </w:r>
          </w:p>
          <w:p>
            <w:pPr>
              <w:pStyle w:val="45"/>
              <w:ind w:firstLine="480"/>
              <w:rPr>
                <w:kern w:val="0"/>
              </w:rPr>
            </w:pPr>
            <w:r>
              <w:rPr>
                <w:kern w:val="0"/>
              </w:rPr>
              <w:t>工程影响区土壤以</w:t>
            </w:r>
            <w:r>
              <w:rPr>
                <w:rFonts w:hint="eastAsia"/>
                <w:kern w:val="0"/>
              </w:rPr>
              <w:t>暗栗钙土、</w:t>
            </w:r>
            <w:r>
              <w:rPr>
                <w:kern w:val="0"/>
              </w:rPr>
              <w:t>黑钙土为主。</w:t>
            </w:r>
          </w:p>
          <w:p>
            <w:pPr>
              <w:pStyle w:val="45"/>
              <w:numPr>
                <w:ilvl w:val="0"/>
                <w:numId w:val="1"/>
              </w:numPr>
              <w:ind w:firstLineChars="0"/>
            </w:pPr>
            <w:r>
              <w:rPr>
                <w:rFonts w:hint="eastAsia"/>
              </w:rPr>
              <w:t>土壤环境现状监测结果</w:t>
            </w:r>
          </w:p>
          <w:p>
            <w:pPr>
              <w:adjustRightInd w:val="0"/>
              <w:snapToGrid w:val="0"/>
              <w:spacing w:line="360" w:lineRule="auto"/>
              <w:ind w:firstLine="480" w:firstLineChars="200"/>
              <w:rPr>
                <w:sz w:val="24"/>
              </w:rPr>
            </w:pPr>
            <w:r>
              <w:rPr>
                <w:sz w:val="24"/>
              </w:rPr>
              <w:t>为了解工程所在区</w:t>
            </w:r>
            <w:r>
              <w:rPr>
                <w:rFonts w:hint="eastAsia"/>
                <w:sz w:val="24"/>
              </w:rPr>
              <w:t>域</w:t>
            </w:r>
            <w:r>
              <w:rPr>
                <w:sz w:val="24"/>
              </w:rPr>
              <w:t>土壤环境质量现状，</w:t>
            </w:r>
            <w:r>
              <w:rPr>
                <w:rFonts w:hint="eastAsia"/>
                <w:sz w:val="24"/>
              </w:rPr>
              <w:t>本次环评工作委托新疆锡水金山环境科技有限公司于2022年12月</w:t>
            </w:r>
            <w:r>
              <w:rPr>
                <w:sz w:val="24"/>
              </w:rPr>
              <w:t>对工程区土壤进行了现状监测，共设置监测点3处，</w:t>
            </w:r>
            <w:r>
              <w:rPr>
                <w:rFonts w:hint="eastAsia"/>
                <w:sz w:val="24"/>
              </w:rPr>
              <w:t>其中拟建工程红山嘴水库占地区内1处（</w:t>
            </w:r>
            <w:r>
              <w:rPr>
                <w:sz w:val="24"/>
              </w:rPr>
              <w:t>T1：90°10′46.43″E，43°44′42.86″N</w:t>
            </w:r>
            <w:r>
              <w:rPr>
                <w:rFonts w:hint="eastAsia"/>
                <w:sz w:val="24"/>
              </w:rPr>
              <w:t>），其它区域土壤2处（</w:t>
            </w:r>
            <w:r>
              <w:rPr>
                <w:sz w:val="24"/>
              </w:rPr>
              <w:t>T2：90°10′41.40″E，43°44′46.53″N和T3：90°10′42.79″E，43°44′44.25″N</w:t>
            </w:r>
            <w:r>
              <w:rPr>
                <w:rFonts w:hint="eastAsia"/>
                <w:sz w:val="24"/>
              </w:rPr>
              <w:t>），均为表层样点。</w:t>
            </w:r>
            <w:r>
              <w:rPr>
                <w:sz w:val="24"/>
              </w:rPr>
              <w:t>其中工程占地区内监测点位监测《土壤环境质量建设用地土壤污染风险管控标准（试行）》（GB36600-2018）中的45个基本项目</w:t>
            </w:r>
            <w:r>
              <w:rPr>
                <w:rFonts w:hint="eastAsia"/>
                <w:sz w:val="24"/>
              </w:rPr>
              <w:t>；</w:t>
            </w:r>
            <w:r>
              <w:rPr>
                <w:sz w:val="24"/>
              </w:rPr>
              <w:t>工程</w:t>
            </w:r>
            <w:r>
              <w:rPr>
                <w:rFonts w:hint="eastAsia"/>
                <w:sz w:val="24"/>
              </w:rPr>
              <w:t>占地区外的土壤样本监测《土壤环境质量农用地土壤污染风险管控标准（试行）》（G</w:t>
            </w:r>
            <w:r>
              <w:rPr>
                <w:sz w:val="24"/>
              </w:rPr>
              <w:t>B15618</w:t>
            </w:r>
            <w:r>
              <w:rPr>
                <w:rFonts w:hint="eastAsia"/>
                <w:sz w:val="24"/>
              </w:rPr>
              <w:t>-</w:t>
            </w:r>
            <w:r>
              <w:rPr>
                <w:sz w:val="24"/>
              </w:rPr>
              <w:t>2018</w:t>
            </w:r>
            <w:r>
              <w:rPr>
                <w:rFonts w:hint="eastAsia"/>
                <w:sz w:val="24"/>
              </w:rPr>
              <w:t>）表1中的农用地筛选值。</w:t>
            </w:r>
            <w:r>
              <w:rPr>
                <w:sz w:val="24"/>
              </w:rPr>
              <w:t>监测结果详见表6</w:t>
            </w:r>
            <w:r>
              <w:rPr>
                <w:rFonts w:hint="eastAsia"/>
                <w:sz w:val="24"/>
              </w:rPr>
              <w:t>和表</w:t>
            </w:r>
            <w:r>
              <w:rPr>
                <w:sz w:val="24"/>
              </w:rPr>
              <w:t>7。</w:t>
            </w:r>
          </w:p>
          <w:p>
            <w:pPr>
              <w:jc w:val="left"/>
              <w:rPr>
                <w:rFonts w:ascii="黑体" w:hAnsi="黑体" w:eastAsia="黑体"/>
                <w:sz w:val="24"/>
              </w:rPr>
            </w:pPr>
            <w:r>
              <w:rPr>
                <w:rFonts w:ascii="黑体" w:hAnsi="黑体" w:eastAsia="黑体"/>
                <w:sz w:val="24"/>
              </w:rPr>
              <w:t>表</w:t>
            </w:r>
            <w:r>
              <w:rPr>
                <w:rFonts w:eastAsia="黑体"/>
                <w:sz w:val="24"/>
              </w:rPr>
              <w:t>6</w:t>
            </w:r>
            <w:r>
              <w:rPr>
                <w:rFonts w:ascii="黑体" w:hAnsi="黑体" w:eastAsia="黑体"/>
                <w:sz w:val="24"/>
              </w:rPr>
              <w:t xml:space="preserve">          </w:t>
            </w:r>
            <w:r>
              <w:rPr>
                <w:rFonts w:hint="eastAsia" w:ascii="黑体" w:hAnsi="黑体" w:eastAsia="黑体"/>
                <w:sz w:val="24"/>
              </w:rPr>
              <w:t>工程占地区</w:t>
            </w:r>
            <w:r>
              <w:rPr>
                <w:rFonts w:ascii="黑体" w:hAnsi="黑体" w:eastAsia="黑体"/>
                <w:sz w:val="24"/>
              </w:rPr>
              <w:t>土壤环境现状监测成果与评价表</w:t>
            </w:r>
            <w:r>
              <w:rPr>
                <w:rFonts w:hint="eastAsia" w:ascii="黑体" w:hAnsi="黑体" w:eastAsia="黑体"/>
                <w:sz w:val="24"/>
              </w:rPr>
              <w:t xml:space="preserve">   </w:t>
            </w:r>
            <w:r>
              <w:rPr>
                <w:rFonts w:ascii="黑体" w:hAnsi="黑体" w:eastAsia="黑体"/>
                <w:sz w:val="24"/>
              </w:rPr>
              <w:t xml:space="preserve">  </w:t>
            </w:r>
            <w:r>
              <w:rPr>
                <w:rFonts w:hint="eastAsia" w:ascii="黑体" w:hAnsi="黑体" w:eastAsia="黑体"/>
                <w:sz w:val="24"/>
              </w:rPr>
              <w:t xml:space="preserve"> 单位：m</w:t>
            </w:r>
            <w:r>
              <w:rPr>
                <w:rFonts w:ascii="黑体" w:hAnsi="黑体" w:eastAsia="黑体"/>
                <w:sz w:val="24"/>
              </w:rPr>
              <w:t>g/kg</w:t>
            </w:r>
          </w:p>
          <w:tbl>
            <w:tblPr>
              <w:tblStyle w:val="21"/>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7"/>
              <w:gridCol w:w="2055"/>
              <w:gridCol w:w="2055"/>
              <w:gridCol w:w="2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检测项目</w:t>
                  </w:r>
                </w:p>
              </w:tc>
              <w:tc>
                <w:tcPr>
                  <w:tcW w:w="2055" w:type="dxa"/>
                  <w:shd w:val="clear" w:color="auto" w:fill="auto"/>
                  <w:vAlign w:val="center"/>
                </w:tcPr>
                <w:p>
                  <w:pPr>
                    <w:widowControl/>
                    <w:jc w:val="center"/>
                    <w:rPr>
                      <w:kern w:val="0"/>
                      <w:szCs w:val="21"/>
                    </w:rPr>
                  </w:pPr>
                  <w:r>
                    <w:rPr>
                      <w:rFonts w:hint="eastAsia"/>
                      <w:kern w:val="0"/>
                      <w:szCs w:val="21"/>
                    </w:rPr>
                    <w:t>评价标准</w:t>
                  </w:r>
                </w:p>
              </w:tc>
              <w:tc>
                <w:tcPr>
                  <w:tcW w:w="2055" w:type="dxa"/>
                  <w:shd w:val="clear" w:color="auto" w:fill="auto"/>
                  <w:vAlign w:val="center"/>
                </w:tcPr>
                <w:p>
                  <w:pPr>
                    <w:widowControl/>
                    <w:jc w:val="center"/>
                    <w:rPr>
                      <w:kern w:val="0"/>
                      <w:szCs w:val="21"/>
                    </w:rPr>
                  </w:pPr>
                  <w:r>
                    <w:rPr>
                      <w:rFonts w:hint="eastAsia"/>
                      <w:kern w:val="0"/>
                      <w:szCs w:val="21"/>
                    </w:rPr>
                    <w:t>工程占地区检测值</w:t>
                  </w:r>
                </w:p>
              </w:tc>
              <w:tc>
                <w:tcPr>
                  <w:tcW w:w="2054" w:type="dxa"/>
                  <w:shd w:val="clear" w:color="auto" w:fill="auto"/>
                  <w:noWrap/>
                  <w:vAlign w:val="center"/>
                </w:tcPr>
                <w:p>
                  <w:pPr>
                    <w:widowControl/>
                    <w:jc w:val="center"/>
                    <w:rPr>
                      <w:kern w:val="0"/>
                      <w:szCs w:val="21"/>
                    </w:rPr>
                  </w:pPr>
                  <w:r>
                    <w:rPr>
                      <w:rFonts w:hint="eastAsia"/>
                      <w:kern w:val="0"/>
                      <w:szCs w:val="21"/>
                    </w:rPr>
                    <w:t>评价结果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氯乙烯</w:t>
                  </w:r>
                </w:p>
              </w:tc>
              <w:tc>
                <w:tcPr>
                  <w:tcW w:w="2055" w:type="dxa"/>
                  <w:shd w:val="clear" w:color="auto" w:fill="auto"/>
                  <w:vAlign w:val="center"/>
                </w:tcPr>
                <w:p>
                  <w:pPr>
                    <w:widowControl/>
                    <w:jc w:val="center"/>
                    <w:rPr>
                      <w:kern w:val="0"/>
                      <w:szCs w:val="21"/>
                    </w:rPr>
                  </w:pPr>
                  <w:r>
                    <w:rPr>
                      <w:kern w:val="0"/>
                      <w:szCs w:val="21"/>
                    </w:rPr>
                    <w:t>0.43mg/kg</w:t>
                  </w:r>
                </w:p>
              </w:tc>
              <w:tc>
                <w:tcPr>
                  <w:tcW w:w="2055" w:type="dxa"/>
                  <w:shd w:val="clear" w:color="auto" w:fill="auto"/>
                  <w:vAlign w:val="center"/>
                </w:tcPr>
                <w:p>
                  <w:pPr>
                    <w:widowControl/>
                    <w:jc w:val="center"/>
                    <w:rPr>
                      <w:kern w:val="0"/>
                      <w:szCs w:val="21"/>
                    </w:rPr>
                  </w:pPr>
                  <w:r>
                    <w:rPr>
                      <w:kern w:val="0"/>
                      <w:szCs w:val="21"/>
                    </w:rPr>
                    <w:t>&lt;0.0015</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1,1-</w:t>
                  </w:r>
                  <w:r>
                    <w:rPr>
                      <w:rFonts w:hint="eastAsia"/>
                      <w:kern w:val="0"/>
                      <w:szCs w:val="21"/>
                    </w:rPr>
                    <w:t>二氯乙烯</w:t>
                  </w:r>
                </w:p>
              </w:tc>
              <w:tc>
                <w:tcPr>
                  <w:tcW w:w="2055" w:type="dxa"/>
                  <w:shd w:val="clear" w:color="auto" w:fill="auto"/>
                  <w:vAlign w:val="center"/>
                </w:tcPr>
                <w:p>
                  <w:pPr>
                    <w:widowControl/>
                    <w:jc w:val="center"/>
                    <w:rPr>
                      <w:kern w:val="0"/>
                      <w:szCs w:val="21"/>
                    </w:rPr>
                  </w:pPr>
                  <w:r>
                    <w:rPr>
                      <w:kern w:val="0"/>
                      <w:szCs w:val="21"/>
                    </w:rPr>
                    <w:t>66mg/kg</w:t>
                  </w:r>
                </w:p>
              </w:tc>
              <w:tc>
                <w:tcPr>
                  <w:tcW w:w="2055" w:type="dxa"/>
                  <w:shd w:val="clear" w:color="auto" w:fill="auto"/>
                  <w:vAlign w:val="center"/>
                </w:tcPr>
                <w:p>
                  <w:pPr>
                    <w:widowControl/>
                    <w:jc w:val="center"/>
                    <w:rPr>
                      <w:kern w:val="0"/>
                      <w:szCs w:val="21"/>
                    </w:rPr>
                  </w:pPr>
                  <w:r>
                    <w:rPr>
                      <w:kern w:val="0"/>
                      <w:szCs w:val="21"/>
                    </w:rPr>
                    <w:t>&lt;0.0008</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二氯甲烷</w:t>
                  </w:r>
                </w:p>
              </w:tc>
              <w:tc>
                <w:tcPr>
                  <w:tcW w:w="2055" w:type="dxa"/>
                  <w:shd w:val="clear" w:color="auto" w:fill="auto"/>
                  <w:vAlign w:val="center"/>
                </w:tcPr>
                <w:p>
                  <w:pPr>
                    <w:widowControl/>
                    <w:jc w:val="center"/>
                    <w:rPr>
                      <w:kern w:val="0"/>
                      <w:szCs w:val="21"/>
                    </w:rPr>
                  </w:pPr>
                  <w:r>
                    <w:rPr>
                      <w:kern w:val="0"/>
                      <w:szCs w:val="21"/>
                    </w:rPr>
                    <w:t>616mg/kg</w:t>
                  </w:r>
                </w:p>
              </w:tc>
              <w:tc>
                <w:tcPr>
                  <w:tcW w:w="2055" w:type="dxa"/>
                  <w:shd w:val="clear" w:color="auto" w:fill="auto"/>
                  <w:vAlign w:val="center"/>
                </w:tcPr>
                <w:p>
                  <w:pPr>
                    <w:widowControl/>
                    <w:jc w:val="center"/>
                    <w:rPr>
                      <w:kern w:val="0"/>
                      <w:szCs w:val="21"/>
                    </w:rPr>
                  </w:pPr>
                  <w:r>
                    <w:rPr>
                      <w:kern w:val="0"/>
                      <w:szCs w:val="21"/>
                    </w:rPr>
                    <w:t>&lt;0.0026</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反</w:t>
                  </w:r>
                  <w:r>
                    <w:rPr>
                      <w:kern w:val="0"/>
                      <w:szCs w:val="21"/>
                    </w:rPr>
                    <w:t>-1,2-</w:t>
                  </w:r>
                  <w:r>
                    <w:rPr>
                      <w:rFonts w:hint="eastAsia"/>
                      <w:kern w:val="0"/>
                      <w:szCs w:val="21"/>
                    </w:rPr>
                    <w:t>二氯乙烯</w:t>
                  </w:r>
                </w:p>
              </w:tc>
              <w:tc>
                <w:tcPr>
                  <w:tcW w:w="2055" w:type="dxa"/>
                  <w:shd w:val="clear" w:color="auto" w:fill="auto"/>
                  <w:vAlign w:val="center"/>
                </w:tcPr>
                <w:p>
                  <w:pPr>
                    <w:widowControl/>
                    <w:jc w:val="center"/>
                    <w:rPr>
                      <w:kern w:val="0"/>
                      <w:szCs w:val="21"/>
                    </w:rPr>
                  </w:pPr>
                  <w:r>
                    <w:rPr>
                      <w:kern w:val="0"/>
                      <w:szCs w:val="21"/>
                    </w:rPr>
                    <w:t>54mg/kg</w:t>
                  </w:r>
                </w:p>
              </w:tc>
              <w:tc>
                <w:tcPr>
                  <w:tcW w:w="2055" w:type="dxa"/>
                  <w:shd w:val="clear" w:color="auto" w:fill="auto"/>
                  <w:vAlign w:val="center"/>
                </w:tcPr>
                <w:p>
                  <w:pPr>
                    <w:widowControl/>
                    <w:jc w:val="center"/>
                    <w:rPr>
                      <w:kern w:val="0"/>
                      <w:szCs w:val="21"/>
                    </w:rPr>
                  </w:pPr>
                  <w:r>
                    <w:rPr>
                      <w:kern w:val="0"/>
                      <w:szCs w:val="21"/>
                    </w:rPr>
                    <w:t>&lt;0.0009</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1,1-</w:t>
                  </w:r>
                  <w:r>
                    <w:rPr>
                      <w:rFonts w:hint="eastAsia"/>
                      <w:kern w:val="0"/>
                      <w:szCs w:val="21"/>
                    </w:rPr>
                    <w:t>二氯乙烷</w:t>
                  </w:r>
                </w:p>
              </w:tc>
              <w:tc>
                <w:tcPr>
                  <w:tcW w:w="2055" w:type="dxa"/>
                  <w:shd w:val="clear" w:color="auto" w:fill="auto"/>
                  <w:vAlign w:val="center"/>
                </w:tcPr>
                <w:p>
                  <w:pPr>
                    <w:widowControl/>
                    <w:jc w:val="center"/>
                    <w:rPr>
                      <w:kern w:val="0"/>
                      <w:szCs w:val="21"/>
                    </w:rPr>
                  </w:pPr>
                  <w:r>
                    <w:rPr>
                      <w:kern w:val="0"/>
                      <w:szCs w:val="21"/>
                    </w:rPr>
                    <w:t>9mg/kg</w:t>
                  </w:r>
                </w:p>
              </w:tc>
              <w:tc>
                <w:tcPr>
                  <w:tcW w:w="2055" w:type="dxa"/>
                  <w:shd w:val="clear" w:color="auto" w:fill="auto"/>
                  <w:vAlign w:val="center"/>
                </w:tcPr>
                <w:p>
                  <w:pPr>
                    <w:widowControl/>
                    <w:jc w:val="center"/>
                    <w:rPr>
                      <w:kern w:val="0"/>
                      <w:szCs w:val="21"/>
                    </w:rPr>
                  </w:pPr>
                  <w:r>
                    <w:rPr>
                      <w:kern w:val="0"/>
                      <w:szCs w:val="21"/>
                    </w:rPr>
                    <w:t>&lt;0.0016</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顺</w:t>
                  </w:r>
                  <w:r>
                    <w:rPr>
                      <w:kern w:val="0"/>
                      <w:szCs w:val="21"/>
                    </w:rPr>
                    <w:t>-1,2-</w:t>
                  </w:r>
                  <w:r>
                    <w:rPr>
                      <w:rFonts w:hint="eastAsia"/>
                      <w:kern w:val="0"/>
                      <w:szCs w:val="21"/>
                    </w:rPr>
                    <w:t>二氯乙烯</w:t>
                  </w:r>
                </w:p>
              </w:tc>
              <w:tc>
                <w:tcPr>
                  <w:tcW w:w="2055" w:type="dxa"/>
                  <w:shd w:val="clear" w:color="auto" w:fill="auto"/>
                  <w:vAlign w:val="center"/>
                </w:tcPr>
                <w:p>
                  <w:pPr>
                    <w:widowControl/>
                    <w:jc w:val="center"/>
                    <w:rPr>
                      <w:kern w:val="0"/>
                      <w:szCs w:val="21"/>
                    </w:rPr>
                  </w:pPr>
                  <w:r>
                    <w:rPr>
                      <w:kern w:val="0"/>
                      <w:szCs w:val="21"/>
                    </w:rPr>
                    <w:t>596mg/kg</w:t>
                  </w:r>
                </w:p>
              </w:tc>
              <w:tc>
                <w:tcPr>
                  <w:tcW w:w="2055" w:type="dxa"/>
                  <w:shd w:val="clear" w:color="auto" w:fill="auto"/>
                  <w:vAlign w:val="center"/>
                </w:tcPr>
                <w:p>
                  <w:pPr>
                    <w:widowControl/>
                    <w:jc w:val="center"/>
                    <w:rPr>
                      <w:kern w:val="0"/>
                      <w:szCs w:val="21"/>
                    </w:rPr>
                  </w:pPr>
                  <w:r>
                    <w:rPr>
                      <w:kern w:val="0"/>
                      <w:szCs w:val="21"/>
                    </w:rPr>
                    <w:t>&lt;0.0009</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氯仿</w:t>
                  </w:r>
                </w:p>
              </w:tc>
              <w:tc>
                <w:tcPr>
                  <w:tcW w:w="2055" w:type="dxa"/>
                  <w:shd w:val="clear" w:color="auto" w:fill="auto"/>
                  <w:vAlign w:val="center"/>
                </w:tcPr>
                <w:p>
                  <w:pPr>
                    <w:widowControl/>
                    <w:jc w:val="center"/>
                    <w:rPr>
                      <w:kern w:val="0"/>
                      <w:szCs w:val="21"/>
                    </w:rPr>
                  </w:pPr>
                  <w:r>
                    <w:rPr>
                      <w:kern w:val="0"/>
                      <w:szCs w:val="21"/>
                    </w:rPr>
                    <w:t>0.9mg/kg</w:t>
                  </w:r>
                </w:p>
              </w:tc>
              <w:tc>
                <w:tcPr>
                  <w:tcW w:w="2055" w:type="dxa"/>
                  <w:shd w:val="clear" w:color="auto" w:fill="auto"/>
                  <w:vAlign w:val="center"/>
                </w:tcPr>
                <w:p>
                  <w:pPr>
                    <w:widowControl/>
                    <w:jc w:val="center"/>
                    <w:rPr>
                      <w:kern w:val="0"/>
                      <w:szCs w:val="21"/>
                    </w:rPr>
                  </w:pPr>
                  <w:r>
                    <w:rPr>
                      <w:kern w:val="0"/>
                      <w:szCs w:val="21"/>
                    </w:rPr>
                    <w:t>&lt;0.0015</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1,1,1-</w:t>
                  </w:r>
                  <w:r>
                    <w:rPr>
                      <w:rFonts w:hint="eastAsia"/>
                      <w:kern w:val="0"/>
                      <w:szCs w:val="21"/>
                    </w:rPr>
                    <w:t>三氯乙烷</w:t>
                  </w:r>
                </w:p>
              </w:tc>
              <w:tc>
                <w:tcPr>
                  <w:tcW w:w="2055" w:type="dxa"/>
                  <w:shd w:val="clear" w:color="auto" w:fill="auto"/>
                  <w:vAlign w:val="center"/>
                </w:tcPr>
                <w:p>
                  <w:pPr>
                    <w:widowControl/>
                    <w:jc w:val="center"/>
                    <w:rPr>
                      <w:kern w:val="0"/>
                      <w:szCs w:val="21"/>
                    </w:rPr>
                  </w:pPr>
                  <w:r>
                    <w:rPr>
                      <w:kern w:val="0"/>
                      <w:szCs w:val="21"/>
                    </w:rPr>
                    <w:t>840mg/kg</w:t>
                  </w:r>
                </w:p>
              </w:tc>
              <w:tc>
                <w:tcPr>
                  <w:tcW w:w="2055" w:type="dxa"/>
                  <w:shd w:val="clear" w:color="auto" w:fill="auto"/>
                  <w:vAlign w:val="center"/>
                </w:tcPr>
                <w:p>
                  <w:pPr>
                    <w:widowControl/>
                    <w:jc w:val="center"/>
                    <w:rPr>
                      <w:kern w:val="0"/>
                      <w:szCs w:val="21"/>
                    </w:rPr>
                  </w:pPr>
                  <w:r>
                    <w:rPr>
                      <w:kern w:val="0"/>
                      <w:szCs w:val="21"/>
                    </w:rPr>
                    <w:t>&lt;0.0011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四氯化碳</w:t>
                  </w:r>
                </w:p>
              </w:tc>
              <w:tc>
                <w:tcPr>
                  <w:tcW w:w="2055" w:type="dxa"/>
                  <w:shd w:val="clear" w:color="auto" w:fill="auto"/>
                  <w:vAlign w:val="center"/>
                </w:tcPr>
                <w:p>
                  <w:pPr>
                    <w:widowControl/>
                    <w:jc w:val="center"/>
                    <w:rPr>
                      <w:kern w:val="0"/>
                      <w:szCs w:val="21"/>
                    </w:rPr>
                  </w:pPr>
                  <w:r>
                    <w:rPr>
                      <w:kern w:val="0"/>
                      <w:szCs w:val="21"/>
                    </w:rPr>
                    <w:t>2.8mg/kg</w:t>
                  </w:r>
                </w:p>
              </w:tc>
              <w:tc>
                <w:tcPr>
                  <w:tcW w:w="2055" w:type="dxa"/>
                  <w:shd w:val="clear" w:color="auto" w:fill="auto"/>
                  <w:vAlign w:val="center"/>
                </w:tcPr>
                <w:p>
                  <w:pPr>
                    <w:widowControl/>
                    <w:jc w:val="center"/>
                    <w:rPr>
                      <w:kern w:val="0"/>
                      <w:szCs w:val="21"/>
                    </w:rPr>
                  </w:pPr>
                  <w:r>
                    <w:rPr>
                      <w:kern w:val="0"/>
                      <w:szCs w:val="21"/>
                    </w:rPr>
                    <w:t>&lt;0.0021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1,2-</w:t>
                  </w:r>
                  <w:r>
                    <w:rPr>
                      <w:rFonts w:hint="eastAsia"/>
                      <w:kern w:val="0"/>
                      <w:szCs w:val="21"/>
                    </w:rPr>
                    <w:t>二氯乙烷</w:t>
                  </w:r>
                  <w:r>
                    <w:rPr>
                      <w:kern w:val="0"/>
                      <w:szCs w:val="21"/>
                    </w:rPr>
                    <w:t xml:space="preserve"> </w:t>
                  </w:r>
                </w:p>
              </w:tc>
              <w:tc>
                <w:tcPr>
                  <w:tcW w:w="2055" w:type="dxa"/>
                  <w:shd w:val="clear" w:color="auto" w:fill="auto"/>
                  <w:vAlign w:val="center"/>
                </w:tcPr>
                <w:p>
                  <w:pPr>
                    <w:widowControl/>
                    <w:jc w:val="center"/>
                    <w:rPr>
                      <w:kern w:val="0"/>
                      <w:szCs w:val="21"/>
                    </w:rPr>
                  </w:pPr>
                  <w:r>
                    <w:rPr>
                      <w:kern w:val="0"/>
                      <w:szCs w:val="21"/>
                    </w:rPr>
                    <w:t>5mg/kg</w:t>
                  </w:r>
                </w:p>
              </w:tc>
              <w:tc>
                <w:tcPr>
                  <w:tcW w:w="2055" w:type="dxa"/>
                  <w:shd w:val="clear" w:color="auto" w:fill="auto"/>
                  <w:vAlign w:val="center"/>
                </w:tcPr>
                <w:p>
                  <w:pPr>
                    <w:widowControl/>
                    <w:jc w:val="center"/>
                    <w:rPr>
                      <w:kern w:val="0"/>
                      <w:szCs w:val="21"/>
                    </w:rPr>
                  </w:pPr>
                  <w:r>
                    <w:rPr>
                      <w:kern w:val="0"/>
                      <w:szCs w:val="21"/>
                    </w:rPr>
                    <w:t>&lt;0.0013</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苯</w:t>
                  </w:r>
                </w:p>
              </w:tc>
              <w:tc>
                <w:tcPr>
                  <w:tcW w:w="2055" w:type="dxa"/>
                  <w:shd w:val="clear" w:color="auto" w:fill="auto"/>
                  <w:vAlign w:val="center"/>
                </w:tcPr>
                <w:p>
                  <w:pPr>
                    <w:widowControl/>
                    <w:jc w:val="center"/>
                    <w:rPr>
                      <w:kern w:val="0"/>
                      <w:szCs w:val="21"/>
                    </w:rPr>
                  </w:pPr>
                  <w:r>
                    <w:rPr>
                      <w:kern w:val="0"/>
                      <w:szCs w:val="21"/>
                    </w:rPr>
                    <w:t>4mg/kg</w:t>
                  </w:r>
                </w:p>
              </w:tc>
              <w:tc>
                <w:tcPr>
                  <w:tcW w:w="2055" w:type="dxa"/>
                  <w:shd w:val="clear" w:color="auto" w:fill="auto"/>
                  <w:vAlign w:val="center"/>
                </w:tcPr>
                <w:p>
                  <w:pPr>
                    <w:widowControl/>
                    <w:jc w:val="center"/>
                    <w:rPr>
                      <w:kern w:val="0"/>
                      <w:szCs w:val="21"/>
                    </w:rPr>
                  </w:pPr>
                  <w:r>
                    <w:rPr>
                      <w:kern w:val="0"/>
                      <w:szCs w:val="21"/>
                    </w:rPr>
                    <w:t>&lt;0.0016</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三氯乙烯</w:t>
                  </w:r>
                </w:p>
              </w:tc>
              <w:tc>
                <w:tcPr>
                  <w:tcW w:w="2055" w:type="dxa"/>
                  <w:shd w:val="clear" w:color="auto" w:fill="auto"/>
                  <w:vAlign w:val="center"/>
                </w:tcPr>
                <w:p>
                  <w:pPr>
                    <w:widowControl/>
                    <w:jc w:val="center"/>
                    <w:rPr>
                      <w:kern w:val="0"/>
                      <w:szCs w:val="21"/>
                    </w:rPr>
                  </w:pPr>
                  <w:r>
                    <w:rPr>
                      <w:kern w:val="0"/>
                      <w:szCs w:val="21"/>
                    </w:rPr>
                    <w:t>2.8mg/kg</w:t>
                  </w:r>
                </w:p>
              </w:tc>
              <w:tc>
                <w:tcPr>
                  <w:tcW w:w="2055" w:type="dxa"/>
                  <w:shd w:val="clear" w:color="auto" w:fill="auto"/>
                  <w:vAlign w:val="center"/>
                </w:tcPr>
                <w:p>
                  <w:pPr>
                    <w:widowControl/>
                    <w:jc w:val="center"/>
                    <w:rPr>
                      <w:kern w:val="0"/>
                      <w:szCs w:val="21"/>
                    </w:rPr>
                  </w:pPr>
                  <w:r>
                    <w:rPr>
                      <w:kern w:val="0"/>
                      <w:szCs w:val="21"/>
                    </w:rPr>
                    <w:t>&lt;0.0009</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1,2-</w:t>
                  </w:r>
                  <w:r>
                    <w:rPr>
                      <w:rFonts w:hint="eastAsia"/>
                      <w:kern w:val="0"/>
                      <w:szCs w:val="21"/>
                    </w:rPr>
                    <w:t>二氯丙烷</w:t>
                  </w:r>
                </w:p>
              </w:tc>
              <w:tc>
                <w:tcPr>
                  <w:tcW w:w="2055" w:type="dxa"/>
                  <w:shd w:val="clear" w:color="auto" w:fill="auto"/>
                  <w:vAlign w:val="center"/>
                </w:tcPr>
                <w:p>
                  <w:pPr>
                    <w:widowControl/>
                    <w:jc w:val="center"/>
                    <w:rPr>
                      <w:kern w:val="0"/>
                      <w:szCs w:val="21"/>
                    </w:rPr>
                  </w:pPr>
                  <w:r>
                    <w:rPr>
                      <w:kern w:val="0"/>
                      <w:szCs w:val="21"/>
                    </w:rPr>
                    <w:t>5mg/kg</w:t>
                  </w:r>
                </w:p>
              </w:tc>
              <w:tc>
                <w:tcPr>
                  <w:tcW w:w="2055" w:type="dxa"/>
                  <w:shd w:val="clear" w:color="auto" w:fill="auto"/>
                  <w:vAlign w:val="center"/>
                </w:tcPr>
                <w:p>
                  <w:pPr>
                    <w:widowControl/>
                    <w:jc w:val="center"/>
                    <w:rPr>
                      <w:kern w:val="0"/>
                      <w:szCs w:val="21"/>
                    </w:rPr>
                  </w:pPr>
                  <w:r>
                    <w:rPr>
                      <w:kern w:val="0"/>
                      <w:szCs w:val="21"/>
                    </w:rPr>
                    <w:t>&lt;0.0019</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甲苯</w:t>
                  </w:r>
                  <w:r>
                    <w:rPr>
                      <w:kern w:val="0"/>
                      <w:szCs w:val="21"/>
                    </w:rPr>
                    <w:t xml:space="preserve"> </w:t>
                  </w:r>
                </w:p>
              </w:tc>
              <w:tc>
                <w:tcPr>
                  <w:tcW w:w="2055" w:type="dxa"/>
                  <w:shd w:val="clear" w:color="auto" w:fill="auto"/>
                  <w:vAlign w:val="center"/>
                </w:tcPr>
                <w:p>
                  <w:pPr>
                    <w:widowControl/>
                    <w:jc w:val="center"/>
                    <w:rPr>
                      <w:kern w:val="0"/>
                      <w:szCs w:val="21"/>
                    </w:rPr>
                  </w:pPr>
                  <w:r>
                    <w:rPr>
                      <w:kern w:val="0"/>
                      <w:szCs w:val="21"/>
                    </w:rPr>
                    <w:t>1200mg/kg</w:t>
                  </w:r>
                </w:p>
              </w:tc>
              <w:tc>
                <w:tcPr>
                  <w:tcW w:w="2055" w:type="dxa"/>
                  <w:shd w:val="clear" w:color="auto" w:fill="auto"/>
                  <w:vAlign w:val="center"/>
                </w:tcPr>
                <w:p>
                  <w:pPr>
                    <w:widowControl/>
                    <w:jc w:val="center"/>
                    <w:rPr>
                      <w:kern w:val="0"/>
                      <w:szCs w:val="21"/>
                    </w:rPr>
                  </w:pPr>
                  <w:r>
                    <w:rPr>
                      <w:kern w:val="0"/>
                      <w:szCs w:val="21"/>
                    </w:rPr>
                    <w:t>&lt;0.0020</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1,1,2-</w:t>
                  </w:r>
                  <w:r>
                    <w:rPr>
                      <w:rFonts w:hint="eastAsia"/>
                      <w:kern w:val="0"/>
                      <w:szCs w:val="21"/>
                    </w:rPr>
                    <w:t>三氯乙烷</w:t>
                  </w:r>
                </w:p>
              </w:tc>
              <w:tc>
                <w:tcPr>
                  <w:tcW w:w="2055" w:type="dxa"/>
                  <w:shd w:val="clear" w:color="auto" w:fill="auto"/>
                  <w:vAlign w:val="center"/>
                </w:tcPr>
                <w:p>
                  <w:pPr>
                    <w:widowControl/>
                    <w:jc w:val="center"/>
                    <w:rPr>
                      <w:kern w:val="0"/>
                      <w:szCs w:val="21"/>
                    </w:rPr>
                  </w:pPr>
                  <w:r>
                    <w:rPr>
                      <w:kern w:val="0"/>
                      <w:szCs w:val="21"/>
                    </w:rPr>
                    <w:t>2.8mg/kg</w:t>
                  </w:r>
                </w:p>
              </w:tc>
              <w:tc>
                <w:tcPr>
                  <w:tcW w:w="2055" w:type="dxa"/>
                  <w:shd w:val="clear" w:color="auto" w:fill="auto"/>
                  <w:vAlign w:val="center"/>
                </w:tcPr>
                <w:p>
                  <w:pPr>
                    <w:widowControl/>
                    <w:jc w:val="center"/>
                    <w:rPr>
                      <w:kern w:val="0"/>
                      <w:szCs w:val="21"/>
                    </w:rPr>
                  </w:pPr>
                  <w:r>
                    <w:rPr>
                      <w:kern w:val="0"/>
                      <w:szCs w:val="21"/>
                    </w:rPr>
                    <w:t>&lt;0.0014</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四氯乙烯</w:t>
                  </w:r>
                </w:p>
              </w:tc>
              <w:tc>
                <w:tcPr>
                  <w:tcW w:w="2055" w:type="dxa"/>
                  <w:shd w:val="clear" w:color="auto" w:fill="auto"/>
                  <w:vAlign w:val="center"/>
                </w:tcPr>
                <w:p>
                  <w:pPr>
                    <w:widowControl/>
                    <w:jc w:val="center"/>
                    <w:rPr>
                      <w:kern w:val="0"/>
                      <w:szCs w:val="21"/>
                    </w:rPr>
                  </w:pPr>
                  <w:r>
                    <w:rPr>
                      <w:kern w:val="0"/>
                      <w:szCs w:val="21"/>
                    </w:rPr>
                    <w:t>53mg/kg</w:t>
                  </w:r>
                </w:p>
              </w:tc>
              <w:tc>
                <w:tcPr>
                  <w:tcW w:w="2055" w:type="dxa"/>
                  <w:shd w:val="clear" w:color="auto" w:fill="auto"/>
                  <w:vAlign w:val="center"/>
                </w:tcPr>
                <w:p>
                  <w:pPr>
                    <w:widowControl/>
                    <w:jc w:val="center"/>
                    <w:rPr>
                      <w:kern w:val="0"/>
                      <w:szCs w:val="21"/>
                    </w:rPr>
                  </w:pPr>
                  <w:r>
                    <w:rPr>
                      <w:kern w:val="0"/>
                      <w:szCs w:val="21"/>
                    </w:rPr>
                    <w:t>&lt;0.0008</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氯苯</w:t>
                  </w:r>
                </w:p>
              </w:tc>
              <w:tc>
                <w:tcPr>
                  <w:tcW w:w="2055" w:type="dxa"/>
                  <w:shd w:val="clear" w:color="auto" w:fill="auto"/>
                  <w:vAlign w:val="center"/>
                </w:tcPr>
                <w:p>
                  <w:pPr>
                    <w:widowControl/>
                    <w:jc w:val="center"/>
                    <w:rPr>
                      <w:kern w:val="0"/>
                      <w:szCs w:val="21"/>
                    </w:rPr>
                  </w:pPr>
                  <w:r>
                    <w:rPr>
                      <w:kern w:val="0"/>
                      <w:szCs w:val="21"/>
                    </w:rPr>
                    <w:t>270mg/kg</w:t>
                  </w:r>
                </w:p>
              </w:tc>
              <w:tc>
                <w:tcPr>
                  <w:tcW w:w="2055" w:type="dxa"/>
                  <w:shd w:val="clear" w:color="auto" w:fill="auto"/>
                  <w:vAlign w:val="center"/>
                </w:tcPr>
                <w:p>
                  <w:pPr>
                    <w:widowControl/>
                    <w:jc w:val="center"/>
                    <w:rPr>
                      <w:kern w:val="0"/>
                      <w:szCs w:val="21"/>
                    </w:rPr>
                  </w:pPr>
                  <w:r>
                    <w:rPr>
                      <w:kern w:val="0"/>
                      <w:szCs w:val="21"/>
                    </w:rPr>
                    <w:t>&lt;0.0011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1,1,1,2-</w:t>
                  </w:r>
                  <w:r>
                    <w:rPr>
                      <w:rFonts w:hint="eastAsia"/>
                      <w:kern w:val="0"/>
                      <w:szCs w:val="21"/>
                    </w:rPr>
                    <w:t>四氯乙烷</w:t>
                  </w:r>
                </w:p>
              </w:tc>
              <w:tc>
                <w:tcPr>
                  <w:tcW w:w="2055" w:type="dxa"/>
                  <w:shd w:val="clear" w:color="auto" w:fill="auto"/>
                  <w:vAlign w:val="center"/>
                </w:tcPr>
                <w:p>
                  <w:pPr>
                    <w:widowControl/>
                    <w:jc w:val="center"/>
                    <w:rPr>
                      <w:kern w:val="0"/>
                      <w:szCs w:val="21"/>
                    </w:rPr>
                  </w:pPr>
                  <w:r>
                    <w:rPr>
                      <w:kern w:val="0"/>
                      <w:szCs w:val="21"/>
                    </w:rPr>
                    <w:t>10mg/kg</w:t>
                  </w:r>
                </w:p>
              </w:tc>
              <w:tc>
                <w:tcPr>
                  <w:tcW w:w="2055" w:type="dxa"/>
                  <w:shd w:val="clear" w:color="auto" w:fill="auto"/>
                  <w:vAlign w:val="center"/>
                </w:tcPr>
                <w:p>
                  <w:pPr>
                    <w:widowControl/>
                    <w:jc w:val="center"/>
                    <w:rPr>
                      <w:kern w:val="0"/>
                      <w:szCs w:val="21"/>
                    </w:rPr>
                  </w:pPr>
                  <w:r>
                    <w:rPr>
                      <w:kern w:val="0"/>
                      <w:szCs w:val="21"/>
                    </w:rPr>
                    <w:t>&lt;0.0010</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乙苯</w:t>
                  </w:r>
                </w:p>
              </w:tc>
              <w:tc>
                <w:tcPr>
                  <w:tcW w:w="2055" w:type="dxa"/>
                  <w:shd w:val="clear" w:color="auto" w:fill="auto"/>
                  <w:vAlign w:val="center"/>
                </w:tcPr>
                <w:p>
                  <w:pPr>
                    <w:widowControl/>
                    <w:jc w:val="center"/>
                    <w:rPr>
                      <w:kern w:val="0"/>
                      <w:szCs w:val="21"/>
                    </w:rPr>
                  </w:pPr>
                  <w:r>
                    <w:rPr>
                      <w:kern w:val="0"/>
                      <w:szCs w:val="21"/>
                    </w:rPr>
                    <w:t>28mg/kg</w:t>
                  </w:r>
                </w:p>
              </w:tc>
              <w:tc>
                <w:tcPr>
                  <w:tcW w:w="2055" w:type="dxa"/>
                  <w:shd w:val="clear" w:color="auto" w:fill="auto"/>
                  <w:vAlign w:val="center"/>
                </w:tcPr>
                <w:p>
                  <w:pPr>
                    <w:widowControl/>
                    <w:jc w:val="center"/>
                    <w:rPr>
                      <w:kern w:val="0"/>
                      <w:szCs w:val="21"/>
                    </w:rPr>
                  </w:pPr>
                  <w:r>
                    <w:rPr>
                      <w:kern w:val="0"/>
                      <w:szCs w:val="21"/>
                    </w:rPr>
                    <w:t>&lt;0.0012</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间</w:t>
                  </w:r>
                  <w:r>
                    <w:rPr>
                      <w:kern w:val="0"/>
                      <w:szCs w:val="21"/>
                    </w:rPr>
                    <w:t>,</w:t>
                  </w:r>
                  <w:r>
                    <w:rPr>
                      <w:rFonts w:hint="eastAsia"/>
                      <w:kern w:val="0"/>
                      <w:szCs w:val="21"/>
                    </w:rPr>
                    <w:t>对</w:t>
                  </w:r>
                  <w:r>
                    <w:rPr>
                      <w:kern w:val="0"/>
                      <w:szCs w:val="21"/>
                    </w:rPr>
                    <w:t>-</w:t>
                  </w:r>
                  <w:r>
                    <w:rPr>
                      <w:rFonts w:hint="eastAsia"/>
                      <w:kern w:val="0"/>
                      <w:szCs w:val="21"/>
                    </w:rPr>
                    <w:t>二甲苯</w:t>
                  </w:r>
                </w:p>
              </w:tc>
              <w:tc>
                <w:tcPr>
                  <w:tcW w:w="2055" w:type="dxa"/>
                  <w:shd w:val="clear" w:color="auto" w:fill="auto"/>
                  <w:vAlign w:val="center"/>
                </w:tcPr>
                <w:p>
                  <w:pPr>
                    <w:widowControl/>
                    <w:jc w:val="center"/>
                    <w:rPr>
                      <w:kern w:val="0"/>
                      <w:szCs w:val="21"/>
                    </w:rPr>
                  </w:pPr>
                  <w:r>
                    <w:rPr>
                      <w:kern w:val="0"/>
                      <w:szCs w:val="21"/>
                    </w:rPr>
                    <w:t>570mg/kg</w:t>
                  </w:r>
                </w:p>
              </w:tc>
              <w:tc>
                <w:tcPr>
                  <w:tcW w:w="2055" w:type="dxa"/>
                  <w:shd w:val="clear" w:color="auto" w:fill="auto"/>
                  <w:vAlign w:val="center"/>
                </w:tcPr>
                <w:p>
                  <w:pPr>
                    <w:widowControl/>
                    <w:jc w:val="center"/>
                    <w:rPr>
                      <w:kern w:val="0"/>
                      <w:szCs w:val="21"/>
                    </w:rPr>
                  </w:pPr>
                  <w:r>
                    <w:rPr>
                      <w:kern w:val="0"/>
                      <w:szCs w:val="21"/>
                    </w:rPr>
                    <w:t>&lt;0.0036</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邻</w:t>
                  </w:r>
                  <w:r>
                    <w:rPr>
                      <w:kern w:val="0"/>
                      <w:szCs w:val="21"/>
                    </w:rPr>
                    <w:t>-</w:t>
                  </w:r>
                  <w:r>
                    <w:rPr>
                      <w:rFonts w:hint="eastAsia"/>
                      <w:kern w:val="0"/>
                      <w:szCs w:val="21"/>
                    </w:rPr>
                    <w:t>二甲苯</w:t>
                  </w:r>
                  <w:r>
                    <w:rPr>
                      <w:kern w:val="0"/>
                      <w:szCs w:val="21"/>
                    </w:rPr>
                    <w:t xml:space="preserve"> </w:t>
                  </w:r>
                </w:p>
              </w:tc>
              <w:tc>
                <w:tcPr>
                  <w:tcW w:w="2055" w:type="dxa"/>
                  <w:shd w:val="clear" w:color="auto" w:fill="auto"/>
                  <w:vAlign w:val="center"/>
                </w:tcPr>
                <w:p>
                  <w:pPr>
                    <w:widowControl/>
                    <w:jc w:val="center"/>
                    <w:rPr>
                      <w:kern w:val="0"/>
                      <w:szCs w:val="21"/>
                    </w:rPr>
                  </w:pPr>
                  <w:r>
                    <w:rPr>
                      <w:kern w:val="0"/>
                      <w:szCs w:val="21"/>
                    </w:rPr>
                    <w:t>640mg/kg</w:t>
                  </w:r>
                </w:p>
              </w:tc>
              <w:tc>
                <w:tcPr>
                  <w:tcW w:w="2055" w:type="dxa"/>
                  <w:shd w:val="clear" w:color="auto" w:fill="auto"/>
                  <w:vAlign w:val="center"/>
                </w:tcPr>
                <w:p>
                  <w:pPr>
                    <w:widowControl/>
                    <w:jc w:val="center"/>
                    <w:rPr>
                      <w:kern w:val="0"/>
                      <w:szCs w:val="21"/>
                    </w:rPr>
                  </w:pPr>
                  <w:r>
                    <w:rPr>
                      <w:kern w:val="0"/>
                      <w:szCs w:val="21"/>
                    </w:rPr>
                    <w:t>&lt;0.0013</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苯乙烯</w:t>
                  </w:r>
                </w:p>
              </w:tc>
              <w:tc>
                <w:tcPr>
                  <w:tcW w:w="2055" w:type="dxa"/>
                  <w:shd w:val="clear" w:color="auto" w:fill="auto"/>
                  <w:vAlign w:val="center"/>
                </w:tcPr>
                <w:p>
                  <w:pPr>
                    <w:widowControl/>
                    <w:jc w:val="center"/>
                    <w:rPr>
                      <w:kern w:val="0"/>
                      <w:szCs w:val="21"/>
                    </w:rPr>
                  </w:pPr>
                  <w:r>
                    <w:rPr>
                      <w:kern w:val="0"/>
                      <w:szCs w:val="21"/>
                    </w:rPr>
                    <w:t>1290mg/kg</w:t>
                  </w:r>
                </w:p>
              </w:tc>
              <w:tc>
                <w:tcPr>
                  <w:tcW w:w="2055" w:type="dxa"/>
                  <w:shd w:val="clear" w:color="auto" w:fill="auto"/>
                  <w:vAlign w:val="center"/>
                </w:tcPr>
                <w:p>
                  <w:pPr>
                    <w:widowControl/>
                    <w:jc w:val="center"/>
                    <w:rPr>
                      <w:kern w:val="0"/>
                      <w:szCs w:val="21"/>
                    </w:rPr>
                  </w:pPr>
                  <w:r>
                    <w:rPr>
                      <w:kern w:val="0"/>
                      <w:szCs w:val="21"/>
                    </w:rPr>
                    <w:t>&lt;0.0016</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1,1,2,2-</w:t>
                  </w:r>
                  <w:r>
                    <w:rPr>
                      <w:rFonts w:hint="eastAsia"/>
                      <w:kern w:val="0"/>
                      <w:szCs w:val="21"/>
                    </w:rPr>
                    <w:t>四氯乙烷</w:t>
                  </w:r>
                </w:p>
              </w:tc>
              <w:tc>
                <w:tcPr>
                  <w:tcW w:w="2055" w:type="dxa"/>
                  <w:shd w:val="clear" w:color="auto" w:fill="auto"/>
                  <w:vAlign w:val="center"/>
                </w:tcPr>
                <w:p>
                  <w:pPr>
                    <w:widowControl/>
                    <w:jc w:val="center"/>
                    <w:rPr>
                      <w:kern w:val="0"/>
                      <w:szCs w:val="21"/>
                    </w:rPr>
                  </w:pPr>
                  <w:r>
                    <w:rPr>
                      <w:kern w:val="0"/>
                      <w:szCs w:val="21"/>
                    </w:rPr>
                    <w:t>6.8mg/kg</w:t>
                  </w:r>
                </w:p>
              </w:tc>
              <w:tc>
                <w:tcPr>
                  <w:tcW w:w="2055" w:type="dxa"/>
                  <w:shd w:val="clear" w:color="auto" w:fill="auto"/>
                  <w:vAlign w:val="center"/>
                </w:tcPr>
                <w:p>
                  <w:pPr>
                    <w:widowControl/>
                    <w:jc w:val="center"/>
                    <w:rPr>
                      <w:kern w:val="0"/>
                      <w:szCs w:val="21"/>
                    </w:rPr>
                  </w:pPr>
                  <w:r>
                    <w:rPr>
                      <w:kern w:val="0"/>
                      <w:szCs w:val="21"/>
                    </w:rPr>
                    <w:t>&lt;0.0010</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1,2,3-</w:t>
                  </w:r>
                  <w:r>
                    <w:rPr>
                      <w:rFonts w:hint="eastAsia"/>
                      <w:kern w:val="0"/>
                      <w:szCs w:val="21"/>
                    </w:rPr>
                    <w:t>三氯丙烷</w:t>
                  </w:r>
                </w:p>
              </w:tc>
              <w:tc>
                <w:tcPr>
                  <w:tcW w:w="2055" w:type="dxa"/>
                  <w:shd w:val="clear" w:color="auto" w:fill="auto"/>
                  <w:vAlign w:val="center"/>
                </w:tcPr>
                <w:p>
                  <w:pPr>
                    <w:widowControl/>
                    <w:jc w:val="center"/>
                    <w:rPr>
                      <w:kern w:val="0"/>
                      <w:szCs w:val="21"/>
                    </w:rPr>
                  </w:pPr>
                  <w:r>
                    <w:rPr>
                      <w:kern w:val="0"/>
                      <w:szCs w:val="21"/>
                    </w:rPr>
                    <w:t>0.5mg/kg</w:t>
                  </w:r>
                </w:p>
              </w:tc>
              <w:tc>
                <w:tcPr>
                  <w:tcW w:w="2055" w:type="dxa"/>
                  <w:shd w:val="clear" w:color="auto" w:fill="auto"/>
                  <w:vAlign w:val="center"/>
                </w:tcPr>
                <w:p>
                  <w:pPr>
                    <w:widowControl/>
                    <w:jc w:val="center"/>
                    <w:rPr>
                      <w:kern w:val="0"/>
                      <w:szCs w:val="21"/>
                    </w:rPr>
                  </w:pPr>
                  <w:r>
                    <w:rPr>
                      <w:kern w:val="0"/>
                      <w:szCs w:val="21"/>
                    </w:rPr>
                    <w:t>&lt;0.0010</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1,4-</w:t>
                  </w:r>
                  <w:r>
                    <w:rPr>
                      <w:rFonts w:hint="eastAsia"/>
                      <w:kern w:val="0"/>
                      <w:szCs w:val="21"/>
                    </w:rPr>
                    <w:t>二氯苯</w:t>
                  </w:r>
                </w:p>
              </w:tc>
              <w:tc>
                <w:tcPr>
                  <w:tcW w:w="2055" w:type="dxa"/>
                  <w:shd w:val="clear" w:color="auto" w:fill="auto"/>
                  <w:vAlign w:val="center"/>
                </w:tcPr>
                <w:p>
                  <w:pPr>
                    <w:widowControl/>
                    <w:jc w:val="center"/>
                    <w:rPr>
                      <w:kern w:val="0"/>
                      <w:szCs w:val="21"/>
                    </w:rPr>
                  </w:pPr>
                  <w:r>
                    <w:rPr>
                      <w:kern w:val="0"/>
                      <w:szCs w:val="21"/>
                    </w:rPr>
                    <w:t>20mg/kg</w:t>
                  </w:r>
                </w:p>
              </w:tc>
              <w:tc>
                <w:tcPr>
                  <w:tcW w:w="2055" w:type="dxa"/>
                  <w:shd w:val="clear" w:color="auto" w:fill="auto"/>
                  <w:vAlign w:val="center"/>
                </w:tcPr>
                <w:p>
                  <w:pPr>
                    <w:widowControl/>
                    <w:jc w:val="center"/>
                    <w:rPr>
                      <w:kern w:val="0"/>
                      <w:szCs w:val="21"/>
                    </w:rPr>
                  </w:pPr>
                  <w:r>
                    <w:rPr>
                      <w:kern w:val="0"/>
                      <w:szCs w:val="21"/>
                    </w:rPr>
                    <w:t>&lt;0.0012</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1,2-</w:t>
                  </w:r>
                  <w:r>
                    <w:rPr>
                      <w:rFonts w:hint="eastAsia"/>
                      <w:kern w:val="0"/>
                      <w:szCs w:val="21"/>
                    </w:rPr>
                    <w:t>二氯苯</w:t>
                  </w:r>
                </w:p>
              </w:tc>
              <w:tc>
                <w:tcPr>
                  <w:tcW w:w="2055" w:type="dxa"/>
                  <w:shd w:val="clear" w:color="auto" w:fill="auto"/>
                  <w:vAlign w:val="center"/>
                </w:tcPr>
                <w:p>
                  <w:pPr>
                    <w:widowControl/>
                    <w:jc w:val="center"/>
                    <w:rPr>
                      <w:kern w:val="0"/>
                      <w:szCs w:val="21"/>
                    </w:rPr>
                  </w:pPr>
                  <w:r>
                    <w:rPr>
                      <w:kern w:val="0"/>
                      <w:szCs w:val="21"/>
                    </w:rPr>
                    <w:t>560mg/kg</w:t>
                  </w:r>
                </w:p>
              </w:tc>
              <w:tc>
                <w:tcPr>
                  <w:tcW w:w="2055" w:type="dxa"/>
                  <w:shd w:val="clear" w:color="auto" w:fill="auto"/>
                  <w:vAlign w:val="center"/>
                </w:tcPr>
                <w:p>
                  <w:pPr>
                    <w:widowControl/>
                    <w:jc w:val="center"/>
                    <w:rPr>
                      <w:kern w:val="0"/>
                      <w:szCs w:val="21"/>
                    </w:rPr>
                  </w:pPr>
                  <w:r>
                    <w:rPr>
                      <w:kern w:val="0"/>
                      <w:szCs w:val="21"/>
                    </w:rPr>
                    <w:t>&lt;0.0010</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2057" w:type="dxa"/>
                  <w:shd w:val="clear" w:color="auto" w:fill="auto"/>
                  <w:vAlign w:val="center"/>
                </w:tcPr>
                <w:p>
                  <w:pPr>
                    <w:widowControl/>
                    <w:jc w:val="center"/>
                    <w:rPr>
                      <w:kern w:val="0"/>
                      <w:szCs w:val="21"/>
                    </w:rPr>
                  </w:pPr>
                  <w:r>
                    <w:rPr>
                      <w:rFonts w:hint="eastAsia"/>
                      <w:kern w:val="0"/>
                      <w:szCs w:val="21"/>
                    </w:rPr>
                    <w:t>氯甲烷</w:t>
                  </w:r>
                  <w:r>
                    <w:rPr>
                      <w:kern w:val="0"/>
                      <w:szCs w:val="21"/>
                    </w:rPr>
                    <w:t xml:space="preserve"> </w:t>
                  </w:r>
                </w:p>
              </w:tc>
              <w:tc>
                <w:tcPr>
                  <w:tcW w:w="2055" w:type="dxa"/>
                  <w:shd w:val="clear" w:color="auto" w:fill="auto"/>
                  <w:vAlign w:val="center"/>
                </w:tcPr>
                <w:p>
                  <w:pPr>
                    <w:widowControl/>
                    <w:jc w:val="center"/>
                    <w:rPr>
                      <w:kern w:val="0"/>
                      <w:szCs w:val="21"/>
                    </w:rPr>
                  </w:pPr>
                  <w:r>
                    <w:rPr>
                      <w:kern w:val="0"/>
                      <w:szCs w:val="21"/>
                    </w:rPr>
                    <w:t>37mg/kg</w:t>
                  </w:r>
                </w:p>
              </w:tc>
              <w:tc>
                <w:tcPr>
                  <w:tcW w:w="2055" w:type="dxa"/>
                  <w:shd w:val="clear" w:color="auto" w:fill="auto"/>
                  <w:vAlign w:val="center"/>
                </w:tcPr>
                <w:p>
                  <w:pPr>
                    <w:widowControl/>
                    <w:jc w:val="center"/>
                    <w:rPr>
                      <w:kern w:val="0"/>
                      <w:szCs w:val="21"/>
                    </w:rPr>
                  </w:pPr>
                  <w:r>
                    <w:rPr>
                      <w:kern w:val="0"/>
                      <w:szCs w:val="21"/>
                    </w:rPr>
                    <w:t>&lt;0.0030</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硝基苯</w:t>
                  </w:r>
                </w:p>
              </w:tc>
              <w:tc>
                <w:tcPr>
                  <w:tcW w:w="2055" w:type="dxa"/>
                  <w:shd w:val="clear" w:color="auto" w:fill="auto"/>
                  <w:vAlign w:val="center"/>
                </w:tcPr>
                <w:p>
                  <w:pPr>
                    <w:widowControl/>
                    <w:jc w:val="center"/>
                    <w:rPr>
                      <w:kern w:val="0"/>
                      <w:szCs w:val="21"/>
                    </w:rPr>
                  </w:pPr>
                  <w:r>
                    <w:rPr>
                      <w:kern w:val="0"/>
                      <w:szCs w:val="21"/>
                    </w:rPr>
                    <w:t>76mg/kg</w:t>
                  </w:r>
                </w:p>
              </w:tc>
              <w:tc>
                <w:tcPr>
                  <w:tcW w:w="2055" w:type="dxa"/>
                  <w:shd w:val="clear" w:color="auto" w:fill="auto"/>
                  <w:vAlign w:val="center"/>
                </w:tcPr>
                <w:p>
                  <w:pPr>
                    <w:widowControl/>
                    <w:jc w:val="center"/>
                    <w:rPr>
                      <w:kern w:val="0"/>
                      <w:szCs w:val="21"/>
                    </w:rPr>
                  </w:pPr>
                  <w:r>
                    <w:rPr>
                      <w:kern w:val="0"/>
                      <w:szCs w:val="21"/>
                    </w:rPr>
                    <w:t>&lt;0.09</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苯胺</w:t>
                  </w:r>
                </w:p>
              </w:tc>
              <w:tc>
                <w:tcPr>
                  <w:tcW w:w="2055" w:type="dxa"/>
                  <w:shd w:val="clear" w:color="auto" w:fill="auto"/>
                  <w:vAlign w:val="center"/>
                </w:tcPr>
                <w:p>
                  <w:pPr>
                    <w:widowControl/>
                    <w:jc w:val="center"/>
                    <w:rPr>
                      <w:kern w:val="0"/>
                      <w:szCs w:val="21"/>
                    </w:rPr>
                  </w:pPr>
                  <w:r>
                    <w:rPr>
                      <w:kern w:val="0"/>
                      <w:szCs w:val="21"/>
                    </w:rPr>
                    <w:t>260mg/kg</w:t>
                  </w:r>
                </w:p>
              </w:tc>
              <w:tc>
                <w:tcPr>
                  <w:tcW w:w="2055" w:type="dxa"/>
                  <w:shd w:val="clear" w:color="auto" w:fill="auto"/>
                  <w:vAlign w:val="center"/>
                </w:tcPr>
                <w:p>
                  <w:pPr>
                    <w:widowControl/>
                    <w:jc w:val="center"/>
                    <w:rPr>
                      <w:kern w:val="0"/>
                      <w:szCs w:val="21"/>
                    </w:rPr>
                  </w:pPr>
                  <w:r>
                    <w:rPr>
                      <w:kern w:val="0"/>
                      <w:szCs w:val="21"/>
                    </w:rPr>
                    <w:t>&lt;3.78</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kern w:val="0"/>
                      <w:szCs w:val="21"/>
                    </w:rPr>
                    <w:t>2-</w:t>
                  </w:r>
                  <w:r>
                    <w:rPr>
                      <w:rFonts w:hint="eastAsia"/>
                      <w:kern w:val="0"/>
                      <w:szCs w:val="21"/>
                    </w:rPr>
                    <w:t>氯苯酚</w:t>
                  </w:r>
                </w:p>
              </w:tc>
              <w:tc>
                <w:tcPr>
                  <w:tcW w:w="2055" w:type="dxa"/>
                  <w:shd w:val="clear" w:color="auto" w:fill="auto"/>
                  <w:vAlign w:val="center"/>
                </w:tcPr>
                <w:p>
                  <w:pPr>
                    <w:widowControl/>
                    <w:jc w:val="center"/>
                    <w:rPr>
                      <w:kern w:val="0"/>
                      <w:szCs w:val="21"/>
                    </w:rPr>
                  </w:pPr>
                  <w:r>
                    <w:rPr>
                      <w:kern w:val="0"/>
                      <w:szCs w:val="21"/>
                    </w:rPr>
                    <w:t>2256mg/kg</w:t>
                  </w:r>
                </w:p>
              </w:tc>
              <w:tc>
                <w:tcPr>
                  <w:tcW w:w="2055" w:type="dxa"/>
                  <w:shd w:val="clear" w:color="auto" w:fill="auto"/>
                  <w:vAlign w:val="center"/>
                </w:tcPr>
                <w:p>
                  <w:pPr>
                    <w:widowControl/>
                    <w:jc w:val="center"/>
                    <w:rPr>
                      <w:kern w:val="0"/>
                      <w:szCs w:val="21"/>
                    </w:rPr>
                  </w:pPr>
                  <w:r>
                    <w:rPr>
                      <w:kern w:val="0"/>
                      <w:szCs w:val="21"/>
                    </w:rPr>
                    <w:t>&lt;0.06</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苯并</w:t>
                  </w:r>
                  <w:r>
                    <w:rPr>
                      <w:kern w:val="0"/>
                      <w:szCs w:val="21"/>
                    </w:rPr>
                    <w:t>[a]</w:t>
                  </w:r>
                  <w:r>
                    <w:rPr>
                      <w:rFonts w:hint="eastAsia"/>
                      <w:kern w:val="0"/>
                      <w:szCs w:val="21"/>
                    </w:rPr>
                    <w:t>蒽</w:t>
                  </w:r>
                </w:p>
              </w:tc>
              <w:tc>
                <w:tcPr>
                  <w:tcW w:w="2055" w:type="dxa"/>
                  <w:shd w:val="clear" w:color="auto" w:fill="auto"/>
                  <w:vAlign w:val="center"/>
                </w:tcPr>
                <w:p>
                  <w:pPr>
                    <w:widowControl/>
                    <w:jc w:val="center"/>
                    <w:rPr>
                      <w:kern w:val="0"/>
                      <w:szCs w:val="21"/>
                    </w:rPr>
                  </w:pPr>
                  <w:r>
                    <w:rPr>
                      <w:kern w:val="0"/>
                      <w:szCs w:val="21"/>
                    </w:rPr>
                    <w:t>15mg/kg</w:t>
                  </w:r>
                </w:p>
              </w:tc>
              <w:tc>
                <w:tcPr>
                  <w:tcW w:w="2055" w:type="dxa"/>
                  <w:shd w:val="clear" w:color="auto" w:fill="auto"/>
                  <w:vAlign w:val="center"/>
                </w:tcPr>
                <w:p>
                  <w:pPr>
                    <w:widowControl/>
                    <w:jc w:val="center"/>
                    <w:rPr>
                      <w:kern w:val="0"/>
                      <w:szCs w:val="21"/>
                    </w:rPr>
                  </w:pPr>
                  <w:r>
                    <w:rPr>
                      <w:kern w:val="0"/>
                      <w:szCs w:val="21"/>
                    </w:rPr>
                    <w:t>&lt;0.1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苯并</w:t>
                  </w:r>
                  <w:r>
                    <w:rPr>
                      <w:kern w:val="0"/>
                      <w:szCs w:val="21"/>
                    </w:rPr>
                    <w:t>[a]</w:t>
                  </w:r>
                  <w:r>
                    <w:rPr>
                      <w:rFonts w:hint="eastAsia"/>
                      <w:kern w:val="0"/>
                      <w:szCs w:val="21"/>
                    </w:rPr>
                    <w:t>芘</w:t>
                  </w:r>
                  <w:r>
                    <w:rPr>
                      <w:kern w:val="0"/>
                      <w:szCs w:val="21"/>
                    </w:rPr>
                    <w:t xml:space="preserve"> </w:t>
                  </w:r>
                </w:p>
              </w:tc>
              <w:tc>
                <w:tcPr>
                  <w:tcW w:w="2055" w:type="dxa"/>
                  <w:shd w:val="clear" w:color="auto" w:fill="auto"/>
                  <w:vAlign w:val="center"/>
                </w:tcPr>
                <w:p>
                  <w:pPr>
                    <w:widowControl/>
                    <w:jc w:val="center"/>
                    <w:rPr>
                      <w:kern w:val="0"/>
                      <w:szCs w:val="21"/>
                    </w:rPr>
                  </w:pPr>
                  <w:r>
                    <w:rPr>
                      <w:kern w:val="0"/>
                      <w:szCs w:val="21"/>
                    </w:rPr>
                    <w:t>1.5mg/kg</w:t>
                  </w:r>
                </w:p>
              </w:tc>
              <w:tc>
                <w:tcPr>
                  <w:tcW w:w="2055" w:type="dxa"/>
                  <w:shd w:val="clear" w:color="auto" w:fill="auto"/>
                  <w:vAlign w:val="center"/>
                </w:tcPr>
                <w:p>
                  <w:pPr>
                    <w:widowControl/>
                    <w:jc w:val="center"/>
                    <w:rPr>
                      <w:kern w:val="0"/>
                      <w:szCs w:val="21"/>
                    </w:rPr>
                  </w:pPr>
                  <w:r>
                    <w:rPr>
                      <w:kern w:val="0"/>
                      <w:szCs w:val="21"/>
                    </w:rPr>
                    <w:t>&lt;0.1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苯并</w:t>
                  </w:r>
                  <w:r>
                    <w:rPr>
                      <w:kern w:val="0"/>
                      <w:szCs w:val="21"/>
                    </w:rPr>
                    <w:t>[b]</w:t>
                  </w:r>
                  <w:r>
                    <w:rPr>
                      <w:rFonts w:hint="eastAsia"/>
                      <w:kern w:val="0"/>
                      <w:szCs w:val="21"/>
                    </w:rPr>
                    <w:t>荧蒽</w:t>
                  </w:r>
                </w:p>
              </w:tc>
              <w:tc>
                <w:tcPr>
                  <w:tcW w:w="2055" w:type="dxa"/>
                  <w:shd w:val="clear" w:color="auto" w:fill="auto"/>
                  <w:vAlign w:val="center"/>
                </w:tcPr>
                <w:p>
                  <w:pPr>
                    <w:widowControl/>
                    <w:jc w:val="center"/>
                    <w:rPr>
                      <w:kern w:val="0"/>
                      <w:szCs w:val="21"/>
                    </w:rPr>
                  </w:pPr>
                  <w:r>
                    <w:rPr>
                      <w:kern w:val="0"/>
                      <w:szCs w:val="21"/>
                    </w:rPr>
                    <w:t>15mg/kg</w:t>
                  </w:r>
                </w:p>
              </w:tc>
              <w:tc>
                <w:tcPr>
                  <w:tcW w:w="2055" w:type="dxa"/>
                  <w:shd w:val="clear" w:color="auto" w:fill="auto"/>
                  <w:vAlign w:val="center"/>
                </w:tcPr>
                <w:p>
                  <w:pPr>
                    <w:widowControl/>
                    <w:jc w:val="center"/>
                    <w:rPr>
                      <w:kern w:val="0"/>
                      <w:szCs w:val="21"/>
                    </w:rPr>
                  </w:pPr>
                  <w:r>
                    <w:rPr>
                      <w:kern w:val="0"/>
                      <w:szCs w:val="21"/>
                    </w:rPr>
                    <w:t>&lt;0.2</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苯并</w:t>
                  </w:r>
                  <w:r>
                    <w:rPr>
                      <w:kern w:val="0"/>
                      <w:szCs w:val="21"/>
                    </w:rPr>
                    <w:t>[k]</w:t>
                  </w:r>
                  <w:r>
                    <w:rPr>
                      <w:rFonts w:hint="eastAsia"/>
                      <w:kern w:val="0"/>
                      <w:szCs w:val="21"/>
                    </w:rPr>
                    <w:t>荧蒽</w:t>
                  </w:r>
                </w:p>
              </w:tc>
              <w:tc>
                <w:tcPr>
                  <w:tcW w:w="2055" w:type="dxa"/>
                  <w:shd w:val="clear" w:color="auto" w:fill="auto"/>
                  <w:vAlign w:val="center"/>
                </w:tcPr>
                <w:p>
                  <w:pPr>
                    <w:widowControl/>
                    <w:jc w:val="center"/>
                    <w:rPr>
                      <w:kern w:val="0"/>
                      <w:szCs w:val="21"/>
                    </w:rPr>
                  </w:pPr>
                  <w:r>
                    <w:rPr>
                      <w:kern w:val="0"/>
                      <w:szCs w:val="21"/>
                    </w:rPr>
                    <w:t>151mg/kg</w:t>
                  </w:r>
                </w:p>
              </w:tc>
              <w:tc>
                <w:tcPr>
                  <w:tcW w:w="2055" w:type="dxa"/>
                  <w:shd w:val="clear" w:color="auto" w:fill="auto"/>
                  <w:vAlign w:val="center"/>
                </w:tcPr>
                <w:p>
                  <w:pPr>
                    <w:widowControl/>
                    <w:jc w:val="center"/>
                    <w:rPr>
                      <w:kern w:val="0"/>
                      <w:szCs w:val="21"/>
                    </w:rPr>
                  </w:pPr>
                  <w:r>
                    <w:rPr>
                      <w:kern w:val="0"/>
                      <w:szCs w:val="21"/>
                    </w:rPr>
                    <w:t>&lt;0.1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䓛</w:t>
                  </w:r>
                </w:p>
              </w:tc>
              <w:tc>
                <w:tcPr>
                  <w:tcW w:w="2055" w:type="dxa"/>
                  <w:shd w:val="clear" w:color="auto" w:fill="auto"/>
                  <w:vAlign w:val="center"/>
                </w:tcPr>
                <w:p>
                  <w:pPr>
                    <w:widowControl/>
                    <w:jc w:val="center"/>
                    <w:rPr>
                      <w:kern w:val="0"/>
                      <w:szCs w:val="21"/>
                    </w:rPr>
                  </w:pPr>
                  <w:r>
                    <w:rPr>
                      <w:kern w:val="0"/>
                      <w:szCs w:val="21"/>
                    </w:rPr>
                    <w:t>1293mg/kg</w:t>
                  </w:r>
                </w:p>
              </w:tc>
              <w:tc>
                <w:tcPr>
                  <w:tcW w:w="2055" w:type="dxa"/>
                  <w:shd w:val="clear" w:color="auto" w:fill="auto"/>
                  <w:vAlign w:val="center"/>
                </w:tcPr>
                <w:p>
                  <w:pPr>
                    <w:widowControl/>
                    <w:jc w:val="center"/>
                    <w:rPr>
                      <w:kern w:val="0"/>
                      <w:szCs w:val="21"/>
                    </w:rPr>
                  </w:pPr>
                  <w:r>
                    <w:rPr>
                      <w:kern w:val="0"/>
                      <w:szCs w:val="21"/>
                    </w:rPr>
                    <w:t>&lt;0.1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二苯并</w:t>
                  </w:r>
                  <w:r>
                    <w:rPr>
                      <w:kern w:val="0"/>
                      <w:szCs w:val="21"/>
                    </w:rPr>
                    <w:t>[a,h]</w:t>
                  </w:r>
                  <w:r>
                    <w:rPr>
                      <w:rFonts w:hint="eastAsia"/>
                      <w:kern w:val="0"/>
                      <w:szCs w:val="21"/>
                    </w:rPr>
                    <w:t>蒽</w:t>
                  </w:r>
                </w:p>
              </w:tc>
              <w:tc>
                <w:tcPr>
                  <w:tcW w:w="2055" w:type="dxa"/>
                  <w:shd w:val="clear" w:color="auto" w:fill="auto"/>
                  <w:vAlign w:val="center"/>
                </w:tcPr>
                <w:p>
                  <w:pPr>
                    <w:widowControl/>
                    <w:jc w:val="center"/>
                    <w:rPr>
                      <w:kern w:val="0"/>
                      <w:szCs w:val="21"/>
                    </w:rPr>
                  </w:pPr>
                  <w:r>
                    <w:rPr>
                      <w:kern w:val="0"/>
                      <w:szCs w:val="21"/>
                    </w:rPr>
                    <w:t>1.5mg/kg</w:t>
                  </w:r>
                </w:p>
              </w:tc>
              <w:tc>
                <w:tcPr>
                  <w:tcW w:w="2055" w:type="dxa"/>
                  <w:shd w:val="clear" w:color="auto" w:fill="auto"/>
                  <w:vAlign w:val="center"/>
                </w:tcPr>
                <w:p>
                  <w:pPr>
                    <w:widowControl/>
                    <w:jc w:val="center"/>
                    <w:rPr>
                      <w:kern w:val="0"/>
                      <w:szCs w:val="21"/>
                    </w:rPr>
                  </w:pPr>
                  <w:r>
                    <w:rPr>
                      <w:kern w:val="0"/>
                      <w:szCs w:val="21"/>
                    </w:rPr>
                    <w:t>&lt;0.1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茚并</w:t>
                  </w:r>
                  <w:r>
                    <w:rPr>
                      <w:kern w:val="0"/>
                      <w:szCs w:val="21"/>
                    </w:rPr>
                    <w:t>[1,2,3-cd]</w:t>
                  </w:r>
                  <w:r>
                    <w:rPr>
                      <w:rFonts w:hint="eastAsia"/>
                      <w:kern w:val="0"/>
                      <w:szCs w:val="21"/>
                    </w:rPr>
                    <w:t>芘</w:t>
                  </w:r>
                </w:p>
              </w:tc>
              <w:tc>
                <w:tcPr>
                  <w:tcW w:w="2055" w:type="dxa"/>
                  <w:shd w:val="clear" w:color="auto" w:fill="auto"/>
                  <w:vAlign w:val="center"/>
                </w:tcPr>
                <w:p>
                  <w:pPr>
                    <w:widowControl/>
                    <w:jc w:val="center"/>
                    <w:rPr>
                      <w:kern w:val="0"/>
                      <w:szCs w:val="21"/>
                    </w:rPr>
                  </w:pPr>
                  <w:r>
                    <w:rPr>
                      <w:kern w:val="0"/>
                      <w:szCs w:val="21"/>
                    </w:rPr>
                    <w:t>15mg/kg</w:t>
                  </w:r>
                </w:p>
              </w:tc>
              <w:tc>
                <w:tcPr>
                  <w:tcW w:w="2055" w:type="dxa"/>
                  <w:shd w:val="clear" w:color="auto" w:fill="auto"/>
                  <w:vAlign w:val="center"/>
                </w:tcPr>
                <w:p>
                  <w:pPr>
                    <w:widowControl/>
                    <w:jc w:val="center"/>
                    <w:rPr>
                      <w:kern w:val="0"/>
                      <w:szCs w:val="21"/>
                    </w:rPr>
                  </w:pPr>
                  <w:r>
                    <w:rPr>
                      <w:kern w:val="0"/>
                      <w:szCs w:val="21"/>
                    </w:rPr>
                    <w:t>&lt;0.1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萘</w:t>
                  </w:r>
                  <w:r>
                    <w:rPr>
                      <w:kern w:val="0"/>
                      <w:szCs w:val="21"/>
                    </w:rPr>
                    <w:t xml:space="preserve"> </w:t>
                  </w:r>
                </w:p>
              </w:tc>
              <w:tc>
                <w:tcPr>
                  <w:tcW w:w="2055" w:type="dxa"/>
                  <w:shd w:val="clear" w:color="auto" w:fill="auto"/>
                  <w:vAlign w:val="center"/>
                </w:tcPr>
                <w:p>
                  <w:pPr>
                    <w:widowControl/>
                    <w:jc w:val="center"/>
                    <w:rPr>
                      <w:kern w:val="0"/>
                      <w:szCs w:val="21"/>
                    </w:rPr>
                  </w:pPr>
                  <w:r>
                    <w:rPr>
                      <w:kern w:val="0"/>
                      <w:szCs w:val="21"/>
                    </w:rPr>
                    <w:t>70mg/kg</w:t>
                  </w:r>
                </w:p>
              </w:tc>
              <w:tc>
                <w:tcPr>
                  <w:tcW w:w="2055" w:type="dxa"/>
                  <w:shd w:val="clear" w:color="auto" w:fill="auto"/>
                  <w:vAlign w:val="center"/>
                </w:tcPr>
                <w:p>
                  <w:pPr>
                    <w:widowControl/>
                    <w:jc w:val="center"/>
                    <w:rPr>
                      <w:kern w:val="0"/>
                      <w:szCs w:val="21"/>
                    </w:rPr>
                  </w:pPr>
                  <w:r>
                    <w:rPr>
                      <w:kern w:val="0"/>
                      <w:szCs w:val="21"/>
                    </w:rPr>
                    <w:t>&lt;0.09</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砷</w:t>
                  </w:r>
                </w:p>
              </w:tc>
              <w:tc>
                <w:tcPr>
                  <w:tcW w:w="2055" w:type="dxa"/>
                  <w:shd w:val="clear" w:color="auto" w:fill="auto"/>
                  <w:vAlign w:val="center"/>
                </w:tcPr>
                <w:p>
                  <w:pPr>
                    <w:widowControl/>
                    <w:jc w:val="center"/>
                    <w:rPr>
                      <w:kern w:val="0"/>
                      <w:szCs w:val="21"/>
                    </w:rPr>
                  </w:pPr>
                  <w:r>
                    <w:rPr>
                      <w:kern w:val="0"/>
                      <w:szCs w:val="21"/>
                    </w:rPr>
                    <w:t>60mg/kg</w:t>
                  </w:r>
                </w:p>
              </w:tc>
              <w:tc>
                <w:tcPr>
                  <w:tcW w:w="2055" w:type="dxa"/>
                  <w:shd w:val="clear" w:color="auto" w:fill="auto"/>
                  <w:vAlign w:val="center"/>
                </w:tcPr>
                <w:p>
                  <w:pPr>
                    <w:widowControl/>
                    <w:jc w:val="center"/>
                    <w:rPr>
                      <w:kern w:val="0"/>
                      <w:szCs w:val="21"/>
                    </w:rPr>
                  </w:pPr>
                  <w:r>
                    <w:rPr>
                      <w:kern w:val="0"/>
                      <w:szCs w:val="21"/>
                    </w:rPr>
                    <w:t>7.11</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铅</w:t>
                  </w:r>
                </w:p>
              </w:tc>
              <w:tc>
                <w:tcPr>
                  <w:tcW w:w="2055" w:type="dxa"/>
                  <w:shd w:val="clear" w:color="auto" w:fill="auto"/>
                  <w:vAlign w:val="center"/>
                </w:tcPr>
                <w:p>
                  <w:pPr>
                    <w:widowControl/>
                    <w:jc w:val="center"/>
                    <w:rPr>
                      <w:kern w:val="0"/>
                      <w:szCs w:val="21"/>
                    </w:rPr>
                  </w:pPr>
                  <w:r>
                    <w:rPr>
                      <w:kern w:val="0"/>
                      <w:szCs w:val="21"/>
                    </w:rPr>
                    <w:t>800mg/kg</w:t>
                  </w:r>
                </w:p>
              </w:tc>
              <w:tc>
                <w:tcPr>
                  <w:tcW w:w="2055" w:type="dxa"/>
                  <w:shd w:val="clear" w:color="auto" w:fill="auto"/>
                  <w:vAlign w:val="center"/>
                </w:tcPr>
                <w:p>
                  <w:pPr>
                    <w:widowControl/>
                    <w:jc w:val="center"/>
                    <w:rPr>
                      <w:kern w:val="0"/>
                      <w:szCs w:val="21"/>
                    </w:rPr>
                  </w:pPr>
                  <w:r>
                    <w:rPr>
                      <w:kern w:val="0"/>
                      <w:szCs w:val="21"/>
                    </w:rPr>
                    <w:t>24</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汞</w:t>
                  </w:r>
                </w:p>
              </w:tc>
              <w:tc>
                <w:tcPr>
                  <w:tcW w:w="2055" w:type="dxa"/>
                  <w:shd w:val="clear" w:color="auto" w:fill="auto"/>
                  <w:vAlign w:val="center"/>
                </w:tcPr>
                <w:p>
                  <w:pPr>
                    <w:widowControl/>
                    <w:jc w:val="center"/>
                    <w:rPr>
                      <w:kern w:val="0"/>
                      <w:szCs w:val="21"/>
                    </w:rPr>
                  </w:pPr>
                  <w:r>
                    <w:rPr>
                      <w:kern w:val="0"/>
                      <w:szCs w:val="21"/>
                    </w:rPr>
                    <w:t>38mg/kg</w:t>
                  </w:r>
                </w:p>
              </w:tc>
              <w:tc>
                <w:tcPr>
                  <w:tcW w:w="2055" w:type="dxa"/>
                  <w:shd w:val="clear" w:color="auto" w:fill="auto"/>
                  <w:vAlign w:val="center"/>
                </w:tcPr>
                <w:p>
                  <w:pPr>
                    <w:widowControl/>
                    <w:jc w:val="center"/>
                    <w:rPr>
                      <w:kern w:val="0"/>
                      <w:szCs w:val="21"/>
                    </w:rPr>
                  </w:pPr>
                  <w:r>
                    <w:rPr>
                      <w:kern w:val="0"/>
                      <w:szCs w:val="21"/>
                    </w:rPr>
                    <w:t>0.203</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镉</w:t>
                  </w:r>
                </w:p>
              </w:tc>
              <w:tc>
                <w:tcPr>
                  <w:tcW w:w="2055" w:type="dxa"/>
                  <w:shd w:val="clear" w:color="auto" w:fill="auto"/>
                  <w:vAlign w:val="center"/>
                </w:tcPr>
                <w:p>
                  <w:pPr>
                    <w:widowControl/>
                    <w:jc w:val="center"/>
                    <w:rPr>
                      <w:kern w:val="0"/>
                      <w:szCs w:val="21"/>
                    </w:rPr>
                  </w:pPr>
                  <w:r>
                    <w:rPr>
                      <w:kern w:val="0"/>
                      <w:szCs w:val="21"/>
                    </w:rPr>
                    <w:t>65mg/kg</w:t>
                  </w:r>
                </w:p>
              </w:tc>
              <w:tc>
                <w:tcPr>
                  <w:tcW w:w="2055" w:type="dxa"/>
                  <w:shd w:val="clear" w:color="auto" w:fill="auto"/>
                  <w:vAlign w:val="center"/>
                </w:tcPr>
                <w:p>
                  <w:pPr>
                    <w:widowControl/>
                    <w:jc w:val="center"/>
                    <w:rPr>
                      <w:kern w:val="0"/>
                      <w:szCs w:val="21"/>
                    </w:rPr>
                  </w:pPr>
                  <w:r>
                    <w:rPr>
                      <w:kern w:val="0"/>
                      <w:szCs w:val="21"/>
                    </w:rPr>
                    <w:t>0.10</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铜</w:t>
                  </w:r>
                </w:p>
              </w:tc>
              <w:tc>
                <w:tcPr>
                  <w:tcW w:w="2055" w:type="dxa"/>
                  <w:shd w:val="clear" w:color="auto" w:fill="auto"/>
                  <w:vAlign w:val="center"/>
                </w:tcPr>
                <w:p>
                  <w:pPr>
                    <w:widowControl/>
                    <w:jc w:val="center"/>
                    <w:rPr>
                      <w:kern w:val="0"/>
                      <w:szCs w:val="21"/>
                    </w:rPr>
                  </w:pPr>
                  <w:r>
                    <w:rPr>
                      <w:kern w:val="0"/>
                      <w:szCs w:val="21"/>
                    </w:rPr>
                    <w:t>18000mg/kg</w:t>
                  </w:r>
                </w:p>
              </w:tc>
              <w:tc>
                <w:tcPr>
                  <w:tcW w:w="2055" w:type="dxa"/>
                  <w:shd w:val="clear" w:color="auto" w:fill="auto"/>
                  <w:vAlign w:val="center"/>
                </w:tcPr>
                <w:p>
                  <w:pPr>
                    <w:widowControl/>
                    <w:jc w:val="center"/>
                    <w:rPr>
                      <w:kern w:val="0"/>
                      <w:szCs w:val="21"/>
                    </w:rPr>
                  </w:pPr>
                  <w:r>
                    <w:rPr>
                      <w:kern w:val="0"/>
                      <w:szCs w:val="21"/>
                    </w:rPr>
                    <w:t>44</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镍</w:t>
                  </w:r>
                </w:p>
              </w:tc>
              <w:tc>
                <w:tcPr>
                  <w:tcW w:w="2055" w:type="dxa"/>
                  <w:shd w:val="clear" w:color="auto" w:fill="auto"/>
                  <w:vAlign w:val="center"/>
                </w:tcPr>
                <w:p>
                  <w:pPr>
                    <w:widowControl/>
                    <w:jc w:val="center"/>
                    <w:rPr>
                      <w:kern w:val="0"/>
                      <w:szCs w:val="21"/>
                    </w:rPr>
                  </w:pPr>
                  <w:r>
                    <w:rPr>
                      <w:kern w:val="0"/>
                      <w:szCs w:val="21"/>
                    </w:rPr>
                    <w:t>900mg/kg</w:t>
                  </w:r>
                </w:p>
              </w:tc>
              <w:tc>
                <w:tcPr>
                  <w:tcW w:w="2055" w:type="dxa"/>
                  <w:shd w:val="clear" w:color="auto" w:fill="auto"/>
                  <w:vAlign w:val="center"/>
                </w:tcPr>
                <w:p>
                  <w:pPr>
                    <w:widowControl/>
                    <w:jc w:val="center"/>
                    <w:rPr>
                      <w:kern w:val="0"/>
                      <w:szCs w:val="21"/>
                    </w:rPr>
                  </w:pPr>
                  <w:r>
                    <w:rPr>
                      <w:kern w:val="0"/>
                      <w:szCs w:val="21"/>
                    </w:rPr>
                    <w:t>46</w:t>
                  </w:r>
                </w:p>
              </w:tc>
              <w:tc>
                <w:tcPr>
                  <w:tcW w:w="2054" w:type="dxa"/>
                  <w:shd w:val="clear" w:color="auto" w:fill="auto"/>
                  <w:noWrap/>
                  <w:vAlign w:val="center"/>
                </w:tcPr>
                <w:p>
                  <w:pPr>
                    <w:widowControl/>
                    <w:jc w:val="center"/>
                    <w:rPr>
                      <w:kern w:val="0"/>
                      <w:szCs w:val="21"/>
                    </w:rPr>
                  </w:pPr>
                  <w:r>
                    <w:rPr>
                      <w:rFonts w:hint="eastAsia"/>
                      <w:kern w:val="0"/>
                      <w:szCs w:val="21"/>
                    </w:rPr>
                    <w:t>满足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2057" w:type="dxa"/>
                  <w:shd w:val="clear" w:color="auto" w:fill="auto"/>
                  <w:vAlign w:val="center"/>
                </w:tcPr>
                <w:p>
                  <w:pPr>
                    <w:widowControl/>
                    <w:jc w:val="center"/>
                    <w:rPr>
                      <w:kern w:val="0"/>
                      <w:szCs w:val="21"/>
                    </w:rPr>
                  </w:pPr>
                  <w:r>
                    <w:rPr>
                      <w:rFonts w:hint="eastAsia"/>
                      <w:kern w:val="0"/>
                      <w:szCs w:val="21"/>
                    </w:rPr>
                    <w:t>六价铬</w:t>
                  </w:r>
                </w:p>
              </w:tc>
              <w:tc>
                <w:tcPr>
                  <w:tcW w:w="2055" w:type="dxa"/>
                  <w:shd w:val="clear" w:color="auto" w:fill="auto"/>
                  <w:vAlign w:val="center"/>
                </w:tcPr>
                <w:p>
                  <w:pPr>
                    <w:widowControl/>
                    <w:jc w:val="center"/>
                    <w:rPr>
                      <w:kern w:val="0"/>
                      <w:szCs w:val="21"/>
                    </w:rPr>
                  </w:pPr>
                  <w:r>
                    <w:rPr>
                      <w:kern w:val="0"/>
                      <w:szCs w:val="21"/>
                    </w:rPr>
                    <w:t>5.7mg/kg</w:t>
                  </w:r>
                </w:p>
              </w:tc>
              <w:tc>
                <w:tcPr>
                  <w:tcW w:w="2055" w:type="dxa"/>
                  <w:shd w:val="clear" w:color="auto" w:fill="auto"/>
                  <w:vAlign w:val="center"/>
                </w:tcPr>
                <w:p>
                  <w:pPr>
                    <w:widowControl/>
                    <w:jc w:val="center"/>
                    <w:rPr>
                      <w:kern w:val="0"/>
                      <w:szCs w:val="21"/>
                    </w:rPr>
                  </w:pPr>
                  <w:r>
                    <w:rPr>
                      <w:kern w:val="0"/>
                      <w:szCs w:val="21"/>
                    </w:rPr>
                    <w:t>1.3</w:t>
                  </w:r>
                </w:p>
              </w:tc>
              <w:tc>
                <w:tcPr>
                  <w:tcW w:w="2054" w:type="dxa"/>
                  <w:shd w:val="clear" w:color="auto" w:fill="auto"/>
                  <w:noWrap/>
                  <w:vAlign w:val="center"/>
                </w:tcPr>
                <w:p>
                  <w:pPr>
                    <w:widowControl/>
                    <w:jc w:val="center"/>
                    <w:rPr>
                      <w:kern w:val="0"/>
                      <w:szCs w:val="21"/>
                    </w:rPr>
                  </w:pPr>
                  <w:r>
                    <w:rPr>
                      <w:rFonts w:hint="eastAsia"/>
                      <w:kern w:val="0"/>
                      <w:szCs w:val="21"/>
                    </w:rPr>
                    <w:t>满足</w:t>
                  </w:r>
                </w:p>
              </w:tc>
            </w:tr>
          </w:tbl>
          <w:p>
            <w:pPr>
              <w:jc w:val="left"/>
              <w:rPr>
                <w:rFonts w:ascii="黑体" w:hAnsi="黑体" w:eastAsia="黑体"/>
                <w:sz w:val="24"/>
              </w:rPr>
            </w:pPr>
          </w:p>
          <w:p>
            <w:pPr>
              <w:jc w:val="left"/>
              <w:rPr>
                <w:rFonts w:ascii="黑体" w:hAnsi="黑体" w:eastAsia="黑体"/>
                <w:sz w:val="24"/>
              </w:rPr>
            </w:pPr>
            <w:r>
              <w:rPr>
                <w:rFonts w:hint="eastAsia" w:ascii="黑体" w:hAnsi="黑体" w:eastAsia="黑体"/>
                <w:sz w:val="24"/>
              </w:rPr>
              <w:t>表</w:t>
            </w:r>
            <w:r>
              <w:rPr>
                <w:rFonts w:eastAsia="黑体"/>
                <w:sz w:val="24"/>
              </w:rPr>
              <w:t>7</w:t>
            </w:r>
            <w:r>
              <w:rPr>
                <w:rFonts w:ascii="黑体" w:hAnsi="黑体" w:eastAsia="黑体"/>
                <w:sz w:val="24"/>
              </w:rPr>
              <w:t xml:space="preserve">       </w:t>
            </w:r>
            <w:r>
              <w:rPr>
                <w:rFonts w:hint="eastAsia" w:ascii="黑体" w:hAnsi="黑体" w:eastAsia="黑体"/>
                <w:sz w:val="24"/>
              </w:rPr>
              <w:t>工程占地区外</w:t>
            </w:r>
            <w:r>
              <w:rPr>
                <w:rFonts w:ascii="黑体" w:hAnsi="黑体" w:eastAsia="黑体"/>
                <w:sz w:val="24"/>
              </w:rPr>
              <w:t>土壤环境现状监测成果与评价表</w:t>
            </w:r>
            <w:r>
              <w:rPr>
                <w:rFonts w:hint="eastAsia" w:ascii="黑体" w:hAnsi="黑体" w:eastAsia="黑体"/>
                <w:sz w:val="24"/>
              </w:rPr>
              <w:t xml:space="preserve"> </w:t>
            </w:r>
            <w:r>
              <w:rPr>
                <w:rFonts w:ascii="黑体" w:hAnsi="黑体" w:eastAsia="黑体"/>
                <w:sz w:val="24"/>
              </w:rPr>
              <w:t xml:space="preserve">       </w:t>
            </w:r>
            <w:r>
              <w:rPr>
                <w:rFonts w:hint="eastAsia" w:ascii="黑体" w:hAnsi="黑体" w:eastAsia="黑体"/>
                <w:sz w:val="24"/>
              </w:rPr>
              <w:t>单位：</w:t>
            </w:r>
            <w:r>
              <w:rPr>
                <w:rFonts w:eastAsia="黑体"/>
                <w:sz w:val="24"/>
              </w:rPr>
              <w:t>mg/kg</w:t>
            </w:r>
          </w:p>
          <w:tbl>
            <w:tblPr>
              <w:tblStyle w:val="21"/>
              <w:tblW w:w="8231" w:type="dxa"/>
              <w:jc w:val="center"/>
              <w:tblInd w:w="0" w:type="dxa"/>
              <w:tblLayout w:type="fixed"/>
              <w:tblCellMar>
                <w:top w:w="0" w:type="dxa"/>
                <w:left w:w="108" w:type="dxa"/>
                <w:bottom w:w="0" w:type="dxa"/>
                <w:right w:w="108" w:type="dxa"/>
              </w:tblCellMar>
            </w:tblPr>
            <w:tblGrid>
              <w:gridCol w:w="1528"/>
              <w:gridCol w:w="993"/>
              <w:gridCol w:w="1633"/>
              <w:gridCol w:w="1356"/>
              <w:gridCol w:w="1356"/>
              <w:gridCol w:w="1356"/>
              <w:gridCol w:w="9"/>
            </w:tblGrid>
            <w:tr>
              <w:tblPrEx>
                <w:tblLayout w:type="fixed"/>
                <w:tblCellMar>
                  <w:top w:w="0" w:type="dxa"/>
                  <w:left w:w="108" w:type="dxa"/>
                  <w:bottom w:w="0" w:type="dxa"/>
                  <w:right w:w="108" w:type="dxa"/>
                </w:tblCellMar>
              </w:tblPrEx>
              <w:trPr>
                <w:trHeight w:val="270" w:hRule="atLeast"/>
                <w:jc w:val="center"/>
              </w:trPr>
              <w:tc>
                <w:tcPr>
                  <w:tcW w:w="1528"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监测项目</w:t>
                  </w:r>
                </w:p>
              </w:tc>
              <w:tc>
                <w:tcPr>
                  <w:tcW w:w="993" w:type="dxa"/>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筛选值</w:t>
                  </w:r>
                </w:p>
              </w:tc>
              <w:tc>
                <w:tcPr>
                  <w:tcW w:w="2989"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T2</w:t>
                  </w:r>
                </w:p>
              </w:tc>
              <w:tc>
                <w:tcPr>
                  <w:tcW w:w="2721" w:type="dxa"/>
                  <w:gridSpan w:val="3"/>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T3</w:t>
                  </w:r>
                </w:p>
              </w:tc>
            </w:tr>
            <w:tr>
              <w:tblPrEx>
                <w:tblLayout w:type="fixed"/>
                <w:tblCellMar>
                  <w:top w:w="0" w:type="dxa"/>
                  <w:left w:w="108" w:type="dxa"/>
                  <w:bottom w:w="0" w:type="dxa"/>
                  <w:right w:w="108" w:type="dxa"/>
                </w:tblCellMar>
              </w:tblPrEx>
              <w:trPr>
                <w:gridAfter w:val="1"/>
                <w:wAfter w:w="9" w:type="dxa"/>
                <w:trHeight w:val="270" w:hRule="atLeast"/>
                <w:jc w:val="center"/>
              </w:trPr>
              <w:tc>
                <w:tcPr>
                  <w:tcW w:w="1528"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p>
              </w:tc>
              <w:tc>
                <w:tcPr>
                  <w:tcW w:w="993"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p>
              </w:tc>
              <w:tc>
                <w:tcPr>
                  <w:tcW w:w="163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监测结果</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评价结果</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监测结果</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评价结果</w:t>
                  </w:r>
                </w:p>
              </w:tc>
            </w:tr>
            <w:tr>
              <w:tblPrEx>
                <w:tblLayout w:type="fixed"/>
                <w:tblCellMar>
                  <w:top w:w="0" w:type="dxa"/>
                  <w:left w:w="108" w:type="dxa"/>
                  <w:bottom w:w="0" w:type="dxa"/>
                  <w:right w:w="108" w:type="dxa"/>
                </w:tblCellMar>
              </w:tblPrEx>
              <w:trPr>
                <w:gridAfter w:val="1"/>
                <w:wAfter w:w="9" w:type="dxa"/>
                <w:trHeight w:val="345" w:hRule="atLeast"/>
                <w:jc w:val="center"/>
              </w:trPr>
              <w:tc>
                <w:tcPr>
                  <w:tcW w:w="152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总汞</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3.4</w:t>
                  </w:r>
                </w:p>
              </w:tc>
              <w:tc>
                <w:tcPr>
                  <w:tcW w:w="163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0.206</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0.211</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r>
            <w:tr>
              <w:tblPrEx>
                <w:tblLayout w:type="fixed"/>
                <w:tblCellMar>
                  <w:top w:w="0" w:type="dxa"/>
                  <w:left w:w="108" w:type="dxa"/>
                  <w:bottom w:w="0" w:type="dxa"/>
                  <w:right w:w="108" w:type="dxa"/>
                </w:tblCellMar>
              </w:tblPrEx>
              <w:trPr>
                <w:gridAfter w:val="1"/>
                <w:wAfter w:w="9" w:type="dxa"/>
                <w:trHeight w:val="345" w:hRule="atLeast"/>
                <w:jc w:val="center"/>
              </w:trPr>
              <w:tc>
                <w:tcPr>
                  <w:tcW w:w="152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总砷</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25</w:t>
                  </w:r>
                </w:p>
              </w:tc>
              <w:tc>
                <w:tcPr>
                  <w:tcW w:w="163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7.14</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7.34</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r>
            <w:tr>
              <w:tblPrEx>
                <w:tblLayout w:type="fixed"/>
                <w:tblCellMar>
                  <w:top w:w="0" w:type="dxa"/>
                  <w:left w:w="108" w:type="dxa"/>
                  <w:bottom w:w="0" w:type="dxa"/>
                  <w:right w:w="108" w:type="dxa"/>
                </w:tblCellMar>
              </w:tblPrEx>
              <w:trPr>
                <w:gridAfter w:val="1"/>
                <w:wAfter w:w="9" w:type="dxa"/>
                <w:trHeight w:val="270" w:hRule="atLeast"/>
                <w:jc w:val="center"/>
              </w:trPr>
              <w:tc>
                <w:tcPr>
                  <w:tcW w:w="152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镉</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0.6</w:t>
                  </w:r>
                </w:p>
              </w:tc>
              <w:tc>
                <w:tcPr>
                  <w:tcW w:w="163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0.08</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0.09</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r>
            <w:tr>
              <w:tblPrEx>
                <w:tblLayout w:type="fixed"/>
                <w:tblCellMar>
                  <w:top w:w="0" w:type="dxa"/>
                  <w:left w:w="108" w:type="dxa"/>
                  <w:bottom w:w="0" w:type="dxa"/>
                  <w:right w:w="108" w:type="dxa"/>
                </w:tblCellMar>
              </w:tblPrEx>
              <w:trPr>
                <w:gridAfter w:val="1"/>
                <w:wAfter w:w="9" w:type="dxa"/>
                <w:trHeight w:val="270" w:hRule="atLeast"/>
                <w:jc w:val="center"/>
              </w:trPr>
              <w:tc>
                <w:tcPr>
                  <w:tcW w:w="152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铅</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170</w:t>
                  </w:r>
                </w:p>
              </w:tc>
              <w:tc>
                <w:tcPr>
                  <w:tcW w:w="163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27</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22</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r>
            <w:tr>
              <w:tblPrEx>
                <w:tblLayout w:type="fixed"/>
                <w:tblCellMar>
                  <w:top w:w="0" w:type="dxa"/>
                  <w:left w:w="108" w:type="dxa"/>
                  <w:bottom w:w="0" w:type="dxa"/>
                  <w:right w:w="108" w:type="dxa"/>
                </w:tblCellMar>
              </w:tblPrEx>
              <w:trPr>
                <w:gridAfter w:val="1"/>
                <w:wAfter w:w="9" w:type="dxa"/>
                <w:trHeight w:val="270" w:hRule="atLeast"/>
                <w:jc w:val="center"/>
              </w:trPr>
              <w:tc>
                <w:tcPr>
                  <w:tcW w:w="152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铜</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100</w:t>
                  </w:r>
                </w:p>
              </w:tc>
              <w:tc>
                <w:tcPr>
                  <w:tcW w:w="163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41</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45</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r>
            <w:tr>
              <w:tblPrEx>
                <w:tblLayout w:type="fixed"/>
                <w:tblCellMar>
                  <w:top w:w="0" w:type="dxa"/>
                  <w:left w:w="108" w:type="dxa"/>
                  <w:bottom w:w="0" w:type="dxa"/>
                  <w:right w:w="108" w:type="dxa"/>
                </w:tblCellMar>
              </w:tblPrEx>
              <w:trPr>
                <w:gridAfter w:val="1"/>
                <w:wAfter w:w="9" w:type="dxa"/>
                <w:trHeight w:val="270" w:hRule="atLeast"/>
                <w:jc w:val="center"/>
              </w:trPr>
              <w:tc>
                <w:tcPr>
                  <w:tcW w:w="152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锌</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300</w:t>
                  </w:r>
                </w:p>
              </w:tc>
              <w:tc>
                <w:tcPr>
                  <w:tcW w:w="163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58</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57</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r>
            <w:tr>
              <w:tblPrEx>
                <w:tblLayout w:type="fixed"/>
                <w:tblCellMar>
                  <w:top w:w="0" w:type="dxa"/>
                  <w:left w:w="108" w:type="dxa"/>
                  <w:bottom w:w="0" w:type="dxa"/>
                  <w:right w:w="108" w:type="dxa"/>
                </w:tblCellMar>
              </w:tblPrEx>
              <w:trPr>
                <w:gridAfter w:val="1"/>
                <w:wAfter w:w="9" w:type="dxa"/>
                <w:trHeight w:val="270" w:hRule="atLeast"/>
                <w:jc w:val="center"/>
              </w:trPr>
              <w:tc>
                <w:tcPr>
                  <w:tcW w:w="152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镍</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190</w:t>
                  </w:r>
                </w:p>
              </w:tc>
              <w:tc>
                <w:tcPr>
                  <w:tcW w:w="163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43</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42</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r>
            <w:tr>
              <w:tblPrEx>
                <w:tblLayout w:type="fixed"/>
                <w:tblCellMar>
                  <w:top w:w="0" w:type="dxa"/>
                  <w:left w:w="108" w:type="dxa"/>
                  <w:bottom w:w="0" w:type="dxa"/>
                  <w:right w:w="108" w:type="dxa"/>
                </w:tblCellMar>
              </w:tblPrEx>
              <w:trPr>
                <w:gridAfter w:val="1"/>
                <w:wAfter w:w="9" w:type="dxa"/>
                <w:trHeight w:val="270" w:hRule="atLeast"/>
                <w:jc w:val="center"/>
              </w:trPr>
              <w:tc>
                <w:tcPr>
                  <w:tcW w:w="1528"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铬</w:t>
                  </w:r>
                </w:p>
              </w:tc>
              <w:tc>
                <w:tcPr>
                  <w:tcW w:w="993"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250</w:t>
                  </w:r>
                </w:p>
              </w:tc>
              <w:tc>
                <w:tcPr>
                  <w:tcW w:w="1633"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76</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c>
                <w:tcPr>
                  <w:tcW w:w="1356"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75</w:t>
                  </w:r>
                </w:p>
              </w:tc>
              <w:tc>
                <w:tcPr>
                  <w:tcW w:w="135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满足</w:t>
                  </w:r>
                </w:p>
              </w:tc>
            </w:tr>
          </w:tbl>
          <w:p>
            <w:pPr>
              <w:pStyle w:val="49"/>
              <w:spacing w:beforeLines="0"/>
              <w:ind w:firstLine="480"/>
            </w:pPr>
          </w:p>
          <w:p>
            <w:pPr>
              <w:pStyle w:val="45"/>
              <w:ind w:firstLine="480"/>
            </w:pPr>
            <w:r>
              <w:rPr>
                <w:rFonts w:hint="eastAsia" w:ascii="宋体" w:hAnsi="宋体" w:cs="宋体"/>
              </w:rPr>
              <w:t>②</w:t>
            </w:r>
            <w:r>
              <w:t>土壤理化特性</w:t>
            </w:r>
          </w:p>
          <w:p>
            <w:pPr>
              <w:adjustRightInd w:val="0"/>
              <w:snapToGrid w:val="0"/>
              <w:spacing w:line="360" w:lineRule="auto"/>
              <w:ind w:firstLine="480" w:firstLineChars="200"/>
              <w:rPr>
                <w:sz w:val="24"/>
              </w:rPr>
            </w:pPr>
            <w:r>
              <w:rPr>
                <w:sz w:val="24"/>
              </w:rPr>
              <w:t>根据《环境影响评价技术导则土壤环境（试行）》（HJ964-2018）中的土壤盐化、酸化、碱化分级标准，</w:t>
            </w:r>
            <w:r>
              <w:rPr>
                <w:rFonts w:hint="eastAsia"/>
                <w:sz w:val="24"/>
              </w:rPr>
              <w:t>区域内3个样点的土壤均未酸化或碱化，</w:t>
            </w:r>
            <w:r>
              <w:rPr>
                <w:sz w:val="24"/>
              </w:rPr>
              <w:t>工程占地区内T1</w:t>
            </w:r>
            <w:r>
              <w:rPr>
                <w:rFonts w:hint="eastAsia"/>
                <w:sz w:val="24"/>
              </w:rPr>
              <w:t>和</w:t>
            </w:r>
            <w:r>
              <w:rPr>
                <w:sz w:val="24"/>
              </w:rPr>
              <w:t>工程占地区外T2、T3监测点土壤</w:t>
            </w:r>
            <w:r>
              <w:rPr>
                <w:rFonts w:hint="eastAsia"/>
                <w:sz w:val="24"/>
              </w:rPr>
              <w:t>均</w:t>
            </w:r>
            <w:r>
              <w:rPr>
                <w:sz w:val="24"/>
              </w:rPr>
              <w:t>呈</w:t>
            </w:r>
            <w:r>
              <w:rPr>
                <w:rFonts w:hint="eastAsia"/>
                <w:sz w:val="24"/>
              </w:rPr>
              <w:t>轻度盐化</w:t>
            </w:r>
            <w:r>
              <w:rPr>
                <w:sz w:val="24"/>
              </w:rPr>
              <w:t>。</w:t>
            </w:r>
          </w:p>
          <w:p>
            <w:pPr>
              <w:jc w:val="left"/>
              <w:rPr>
                <w:rFonts w:ascii="黑体" w:hAnsi="黑体" w:eastAsia="黑体"/>
                <w:sz w:val="24"/>
              </w:rPr>
            </w:pPr>
            <w:r>
              <w:rPr>
                <w:rFonts w:hint="eastAsia" w:ascii="黑体" w:hAnsi="黑体" w:eastAsia="黑体"/>
                <w:sz w:val="24"/>
              </w:rPr>
              <w:t>表</w:t>
            </w:r>
            <w:r>
              <w:rPr>
                <w:rFonts w:eastAsia="黑体"/>
                <w:sz w:val="24"/>
              </w:rPr>
              <w:t>8</w:t>
            </w:r>
            <w:r>
              <w:rPr>
                <w:rFonts w:ascii="黑体" w:hAnsi="黑体" w:eastAsia="黑体"/>
                <w:sz w:val="24"/>
              </w:rPr>
              <w:t xml:space="preserve">                     土壤环境现状</w:t>
            </w:r>
            <w:r>
              <w:rPr>
                <w:rFonts w:hint="eastAsia" w:eastAsia="黑体"/>
                <w:sz w:val="24"/>
              </w:rPr>
              <w:t>p</w:t>
            </w:r>
            <w:r>
              <w:rPr>
                <w:rFonts w:eastAsia="黑体"/>
                <w:sz w:val="24"/>
              </w:rPr>
              <w:t>H</w:t>
            </w:r>
            <w:r>
              <w:rPr>
                <w:rFonts w:hint="eastAsia" w:ascii="黑体" w:hAnsi="黑体" w:eastAsia="黑体"/>
                <w:sz w:val="24"/>
              </w:rPr>
              <w:t>值与含盐量</w:t>
            </w:r>
            <w:r>
              <w:rPr>
                <w:rFonts w:ascii="黑体" w:hAnsi="黑体" w:eastAsia="黑体"/>
                <w:sz w:val="24"/>
              </w:rPr>
              <w:t>监测成果</w:t>
            </w:r>
          </w:p>
          <w:tbl>
            <w:tblPr>
              <w:tblStyle w:val="21"/>
              <w:tblW w:w="8231" w:type="dxa"/>
              <w:tblInd w:w="0" w:type="dxa"/>
              <w:tblLayout w:type="fixed"/>
              <w:tblCellMar>
                <w:top w:w="0" w:type="dxa"/>
                <w:left w:w="108" w:type="dxa"/>
                <w:bottom w:w="0" w:type="dxa"/>
                <w:right w:w="108" w:type="dxa"/>
              </w:tblCellMar>
            </w:tblPr>
            <w:tblGrid>
              <w:gridCol w:w="2079"/>
              <w:gridCol w:w="1538"/>
              <w:gridCol w:w="1538"/>
              <w:gridCol w:w="1538"/>
              <w:gridCol w:w="1538"/>
            </w:tblGrid>
            <w:tr>
              <w:tblPrEx>
                <w:tblLayout w:type="fixed"/>
                <w:tblCellMar>
                  <w:top w:w="0" w:type="dxa"/>
                  <w:left w:w="108" w:type="dxa"/>
                  <w:bottom w:w="0" w:type="dxa"/>
                  <w:right w:w="108" w:type="dxa"/>
                </w:tblCellMar>
              </w:tblPrEx>
              <w:trPr>
                <w:trHeight w:val="285" w:hRule="atLeast"/>
              </w:trPr>
              <w:tc>
                <w:tcPr>
                  <w:tcW w:w="2079"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kern w:val="0"/>
                      <w:szCs w:val="21"/>
                    </w:rPr>
                  </w:pPr>
                  <w:r>
                    <w:rPr>
                      <w:rFonts w:hint="eastAsia"/>
                      <w:kern w:val="0"/>
                      <w:szCs w:val="21"/>
                    </w:rPr>
                    <w:t>监测项目</w:t>
                  </w:r>
                </w:p>
              </w:tc>
              <w:tc>
                <w:tcPr>
                  <w:tcW w:w="15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rFonts w:hint="eastAsia"/>
                      <w:kern w:val="0"/>
                      <w:szCs w:val="21"/>
                    </w:rPr>
                    <w:t>单位</w:t>
                  </w:r>
                </w:p>
              </w:tc>
              <w:tc>
                <w:tcPr>
                  <w:tcW w:w="15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rFonts w:hint="eastAsia"/>
                      <w:kern w:val="0"/>
                      <w:szCs w:val="21"/>
                    </w:rPr>
                    <w:t>T1</w:t>
                  </w:r>
                </w:p>
              </w:tc>
              <w:tc>
                <w:tcPr>
                  <w:tcW w:w="15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rFonts w:hint="eastAsia"/>
                      <w:kern w:val="0"/>
                      <w:szCs w:val="21"/>
                    </w:rPr>
                    <w:t>T2</w:t>
                  </w:r>
                </w:p>
              </w:tc>
              <w:tc>
                <w:tcPr>
                  <w:tcW w:w="1538"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rFonts w:hint="eastAsia"/>
                      <w:kern w:val="0"/>
                      <w:szCs w:val="21"/>
                    </w:rPr>
                    <w:t>T3</w:t>
                  </w:r>
                </w:p>
              </w:tc>
            </w:tr>
            <w:tr>
              <w:tblPrEx>
                <w:tblLayout w:type="fixed"/>
                <w:tblCellMar>
                  <w:top w:w="0" w:type="dxa"/>
                  <w:left w:w="108" w:type="dxa"/>
                  <w:bottom w:w="0" w:type="dxa"/>
                  <w:right w:w="108" w:type="dxa"/>
                </w:tblCellMar>
              </w:tblPrEx>
              <w:trPr>
                <w:trHeight w:val="285" w:hRule="atLeast"/>
              </w:trPr>
              <w:tc>
                <w:tcPr>
                  <w:tcW w:w="2079"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p</w:t>
                  </w:r>
                  <w:r>
                    <w:rPr>
                      <w:kern w:val="0"/>
                      <w:szCs w:val="21"/>
                    </w:rPr>
                    <w:t>H</w:t>
                  </w:r>
                  <w:r>
                    <w:rPr>
                      <w:rFonts w:hint="eastAsia"/>
                      <w:kern w:val="0"/>
                      <w:szCs w:val="21"/>
                    </w:rPr>
                    <w:t>值</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无量纲</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8.10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7.98</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8.04</w:t>
                  </w:r>
                </w:p>
              </w:tc>
            </w:tr>
            <w:tr>
              <w:tblPrEx>
                <w:tblLayout w:type="fixed"/>
                <w:tblCellMar>
                  <w:top w:w="0" w:type="dxa"/>
                  <w:left w:w="108" w:type="dxa"/>
                  <w:bottom w:w="0" w:type="dxa"/>
                  <w:right w:w="108" w:type="dxa"/>
                </w:tblCellMar>
              </w:tblPrEx>
              <w:trPr>
                <w:trHeight w:val="285" w:hRule="atLeast"/>
              </w:trPr>
              <w:tc>
                <w:tcPr>
                  <w:tcW w:w="2079"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含盐量</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g/kg</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2.0</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2.6</w:t>
                  </w:r>
                </w:p>
              </w:tc>
              <w:tc>
                <w:tcPr>
                  <w:tcW w:w="153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2.5</w:t>
                  </w:r>
                </w:p>
              </w:tc>
            </w:tr>
          </w:tbl>
          <w:p>
            <w:pPr>
              <w:adjustRightInd w:val="0"/>
              <w:snapToGrid w:val="0"/>
              <w:spacing w:line="360" w:lineRule="auto"/>
              <w:ind w:firstLine="480" w:firstLineChars="200"/>
              <w:rPr>
                <w:sz w:val="24"/>
              </w:rPr>
            </w:pPr>
          </w:p>
          <w:p>
            <w:pPr>
              <w:pStyle w:val="45"/>
              <w:ind w:firstLine="480"/>
            </w:pPr>
            <w:r>
              <w:rPr>
                <w:rFonts w:hint="eastAsia"/>
              </w:rPr>
              <w:t>③</w:t>
            </w:r>
            <w:r>
              <w:t>土壤环境现状</w:t>
            </w:r>
          </w:p>
          <w:p>
            <w:pPr>
              <w:pStyle w:val="45"/>
              <w:ind w:firstLine="480"/>
              <w:rPr>
                <w:kern w:val="0"/>
              </w:rPr>
            </w:pPr>
            <w:r>
              <w:t>从表6</w:t>
            </w:r>
            <w:r>
              <w:rPr>
                <w:rFonts w:hint="eastAsia"/>
              </w:rPr>
              <w:t>、表</w:t>
            </w:r>
            <w:r>
              <w:t>7</w:t>
            </w:r>
            <w:r>
              <w:rPr>
                <w:rFonts w:hint="eastAsia"/>
              </w:rPr>
              <w:t>和表</w:t>
            </w:r>
            <w:r>
              <w:t>8可以看出，</w:t>
            </w:r>
            <w:r>
              <w:rPr>
                <w:rFonts w:hint="eastAsia"/>
              </w:rPr>
              <w:t>工程占地区土壤样本</w:t>
            </w:r>
            <w:r>
              <w:t>各项监测指标均满足《土壤环境质量建设用地土壤污染风险管控标准（试行）》（GB36600-2018）中的筛选值，</w:t>
            </w:r>
            <w:r>
              <w:rPr>
                <w:rFonts w:hint="eastAsia"/>
              </w:rPr>
              <w:t>工程占地区外的土壤样本</w:t>
            </w:r>
            <w:r>
              <w:t>各项监测指标均满足</w:t>
            </w:r>
            <w:r>
              <w:rPr>
                <w:rFonts w:hint="eastAsia"/>
              </w:rPr>
              <w:t>《土壤环境质量农用地土壤污染风险管控标准（试行）》（G</w:t>
            </w:r>
            <w:r>
              <w:t>B15618</w:t>
            </w:r>
            <w:r>
              <w:rPr>
                <w:rFonts w:hint="eastAsia"/>
              </w:rPr>
              <w:t>-</w:t>
            </w:r>
            <w:r>
              <w:t>2018</w:t>
            </w:r>
            <w:r>
              <w:rPr>
                <w:rFonts w:hint="eastAsia"/>
              </w:rPr>
              <w:t>）表一中的农用地筛选值，</w:t>
            </w:r>
            <w:r>
              <w:t>工程区土壤</w:t>
            </w:r>
            <w:r>
              <w:rPr>
                <w:rFonts w:hint="eastAsia"/>
              </w:rPr>
              <w:t>存在轻度盐化现象，其原因为区域土壤含盐量本底值较高</w:t>
            </w:r>
            <w:r>
              <w:t>。</w:t>
            </w:r>
          </w:p>
          <w:p>
            <w:pPr>
              <w:pStyle w:val="45"/>
              <w:ind w:firstLine="480"/>
            </w:pPr>
            <w:r>
              <w:rPr>
                <w:rFonts w:hint="eastAsia"/>
              </w:rPr>
              <w:t>（9）</w:t>
            </w:r>
            <w:r>
              <w:t>大气环境</w:t>
            </w:r>
          </w:p>
          <w:p>
            <w:pPr>
              <w:pStyle w:val="45"/>
              <w:ind w:firstLine="480"/>
              <w:rPr>
                <w:kern w:val="0"/>
              </w:rPr>
            </w:pPr>
            <w:r>
              <w:rPr>
                <w:kern w:val="0"/>
              </w:rPr>
              <w:t>工程区位于</w:t>
            </w:r>
            <w:r>
              <w:rPr>
                <w:rFonts w:hint="eastAsia"/>
                <w:kern w:val="0"/>
              </w:rPr>
              <w:t>东城河中游</w:t>
            </w:r>
            <w:r>
              <w:rPr>
                <w:kern w:val="0"/>
              </w:rPr>
              <w:t>低山区，工程区附近</w:t>
            </w:r>
            <w:r>
              <w:t>无工矿、企业分布</w:t>
            </w:r>
            <w:r>
              <w:rPr>
                <w:rFonts w:hint="eastAsia"/>
              </w:rPr>
              <w:t>，工程区下游</w:t>
            </w:r>
            <w:r>
              <w:t>左岸</w:t>
            </w:r>
            <w:r>
              <w:rPr>
                <w:rFonts w:hint="eastAsia"/>
              </w:rPr>
              <w:t>附近分布有</w:t>
            </w:r>
            <w:r>
              <w:t>部分鸡心梁村居民，区域大气环境、声环境</w:t>
            </w:r>
            <w:r>
              <w:rPr>
                <w:rFonts w:hint="eastAsia"/>
              </w:rPr>
              <w:t>良好</w:t>
            </w:r>
            <w:r>
              <w:t>。</w:t>
            </w:r>
          </w:p>
          <w:p>
            <w:pPr>
              <w:pStyle w:val="45"/>
              <w:numPr>
                <w:ilvl w:val="0"/>
                <w:numId w:val="2"/>
              </w:numPr>
              <w:ind w:firstLineChars="0"/>
              <w:rPr>
                <w:kern w:val="0"/>
              </w:rPr>
            </w:pPr>
            <w:r>
              <w:t>工程所在区域空气质量达标区判定</w:t>
            </w:r>
          </w:p>
          <w:p>
            <w:pPr>
              <w:pStyle w:val="45"/>
              <w:ind w:firstLine="480"/>
            </w:pPr>
            <w:r>
              <w:t>根据《环境影响评价技术导则大气环境》（HJ2.2-2018），本次区域环境空气质量现状数据采用</w:t>
            </w:r>
            <w:r>
              <w:rPr>
                <w:rFonts w:hint="eastAsia"/>
              </w:rPr>
              <w:t>木垒县环境空气质量监测数据（</w:t>
            </w:r>
            <w:r>
              <w:t>90°13′57.36″E，43°49′9.48″N，距水库</w:t>
            </w:r>
            <w:r>
              <w:rPr>
                <w:rFonts w:hint="eastAsia"/>
              </w:rPr>
              <w:t>约</w:t>
            </w:r>
            <w:r>
              <w:t>9km</w:t>
            </w:r>
            <w:r>
              <w:rPr>
                <w:rFonts w:hint="eastAsia"/>
              </w:rPr>
              <w:t>）</w:t>
            </w:r>
            <w:r>
              <w:t>，根据2022年空气质量</w:t>
            </w:r>
            <w:r>
              <w:rPr>
                <w:rFonts w:hint="eastAsia"/>
              </w:rPr>
              <w:t>年</w:t>
            </w:r>
            <w:r>
              <w:t>监测数据，环境空气质量现状评价情况见</w:t>
            </w:r>
            <w:r>
              <w:rPr>
                <w:rFonts w:hint="eastAsia"/>
              </w:rPr>
              <w:t>表</w:t>
            </w:r>
            <w:r>
              <w:t>9。</w:t>
            </w:r>
          </w:p>
          <w:p>
            <w:pPr>
              <w:jc w:val="left"/>
              <w:rPr>
                <w:rFonts w:ascii="黑体" w:hAnsi="黑体" w:eastAsia="黑体"/>
                <w:sz w:val="24"/>
              </w:rPr>
            </w:pPr>
            <w:r>
              <w:rPr>
                <w:rFonts w:ascii="黑体" w:hAnsi="黑体" w:eastAsia="黑体"/>
                <w:sz w:val="24"/>
              </w:rPr>
              <w:t>表</w:t>
            </w:r>
            <w:r>
              <w:rPr>
                <w:rFonts w:eastAsia="黑体"/>
                <w:sz w:val="24"/>
              </w:rPr>
              <w:t>9</w:t>
            </w:r>
            <w:r>
              <w:rPr>
                <w:rFonts w:ascii="黑体" w:hAnsi="黑体" w:eastAsia="黑体"/>
                <w:sz w:val="24"/>
              </w:rPr>
              <w:t xml:space="preserve">             </w:t>
            </w:r>
            <w:r>
              <w:rPr>
                <w:rFonts w:eastAsia="黑体"/>
                <w:sz w:val="24"/>
              </w:rPr>
              <w:t xml:space="preserve"> 2022</w:t>
            </w:r>
            <w:r>
              <w:rPr>
                <w:rFonts w:ascii="黑体" w:hAnsi="黑体" w:eastAsia="黑体"/>
                <w:sz w:val="24"/>
              </w:rPr>
              <w:t>年区域空气质量现状评价表</w:t>
            </w:r>
            <w:r>
              <w:rPr>
                <w:rFonts w:hint="eastAsia" w:ascii="黑体" w:hAnsi="黑体" w:eastAsia="黑体"/>
                <w:sz w:val="24"/>
              </w:rPr>
              <w:t xml:space="preserve"> </w:t>
            </w:r>
            <w:r>
              <w:rPr>
                <w:rFonts w:ascii="黑体" w:hAnsi="黑体" w:eastAsia="黑体"/>
                <w:sz w:val="24"/>
              </w:rPr>
              <w:t xml:space="preserve">           </w:t>
            </w:r>
            <w:r>
              <w:rPr>
                <w:rFonts w:hint="eastAsia" w:ascii="黑体" w:hAnsi="黑体" w:eastAsia="黑体"/>
                <w:sz w:val="24"/>
              </w:rPr>
              <w:t>单</w:t>
            </w:r>
            <w:r>
              <w:rPr>
                <w:rFonts w:ascii="黑体" w:hAnsi="黑体" w:eastAsia="黑体"/>
                <w:sz w:val="24"/>
              </w:rPr>
              <w:t>位：</w:t>
            </w:r>
            <w:r>
              <w:rPr>
                <w:rFonts w:eastAsia="黑体"/>
                <w:sz w:val="24"/>
              </w:rPr>
              <w:t>μg/m³</w:t>
            </w:r>
          </w:p>
          <w:tbl>
            <w:tblPr>
              <w:tblStyle w:val="21"/>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2295"/>
              <w:gridCol w:w="1146"/>
              <w:gridCol w:w="1144"/>
              <w:gridCol w:w="1340"/>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5" w:hRule="atLeast"/>
              </w:trPr>
              <w:tc>
                <w:tcPr>
                  <w:tcW w:w="957" w:type="dxa"/>
                  <w:shd w:val="clear" w:color="auto" w:fill="auto"/>
                  <w:vAlign w:val="center"/>
                </w:tcPr>
                <w:p>
                  <w:pPr>
                    <w:widowControl/>
                    <w:jc w:val="center"/>
                    <w:rPr>
                      <w:bCs/>
                      <w:kern w:val="0"/>
                      <w:szCs w:val="21"/>
                    </w:rPr>
                  </w:pPr>
                  <w:r>
                    <w:rPr>
                      <w:bCs/>
                      <w:kern w:val="0"/>
                      <w:szCs w:val="21"/>
                    </w:rPr>
                    <w:t>污染物</w:t>
                  </w:r>
                </w:p>
              </w:tc>
              <w:tc>
                <w:tcPr>
                  <w:tcW w:w="2295" w:type="dxa"/>
                  <w:shd w:val="clear" w:color="auto" w:fill="auto"/>
                  <w:vAlign w:val="center"/>
                </w:tcPr>
                <w:p>
                  <w:pPr>
                    <w:widowControl/>
                    <w:jc w:val="center"/>
                    <w:rPr>
                      <w:bCs/>
                      <w:kern w:val="0"/>
                      <w:szCs w:val="21"/>
                    </w:rPr>
                  </w:pPr>
                  <w:r>
                    <w:rPr>
                      <w:bCs/>
                      <w:kern w:val="0"/>
                      <w:szCs w:val="21"/>
                    </w:rPr>
                    <w:t>年评价指标</w:t>
                  </w:r>
                </w:p>
              </w:tc>
              <w:tc>
                <w:tcPr>
                  <w:tcW w:w="1146" w:type="dxa"/>
                  <w:vAlign w:val="center"/>
                </w:tcPr>
                <w:p>
                  <w:pPr>
                    <w:widowControl/>
                    <w:jc w:val="center"/>
                    <w:rPr>
                      <w:bCs/>
                      <w:kern w:val="0"/>
                      <w:szCs w:val="21"/>
                    </w:rPr>
                  </w:pPr>
                  <w:r>
                    <w:rPr>
                      <w:bCs/>
                      <w:kern w:val="0"/>
                      <w:szCs w:val="21"/>
                    </w:rPr>
                    <w:t>标准值</w:t>
                  </w:r>
                </w:p>
              </w:tc>
              <w:tc>
                <w:tcPr>
                  <w:tcW w:w="1144" w:type="dxa"/>
                  <w:shd w:val="clear" w:color="auto" w:fill="auto"/>
                  <w:vAlign w:val="center"/>
                </w:tcPr>
                <w:p>
                  <w:pPr>
                    <w:widowControl/>
                    <w:jc w:val="center"/>
                    <w:rPr>
                      <w:bCs/>
                      <w:kern w:val="0"/>
                      <w:szCs w:val="21"/>
                    </w:rPr>
                  </w:pPr>
                  <w:r>
                    <w:rPr>
                      <w:bCs/>
                      <w:kern w:val="0"/>
                      <w:szCs w:val="21"/>
                    </w:rPr>
                    <w:t>现状浓度</w:t>
                  </w:r>
                </w:p>
              </w:tc>
              <w:tc>
                <w:tcPr>
                  <w:tcW w:w="1340" w:type="dxa"/>
                  <w:shd w:val="clear" w:color="auto" w:fill="auto"/>
                  <w:vAlign w:val="center"/>
                </w:tcPr>
                <w:p>
                  <w:pPr>
                    <w:widowControl/>
                    <w:jc w:val="center"/>
                    <w:rPr>
                      <w:bCs/>
                      <w:kern w:val="0"/>
                      <w:szCs w:val="21"/>
                    </w:rPr>
                  </w:pPr>
                  <w:r>
                    <w:rPr>
                      <w:bCs/>
                      <w:kern w:val="0"/>
                      <w:szCs w:val="21"/>
                    </w:rPr>
                    <w:t>占标率/（%）</w:t>
                  </w:r>
                </w:p>
              </w:tc>
              <w:tc>
                <w:tcPr>
                  <w:tcW w:w="1339" w:type="dxa"/>
                  <w:shd w:val="clear" w:color="auto" w:fill="auto"/>
                  <w:vAlign w:val="center"/>
                </w:tcPr>
                <w:p>
                  <w:pPr>
                    <w:widowControl/>
                    <w:jc w:val="center"/>
                    <w:rPr>
                      <w:bCs/>
                      <w:kern w:val="0"/>
                      <w:szCs w:val="21"/>
                    </w:rPr>
                  </w:pPr>
                  <w:r>
                    <w:rPr>
                      <w:bCs/>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7" w:hRule="atLeast"/>
              </w:trPr>
              <w:tc>
                <w:tcPr>
                  <w:tcW w:w="957" w:type="dxa"/>
                  <w:shd w:val="clear" w:color="auto" w:fill="auto"/>
                  <w:vAlign w:val="center"/>
                </w:tcPr>
                <w:p>
                  <w:pPr>
                    <w:widowControl/>
                    <w:jc w:val="center"/>
                    <w:rPr>
                      <w:kern w:val="0"/>
                      <w:szCs w:val="21"/>
                    </w:rPr>
                  </w:pPr>
                  <w:r>
                    <w:rPr>
                      <w:rFonts w:hint="eastAsia"/>
                      <w:kern w:val="0"/>
                      <w:szCs w:val="21"/>
                    </w:rPr>
                    <w:t>P</w:t>
                  </w:r>
                  <w:r>
                    <w:rPr>
                      <w:kern w:val="0"/>
                      <w:szCs w:val="21"/>
                    </w:rPr>
                    <w:t>M</w:t>
                  </w:r>
                  <w:r>
                    <w:rPr>
                      <w:kern w:val="0"/>
                      <w:szCs w:val="21"/>
                      <w:vertAlign w:val="subscript"/>
                    </w:rPr>
                    <w:t>10</w:t>
                  </w:r>
                </w:p>
              </w:tc>
              <w:tc>
                <w:tcPr>
                  <w:tcW w:w="2295" w:type="dxa"/>
                  <w:shd w:val="clear" w:color="auto" w:fill="auto"/>
                  <w:vAlign w:val="center"/>
                </w:tcPr>
                <w:p>
                  <w:pPr>
                    <w:widowControl/>
                    <w:jc w:val="center"/>
                    <w:rPr>
                      <w:kern w:val="0"/>
                      <w:szCs w:val="21"/>
                    </w:rPr>
                  </w:pPr>
                  <w:r>
                    <w:rPr>
                      <w:rFonts w:hint="eastAsia"/>
                      <w:kern w:val="0"/>
                      <w:szCs w:val="21"/>
                    </w:rPr>
                    <w:t>年</w:t>
                  </w:r>
                  <w:r>
                    <w:rPr>
                      <w:kern w:val="0"/>
                      <w:szCs w:val="21"/>
                    </w:rPr>
                    <w:t>平均质量浓度</w:t>
                  </w:r>
                </w:p>
              </w:tc>
              <w:tc>
                <w:tcPr>
                  <w:tcW w:w="1146" w:type="dxa"/>
                  <w:vAlign w:val="center"/>
                </w:tcPr>
                <w:p>
                  <w:pPr>
                    <w:widowControl/>
                    <w:jc w:val="center"/>
                    <w:rPr>
                      <w:kern w:val="0"/>
                      <w:szCs w:val="21"/>
                    </w:rPr>
                  </w:pPr>
                  <w:r>
                    <w:rPr>
                      <w:kern w:val="0"/>
                      <w:szCs w:val="21"/>
                    </w:rPr>
                    <w:t>35</w:t>
                  </w:r>
                </w:p>
              </w:tc>
              <w:tc>
                <w:tcPr>
                  <w:tcW w:w="1144" w:type="dxa"/>
                  <w:shd w:val="clear" w:color="auto" w:fill="auto"/>
                  <w:vAlign w:val="center"/>
                </w:tcPr>
                <w:p>
                  <w:pPr>
                    <w:widowControl/>
                    <w:jc w:val="center"/>
                    <w:rPr>
                      <w:kern w:val="0"/>
                      <w:szCs w:val="21"/>
                    </w:rPr>
                  </w:pPr>
                  <w:r>
                    <w:rPr>
                      <w:kern w:val="0"/>
                      <w:szCs w:val="21"/>
                    </w:rPr>
                    <w:t>85.4</w:t>
                  </w:r>
                </w:p>
              </w:tc>
              <w:tc>
                <w:tcPr>
                  <w:tcW w:w="1340" w:type="dxa"/>
                  <w:shd w:val="clear" w:color="auto" w:fill="auto"/>
                  <w:vAlign w:val="center"/>
                </w:tcPr>
                <w:p>
                  <w:pPr>
                    <w:widowControl/>
                    <w:jc w:val="center"/>
                    <w:rPr>
                      <w:kern w:val="0"/>
                      <w:szCs w:val="21"/>
                    </w:rPr>
                  </w:pPr>
                  <w:r>
                    <w:rPr>
                      <w:kern w:val="0"/>
                      <w:szCs w:val="21"/>
                    </w:rPr>
                    <w:t>44.67%</w:t>
                  </w:r>
                </w:p>
              </w:tc>
              <w:tc>
                <w:tcPr>
                  <w:tcW w:w="1339" w:type="dxa"/>
                  <w:shd w:val="clear" w:color="auto" w:fill="auto"/>
                  <w:vAlign w:val="center"/>
                </w:tcPr>
                <w:p>
                  <w:pPr>
                    <w:widowControl/>
                    <w:jc w:val="center"/>
                    <w:rPr>
                      <w:kern w:val="0"/>
                      <w:szCs w:val="21"/>
                    </w:rPr>
                  </w:pPr>
                  <w:r>
                    <w:rPr>
                      <w:rFonts w:hint="eastAsia"/>
                      <w:kern w:val="0"/>
                      <w:szCs w:val="21"/>
                    </w:rPr>
                    <w:t>不</w:t>
                  </w:r>
                  <w:r>
                    <w:rPr>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trPr>
              <w:tc>
                <w:tcPr>
                  <w:tcW w:w="957" w:type="dxa"/>
                  <w:shd w:val="clear" w:color="auto" w:fill="auto"/>
                  <w:vAlign w:val="center"/>
                </w:tcPr>
                <w:p>
                  <w:pPr>
                    <w:widowControl/>
                    <w:jc w:val="center"/>
                    <w:rPr>
                      <w:kern w:val="0"/>
                      <w:szCs w:val="21"/>
                    </w:rPr>
                  </w:pPr>
                  <w:r>
                    <w:rPr>
                      <w:kern w:val="0"/>
                      <w:szCs w:val="21"/>
                    </w:rPr>
                    <w:t>SO</w:t>
                  </w:r>
                  <w:r>
                    <w:rPr>
                      <w:kern w:val="0"/>
                      <w:szCs w:val="21"/>
                      <w:vertAlign w:val="subscript"/>
                    </w:rPr>
                    <w:t>2</w:t>
                  </w:r>
                </w:p>
              </w:tc>
              <w:tc>
                <w:tcPr>
                  <w:tcW w:w="2295" w:type="dxa"/>
                  <w:shd w:val="clear" w:color="auto" w:fill="auto"/>
                  <w:vAlign w:val="center"/>
                </w:tcPr>
                <w:p>
                  <w:pPr>
                    <w:widowControl/>
                    <w:jc w:val="center"/>
                    <w:rPr>
                      <w:kern w:val="0"/>
                      <w:szCs w:val="21"/>
                    </w:rPr>
                  </w:pPr>
                  <w:r>
                    <w:rPr>
                      <w:rFonts w:hint="eastAsia"/>
                      <w:kern w:val="0"/>
                      <w:szCs w:val="21"/>
                    </w:rPr>
                    <w:t>年</w:t>
                  </w:r>
                  <w:r>
                    <w:rPr>
                      <w:kern w:val="0"/>
                      <w:szCs w:val="21"/>
                    </w:rPr>
                    <w:t>平均质量浓度</w:t>
                  </w:r>
                </w:p>
              </w:tc>
              <w:tc>
                <w:tcPr>
                  <w:tcW w:w="1146" w:type="dxa"/>
                  <w:vAlign w:val="center"/>
                </w:tcPr>
                <w:p>
                  <w:pPr>
                    <w:widowControl/>
                    <w:jc w:val="center"/>
                    <w:rPr>
                      <w:kern w:val="0"/>
                      <w:szCs w:val="21"/>
                    </w:rPr>
                  </w:pPr>
                  <w:r>
                    <w:rPr>
                      <w:kern w:val="0"/>
                      <w:szCs w:val="21"/>
                    </w:rPr>
                    <w:t>60</w:t>
                  </w:r>
                </w:p>
              </w:tc>
              <w:tc>
                <w:tcPr>
                  <w:tcW w:w="1144" w:type="dxa"/>
                  <w:shd w:val="clear" w:color="auto" w:fill="auto"/>
                  <w:vAlign w:val="center"/>
                </w:tcPr>
                <w:p>
                  <w:pPr>
                    <w:widowControl/>
                    <w:jc w:val="center"/>
                    <w:rPr>
                      <w:kern w:val="0"/>
                      <w:szCs w:val="21"/>
                    </w:rPr>
                  </w:pPr>
                  <w:r>
                    <w:rPr>
                      <w:kern w:val="0"/>
                      <w:szCs w:val="21"/>
                    </w:rPr>
                    <w:t>6.9</w:t>
                  </w:r>
                </w:p>
              </w:tc>
              <w:tc>
                <w:tcPr>
                  <w:tcW w:w="1340" w:type="dxa"/>
                  <w:shd w:val="clear" w:color="auto" w:fill="auto"/>
                  <w:vAlign w:val="center"/>
                </w:tcPr>
                <w:p>
                  <w:pPr>
                    <w:widowControl/>
                    <w:jc w:val="center"/>
                    <w:rPr>
                      <w:kern w:val="0"/>
                      <w:szCs w:val="21"/>
                    </w:rPr>
                  </w:pPr>
                  <w:r>
                    <w:rPr>
                      <w:kern w:val="0"/>
                      <w:szCs w:val="21"/>
                    </w:rPr>
                    <w:t>14.25%</w:t>
                  </w:r>
                </w:p>
              </w:tc>
              <w:tc>
                <w:tcPr>
                  <w:tcW w:w="1339" w:type="dxa"/>
                  <w:shd w:val="clear" w:color="auto" w:fill="auto"/>
                  <w:vAlign w:val="center"/>
                </w:tcPr>
                <w:p>
                  <w:pPr>
                    <w:widowControl/>
                    <w:jc w:val="center"/>
                    <w:rPr>
                      <w:kern w:val="0"/>
                      <w:szCs w:val="21"/>
                    </w:rPr>
                  </w:pPr>
                  <w:r>
                    <w:rPr>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957" w:type="dxa"/>
                  <w:shd w:val="clear" w:color="auto" w:fill="auto"/>
                  <w:vAlign w:val="center"/>
                </w:tcPr>
                <w:p>
                  <w:pPr>
                    <w:widowControl/>
                    <w:jc w:val="center"/>
                    <w:rPr>
                      <w:kern w:val="0"/>
                      <w:szCs w:val="21"/>
                    </w:rPr>
                  </w:pPr>
                  <w:r>
                    <w:rPr>
                      <w:kern w:val="0"/>
                      <w:szCs w:val="21"/>
                    </w:rPr>
                    <w:t>NO</w:t>
                  </w:r>
                  <w:r>
                    <w:rPr>
                      <w:kern w:val="0"/>
                      <w:szCs w:val="21"/>
                      <w:vertAlign w:val="subscript"/>
                    </w:rPr>
                    <w:t>2</w:t>
                  </w:r>
                </w:p>
              </w:tc>
              <w:tc>
                <w:tcPr>
                  <w:tcW w:w="2295" w:type="dxa"/>
                  <w:shd w:val="clear" w:color="auto" w:fill="auto"/>
                  <w:vAlign w:val="center"/>
                </w:tcPr>
                <w:p>
                  <w:pPr>
                    <w:widowControl/>
                    <w:jc w:val="center"/>
                    <w:rPr>
                      <w:kern w:val="0"/>
                      <w:szCs w:val="21"/>
                    </w:rPr>
                  </w:pPr>
                  <w:r>
                    <w:rPr>
                      <w:rFonts w:hint="eastAsia"/>
                      <w:kern w:val="0"/>
                      <w:szCs w:val="21"/>
                    </w:rPr>
                    <w:t>年</w:t>
                  </w:r>
                  <w:r>
                    <w:rPr>
                      <w:kern w:val="0"/>
                      <w:szCs w:val="21"/>
                    </w:rPr>
                    <w:t>平均质量浓度</w:t>
                  </w:r>
                </w:p>
              </w:tc>
              <w:tc>
                <w:tcPr>
                  <w:tcW w:w="1146" w:type="dxa"/>
                  <w:vAlign w:val="center"/>
                </w:tcPr>
                <w:p>
                  <w:pPr>
                    <w:widowControl/>
                    <w:jc w:val="center"/>
                    <w:rPr>
                      <w:kern w:val="0"/>
                      <w:szCs w:val="21"/>
                    </w:rPr>
                  </w:pPr>
                  <w:r>
                    <w:rPr>
                      <w:kern w:val="0"/>
                      <w:szCs w:val="21"/>
                    </w:rPr>
                    <w:t>40</w:t>
                  </w:r>
                </w:p>
              </w:tc>
              <w:tc>
                <w:tcPr>
                  <w:tcW w:w="1144" w:type="dxa"/>
                  <w:shd w:val="clear" w:color="auto" w:fill="auto"/>
                  <w:vAlign w:val="center"/>
                </w:tcPr>
                <w:p>
                  <w:pPr>
                    <w:widowControl/>
                    <w:jc w:val="center"/>
                    <w:rPr>
                      <w:kern w:val="0"/>
                      <w:szCs w:val="21"/>
                    </w:rPr>
                  </w:pPr>
                  <w:r>
                    <w:rPr>
                      <w:kern w:val="0"/>
                      <w:szCs w:val="21"/>
                    </w:rPr>
                    <w:t>31.9</w:t>
                  </w:r>
                </w:p>
              </w:tc>
              <w:tc>
                <w:tcPr>
                  <w:tcW w:w="1340" w:type="dxa"/>
                  <w:shd w:val="clear" w:color="auto" w:fill="auto"/>
                  <w:vAlign w:val="center"/>
                </w:tcPr>
                <w:p>
                  <w:pPr>
                    <w:widowControl/>
                    <w:jc w:val="center"/>
                    <w:rPr>
                      <w:kern w:val="0"/>
                      <w:szCs w:val="21"/>
                    </w:rPr>
                  </w:pPr>
                  <w:r>
                    <w:rPr>
                      <w:kern w:val="0"/>
                      <w:szCs w:val="21"/>
                    </w:rPr>
                    <w:t>30.5%</w:t>
                  </w:r>
                </w:p>
              </w:tc>
              <w:tc>
                <w:tcPr>
                  <w:tcW w:w="1339" w:type="dxa"/>
                  <w:shd w:val="clear" w:color="auto" w:fill="auto"/>
                  <w:vAlign w:val="center"/>
                </w:tcPr>
                <w:p>
                  <w:pPr>
                    <w:widowControl/>
                    <w:jc w:val="center"/>
                    <w:rPr>
                      <w:kern w:val="0"/>
                      <w:szCs w:val="21"/>
                    </w:rPr>
                  </w:pPr>
                  <w:r>
                    <w:rPr>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957" w:type="dxa"/>
                  <w:shd w:val="clear" w:color="auto" w:fill="auto"/>
                  <w:vAlign w:val="center"/>
                </w:tcPr>
                <w:p>
                  <w:pPr>
                    <w:widowControl/>
                    <w:jc w:val="center"/>
                    <w:rPr>
                      <w:b/>
                      <w:kern w:val="0"/>
                      <w:szCs w:val="21"/>
                    </w:rPr>
                  </w:pPr>
                  <w:r>
                    <w:rPr>
                      <w:rFonts w:hint="eastAsia"/>
                      <w:kern w:val="0"/>
                      <w:szCs w:val="21"/>
                    </w:rPr>
                    <w:t>O</w:t>
                  </w:r>
                  <w:r>
                    <w:rPr>
                      <w:kern w:val="0"/>
                      <w:szCs w:val="21"/>
                      <w:vertAlign w:val="subscript"/>
                    </w:rPr>
                    <w:t>3</w:t>
                  </w:r>
                </w:p>
              </w:tc>
              <w:tc>
                <w:tcPr>
                  <w:tcW w:w="2295" w:type="dxa"/>
                  <w:shd w:val="clear" w:color="auto" w:fill="auto"/>
                  <w:vAlign w:val="center"/>
                </w:tcPr>
                <w:p>
                  <w:pPr>
                    <w:widowControl/>
                    <w:jc w:val="center"/>
                    <w:rPr>
                      <w:kern w:val="0"/>
                      <w:szCs w:val="21"/>
                    </w:rPr>
                  </w:pPr>
                  <w:r>
                    <w:rPr>
                      <w:rFonts w:hint="eastAsia"/>
                      <w:kern w:val="0"/>
                      <w:szCs w:val="21"/>
                    </w:rPr>
                    <w:t>日最大8小时平均</w:t>
                  </w:r>
                </w:p>
              </w:tc>
              <w:tc>
                <w:tcPr>
                  <w:tcW w:w="1146" w:type="dxa"/>
                  <w:vAlign w:val="center"/>
                </w:tcPr>
                <w:p>
                  <w:pPr>
                    <w:widowControl/>
                    <w:jc w:val="center"/>
                    <w:rPr>
                      <w:kern w:val="0"/>
                      <w:szCs w:val="21"/>
                    </w:rPr>
                  </w:pPr>
                  <w:r>
                    <w:rPr>
                      <w:rFonts w:hint="eastAsia"/>
                      <w:kern w:val="0"/>
                      <w:szCs w:val="21"/>
                    </w:rPr>
                    <w:t>1</w:t>
                  </w:r>
                  <w:r>
                    <w:rPr>
                      <w:kern w:val="0"/>
                      <w:szCs w:val="21"/>
                    </w:rPr>
                    <w:t>60</w:t>
                  </w:r>
                </w:p>
              </w:tc>
              <w:tc>
                <w:tcPr>
                  <w:tcW w:w="1144" w:type="dxa"/>
                  <w:shd w:val="clear" w:color="auto" w:fill="auto"/>
                  <w:vAlign w:val="center"/>
                </w:tcPr>
                <w:p>
                  <w:pPr>
                    <w:widowControl/>
                    <w:jc w:val="center"/>
                    <w:rPr>
                      <w:kern w:val="0"/>
                      <w:szCs w:val="21"/>
                    </w:rPr>
                  </w:pPr>
                  <w:r>
                    <w:rPr>
                      <w:rFonts w:hint="eastAsia"/>
                      <w:kern w:val="0"/>
                      <w:szCs w:val="21"/>
                    </w:rPr>
                    <w:t>2</w:t>
                  </w:r>
                  <w:r>
                    <w:rPr>
                      <w:kern w:val="0"/>
                      <w:szCs w:val="21"/>
                    </w:rPr>
                    <w:t>5.4</w:t>
                  </w:r>
                </w:p>
              </w:tc>
              <w:tc>
                <w:tcPr>
                  <w:tcW w:w="1340" w:type="dxa"/>
                  <w:shd w:val="clear" w:color="auto" w:fill="auto"/>
                  <w:vAlign w:val="center"/>
                </w:tcPr>
                <w:p>
                  <w:pPr>
                    <w:widowControl/>
                    <w:jc w:val="center"/>
                    <w:rPr>
                      <w:kern w:val="0"/>
                      <w:szCs w:val="21"/>
                    </w:rPr>
                  </w:pPr>
                  <w:r>
                    <w:rPr>
                      <w:rFonts w:hint="eastAsia"/>
                      <w:kern w:val="0"/>
                      <w:szCs w:val="21"/>
                    </w:rPr>
                    <w:t>1</w:t>
                  </w:r>
                  <w:r>
                    <w:rPr>
                      <w:kern w:val="0"/>
                      <w:szCs w:val="21"/>
                    </w:rPr>
                    <w:t>5.88%</w:t>
                  </w:r>
                </w:p>
              </w:tc>
              <w:tc>
                <w:tcPr>
                  <w:tcW w:w="1339" w:type="dxa"/>
                  <w:shd w:val="clear" w:color="auto" w:fill="auto"/>
                  <w:vAlign w:val="center"/>
                </w:tcPr>
                <w:p>
                  <w:pPr>
                    <w:widowControl/>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957" w:type="dxa"/>
                  <w:shd w:val="clear" w:color="auto" w:fill="auto"/>
                  <w:vAlign w:val="center"/>
                </w:tcPr>
                <w:p>
                  <w:pPr>
                    <w:widowControl/>
                    <w:jc w:val="center"/>
                    <w:rPr>
                      <w:kern w:val="0"/>
                      <w:szCs w:val="21"/>
                    </w:rPr>
                  </w:pPr>
                  <w:r>
                    <w:rPr>
                      <w:rFonts w:hint="eastAsia"/>
                      <w:kern w:val="0"/>
                      <w:szCs w:val="21"/>
                    </w:rPr>
                    <w:t>C</w:t>
                  </w:r>
                  <w:r>
                    <w:rPr>
                      <w:kern w:val="0"/>
                      <w:szCs w:val="21"/>
                    </w:rPr>
                    <w:t>O</w:t>
                  </w:r>
                </w:p>
              </w:tc>
              <w:tc>
                <w:tcPr>
                  <w:tcW w:w="2295" w:type="dxa"/>
                  <w:shd w:val="clear" w:color="auto" w:fill="auto"/>
                  <w:vAlign w:val="center"/>
                </w:tcPr>
                <w:p>
                  <w:pPr>
                    <w:widowControl/>
                    <w:jc w:val="center"/>
                    <w:rPr>
                      <w:kern w:val="0"/>
                      <w:szCs w:val="21"/>
                    </w:rPr>
                  </w:pPr>
                  <w:r>
                    <w:rPr>
                      <w:rFonts w:hint="eastAsia"/>
                      <w:kern w:val="0"/>
                      <w:szCs w:val="21"/>
                    </w:rPr>
                    <w:t>2</w:t>
                  </w:r>
                  <w:r>
                    <w:rPr>
                      <w:kern w:val="0"/>
                      <w:szCs w:val="21"/>
                    </w:rPr>
                    <w:t>4</w:t>
                  </w:r>
                  <w:r>
                    <w:rPr>
                      <w:rFonts w:hint="eastAsia"/>
                      <w:kern w:val="0"/>
                      <w:szCs w:val="21"/>
                    </w:rPr>
                    <w:t>小时平均</w:t>
                  </w:r>
                </w:p>
              </w:tc>
              <w:tc>
                <w:tcPr>
                  <w:tcW w:w="1146" w:type="dxa"/>
                  <w:vAlign w:val="center"/>
                </w:tcPr>
                <w:p>
                  <w:pPr>
                    <w:widowControl/>
                    <w:jc w:val="center"/>
                    <w:rPr>
                      <w:kern w:val="0"/>
                      <w:szCs w:val="21"/>
                    </w:rPr>
                  </w:pPr>
                  <w:r>
                    <w:rPr>
                      <w:rFonts w:hint="eastAsia"/>
                      <w:kern w:val="0"/>
                      <w:szCs w:val="21"/>
                    </w:rPr>
                    <w:t>4</w:t>
                  </w:r>
                </w:p>
              </w:tc>
              <w:tc>
                <w:tcPr>
                  <w:tcW w:w="1144" w:type="dxa"/>
                  <w:shd w:val="clear" w:color="auto" w:fill="auto"/>
                  <w:vAlign w:val="center"/>
                </w:tcPr>
                <w:p>
                  <w:pPr>
                    <w:widowControl/>
                    <w:jc w:val="center"/>
                    <w:rPr>
                      <w:kern w:val="0"/>
                      <w:szCs w:val="21"/>
                    </w:rPr>
                  </w:pPr>
                  <w:r>
                    <w:rPr>
                      <w:rFonts w:hint="eastAsia"/>
                      <w:kern w:val="0"/>
                      <w:szCs w:val="21"/>
                    </w:rPr>
                    <w:t>0</w:t>
                  </w:r>
                  <w:r>
                    <w:rPr>
                      <w:kern w:val="0"/>
                      <w:szCs w:val="21"/>
                    </w:rPr>
                    <w:t>.88</w:t>
                  </w:r>
                </w:p>
              </w:tc>
              <w:tc>
                <w:tcPr>
                  <w:tcW w:w="1340" w:type="dxa"/>
                  <w:shd w:val="clear" w:color="auto" w:fill="auto"/>
                  <w:vAlign w:val="center"/>
                </w:tcPr>
                <w:p>
                  <w:pPr>
                    <w:widowControl/>
                    <w:jc w:val="center"/>
                    <w:rPr>
                      <w:kern w:val="0"/>
                      <w:szCs w:val="21"/>
                    </w:rPr>
                  </w:pPr>
                  <w:r>
                    <w:rPr>
                      <w:rFonts w:hint="eastAsia"/>
                      <w:kern w:val="0"/>
                      <w:szCs w:val="21"/>
                    </w:rPr>
                    <w:t>2</w:t>
                  </w:r>
                  <w:r>
                    <w:rPr>
                      <w:kern w:val="0"/>
                      <w:szCs w:val="21"/>
                    </w:rPr>
                    <w:t>1.9%</w:t>
                  </w:r>
                </w:p>
              </w:tc>
              <w:tc>
                <w:tcPr>
                  <w:tcW w:w="1339" w:type="dxa"/>
                  <w:shd w:val="clear" w:color="auto" w:fill="auto"/>
                  <w:vAlign w:val="center"/>
                </w:tcPr>
                <w:p>
                  <w:pPr>
                    <w:widowControl/>
                    <w:jc w:val="center"/>
                    <w:rPr>
                      <w:kern w:val="0"/>
                      <w:szCs w:val="21"/>
                    </w:rPr>
                  </w:pPr>
                  <w:r>
                    <w:rPr>
                      <w:rFonts w:hint="eastAsia"/>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2" w:hRule="atLeast"/>
              </w:trPr>
              <w:tc>
                <w:tcPr>
                  <w:tcW w:w="957" w:type="dxa"/>
                  <w:shd w:val="clear" w:color="auto" w:fill="auto"/>
                  <w:vAlign w:val="center"/>
                </w:tcPr>
                <w:p>
                  <w:pPr>
                    <w:widowControl/>
                    <w:jc w:val="center"/>
                    <w:rPr>
                      <w:kern w:val="0"/>
                      <w:szCs w:val="21"/>
                    </w:rPr>
                  </w:pPr>
                  <w:r>
                    <w:rPr>
                      <w:rFonts w:hint="eastAsia"/>
                      <w:kern w:val="0"/>
                      <w:szCs w:val="21"/>
                    </w:rPr>
                    <w:t>P</w:t>
                  </w:r>
                  <w:r>
                    <w:rPr>
                      <w:kern w:val="0"/>
                      <w:szCs w:val="21"/>
                    </w:rPr>
                    <w:t>M</w:t>
                  </w:r>
                  <w:r>
                    <w:rPr>
                      <w:kern w:val="0"/>
                      <w:szCs w:val="21"/>
                      <w:vertAlign w:val="subscript"/>
                    </w:rPr>
                    <w:t>2.5</w:t>
                  </w:r>
                </w:p>
              </w:tc>
              <w:tc>
                <w:tcPr>
                  <w:tcW w:w="2295" w:type="dxa"/>
                  <w:shd w:val="clear" w:color="auto" w:fill="auto"/>
                  <w:vAlign w:val="center"/>
                </w:tcPr>
                <w:p>
                  <w:pPr>
                    <w:widowControl/>
                    <w:jc w:val="center"/>
                    <w:rPr>
                      <w:kern w:val="0"/>
                      <w:szCs w:val="21"/>
                    </w:rPr>
                  </w:pPr>
                  <w:r>
                    <w:rPr>
                      <w:rFonts w:hint="eastAsia"/>
                      <w:kern w:val="0"/>
                      <w:szCs w:val="21"/>
                    </w:rPr>
                    <w:t>年平均</w:t>
                  </w:r>
                </w:p>
              </w:tc>
              <w:tc>
                <w:tcPr>
                  <w:tcW w:w="1146" w:type="dxa"/>
                  <w:vAlign w:val="center"/>
                </w:tcPr>
                <w:p>
                  <w:pPr>
                    <w:widowControl/>
                    <w:jc w:val="center"/>
                    <w:rPr>
                      <w:kern w:val="0"/>
                      <w:szCs w:val="21"/>
                    </w:rPr>
                  </w:pPr>
                  <w:r>
                    <w:rPr>
                      <w:rFonts w:hint="eastAsia"/>
                      <w:kern w:val="0"/>
                      <w:szCs w:val="21"/>
                    </w:rPr>
                    <w:t>3</w:t>
                  </w:r>
                  <w:r>
                    <w:rPr>
                      <w:kern w:val="0"/>
                      <w:szCs w:val="21"/>
                    </w:rPr>
                    <w:t>5</w:t>
                  </w:r>
                </w:p>
              </w:tc>
              <w:tc>
                <w:tcPr>
                  <w:tcW w:w="1144" w:type="dxa"/>
                  <w:shd w:val="clear" w:color="auto" w:fill="auto"/>
                  <w:vAlign w:val="center"/>
                </w:tcPr>
                <w:p>
                  <w:pPr>
                    <w:widowControl/>
                    <w:jc w:val="center"/>
                    <w:rPr>
                      <w:kern w:val="0"/>
                      <w:szCs w:val="21"/>
                    </w:rPr>
                  </w:pPr>
                  <w:r>
                    <w:rPr>
                      <w:rFonts w:hint="eastAsia"/>
                      <w:kern w:val="0"/>
                      <w:szCs w:val="21"/>
                    </w:rPr>
                    <w:t>5</w:t>
                  </w:r>
                  <w:r>
                    <w:rPr>
                      <w:kern w:val="0"/>
                      <w:szCs w:val="21"/>
                    </w:rPr>
                    <w:t>1</w:t>
                  </w:r>
                </w:p>
              </w:tc>
              <w:tc>
                <w:tcPr>
                  <w:tcW w:w="1340" w:type="dxa"/>
                  <w:shd w:val="clear" w:color="auto" w:fill="auto"/>
                  <w:vAlign w:val="center"/>
                </w:tcPr>
                <w:p>
                  <w:pPr>
                    <w:widowControl/>
                    <w:jc w:val="center"/>
                    <w:rPr>
                      <w:kern w:val="0"/>
                      <w:szCs w:val="21"/>
                    </w:rPr>
                  </w:pPr>
                  <w:r>
                    <w:rPr>
                      <w:kern w:val="0"/>
                      <w:szCs w:val="21"/>
                    </w:rPr>
                    <w:t>148.09</w:t>
                  </w:r>
                  <w:r>
                    <w:rPr>
                      <w:rFonts w:hint="eastAsia"/>
                      <w:kern w:val="0"/>
                      <w:szCs w:val="21"/>
                    </w:rPr>
                    <w:t>%</w:t>
                  </w:r>
                </w:p>
              </w:tc>
              <w:tc>
                <w:tcPr>
                  <w:tcW w:w="1339" w:type="dxa"/>
                  <w:shd w:val="clear" w:color="auto" w:fill="auto"/>
                  <w:vAlign w:val="center"/>
                </w:tcPr>
                <w:p>
                  <w:pPr>
                    <w:widowControl/>
                    <w:jc w:val="center"/>
                    <w:rPr>
                      <w:kern w:val="0"/>
                      <w:szCs w:val="21"/>
                    </w:rPr>
                  </w:pPr>
                  <w:r>
                    <w:rPr>
                      <w:rFonts w:hint="eastAsia"/>
                      <w:kern w:val="0"/>
                      <w:szCs w:val="21"/>
                    </w:rPr>
                    <w:t>不达标</w:t>
                  </w:r>
                </w:p>
              </w:tc>
            </w:tr>
          </w:tbl>
          <w:p>
            <w:pPr>
              <w:pStyle w:val="50"/>
              <w:spacing w:beforeLines="0" w:line="240" w:lineRule="auto"/>
              <w:ind w:firstLine="149" w:firstLineChars="83"/>
              <w:rPr>
                <w:rFonts w:ascii="Times New Roman" w:hAnsi="Times New Roman"/>
                <w:sz w:val="18"/>
                <w:szCs w:val="18"/>
              </w:rPr>
            </w:pPr>
          </w:p>
          <w:p>
            <w:pPr>
              <w:adjustRightInd w:val="0"/>
              <w:snapToGrid w:val="0"/>
              <w:spacing w:line="360" w:lineRule="auto"/>
              <w:ind w:firstLine="480" w:firstLineChars="200"/>
              <w:rPr>
                <w:sz w:val="24"/>
              </w:rPr>
            </w:pPr>
            <w:r>
              <w:rPr>
                <w:sz w:val="24"/>
              </w:rPr>
              <w:t>从表9可以看出，工程所在地区大气污染物</w:t>
            </w:r>
            <w:r>
              <w:rPr>
                <w:rFonts w:hint="eastAsia"/>
                <w:sz w:val="24"/>
              </w:rPr>
              <w:t>中</w:t>
            </w:r>
            <w:r>
              <w:rPr>
                <w:sz w:val="24"/>
              </w:rPr>
              <w:t>SO</w:t>
            </w:r>
            <w:r>
              <w:rPr>
                <w:sz w:val="24"/>
                <w:vertAlign w:val="subscript"/>
              </w:rPr>
              <w:t>2</w:t>
            </w:r>
            <w:r>
              <w:rPr>
                <w:sz w:val="24"/>
              </w:rPr>
              <w:t>、NO</w:t>
            </w:r>
            <w:r>
              <w:rPr>
                <w:sz w:val="24"/>
                <w:vertAlign w:val="subscript"/>
              </w:rPr>
              <w:t>2</w:t>
            </w:r>
            <w:r>
              <w:rPr>
                <w:rFonts w:hint="eastAsia"/>
                <w:sz w:val="24"/>
              </w:rPr>
              <w:t>、O</w:t>
            </w:r>
            <w:r>
              <w:rPr>
                <w:sz w:val="24"/>
                <w:vertAlign w:val="subscript"/>
              </w:rPr>
              <w:t>3</w:t>
            </w:r>
            <w:r>
              <w:rPr>
                <w:rFonts w:hint="eastAsia"/>
                <w:sz w:val="24"/>
              </w:rPr>
              <w:t>、</w:t>
            </w:r>
            <w:r>
              <w:rPr>
                <w:sz w:val="24"/>
              </w:rPr>
              <w:t>CO相关指标符合《环境空气质量标准》（GB3095-2012）</w:t>
            </w:r>
            <w:r>
              <w:rPr>
                <w:rFonts w:hint="eastAsia"/>
                <w:sz w:val="24"/>
              </w:rPr>
              <w:t>中的</w:t>
            </w:r>
            <w:r>
              <w:rPr>
                <w:sz w:val="24"/>
              </w:rPr>
              <w:t>二级标准</w:t>
            </w:r>
            <w:r>
              <w:rPr>
                <w:rFonts w:hint="eastAsia"/>
                <w:sz w:val="24"/>
              </w:rPr>
              <w:t>，P</w:t>
            </w:r>
            <w:r>
              <w:rPr>
                <w:sz w:val="24"/>
              </w:rPr>
              <w:t>M</w:t>
            </w:r>
            <w:r>
              <w:rPr>
                <w:sz w:val="24"/>
                <w:vertAlign w:val="subscript"/>
              </w:rPr>
              <w:t>2.5</w:t>
            </w:r>
            <w:r>
              <w:rPr>
                <w:rFonts w:hint="eastAsia"/>
                <w:sz w:val="24"/>
              </w:rPr>
              <w:t>、P</w:t>
            </w:r>
            <w:r>
              <w:rPr>
                <w:sz w:val="24"/>
              </w:rPr>
              <w:t>M</w:t>
            </w:r>
            <w:r>
              <w:rPr>
                <w:sz w:val="24"/>
                <w:vertAlign w:val="subscript"/>
              </w:rPr>
              <w:t>10</w:t>
            </w:r>
            <w:r>
              <w:rPr>
                <w:rFonts w:hint="eastAsia"/>
                <w:sz w:val="24"/>
              </w:rPr>
              <w:t>不符合二级标准</w:t>
            </w:r>
            <w:r>
              <w:rPr>
                <w:sz w:val="24"/>
              </w:rPr>
              <w:t>。区域空气质量属于</w:t>
            </w:r>
            <w:r>
              <w:rPr>
                <w:rFonts w:hint="eastAsia"/>
                <w:sz w:val="24"/>
              </w:rPr>
              <w:t>不</w:t>
            </w:r>
            <w:r>
              <w:rPr>
                <w:sz w:val="24"/>
              </w:rPr>
              <w:t>达标区。</w:t>
            </w:r>
          </w:p>
          <w:p>
            <w:pPr>
              <w:pStyle w:val="45"/>
              <w:numPr>
                <w:ilvl w:val="0"/>
                <w:numId w:val="2"/>
              </w:numPr>
              <w:ind w:firstLineChars="0"/>
            </w:pPr>
            <w:r>
              <w:t>工程区环境质量现状评价</w:t>
            </w:r>
          </w:p>
          <w:p>
            <w:pPr>
              <w:pStyle w:val="45"/>
              <w:ind w:firstLine="480"/>
            </w:pPr>
            <w:r>
              <w:t>为了解工程区环境空气质量现状，本次评价委托</w:t>
            </w:r>
            <w:r>
              <w:rPr>
                <w:rFonts w:hint="eastAsia"/>
              </w:rPr>
              <w:t>新疆锡水金山环境</w:t>
            </w:r>
            <w:r>
              <w:t>科技有限公司于2022年</w:t>
            </w:r>
            <w:r>
              <w:rPr>
                <w:rFonts w:hint="eastAsia"/>
              </w:rPr>
              <w:t>12</w:t>
            </w:r>
            <w:r>
              <w:t>月29日至31日对工程区环境空气质量进行现状监测，共监测3天，监测结果见表10。</w:t>
            </w:r>
          </w:p>
          <w:p>
            <w:pPr>
              <w:jc w:val="left"/>
              <w:rPr>
                <w:rFonts w:ascii="黑体" w:hAnsi="黑体" w:eastAsia="黑体"/>
                <w:sz w:val="24"/>
              </w:rPr>
            </w:pPr>
            <w:r>
              <w:rPr>
                <w:rFonts w:ascii="黑体" w:hAnsi="黑体" w:eastAsia="黑体"/>
                <w:sz w:val="24"/>
              </w:rPr>
              <w:t>表</w:t>
            </w:r>
            <w:r>
              <w:rPr>
                <w:rFonts w:eastAsia="黑体"/>
                <w:sz w:val="24"/>
              </w:rPr>
              <w:t>10                 工程区空气质量现状评价表             单位：μg/m³</w:t>
            </w:r>
          </w:p>
          <w:tbl>
            <w:tblPr>
              <w:tblStyle w:val="21"/>
              <w:tblW w:w="82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6"/>
              <w:gridCol w:w="1181"/>
              <w:gridCol w:w="1633"/>
              <w:gridCol w:w="1666"/>
              <w:gridCol w:w="1526"/>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9" w:hRule="atLeast"/>
              </w:trPr>
              <w:tc>
                <w:tcPr>
                  <w:tcW w:w="796" w:type="dxa"/>
                  <w:vMerge w:val="restart"/>
                  <w:shd w:val="clear" w:color="auto" w:fill="auto"/>
                  <w:vAlign w:val="center"/>
                </w:tcPr>
                <w:p>
                  <w:pPr>
                    <w:widowControl/>
                    <w:jc w:val="center"/>
                    <w:rPr>
                      <w:bCs/>
                      <w:kern w:val="0"/>
                      <w:szCs w:val="21"/>
                    </w:rPr>
                  </w:pPr>
                  <w:r>
                    <w:rPr>
                      <w:bCs/>
                      <w:kern w:val="0"/>
                      <w:szCs w:val="21"/>
                    </w:rPr>
                    <w:t>污染物</w:t>
                  </w:r>
                </w:p>
              </w:tc>
              <w:tc>
                <w:tcPr>
                  <w:tcW w:w="1181" w:type="dxa"/>
                  <w:vMerge w:val="restart"/>
                  <w:vAlign w:val="center"/>
                </w:tcPr>
                <w:p>
                  <w:pPr>
                    <w:widowControl/>
                    <w:jc w:val="center"/>
                    <w:rPr>
                      <w:bCs/>
                      <w:kern w:val="0"/>
                      <w:szCs w:val="21"/>
                    </w:rPr>
                  </w:pPr>
                  <w:r>
                    <w:rPr>
                      <w:bCs/>
                      <w:kern w:val="0"/>
                      <w:szCs w:val="21"/>
                    </w:rPr>
                    <w:t>二级标准</w:t>
                  </w:r>
                </w:p>
              </w:tc>
              <w:tc>
                <w:tcPr>
                  <w:tcW w:w="4825" w:type="dxa"/>
                  <w:gridSpan w:val="3"/>
                  <w:shd w:val="clear" w:color="auto" w:fill="auto"/>
                  <w:vAlign w:val="center"/>
                </w:tcPr>
                <w:p>
                  <w:pPr>
                    <w:widowControl/>
                    <w:jc w:val="center"/>
                    <w:rPr>
                      <w:bCs/>
                      <w:kern w:val="0"/>
                      <w:szCs w:val="21"/>
                    </w:rPr>
                  </w:pPr>
                  <w:r>
                    <w:rPr>
                      <w:bCs/>
                      <w:kern w:val="0"/>
                      <w:szCs w:val="21"/>
                    </w:rPr>
                    <w:t>采样日期</w:t>
                  </w:r>
                </w:p>
              </w:tc>
              <w:tc>
                <w:tcPr>
                  <w:tcW w:w="1419" w:type="dxa"/>
                  <w:vMerge w:val="restart"/>
                  <w:shd w:val="clear" w:color="auto" w:fill="auto"/>
                  <w:vAlign w:val="center"/>
                </w:tcPr>
                <w:p>
                  <w:pPr>
                    <w:widowControl/>
                    <w:jc w:val="center"/>
                    <w:rPr>
                      <w:bCs/>
                      <w:kern w:val="0"/>
                      <w:szCs w:val="21"/>
                    </w:rPr>
                  </w:pPr>
                  <w:r>
                    <w:rPr>
                      <w:bCs/>
                      <w:kern w:val="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796" w:type="dxa"/>
                  <w:vMerge w:val="continue"/>
                  <w:vAlign w:val="center"/>
                </w:tcPr>
                <w:p>
                  <w:pPr>
                    <w:widowControl/>
                    <w:jc w:val="left"/>
                    <w:rPr>
                      <w:bCs/>
                      <w:kern w:val="0"/>
                      <w:szCs w:val="21"/>
                    </w:rPr>
                  </w:pPr>
                </w:p>
              </w:tc>
              <w:tc>
                <w:tcPr>
                  <w:tcW w:w="1181" w:type="dxa"/>
                  <w:vMerge w:val="continue"/>
                  <w:vAlign w:val="center"/>
                </w:tcPr>
                <w:p>
                  <w:pPr>
                    <w:widowControl/>
                    <w:jc w:val="left"/>
                    <w:rPr>
                      <w:bCs/>
                      <w:kern w:val="0"/>
                      <w:szCs w:val="21"/>
                    </w:rPr>
                  </w:pPr>
                </w:p>
              </w:tc>
              <w:tc>
                <w:tcPr>
                  <w:tcW w:w="1633" w:type="dxa"/>
                  <w:shd w:val="clear" w:color="auto" w:fill="auto"/>
                  <w:vAlign w:val="center"/>
                </w:tcPr>
                <w:p>
                  <w:pPr>
                    <w:widowControl/>
                    <w:jc w:val="center"/>
                    <w:rPr>
                      <w:bCs/>
                      <w:kern w:val="0"/>
                      <w:szCs w:val="21"/>
                    </w:rPr>
                  </w:pPr>
                  <w:r>
                    <w:rPr>
                      <w:bCs/>
                      <w:kern w:val="0"/>
                      <w:szCs w:val="21"/>
                    </w:rPr>
                    <w:t>2022.12.29</w:t>
                  </w:r>
                </w:p>
              </w:tc>
              <w:tc>
                <w:tcPr>
                  <w:tcW w:w="1666" w:type="dxa"/>
                  <w:shd w:val="clear" w:color="auto" w:fill="auto"/>
                  <w:vAlign w:val="center"/>
                </w:tcPr>
                <w:p>
                  <w:pPr>
                    <w:widowControl/>
                    <w:jc w:val="center"/>
                    <w:rPr>
                      <w:bCs/>
                      <w:kern w:val="0"/>
                      <w:szCs w:val="21"/>
                    </w:rPr>
                  </w:pPr>
                  <w:r>
                    <w:rPr>
                      <w:bCs/>
                      <w:kern w:val="0"/>
                      <w:szCs w:val="21"/>
                    </w:rPr>
                    <w:t>2022.12.30</w:t>
                  </w:r>
                </w:p>
              </w:tc>
              <w:tc>
                <w:tcPr>
                  <w:tcW w:w="1526" w:type="dxa"/>
                  <w:shd w:val="clear" w:color="auto" w:fill="auto"/>
                  <w:vAlign w:val="center"/>
                </w:tcPr>
                <w:p>
                  <w:pPr>
                    <w:widowControl/>
                    <w:jc w:val="center"/>
                    <w:rPr>
                      <w:bCs/>
                      <w:kern w:val="0"/>
                      <w:szCs w:val="21"/>
                    </w:rPr>
                  </w:pPr>
                  <w:r>
                    <w:rPr>
                      <w:bCs/>
                      <w:kern w:val="0"/>
                      <w:szCs w:val="21"/>
                    </w:rPr>
                    <w:t>2022.12.31</w:t>
                  </w:r>
                </w:p>
              </w:tc>
              <w:tc>
                <w:tcPr>
                  <w:tcW w:w="1419" w:type="dxa"/>
                  <w:vMerge w:val="continue"/>
                  <w:vAlign w:val="center"/>
                </w:tcPr>
                <w:p>
                  <w:pPr>
                    <w:widowControl/>
                    <w:jc w:val="left"/>
                    <w:rPr>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96" w:type="dxa"/>
                  <w:shd w:val="clear" w:color="auto" w:fill="auto"/>
                  <w:vAlign w:val="center"/>
                </w:tcPr>
                <w:p>
                  <w:pPr>
                    <w:widowControl/>
                    <w:jc w:val="center"/>
                    <w:rPr>
                      <w:kern w:val="0"/>
                      <w:szCs w:val="21"/>
                    </w:rPr>
                  </w:pPr>
                  <w:r>
                    <w:rPr>
                      <w:kern w:val="0"/>
                      <w:szCs w:val="21"/>
                    </w:rPr>
                    <w:t>SO</w:t>
                  </w:r>
                  <w:r>
                    <w:rPr>
                      <w:kern w:val="0"/>
                      <w:szCs w:val="21"/>
                      <w:vertAlign w:val="subscript"/>
                    </w:rPr>
                    <w:t>2</w:t>
                  </w:r>
                </w:p>
              </w:tc>
              <w:tc>
                <w:tcPr>
                  <w:tcW w:w="1181" w:type="dxa"/>
                  <w:vAlign w:val="center"/>
                </w:tcPr>
                <w:p>
                  <w:pPr>
                    <w:widowControl/>
                    <w:jc w:val="center"/>
                    <w:rPr>
                      <w:kern w:val="0"/>
                      <w:szCs w:val="21"/>
                    </w:rPr>
                  </w:pPr>
                  <w:r>
                    <w:rPr>
                      <w:kern w:val="0"/>
                      <w:szCs w:val="21"/>
                    </w:rPr>
                    <w:t>150</w:t>
                  </w:r>
                </w:p>
              </w:tc>
              <w:tc>
                <w:tcPr>
                  <w:tcW w:w="1633" w:type="dxa"/>
                  <w:shd w:val="clear" w:color="auto" w:fill="auto"/>
                  <w:vAlign w:val="center"/>
                </w:tcPr>
                <w:p>
                  <w:pPr>
                    <w:widowControl/>
                    <w:jc w:val="center"/>
                    <w:rPr>
                      <w:kern w:val="0"/>
                      <w:szCs w:val="21"/>
                    </w:rPr>
                  </w:pPr>
                  <w:r>
                    <w:rPr>
                      <w:rFonts w:hint="eastAsia"/>
                      <w:kern w:val="0"/>
                      <w:szCs w:val="21"/>
                    </w:rPr>
                    <w:t>28.50</w:t>
                  </w:r>
                </w:p>
              </w:tc>
              <w:tc>
                <w:tcPr>
                  <w:tcW w:w="1666" w:type="dxa"/>
                  <w:shd w:val="clear" w:color="auto" w:fill="auto"/>
                  <w:vAlign w:val="center"/>
                </w:tcPr>
                <w:p>
                  <w:pPr>
                    <w:widowControl/>
                    <w:jc w:val="center"/>
                    <w:rPr>
                      <w:kern w:val="0"/>
                      <w:szCs w:val="21"/>
                    </w:rPr>
                  </w:pPr>
                  <w:r>
                    <w:rPr>
                      <w:rFonts w:hint="eastAsia"/>
                      <w:kern w:val="0"/>
                      <w:szCs w:val="21"/>
                    </w:rPr>
                    <w:t>26.25</w:t>
                  </w:r>
                </w:p>
              </w:tc>
              <w:tc>
                <w:tcPr>
                  <w:tcW w:w="1526" w:type="dxa"/>
                  <w:shd w:val="clear" w:color="auto" w:fill="auto"/>
                  <w:vAlign w:val="center"/>
                </w:tcPr>
                <w:p>
                  <w:pPr>
                    <w:widowControl/>
                    <w:jc w:val="center"/>
                    <w:rPr>
                      <w:kern w:val="0"/>
                      <w:szCs w:val="21"/>
                    </w:rPr>
                  </w:pPr>
                  <w:r>
                    <w:rPr>
                      <w:rFonts w:hint="eastAsia"/>
                      <w:kern w:val="0"/>
                      <w:szCs w:val="21"/>
                    </w:rPr>
                    <w:t>25.50</w:t>
                  </w:r>
                </w:p>
              </w:tc>
              <w:tc>
                <w:tcPr>
                  <w:tcW w:w="1419" w:type="dxa"/>
                  <w:shd w:val="clear" w:color="auto" w:fill="auto"/>
                  <w:vAlign w:val="center"/>
                </w:tcPr>
                <w:p>
                  <w:pPr>
                    <w:widowControl/>
                    <w:jc w:val="center"/>
                    <w:rPr>
                      <w:kern w:val="0"/>
                      <w:szCs w:val="21"/>
                    </w:rPr>
                  </w:pPr>
                  <w:r>
                    <w:rPr>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5" w:hRule="atLeast"/>
              </w:trPr>
              <w:tc>
                <w:tcPr>
                  <w:tcW w:w="796" w:type="dxa"/>
                  <w:shd w:val="clear" w:color="auto" w:fill="auto"/>
                  <w:vAlign w:val="center"/>
                </w:tcPr>
                <w:p>
                  <w:pPr>
                    <w:widowControl/>
                    <w:jc w:val="center"/>
                    <w:rPr>
                      <w:kern w:val="0"/>
                      <w:szCs w:val="21"/>
                    </w:rPr>
                  </w:pPr>
                  <w:r>
                    <w:rPr>
                      <w:kern w:val="0"/>
                      <w:szCs w:val="21"/>
                    </w:rPr>
                    <w:t>NO</w:t>
                  </w:r>
                  <w:r>
                    <w:rPr>
                      <w:kern w:val="0"/>
                      <w:szCs w:val="21"/>
                      <w:vertAlign w:val="subscript"/>
                    </w:rPr>
                    <w:t>2</w:t>
                  </w:r>
                </w:p>
              </w:tc>
              <w:tc>
                <w:tcPr>
                  <w:tcW w:w="1181" w:type="dxa"/>
                  <w:vAlign w:val="center"/>
                </w:tcPr>
                <w:p>
                  <w:pPr>
                    <w:widowControl/>
                    <w:jc w:val="center"/>
                    <w:rPr>
                      <w:kern w:val="0"/>
                      <w:szCs w:val="21"/>
                    </w:rPr>
                  </w:pPr>
                  <w:r>
                    <w:rPr>
                      <w:kern w:val="0"/>
                      <w:szCs w:val="21"/>
                    </w:rPr>
                    <w:t>80</w:t>
                  </w:r>
                </w:p>
              </w:tc>
              <w:tc>
                <w:tcPr>
                  <w:tcW w:w="1633" w:type="dxa"/>
                  <w:shd w:val="clear" w:color="auto" w:fill="auto"/>
                  <w:vAlign w:val="center"/>
                </w:tcPr>
                <w:p>
                  <w:pPr>
                    <w:widowControl/>
                    <w:jc w:val="center"/>
                    <w:rPr>
                      <w:kern w:val="0"/>
                      <w:szCs w:val="21"/>
                    </w:rPr>
                  </w:pPr>
                  <w:r>
                    <w:rPr>
                      <w:rFonts w:hint="eastAsia"/>
                      <w:kern w:val="0"/>
                      <w:szCs w:val="21"/>
                    </w:rPr>
                    <w:t>58.25</w:t>
                  </w:r>
                </w:p>
              </w:tc>
              <w:tc>
                <w:tcPr>
                  <w:tcW w:w="1666" w:type="dxa"/>
                  <w:shd w:val="clear" w:color="auto" w:fill="auto"/>
                  <w:vAlign w:val="center"/>
                </w:tcPr>
                <w:p>
                  <w:pPr>
                    <w:widowControl/>
                    <w:jc w:val="center"/>
                    <w:rPr>
                      <w:kern w:val="0"/>
                      <w:szCs w:val="21"/>
                    </w:rPr>
                  </w:pPr>
                  <w:r>
                    <w:rPr>
                      <w:rFonts w:hint="eastAsia"/>
                      <w:kern w:val="0"/>
                      <w:szCs w:val="21"/>
                    </w:rPr>
                    <w:t>61.00</w:t>
                  </w:r>
                </w:p>
              </w:tc>
              <w:tc>
                <w:tcPr>
                  <w:tcW w:w="1526" w:type="dxa"/>
                  <w:shd w:val="clear" w:color="auto" w:fill="auto"/>
                  <w:vAlign w:val="center"/>
                </w:tcPr>
                <w:p>
                  <w:pPr>
                    <w:widowControl/>
                    <w:jc w:val="center"/>
                    <w:rPr>
                      <w:kern w:val="0"/>
                      <w:szCs w:val="21"/>
                    </w:rPr>
                  </w:pPr>
                  <w:r>
                    <w:rPr>
                      <w:rFonts w:hint="eastAsia"/>
                      <w:kern w:val="0"/>
                      <w:szCs w:val="21"/>
                    </w:rPr>
                    <w:t>56.75</w:t>
                  </w:r>
                </w:p>
              </w:tc>
              <w:tc>
                <w:tcPr>
                  <w:tcW w:w="1419" w:type="dxa"/>
                  <w:shd w:val="clear" w:color="auto" w:fill="auto"/>
                  <w:vAlign w:val="center"/>
                </w:tcPr>
                <w:p>
                  <w:pPr>
                    <w:widowControl/>
                    <w:jc w:val="center"/>
                    <w:rPr>
                      <w:kern w:val="0"/>
                      <w:szCs w:val="21"/>
                    </w:rPr>
                  </w:pPr>
                  <w:r>
                    <w:rPr>
                      <w:kern w:val="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5" w:hRule="atLeast"/>
              </w:trPr>
              <w:tc>
                <w:tcPr>
                  <w:tcW w:w="796" w:type="dxa"/>
                  <w:shd w:val="clear" w:color="auto" w:fill="auto"/>
                  <w:vAlign w:val="center"/>
                </w:tcPr>
                <w:p>
                  <w:pPr>
                    <w:widowControl/>
                    <w:jc w:val="center"/>
                    <w:rPr>
                      <w:kern w:val="0"/>
                      <w:szCs w:val="21"/>
                    </w:rPr>
                  </w:pPr>
                  <w:r>
                    <w:rPr>
                      <w:kern w:val="0"/>
                      <w:szCs w:val="21"/>
                    </w:rPr>
                    <w:t>TSP</w:t>
                  </w:r>
                </w:p>
              </w:tc>
              <w:tc>
                <w:tcPr>
                  <w:tcW w:w="1181" w:type="dxa"/>
                  <w:vAlign w:val="center"/>
                </w:tcPr>
                <w:p>
                  <w:pPr>
                    <w:widowControl/>
                    <w:jc w:val="center"/>
                    <w:rPr>
                      <w:kern w:val="0"/>
                      <w:szCs w:val="21"/>
                    </w:rPr>
                  </w:pPr>
                  <w:r>
                    <w:rPr>
                      <w:kern w:val="0"/>
                      <w:szCs w:val="21"/>
                    </w:rPr>
                    <w:t>300</w:t>
                  </w:r>
                </w:p>
              </w:tc>
              <w:tc>
                <w:tcPr>
                  <w:tcW w:w="1633" w:type="dxa"/>
                  <w:shd w:val="clear" w:color="auto" w:fill="auto"/>
                  <w:vAlign w:val="center"/>
                </w:tcPr>
                <w:p>
                  <w:pPr>
                    <w:widowControl/>
                    <w:jc w:val="center"/>
                    <w:rPr>
                      <w:kern w:val="0"/>
                      <w:szCs w:val="21"/>
                    </w:rPr>
                  </w:pPr>
                  <w:r>
                    <w:rPr>
                      <w:kern w:val="0"/>
                      <w:szCs w:val="21"/>
                    </w:rPr>
                    <w:t>117</w:t>
                  </w:r>
                </w:p>
              </w:tc>
              <w:tc>
                <w:tcPr>
                  <w:tcW w:w="1666" w:type="dxa"/>
                  <w:shd w:val="clear" w:color="auto" w:fill="auto"/>
                  <w:vAlign w:val="center"/>
                </w:tcPr>
                <w:p>
                  <w:pPr>
                    <w:widowControl/>
                    <w:jc w:val="center"/>
                    <w:rPr>
                      <w:kern w:val="0"/>
                      <w:szCs w:val="21"/>
                    </w:rPr>
                  </w:pPr>
                  <w:r>
                    <w:rPr>
                      <w:rFonts w:hint="eastAsia"/>
                      <w:kern w:val="0"/>
                      <w:szCs w:val="21"/>
                    </w:rPr>
                    <w:t>130</w:t>
                  </w:r>
                </w:p>
              </w:tc>
              <w:tc>
                <w:tcPr>
                  <w:tcW w:w="1526" w:type="dxa"/>
                  <w:shd w:val="clear" w:color="auto" w:fill="auto"/>
                  <w:vAlign w:val="center"/>
                </w:tcPr>
                <w:p>
                  <w:pPr>
                    <w:widowControl/>
                    <w:jc w:val="center"/>
                    <w:rPr>
                      <w:kern w:val="0"/>
                      <w:szCs w:val="21"/>
                    </w:rPr>
                  </w:pPr>
                  <w:r>
                    <w:rPr>
                      <w:rFonts w:hint="eastAsia"/>
                      <w:kern w:val="0"/>
                      <w:szCs w:val="21"/>
                    </w:rPr>
                    <w:t>134</w:t>
                  </w:r>
                </w:p>
              </w:tc>
              <w:tc>
                <w:tcPr>
                  <w:tcW w:w="1419" w:type="dxa"/>
                  <w:shd w:val="clear" w:color="auto" w:fill="auto"/>
                  <w:vAlign w:val="center"/>
                </w:tcPr>
                <w:p>
                  <w:pPr>
                    <w:widowControl/>
                    <w:jc w:val="center"/>
                    <w:rPr>
                      <w:kern w:val="0"/>
                      <w:szCs w:val="21"/>
                    </w:rPr>
                  </w:pPr>
                  <w:r>
                    <w:rPr>
                      <w:kern w:val="0"/>
                      <w:szCs w:val="21"/>
                    </w:rPr>
                    <w:t>达标</w:t>
                  </w:r>
                </w:p>
              </w:tc>
            </w:tr>
          </w:tbl>
          <w:p/>
          <w:p>
            <w:pPr>
              <w:adjustRightInd w:val="0"/>
              <w:snapToGrid w:val="0"/>
              <w:spacing w:line="360" w:lineRule="auto"/>
              <w:ind w:firstLine="480" w:firstLineChars="200"/>
              <w:rPr>
                <w:sz w:val="24"/>
              </w:rPr>
            </w:pPr>
            <w:r>
              <w:rPr>
                <w:sz w:val="24"/>
              </w:rPr>
              <w:t>根据环境空气质量监测结果，工程区SO</w:t>
            </w:r>
            <w:r>
              <w:rPr>
                <w:sz w:val="24"/>
                <w:vertAlign w:val="subscript"/>
              </w:rPr>
              <w:t>2</w:t>
            </w:r>
            <w:r>
              <w:rPr>
                <w:sz w:val="24"/>
              </w:rPr>
              <w:t>、NO</w:t>
            </w:r>
            <w:r>
              <w:rPr>
                <w:sz w:val="24"/>
                <w:vertAlign w:val="subscript"/>
              </w:rPr>
              <w:t>2</w:t>
            </w:r>
            <w:r>
              <w:rPr>
                <w:rFonts w:hint="eastAsia"/>
                <w:sz w:val="24"/>
              </w:rPr>
              <w:t>和T</w:t>
            </w:r>
            <w:r>
              <w:rPr>
                <w:sz w:val="24"/>
              </w:rPr>
              <w:t>SP均可满足《环境空气质量标准》（GB3095-2012）中二级标准</w:t>
            </w:r>
            <w:r>
              <w:rPr>
                <w:rFonts w:hint="eastAsia"/>
                <w:sz w:val="24"/>
              </w:rPr>
              <w:t>的</w:t>
            </w:r>
            <w:r>
              <w:rPr>
                <w:sz w:val="24"/>
              </w:rPr>
              <w:t>要求，工程区环境空气质量较好。</w:t>
            </w:r>
          </w:p>
          <w:p>
            <w:pPr>
              <w:pStyle w:val="45"/>
              <w:ind w:firstLine="480"/>
            </w:pPr>
            <w:r>
              <w:rPr>
                <w:rFonts w:hint="eastAsia"/>
              </w:rPr>
              <w:t>（</w:t>
            </w:r>
            <w:r>
              <w:t>10</w:t>
            </w:r>
            <w:r>
              <w:rPr>
                <w:rFonts w:hint="eastAsia"/>
              </w:rPr>
              <w:t>）</w:t>
            </w:r>
            <w:r>
              <w:t>声环境</w:t>
            </w:r>
          </w:p>
          <w:p>
            <w:pPr>
              <w:pStyle w:val="45"/>
              <w:ind w:firstLine="480"/>
            </w:pPr>
            <w:r>
              <w:t>工程区声环境执行《声环境质量标准》（GB3096-2008）中的1类标准。</w:t>
            </w:r>
          </w:p>
          <w:p>
            <w:pPr>
              <w:pStyle w:val="45"/>
              <w:ind w:firstLine="480"/>
            </w:pPr>
            <w:r>
              <w:t>本次</w:t>
            </w:r>
            <w:r>
              <w:rPr>
                <w:rFonts w:hint="eastAsia"/>
              </w:rPr>
              <w:t>环评</w:t>
            </w:r>
            <w:r>
              <w:t>委托</w:t>
            </w:r>
            <w:r>
              <w:rPr>
                <w:rFonts w:hint="eastAsia"/>
              </w:rPr>
              <w:t>新疆锡水金山环境科技有限公司</w:t>
            </w:r>
            <w:r>
              <w:t>于2022年12月29日对</w:t>
            </w:r>
            <w:r>
              <w:rPr>
                <w:rFonts w:hint="eastAsia"/>
              </w:rPr>
              <w:t>工程坝址区域的</w:t>
            </w:r>
            <w:r>
              <w:t>声环境进行现状监测，监测数据、评价标准与评价结果详见表11。</w:t>
            </w:r>
          </w:p>
          <w:p>
            <w:pPr>
              <w:jc w:val="left"/>
              <w:rPr>
                <w:rFonts w:eastAsia="黑体"/>
                <w:sz w:val="24"/>
              </w:rPr>
            </w:pPr>
            <w:r>
              <w:rPr>
                <w:rFonts w:eastAsia="黑体"/>
                <w:sz w:val="24"/>
              </w:rPr>
              <w:t>表11                工程区声环境现状监测成果与评价表     单位：dB（A）</w:t>
            </w:r>
          </w:p>
          <w:tbl>
            <w:tblPr>
              <w:tblStyle w:val="21"/>
              <w:tblW w:w="82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2876"/>
              <w:gridCol w:w="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blHeader/>
                <w:jc w:val="center"/>
              </w:trPr>
              <w:tc>
                <w:tcPr>
                  <w:tcW w:w="2339" w:type="dxa"/>
                  <w:vMerge w:val="restart"/>
                  <w:vAlign w:val="center"/>
                </w:tcPr>
                <w:p>
                  <w:pPr>
                    <w:widowControl/>
                    <w:jc w:val="center"/>
                    <w:rPr>
                      <w:bCs/>
                      <w:kern w:val="0"/>
                      <w:szCs w:val="21"/>
                    </w:rPr>
                  </w:pPr>
                  <w:r>
                    <w:rPr>
                      <w:bCs/>
                      <w:kern w:val="0"/>
                      <w:szCs w:val="21"/>
                    </w:rPr>
                    <w:t>监测位置</w:t>
                  </w:r>
                </w:p>
              </w:tc>
              <w:tc>
                <w:tcPr>
                  <w:tcW w:w="5882" w:type="dxa"/>
                  <w:gridSpan w:val="2"/>
                  <w:vAlign w:val="center"/>
                </w:tcPr>
                <w:p>
                  <w:pPr>
                    <w:widowControl/>
                    <w:jc w:val="center"/>
                    <w:rPr>
                      <w:bCs/>
                      <w:kern w:val="0"/>
                      <w:szCs w:val="21"/>
                    </w:rPr>
                  </w:pPr>
                  <w:r>
                    <w:rPr>
                      <w:bCs/>
                      <w:kern w:val="0"/>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blHeader/>
                <w:jc w:val="center"/>
              </w:trPr>
              <w:tc>
                <w:tcPr>
                  <w:tcW w:w="2339" w:type="dxa"/>
                  <w:vMerge w:val="continue"/>
                </w:tcPr>
                <w:p>
                  <w:pPr>
                    <w:widowControl/>
                    <w:jc w:val="center"/>
                    <w:rPr>
                      <w:bCs/>
                      <w:kern w:val="0"/>
                      <w:szCs w:val="21"/>
                    </w:rPr>
                  </w:pPr>
                </w:p>
              </w:tc>
              <w:tc>
                <w:tcPr>
                  <w:tcW w:w="2876" w:type="dxa"/>
                  <w:vAlign w:val="center"/>
                </w:tcPr>
                <w:p>
                  <w:pPr>
                    <w:widowControl/>
                    <w:jc w:val="center"/>
                    <w:rPr>
                      <w:bCs/>
                      <w:kern w:val="0"/>
                      <w:szCs w:val="21"/>
                    </w:rPr>
                  </w:pPr>
                  <w:r>
                    <w:rPr>
                      <w:bCs/>
                      <w:kern w:val="0"/>
                      <w:szCs w:val="21"/>
                    </w:rPr>
                    <w:t>昼</w:t>
                  </w:r>
                </w:p>
              </w:tc>
              <w:tc>
                <w:tcPr>
                  <w:tcW w:w="3006" w:type="dxa"/>
                  <w:vAlign w:val="center"/>
                </w:tcPr>
                <w:p>
                  <w:pPr>
                    <w:widowControl/>
                    <w:jc w:val="center"/>
                    <w:rPr>
                      <w:bCs/>
                      <w:kern w:val="0"/>
                      <w:szCs w:val="21"/>
                    </w:rPr>
                  </w:pPr>
                  <w:r>
                    <w:rPr>
                      <w:bCs/>
                      <w:kern w:val="0"/>
                      <w:szCs w:val="21"/>
                    </w:rPr>
                    <w:t>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339" w:type="dxa"/>
                </w:tcPr>
                <w:p>
                  <w:pPr>
                    <w:widowControl/>
                    <w:jc w:val="center"/>
                    <w:rPr>
                      <w:bCs/>
                      <w:kern w:val="0"/>
                      <w:szCs w:val="21"/>
                    </w:rPr>
                  </w:pPr>
                  <w:r>
                    <w:rPr>
                      <w:bCs/>
                      <w:kern w:val="0"/>
                      <w:szCs w:val="21"/>
                    </w:rPr>
                    <w:t>坝址区</w:t>
                  </w:r>
                </w:p>
              </w:tc>
              <w:tc>
                <w:tcPr>
                  <w:tcW w:w="2876" w:type="dxa"/>
                  <w:vAlign w:val="center"/>
                </w:tcPr>
                <w:p>
                  <w:pPr>
                    <w:widowControl/>
                    <w:jc w:val="center"/>
                    <w:rPr>
                      <w:bCs/>
                      <w:kern w:val="0"/>
                      <w:szCs w:val="21"/>
                    </w:rPr>
                  </w:pPr>
                  <w:r>
                    <w:rPr>
                      <w:bCs/>
                      <w:kern w:val="0"/>
                      <w:szCs w:val="21"/>
                    </w:rPr>
                    <w:t>43</w:t>
                  </w:r>
                </w:p>
              </w:tc>
              <w:tc>
                <w:tcPr>
                  <w:tcW w:w="3006" w:type="dxa"/>
                  <w:vAlign w:val="center"/>
                </w:tcPr>
                <w:p>
                  <w:pPr>
                    <w:widowControl/>
                    <w:jc w:val="center"/>
                    <w:rPr>
                      <w:bCs/>
                      <w:kern w:val="0"/>
                      <w:szCs w:val="21"/>
                    </w:rPr>
                  </w:pPr>
                  <w:r>
                    <w:rPr>
                      <w:bCs/>
                      <w:kern w:val="0"/>
                      <w:szCs w:val="21"/>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339" w:type="dxa"/>
                </w:tcPr>
                <w:p>
                  <w:pPr>
                    <w:widowControl/>
                    <w:jc w:val="center"/>
                    <w:rPr>
                      <w:bCs/>
                      <w:kern w:val="0"/>
                      <w:szCs w:val="21"/>
                    </w:rPr>
                  </w:pPr>
                  <w:r>
                    <w:rPr>
                      <w:bCs/>
                      <w:kern w:val="0"/>
                      <w:szCs w:val="21"/>
                    </w:rPr>
                    <w:t>评价标准</w:t>
                  </w:r>
                </w:p>
              </w:tc>
              <w:tc>
                <w:tcPr>
                  <w:tcW w:w="2876" w:type="dxa"/>
                  <w:vAlign w:val="center"/>
                </w:tcPr>
                <w:p>
                  <w:pPr>
                    <w:widowControl/>
                    <w:jc w:val="center"/>
                    <w:rPr>
                      <w:bCs/>
                      <w:kern w:val="0"/>
                      <w:szCs w:val="21"/>
                    </w:rPr>
                  </w:pPr>
                  <w:r>
                    <w:rPr>
                      <w:bCs/>
                      <w:kern w:val="0"/>
                      <w:szCs w:val="21"/>
                    </w:rPr>
                    <w:t>55</w:t>
                  </w:r>
                </w:p>
              </w:tc>
              <w:tc>
                <w:tcPr>
                  <w:tcW w:w="3006" w:type="dxa"/>
                  <w:vAlign w:val="center"/>
                </w:tcPr>
                <w:p>
                  <w:pPr>
                    <w:widowControl/>
                    <w:jc w:val="center"/>
                    <w:rPr>
                      <w:bCs/>
                      <w:kern w:val="0"/>
                      <w:szCs w:val="21"/>
                    </w:rPr>
                  </w:pPr>
                  <w:r>
                    <w:rPr>
                      <w:bCs/>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339" w:type="dxa"/>
                </w:tcPr>
                <w:p>
                  <w:pPr>
                    <w:widowControl/>
                    <w:jc w:val="center"/>
                    <w:rPr>
                      <w:bCs/>
                      <w:kern w:val="0"/>
                      <w:szCs w:val="21"/>
                    </w:rPr>
                  </w:pPr>
                  <w:r>
                    <w:rPr>
                      <w:bCs/>
                      <w:kern w:val="0"/>
                      <w:szCs w:val="21"/>
                    </w:rPr>
                    <w:t>评价结果</w:t>
                  </w:r>
                </w:p>
              </w:tc>
              <w:tc>
                <w:tcPr>
                  <w:tcW w:w="2876" w:type="dxa"/>
                  <w:vAlign w:val="center"/>
                </w:tcPr>
                <w:p>
                  <w:pPr>
                    <w:widowControl/>
                    <w:jc w:val="center"/>
                    <w:rPr>
                      <w:bCs/>
                      <w:kern w:val="0"/>
                      <w:szCs w:val="21"/>
                    </w:rPr>
                  </w:pPr>
                  <w:r>
                    <w:rPr>
                      <w:bCs/>
                      <w:kern w:val="0"/>
                      <w:szCs w:val="21"/>
                    </w:rPr>
                    <w:t>达标</w:t>
                  </w:r>
                </w:p>
              </w:tc>
              <w:tc>
                <w:tcPr>
                  <w:tcW w:w="3006" w:type="dxa"/>
                  <w:vAlign w:val="center"/>
                </w:tcPr>
                <w:p>
                  <w:pPr>
                    <w:widowControl/>
                    <w:jc w:val="center"/>
                    <w:rPr>
                      <w:bCs/>
                      <w:kern w:val="0"/>
                      <w:szCs w:val="21"/>
                    </w:rPr>
                  </w:pPr>
                  <w:r>
                    <w:rPr>
                      <w:bCs/>
                      <w:kern w:val="0"/>
                      <w:szCs w:val="21"/>
                    </w:rPr>
                    <w:t>达标</w:t>
                  </w:r>
                </w:p>
              </w:tc>
            </w:tr>
          </w:tbl>
          <w:p>
            <w:pPr>
              <w:pStyle w:val="45"/>
              <w:ind w:firstLine="480"/>
            </w:pPr>
          </w:p>
          <w:p>
            <w:pPr>
              <w:pStyle w:val="45"/>
              <w:ind w:firstLine="480"/>
            </w:pPr>
            <w:r>
              <w:t>从表11</w:t>
            </w:r>
            <w:r>
              <w:rPr>
                <w:rFonts w:hint="eastAsia"/>
              </w:rPr>
              <w:t>监测结果</w:t>
            </w:r>
            <w:r>
              <w:t>中可知，工程区现状声环境质量可满足《声环境质量标准》（GB3096-2008）中1类区要求，工程区现状声环境质量较好。</w:t>
            </w:r>
          </w:p>
          <w:p>
            <w:pPr>
              <w:pStyle w:val="45"/>
              <w:ind w:firstLine="480"/>
            </w:pPr>
            <w:r>
              <w:rPr>
                <w:rFonts w:hint="eastAsia"/>
              </w:rPr>
              <w:t>（11）环境敏感</w:t>
            </w:r>
            <w:r>
              <w:t>目标</w:t>
            </w:r>
          </w:p>
          <w:p>
            <w:pPr>
              <w:pStyle w:val="45"/>
              <w:ind w:firstLine="480"/>
              <w:rPr>
                <w:kern w:val="0"/>
              </w:rPr>
            </w:pPr>
            <w:r>
              <w:rPr>
                <w:rFonts w:hint="eastAsia"/>
                <w:kern w:val="0"/>
              </w:rPr>
              <w:t>东城镇饮用水水源地位于东城河山区，距东城镇约5km，水源为东城河地表水，建设于2011年，现有供水人口1.01万人，设计供水量1393m</w:t>
            </w:r>
            <w:r>
              <w:rPr>
                <w:rFonts w:hint="eastAsia"/>
                <w:kern w:val="0"/>
                <w:vertAlign w:val="superscript"/>
              </w:rPr>
              <w:t>3</w:t>
            </w:r>
            <w:r>
              <w:rPr>
                <w:rFonts w:hint="eastAsia"/>
                <w:kern w:val="0"/>
              </w:rPr>
              <w:t>/d，取水口坐标</w:t>
            </w:r>
            <w:r>
              <w:rPr>
                <w:kern w:val="0"/>
              </w:rPr>
              <w:t>N43°44′13″，E90°11′11.8″</w:t>
            </w:r>
            <w:r>
              <w:rPr>
                <w:rFonts w:hint="eastAsia"/>
                <w:kern w:val="0"/>
              </w:rPr>
              <w:t>。东城镇饮用水水源设有两级保护区，其中一级保护区以取水口向南延伸1000m，向北延伸100m，东西以河岸两侧纵深50m处，周长2.26km，面积0.09km</w:t>
            </w:r>
            <w:r>
              <w:rPr>
                <w:rFonts w:hint="eastAsia"/>
                <w:kern w:val="0"/>
                <w:vertAlign w:val="superscript"/>
              </w:rPr>
              <w:t>2</w:t>
            </w:r>
            <w:r>
              <w:rPr>
                <w:rFonts w:hint="eastAsia"/>
                <w:kern w:val="0"/>
              </w:rPr>
              <w:t>；二级保护区南以及保护区外延2000m，北以一级保护区外延伸200m，东西以河岸两侧延伸100m，周长为6.00km，面积0.41km</w:t>
            </w:r>
            <w:r>
              <w:rPr>
                <w:rFonts w:hint="eastAsia"/>
                <w:kern w:val="0"/>
                <w:vertAlign w:val="superscript"/>
              </w:rPr>
              <w:t>2</w:t>
            </w:r>
            <w:r>
              <w:rPr>
                <w:rFonts w:hint="eastAsia"/>
                <w:kern w:val="0"/>
              </w:rPr>
              <w:t>。</w:t>
            </w:r>
          </w:p>
          <w:p>
            <w:pPr>
              <w:pStyle w:val="45"/>
              <w:ind w:firstLine="480"/>
              <w:rPr>
                <w:kern w:val="0"/>
              </w:rPr>
            </w:pPr>
            <w:r>
              <w:rPr>
                <w:rFonts w:hint="eastAsia"/>
                <w:kern w:val="0"/>
              </w:rPr>
              <w:t>经与本工程布局对照，红山嘴水库位于水源地二级保护区下游1.5km，其水库</w:t>
            </w:r>
            <w:r>
              <w:rPr>
                <w:kern w:val="0"/>
              </w:rPr>
              <w:t>淹没</w:t>
            </w:r>
            <w:r>
              <w:rPr>
                <w:rFonts w:hint="eastAsia"/>
                <w:kern w:val="0"/>
              </w:rPr>
              <w:t>边界</w:t>
            </w:r>
            <w:r>
              <w:rPr>
                <w:kern w:val="0"/>
              </w:rPr>
              <w:t>距水源地二级保护区边界</w:t>
            </w:r>
            <w:r>
              <w:rPr>
                <w:rFonts w:hint="eastAsia"/>
                <w:kern w:val="0"/>
              </w:rPr>
              <w:t>较近，施工</w:t>
            </w:r>
            <w:r>
              <w:rPr>
                <w:kern w:val="0"/>
              </w:rPr>
              <w:t>布置均位于水源地保护区下游，</w:t>
            </w:r>
            <w:r>
              <w:rPr>
                <w:rFonts w:hint="eastAsia"/>
                <w:kern w:val="0"/>
              </w:rPr>
              <w:t>因此工程建设</w:t>
            </w:r>
            <w:r>
              <w:rPr>
                <w:kern w:val="0"/>
              </w:rPr>
              <w:t>运行不会对该水源地产生影响</w:t>
            </w:r>
            <w:r>
              <w:rPr>
                <w:rFonts w:hint="eastAsia"/>
                <w:kern w:val="0"/>
              </w:rPr>
              <w:t>。</w:t>
            </w:r>
          </w:p>
          <w:p>
            <w:pPr>
              <w:pStyle w:val="45"/>
              <w:ind w:firstLine="480"/>
            </w:pPr>
            <w:r>
              <w:rPr>
                <w:rFonts w:hint="eastAsia"/>
              </w:rPr>
              <w:t>（1</w:t>
            </w:r>
            <w:r>
              <w:t>2</w:t>
            </w:r>
            <w:r>
              <w:rPr>
                <w:rFonts w:hint="eastAsia"/>
              </w:rPr>
              <w:t>）</w:t>
            </w:r>
            <w:r>
              <w:t>社会环境</w:t>
            </w:r>
          </w:p>
          <w:p>
            <w:pPr>
              <w:pStyle w:val="45"/>
              <w:ind w:firstLine="480"/>
              <w:rPr>
                <w:snapToGrid w:val="0"/>
                <w:kern w:val="0"/>
              </w:rPr>
            </w:pPr>
            <w:r>
              <w:rPr>
                <w:rFonts w:hint="eastAsia" w:ascii="宋体" w:hAnsi="宋体" w:cs="宋体"/>
                <w:snapToGrid w:val="0"/>
                <w:kern w:val="0"/>
              </w:rPr>
              <w:t>①</w:t>
            </w:r>
            <w:r>
              <w:rPr>
                <w:rFonts w:hint="eastAsia"/>
                <w:snapToGrid w:val="0"/>
                <w:kern w:val="0"/>
              </w:rPr>
              <w:t>社会环境概况</w:t>
            </w:r>
          </w:p>
          <w:p>
            <w:pPr>
              <w:pStyle w:val="45"/>
              <w:ind w:firstLine="480"/>
            </w:pPr>
            <w:r>
              <w:rPr>
                <w:snapToGrid w:val="0"/>
                <w:kern w:val="0"/>
              </w:rPr>
              <w:t>工程位于</w:t>
            </w:r>
            <w:r>
              <w:rPr>
                <w:rFonts w:hint="eastAsia"/>
                <w:snapToGrid w:val="0"/>
                <w:kern w:val="0"/>
              </w:rPr>
              <w:t>昌吉回族</w:t>
            </w:r>
            <w:r>
              <w:rPr>
                <w:snapToGrid w:val="0"/>
                <w:kern w:val="0"/>
              </w:rPr>
              <w:t>自治州木垒哈萨克自治县</w:t>
            </w:r>
            <w:r>
              <w:rPr>
                <w:rFonts w:hint="eastAsia"/>
                <w:snapToGrid w:val="0"/>
                <w:kern w:val="0"/>
              </w:rPr>
              <w:t>东城</w:t>
            </w:r>
            <w:r>
              <w:rPr>
                <w:snapToGrid w:val="0"/>
                <w:kern w:val="0"/>
              </w:rPr>
              <w:t>镇。</w:t>
            </w:r>
            <w:r>
              <w:rPr>
                <w:rFonts w:hint="eastAsia"/>
                <w:snapToGrid w:val="0"/>
                <w:kern w:val="0"/>
              </w:rPr>
              <w:t>木垒</w:t>
            </w:r>
            <w:r>
              <w:rPr>
                <w:snapToGrid w:val="0"/>
                <w:kern w:val="0"/>
              </w:rPr>
              <w:t>县行政区域面积24539</w:t>
            </w:r>
            <w:r>
              <w:t>km</w:t>
            </w:r>
            <w:r>
              <w:rPr>
                <w:vertAlign w:val="superscript"/>
              </w:rPr>
              <w:t>2</w:t>
            </w:r>
            <w:r>
              <w:t>，下辖2镇、10乡、2场。</w:t>
            </w:r>
            <w:r>
              <w:rPr>
                <w:snapToGrid w:val="0"/>
                <w:kern w:val="0"/>
              </w:rPr>
              <w:t>截至2022年末</w:t>
            </w:r>
            <w:r>
              <w:rPr>
                <w:rFonts w:hint="eastAsia"/>
                <w:snapToGrid w:val="0"/>
                <w:kern w:val="0"/>
              </w:rPr>
              <w:t>，</w:t>
            </w:r>
            <w:r>
              <w:rPr>
                <w:snapToGrid w:val="0"/>
                <w:kern w:val="0"/>
              </w:rPr>
              <w:t>东城镇总</w:t>
            </w:r>
            <w:r>
              <w:rPr>
                <w:rFonts w:hint="eastAsia"/>
                <w:snapToGrid w:val="0"/>
                <w:kern w:val="0"/>
              </w:rPr>
              <w:t>人口为1.313万人，居住着维、汉、回、哈萨克、乌孜别克等诸多民族，其中汉族人口最多，占流域总人口的73.6%，哈萨克族占14.6%，维吾尔族占10.2%，回族占1.0%，乌孜别克族占0.2%，其他民族占0.4%</w:t>
            </w:r>
            <w:r>
              <w:t>。2022年，</w:t>
            </w:r>
            <w:r>
              <w:rPr>
                <w:rFonts w:hint="eastAsia"/>
              </w:rPr>
              <w:t>木垒</w:t>
            </w:r>
            <w:r>
              <w:t>县实现生产总值（GDP）48.71</w:t>
            </w:r>
            <w:r>
              <w:rPr>
                <w:rFonts w:hint="eastAsia"/>
              </w:rPr>
              <w:t>亿</w:t>
            </w:r>
            <w:r>
              <w:t>元，同比增长6.7%。其中，第一产业增加值11.02</w:t>
            </w:r>
            <w:r>
              <w:rPr>
                <w:rFonts w:hint="eastAsia"/>
              </w:rPr>
              <w:t>亿</w:t>
            </w:r>
            <w:r>
              <w:t>元，第二产业增加值14.07</w:t>
            </w:r>
            <w:r>
              <w:rPr>
                <w:rFonts w:hint="eastAsia"/>
              </w:rPr>
              <w:t>亿</w:t>
            </w:r>
            <w:r>
              <w:t>元，工业增加值5.01</w:t>
            </w:r>
            <w:r>
              <w:rPr>
                <w:rFonts w:hint="eastAsia"/>
              </w:rPr>
              <w:t>亿</w:t>
            </w:r>
            <w:r>
              <w:t>元，第三产业增加值23.63</w:t>
            </w:r>
            <w:r>
              <w:rPr>
                <w:rFonts w:hint="eastAsia"/>
              </w:rPr>
              <w:t>亿</w:t>
            </w:r>
            <w:r>
              <w:t>元。人均生产总值56660元。</w:t>
            </w:r>
          </w:p>
          <w:p>
            <w:pPr>
              <w:spacing w:line="360" w:lineRule="auto"/>
              <w:ind w:firstLine="480" w:firstLineChars="200"/>
              <w:rPr>
                <w:sz w:val="24"/>
              </w:rPr>
            </w:pPr>
            <w:r>
              <w:rPr>
                <w:rFonts w:hint="eastAsia" w:ascii="宋体" w:hAnsi="宋体" w:cs="宋体"/>
                <w:sz w:val="24"/>
              </w:rPr>
              <w:t>②</w:t>
            </w:r>
            <w:r>
              <w:rPr>
                <w:rFonts w:hint="eastAsia"/>
                <w:sz w:val="24"/>
              </w:rPr>
              <w:t>水利工程现状</w:t>
            </w:r>
          </w:p>
          <w:p>
            <w:pPr>
              <w:spacing w:line="360" w:lineRule="auto"/>
              <w:ind w:firstLine="480" w:firstLineChars="200"/>
              <w:rPr>
                <w:sz w:val="24"/>
              </w:rPr>
            </w:pPr>
            <w:r>
              <w:rPr>
                <w:rFonts w:hint="eastAsia"/>
                <w:sz w:val="24"/>
              </w:rPr>
              <w:t>a</w:t>
            </w:r>
            <w:r>
              <w:rPr>
                <w:sz w:val="24"/>
              </w:rPr>
              <w:t>.</w:t>
            </w:r>
            <w:r>
              <w:rPr>
                <w:rFonts w:hint="eastAsia"/>
                <w:sz w:val="24"/>
              </w:rPr>
              <w:t>水库</w:t>
            </w:r>
            <w:r>
              <w:rPr>
                <w:sz w:val="24"/>
              </w:rPr>
              <w:t>工程</w:t>
            </w:r>
          </w:p>
          <w:p>
            <w:pPr>
              <w:spacing w:line="360" w:lineRule="auto"/>
              <w:ind w:firstLine="480" w:firstLineChars="200"/>
              <w:rPr>
                <w:sz w:val="24"/>
              </w:rPr>
            </w:pPr>
            <w:r>
              <w:rPr>
                <w:sz w:val="24"/>
              </w:rPr>
              <w:t>东城水库位于木垒县城以西20km东城镇境内，水库坝址位于东城镇以北8km，地理坐标为：E90°04′</w:t>
            </w:r>
            <w:r>
              <w:rPr>
                <w:rFonts w:hint="eastAsia"/>
                <w:sz w:val="24"/>
              </w:rPr>
              <w:t>，N</w:t>
            </w:r>
            <w:r>
              <w:rPr>
                <w:sz w:val="24"/>
              </w:rPr>
              <w:t>43°50′，海拔高程1077m，水库坝址以上集水面积265.5km</w:t>
            </w:r>
            <w:r>
              <w:rPr>
                <w:sz w:val="24"/>
                <w:vertAlign w:val="superscript"/>
              </w:rPr>
              <w:t>2</w:t>
            </w:r>
            <w:r>
              <w:rPr>
                <w:sz w:val="24"/>
              </w:rPr>
              <w:t>。</w:t>
            </w:r>
          </w:p>
          <w:p>
            <w:pPr>
              <w:spacing w:line="360" w:lineRule="auto"/>
              <w:ind w:firstLine="480" w:firstLineChars="200"/>
              <w:rPr>
                <w:sz w:val="24"/>
              </w:rPr>
            </w:pPr>
            <w:r>
              <w:rPr>
                <w:sz w:val="24"/>
              </w:rPr>
              <w:t>东城水库是一座以灌溉为主，兼顾防洪的</w:t>
            </w:r>
            <w:r>
              <w:rPr>
                <w:rFonts w:hint="eastAsia" w:ascii="宋体" w:hAnsi="宋体" w:cs="宋体"/>
                <w:sz w:val="24"/>
              </w:rPr>
              <w:t>Ⅳ</w:t>
            </w:r>
            <w:r>
              <w:rPr>
                <w:sz w:val="24"/>
              </w:rPr>
              <w:t>等小（1）型水利枢纽工程，主要建筑物拦河坝、放水涵洞、溢洪道为4级建筑物，其他附属建筑物为5级。死水位1070.81m，死库容40万m</w:t>
            </w:r>
            <w:r>
              <w:rPr>
                <w:sz w:val="24"/>
                <w:vertAlign w:val="superscript"/>
              </w:rPr>
              <w:t>3</w:t>
            </w:r>
            <w:r>
              <w:rPr>
                <w:sz w:val="24"/>
              </w:rPr>
              <w:t>；水库正常蓄水位1074.38m，相对应库容265.7万m</w:t>
            </w:r>
            <w:r>
              <w:rPr>
                <w:sz w:val="24"/>
                <w:vertAlign w:val="superscript"/>
              </w:rPr>
              <w:t>3</w:t>
            </w:r>
            <w:r>
              <w:rPr>
                <w:sz w:val="24"/>
              </w:rPr>
              <w:t>；设计洪水位1074.44m，相对应库容280.28万m</w:t>
            </w:r>
            <w:r>
              <w:rPr>
                <w:sz w:val="24"/>
                <w:vertAlign w:val="superscript"/>
              </w:rPr>
              <w:t>3</w:t>
            </w:r>
            <w:r>
              <w:rPr>
                <w:sz w:val="24"/>
              </w:rPr>
              <w:t>；校核洪水位为1075.74m，水库设计总库容为406万m</w:t>
            </w:r>
            <w:r>
              <w:rPr>
                <w:sz w:val="24"/>
                <w:vertAlign w:val="superscript"/>
              </w:rPr>
              <w:t>3</w:t>
            </w:r>
            <w:r>
              <w:rPr>
                <w:sz w:val="24"/>
              </w:rPr>
              <w:t>。水库设计洪水重现期为30年，校核洪水重现期为300年，下游河道的防洪标准为20年一遇。水库大坝抗震设防烈度为</w:t>
            </w:r>
            <w:r>
              <w:rPr>
                <w:rFonts w:hint="eastAsia" w:ascii="宋体" w:hAnsi="宋体" w:cs="宋体"/>
                <w:sz w:val="24"/>
              </w:rPr>
              <w:t>Ⅶ</w:t>
            </w:r>
            <w:r>
              <w:rPr>
                <w:sz w:val="24"/>
              </w:rPr>
              <w:t>度，地震动峰加速度值0.15g。</w:t>
            </w:r>
          </w:p>
          <w:p>
            <w:pPr>
              <w:spacing w:line="360" w:lineRule="auto"/>
              <w:ind w:firstLine="480" w:firstLineChars="200"/>
              <w:rPr>
                <w:sz w:val="24"/>
              </w:rPr>
            </w:pPr>
            <w:r>
              <w:rPr>
                <w:rFonts w:hint="eastAsia"/>
                <w:sz w:val="24"/>
              </w:rPr>
              <w:t>在2020年7月</w:t>
            </w:r>
            <w:r>
              <w:rPr>
                <w:sz w:val="24"/>
              </w:rPr>
              <w:t>经专家组</w:t>
            </w:r>
            <w:r>
              <w:rPr>
                <w:rFonts w:hint="eastAsia"/>
                <w:sz w:val="24"/>
              </w:rPr>
              <w:t>鉴定</w:t>
            </w:r>
            <w:r>
              <w:rPr>
                <w:sz w:val="24"/>
              </w:rPr>
              <w:t>，</w:t>
            </w:r>
            <w:r>
              <w:rPr>
                <w:rFonts w:hint="eastAsia"/>
                <w:sz w:val="24"/>
              </w:rPr>
              <w:t>鉴于木垒县东城水库库区泥沙淤积严重，蓄水灌溉、防洪功能基本丧失，根据《水库降等与报废标准》（SL605-2013）要求对东城水库进行报废处理。2023年1月20日，昌吉回族自治州水利局以昌州水函字[2023]1号印发了“关于印发《木垒县东城水库报废验收鉴定书》的通知”，同意木垒县东城水库通过报废验收。目前，东城水库现已拆除拦河坝等拦河建筑物，已恢复河道连通性。</w:t>
            </w:r>
          </w:p>
          <w:p>
            <w:pPr>
              <w:pStyle w:val="45"/>
              <w:ind w:firstLine="480"/>
            </w:pPr>
            <w:r>
              <w:rPr>
                <w:rFonts w:hint="eastAsia"/>
              </w:rPr>
              <w:t>b</w:t>
            </w:r>
            <w:r>
              <w:t>.</w:t>
            </w:r>
            <w:r>
              <w:rPr>
                <w:rFonts w:hint="eastAsia"/>
              </w:rPr>
              <w:t>渠首</w:t>
            </w:r>
          </w:p>
          <w:p>
            <w:pPr>
              <w:pStyle w:val="45"/>
              <w:ind w:firstLine="480"/>
            </w:pPr>
            <w:r>
              <w:rPr>
                <w:rFonts w:hint="eastAsia"/>
              </w:rPr>
              <w:t>东城渠首为</w:t>
            </w:r>
            <w:r>
              <w:t>拦河渠首，</w:t>
            </w:r>
            <w:r>
              <w:rPr>
                <w:rFonts w:hint="eastAsia"/>
              </w:rPr>
              <w:t>位于东城水库上游12km，地理坐标为：</w:t>
            </w:r>
            <w:r>
              <w:t>E90°10′25″，N43°45′46.15″</w:t>
            </w:r>
            <w:r>
              <w:rPr>
                <w:rFonts w:hint="eastAsia"/>
              </w:rPr>
              <w:t>，海拔高程1293m。工程始建于1968年，主要功能是防洪、灌溉，设计引水流量6.1m</w:t>
            </w:r>
            <w:r>
              <w:rPr>
                <w:rFonts w:hint="eastAsia"/>
                <w:vertAlign w:val="superscript"/>
              </w:rPr>
              <w:t>3</w:t>
            </w:r>
            <w:r>
              <w:rPr>
                <w:rFonts w:hint="eastAsia"/>
              </w:rPr>
              <w:t>/s，设计最大过闸流量108m</w:t>
            </w:r>
            <w:r>
              <w:rPr>
                <w:rFonts w:hint="eastAsia"/>
                <w:vertAlign w:val="superscript"/>
              </w:rPr>
              <w:t>3</w:t>
            </w:r>
            <w:r>
              <w:rPr>
                <w:rFonts w:hint="eastAsia"/>
              </w:rPr>
              <w:t>/s。1984年7月发生大洪水，且缺乏资金对</w:t>
            </w:r>
            <w:r>
              <w:t>渠首进行</w:t>
            </w:r>
            <w:r>
              <w:rPr>
                <w:rFonts w:hint="eastAsia"/>
              </w:rPr>
              <w:t>维修，至今一直未修复，带病运行，经安全鉴定，等级为四类闸，基本失去运行能力。东城渠首</w:t>
            </w:r>
            <w:r>
              <w:t>现已对鱼类产生了阻隔影响，且并未建设过鱼设施。</w:t>
            </w:r>
          </w:p>
          <w:p>
            <w:pPr>
              <w:pStyle w:val="45"/>
              <w:ind w:firstLine="480"/>
            </w:pPr>
            <w:r>
              <w:rPr>
                <w:rFonts w:hint="eastAsia"/>
              </w:rPr>
              <w:t>红山嘴水库建成后对东城渠首进行拆除，灌区供水将由红山嘴水库进行控制。</w:t>
            </w:r>
          </w:p>
          <w:p>
            <w:pPr>
              <w:pStyle w:val="45"/>
              <w:ind w:firstLine="480"/>
            </w:pPr>
            <w:r>
              <w:rPr>
                <w:rFonts w:hint="eastAsia"/>
              </w:rPr>
              <w:t>c.渠道</w:t>
            </w:r>
          </w:p>
          <w:p>
            <w:pPr>
              <w:pStyle w:val="45"/>
              <w:ind w:firstLine="480"/>
            </w:pPr>
            <w:r>
              <w:t>东城河流域干渠主要为</w:t>
            </w:r>
            <w:r>
              <w:rPr>
                <w:rFonts w:hint="eastAsia"/>
              </w:rPr>
              <w:t>位于</w:t>
            </w:r>
            <w:r>
              <w:t>东城渠首后的</w:t>
            </w:r>
            <w:r>
              <w:rPr>
                <w:rFonts w:hint="eastAsia"/>
              </w:rPr>
              <w:t>东城</w:t>
            </w:r>
            <w:r>
              <w:t>干渠和</w:t>
            </w:r>
            <w:r>
              <w:rPr>
                <w:rFonts w:hint="eastAsia"/>
              </w:rPr>
              <w:t>东城</w:t>
            </w:r>
            <w:r>
              <w:t>水库坝后干渠</w:t>
            </w:r>
            <w:r>
              <w:rPr>
                <w:rFonts w:hint="eastAsia"/>
              </w:rPr>
              <w:t>，</w:t>
            </w:r>
            <w:r>
              <w:t>总长度3.0km，防渗长度3.0km，防渗率为100%；支</w:t>
            </w:r>
            <w:r>
              <w:rPr>
                <w:rFonts w:hint="eastAsia"/>
              </w:rPr>
              <w:t>渠</w:t>
            </w:r>
            <w:r>
              <w:t>主要包括东城干渠后的西支渠和</w:t>
            </w:r>
            <w:r>
              <w:rPr>
                <w:rFonts w:hint="eastAsia"/>
              </w:rPr>
              <w:t>东</w:t>
            </w:r>
            <w:r>
              <w:t>支渠总长度</w:t>
            </w:r>
            <w:r>
              <w:rPr>
                <w:rFonts w:hint="eastAsia"/>
              </w:rPr>
              <w:t>19.5</w:t>
            </w:r>
            <w:r>
              <w:t>1km，防渗长度</w:t>
            </w:r>
            <w:r>
              <w:rPr>
                <w:rFonts w:hint="eastAsia"/>
              </w:rPr>
              <w:t>19.5</w:t>
            </w:r>
            <w:r>
              <w:t>km，防渗率为100%</w:t>
            </w:r>
            <w:r>
              <w:rPr>
                <w:rFonts w:hint="eastAsia"/>
              </w:rPr>
              <w:t>。</w:t>
            </w:r>
          </w:p>
          <w:p>
            <w:pPr>
              <w:pStyle w:val="45"/>
              <w:ind w:firstLine="480"/>
            </w:pPr>
            <w:r>
              <w:t>d.</w:t>
            </w:r>
            <w:r>
              <w:rPr>
                <w:rFonts w:hint="eastAsia"/>
              </w:rPr>
              <w:t>红山嘴</w:t>
            </w:r>
            <w:r>
              <w:t>水库建成后变化分析</w:t>
            </w:r>
          </w:p>
          <w:p>
            <w:pPr>
              <w:pStyle w:val="45"/>
              <w:ind w:firstLine="480"/>
            </w:pPr>
            <w:r>
              <w:rPr>
                <w:rFonts w:hint="eastAsia"/>
              </w:rPr>
              <w:t>现状年</w:t>
            </w:r>
            <w:r>
              <w:t>由于</w:t>
            </w:r>
            <w:r>
              <w:rPr>
                <w:rFonts w:hint="eastAsia"/>
              </w:rPr>
              <w:t>东城</w:t>
            </w:r>
            <w:r>
              <w:t>水库已报废</w:t>
            </w:r>
            <w:r>
              <w:rPr>
                <w:rFonts w:hint="eastAsia"/>
              </w:rPr>
              <w:t>、</w:t>
            </w:r>
            <w:r>
              <w:t>东城渠首基本失去运行</w:t>
            </w:r>
            <w:r>
              <w:rPr>
                <w:rFonts w:hint="eastAsia"/>
              </w:rPr>
              <w:t>能力</w:t>
            </w:r>
            <w:r>
              <w:t>，</w:t>
            </w:r>
            <w:r>
              <w:rPr>
                <w:rFonts w:hint="eastAsia"/>
              </w:rPr>
              <w:t>东城河</w:t>
            </w:r>
            <w:r>
              <w:t>流域缺乏调蓄性工程，</w:t>
            </w:r>
            <w:r>
              <w:rPr>
                <w:rFonts w:hint="eastAsia"/>
              </w:rPr>
              <w:t>现状年灌区总需水量为668.06万m</w:t>
            </w:r>
            <w:r>
              <w:rPr>
                <w:rFonts w:hint="eastAsia"/>
                <w:vertAlign w:val="superscript"/>
              </w:rPr>
              <w:t>3</w:t>
            </w:r>
            <w:r>
              <w:rPr>
                <w:rFonts w:hint="eastAsia"/>
              </w:rPr>
              <w:t>，在不考虑生态用水情况下，东城渠首及上游支沟的人畜饮水工程的总引水量为163.07万m</w:t>
            </w:r>
            <w:r>
              <w:rPr>
                <w:rFonts w:hint="eastAsia"/>
                <w:vertAlign w:val="superscript"/>
              </w:rPr>
              <w:t>3</w:t>
            </w:r>
            <w:r>
              <w:rPr>
                <w:rFonts w:hint="eastAsia"/>
              </w:rPr>
              <w:t>，灌区缺水504.99万m</w:t>
            </w:r>
            <w:r>
              <w:rPr>
                <w:rFonts w:hint="eastAsia"/>
                <w:vertAlign w:val="superscript"/>
              </w:rPr>
              <w:t>3</w:t>
            </w:r>
            <w:r>
              <w:rPr>
                <w:rFonts w:hint="eastAsia"/>
              </w:rPr>
              <w:t>，地下水补充灌溉水量256.96万m</w:t>
            </w:r>
            <w:r>
              <w:rPr>
                <w:rFonts w:hint="eastAsia"/>
                <w:vertAlign w:val="superscript"/>
              </w:rPr>
              <w:t>3</w:t>
            </w:r>
            <w:r>
              <w:rPr>
                <w:rFonts w:hint="eastAsia"/>
              </w:rPr>
              <w:t>，灌区任</w:t>
            </w:r>
            <w:r>
              <w:t>然</w:t>
            </w:r>
            <w:r>
              <w:rPr>
                <w:rFonts w:hint="eastAsia"/>
              </w:rPr>
              <w:t>缺水248.03万m</w:t>
            </w:r>
            <w:r>
              <w:rPr>
                <w:rFonts w:hint="eastAsia"/>
                <w:vertAlign w:val="superscript"/>
              </w:rPr>
              <w:t>3</w:t>
            </w:r>
            <w:r>
              <w:rPr>
                <w:rFonts w:hint="eastAsia"/>
              </w:rPr>
              <w:t>。</w:t>
            </w:r>
          </w:p>
          <w:p>
            <w:pPr>
              <w:pStyle w:val="45"/>
              <w:ind w:firstLine="480"/>
            </w:pPr>
            <w:r>
              <w:rPr>
                <w:rFonts w:hint="eastAsia"/>
              </w:rPr>
              <w:t>红山嘴</w:t>
            </w:r>
            <w:r>
              <w:t>水库建成后，</w:t>
            </w:r>
            <w:r>
              <w:rPr>
                <w:rFonts w:hint="eastAsia"/>
              </w:rPr>
              <w:t>可</w:t>
            </w:r>
            <w:r>
              <w:t>提高</w:t>
            </w:r>
            <w:r>
              <w:rPr>
                <w:rFonts w:hint="eastAsia"/>
              </w:rPr>
              <w:t>地表</w:t>
            </w:r>
            <w:r>
              <w:t>水资源利用率保证下游农业及其他各业用水需求，可有效提高下游灌区的灌溉保证率</w:t>
            </w:r>
            <w:r>
              <w:rPr>
                <w:rFonts w:hint="eastAsia"/>
              </w:rPr>
              <w:t>，可保障生态基流持续稳定的下泄，详见</w:t>
            </w:r>
            <w:r>
              <w:t>表</w:t>
            </w:r>
            <w:r>
              <w:rPr>
                <w:rFonts w:hint="eastAsia"/>
              </w:rPr>
              <w:t>12。修建红山嘴</w:t>
            </w:r>
            <w:r>
              <w:t>水库后，通过其调蓄径流</w:t>
            </w:r>
            <w:r>
              <w:rPr>
                <w:rFonts w:hint="eastAsia"/>
              </w:rPr>
              <w:t>，50</w:t>
            </w:r>
            <w:r>
              <w:t>%、</w:t>
            </w:r>
            <w:r>
              <w:rPr>
                <w:rFonts w:hint="eastAsia"/>
              </w:rPr>
              <w:t>85</w:t>
            </w:r>
            <w:r>
              <w:t>%来水</w:t>
            </w:r>
            <w:r>
              <w:rPr>
                <w:rFonts w:hint="eastAsia"/>
              </w:rPr>
              <w:t>频率</w:t>
            </w:r>
            <w:r>
              <w:t>下灌区不</w:t>
            </w:r>
            <w:r>
              <w:rPr>
                <w:rFonts w:hint="eastAsia"/>
              </w:rPr>
              <w:t>再</w:t>
            </w:r>
            <w:r>
              <w:t>缺水</w:t>
            </w:r>
            <w:r>
              <w:rPr>
                <w:rFonts w:hint="eastAsia"/>
              </w:rPr>
              <w:t>，</w:t>
            </w:r>
            <w:r>
              <w:t>在不考虑农业需水</w:t>
            </w:r>
            <w:r>
              <w:rPr>
                <w:rFonts w:hint="eastAsia"/>
              </w:rPr>
              <w:t>情况下，95</w:t>
            </w:r>
            <w:r>
              <w:t>%</w:t>
            </w:r>
            <w:r>
              <w:rPr>
                <w:rFonts w:hint="eastAsia"/>
              </w:rPr>
              <w:t>来水</w:t>
            </w:r>
            <w:r>
              <w:t>频率灌区不缺水。</w:t>
            </w:r>
          </w:p>
          <w:p>
            <w:pPr>
              <w:jc w:val="left"/>
              <w:rPr>
                <w:rFonts w:eastAsia="黑体"/>
                <w:sz w:val="24"/>
              </w:rPr>
            </w:pPr>
            <w:r>
              <w:rPr>
                <w:rFonts w:eastAsia="黑体"/>
                <w:sz w:val="24"/>
              </w:rPr>
              <w:t xml:space="preserve">表12                </w:t>
            </w:r>
            <w:r>
              <w:rPr>
                <w:rFonts w:hint="eastAsia" w:eastAsia="黑体"/>
                <w:sz w:val="24"/>
              </w:rPr>
              <w:t>地表水资源</w:t>
            </w:r>
            <w:r>
              <w:rPr>
                <w:rFonts w:eastAsia="黑体"/>
                <w:sz w:val="24"/>
              </w:rPr>
              <w:t>利用率对比表     单位：%</w:t>
            </w:r>
          </w:p>
          <w:tbl>
            <w:tblPr>
              <w:tblStyle w:val="21"/>
              <w:tblW w:w="822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39"/>
              <w:gridCol w:w="2876"/>
              <w:gridCol w:w="3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blHeader/>
                <w:jc w:val="center"/>
              </w:trPr>
              <w:tc>
                <w:tcPr>
                  <w:tcW w:w="2339" w:type="dxa"/>
                  <w:vMerge w:val="restart"/>
                  <w:vAlign w:val="center"/>
                </w:tcPr>
                <w:p>
                  <w:pPr>
                    <w:widowControl/>
                    <w:jc w:val="center"/>
                    <w:rPr>
                      <w:bCs/>
                      <w:kern w:val="0"/>
                      <w:szCs w:val="21"/>
                    </w:rPr>
                  </w:pPr>
                  <w:r>
                    <w:rPr>
                      <w:rFonts w:hint="eastAsia"/>
                      <w:bCs/>
                      <w:kern w:val="0"/>
                      <w:szCs w:val="21"/>
                    </w:rPr>
                    <w:t>来水频率</w:t>
                  </w:r>
                </w:p>
              </w:tc>
              <w:tc>
                <w:tcPr>
                  <w:tcW w:w="5882" w:type="dxa"/>
                  <w:gridSpan w:val="2"/>
                  <w:vAlign w:val="center"/>
                </w:tcPr>
                <w:p>
                  <w:pPr>
                    <w:widowControl/>
                    <w:jc w:val="center"/>
                    <w:rPr>
                      <w:bCs/>
                      <w:kern w:val="0"/>
                      <w:szCs w:val="21"/>
                    </w:rPr>
                  </w:pPr>
                  <w:r>
                    <w:rPr>
                      <w:rFonts w:hint="eastAsia"/>
                      <w:bCs/>
                      <w:kern w:val="0"/>
                      <w:szCs w:val="21"/>
                    </w:rPr>
                    <w:t>地表水利用率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tblHeader/>
                <w:jc w:val="center"/>
              </w:trPr>
              <w:tc>
                <w:tcPr>
                  <w:tcW w:w="2339" w:type="dxa"/>
                  <w:vMerge w:val="continue"/>
                </w:tcPr>
                <w:p>
                  <w:pPr>
                    <w:widowControl/>
                    <w:jc w:val="center"/>
                    <w:rPr>
                      <w:bCs/>
                      <w:kern w:val="0"/>
                      <w:szCs w:val="21"/>
                    </w:rPr>
                  </w:pPr>
                </w:p>
              </w:tc>
              <w:tc>
                <w:tcPr>
                  <w:tcW w:w="2876" w:type="dxa"/>
                  <w:vAlign w:val="center"/>
                </w:tcPr>
                <w:p>
                  <w:pPr>
                    <w:widowControl/>
                    <w:jc w:val="center"/>
                    <w:rPr>
                      <w:bCs/>
                      <w:kern w:val="0"/>
                      <w:szCs w:val="21"/>
                    </w:rPr>
                  </w:pPr>
                  <w:r>
                    <w:rPr>
                      <w:rFonts w:hint="eastAsia"/>
                      <w:bCs/>
                      <w:kern w:val="0"/>
                      <w:szCs w:val="21"/>
                    </w:rPr>
                    <w:t>现状年</w:t>
                  </w:r>
                </w:p>
              </w:tc>
              <w:tc>
                <w:tcPr>
                  <w:tcW w:w="3006" w:type="dxa"/>
                  <w:vAlign w:val="center"/>
                </w:tcPr>
                <w:p>
                  <w:pPr>
                    <w:widowControl/>
                    <w:jc w:val="center"/>
                    <w:rPr>
                      <w:bCs/>
                      <w:kern w:val="0"/>
                      <w:szCs w:val="21"/>
                    </w:rPr>
                  </w:pPr>
                  <w:r>
                    <w:rPr>
                      <w:rFonts w:hint="eastAsia"/>
                      <w:bCs/>
                      <w:kern w:val="0"/>
                      <w:szCs w:val="21"/>
                    </w:rPr>
                    <w:t>设计</w:t>
                  </w:r>
                  <w:r>
                    <w:rPr>
                      <w:bCs/>
                      <w:kern w:val="0"/>
                      <w:szCs w:val="21"/>
                    </w:rPr>
                    <w:t>水平年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339" w:type="dxa"/>
                </w:tcPr>
                <w:p>
                  <w:pPr>
                    <w:widowControl/>
                    <w:jc w:val="center"/>
                    <w:rPr>
                      <w:bCs/>
                      <w:kern w:val="0"/>
                      <w:szCs w:val="21"/>
                    </w:rPr>
                  </w:pPr>
                  <w:r>
                    <w:rPr>
                      <w:rFonts w:hint="eastAsia"/>
                      <w:bCs/>
                      <w:kern w:val="0"/>
                      <w:szCs w:val="21"/>
                    </w:rPr>
                    <w:t>P</w:t>
                  </w:r>
                  <w:r>
                    <w:rPr>
                      <w:bCs/>
                      <w:kern w:val="0"/>
                      <w:szCs w:val="21"/>
                    </w:rPr>
                    <w:t>=50%</w:t>
                  </w:r>
                </w:p>
              </w:tc>
              <w:tc>
                <w:tcPr>
                  <w:tcW w:w="2876" w:type="dxa"/>
                  <w:vAlign w:val="center"/>
                </w:tcPr>
                <w:p>
                  <w:pPr>
                    <w:widowControl/>
                    <w:jc w:val="center"/>
                    <w:rPr>
                      <w:bCs/>
                      <w:kern w:val="0"/>
                      <w:szCs w:val="21"/>
                    </w:rPr>
                  </w:pPr>
                  <w:r>
                    <w:rPr>
                      <w:rFonts w:hint="eastAsia"/>
                      <w:bCs/>
                      <w:kern w:val="0"/>
                      <w:szCs w:val="21"/>
                    </w:rPr>
                    <w:t>17.90</w:t>
                  </w:r>
                  <w:r>
                    <w:rPr>
                      <w:bCs/>
                      <w:kern w:val="0"/>
                      <w:szCs w:val="21"/>
                    </w:rPr>
                    <w:t>%</w:t>
                  </w:r>
                </w:p>
              </w:tc>
              <w:tc>
                <w:tcPr>
                  <w:tcW w:w="3006" w:type="dxa"/>
                  <w:vAlign w:val="center"/>
                </w:tcPr>
                <w:p>
                  <w:pPr>
                    <w:widowControl/>
                    <w:jc w:val="center"/>
                    <w:rPr>
                      <w:bCs/>
                      <w:kern w:val="0"/>
                      <w:szCs w:val="21"/>
                    </w:rPr>
                  </w:pPr>
                  <w:r>
                    <w:rPr>
                      <w:rFonts w:hint="eastAsia"/>
                      <w:bCs/>
                      <w:kern w:val="0"/>
                      <w:szCs w:val="21"/>
                    </w:rPr>
                    <w:t>42.22</w:t>
                  </w:r>
                  <w:r>
                    <w:rPr>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339" w:type="dxa"/>
                </w:tcPr>
                <w:p>
                  <w:pPr>
                    <w:widowControl/>
                    <w:jc w:val="center"/>
                    <w:rPr>
                      <w:bCs/>
                      <w:kern w:val="0"/>
                      <w:szCs w:val="21"/>
                    </w:rPr>
                  </w:pPr>
                  <w:r>
                    <w:rPr>
                      <w:rFonts w:hint="eastAsia"/>
                      <w:bCs/>
                      <w:kern w:val="0"/>
                      <w:szCs w:val="21"/>
                    </w:rPr>
                    <w:t>P</w:t>
                  </w:r>
                  <w:r>
                    <w:rPr>
                      <w:bCs/>
                      <w:kern w:val="0"/>
                      <w:szCs w:val="21"/>
                    </w:rPr>
                    <w:t>=85%</w:t>
                  </w:r>
                </w:p>
              </w:tc>
              <w:tc>
                <w:tcPr>
                  <w:tcW w:w="2876" w:type="dxa"/>
                  <w:vAlign w:val="center"/>
                </w:tcPr>
                <w:p>
                  <w:pPr>
                    <w:widowControl/>
                    <w:jc w:val="center"/>
                    <w:rPr>
                      <w:bCs/>
                      <w:kern w:val="0"/>
                      <w:szCs w:val="21"/>
                    </w:rPr>
                  </w:pPr>
                  <w:r>
                    <w:rPr>
                      <w:rFonts w:hint="eastAsia"/>
                      <w:bCs/>
                      <w:kern w:val="0"/>
                      <w:szCs w:val="21"/>
                    </w:rPr>
                    <w:t>17.90</w:t>
                  </w:r>
                  <w:r>
                    <w:rPr>
                      <w:bCs/>
                      <w:kern w:val="0"/>
                      <w:szCs w:val="21"/>
                    </w:rPr>
                    <w:t>%</w:t>
                  </w:r>
                </w:p>
              </w:tc>
              <w:tc>
                <w:tcPr>
                  <w:tcW w:w="3006" w:type="dxa"/>
                  <w:vAlign w:val="center"/>
                </w:tcPr>
                <w:p>
                  <w:pPr>
                    <w:widowControl/>
                    <w:jc w:val="center"/>
                    <w:rPr>
                      <w:bCs/>
                      <w:kern w:val="0"/>
                      <w:szCs w:val="21"/>
                    </w:rPr>
                  </w:pPr>
                  <w:r>
                    <w:rPr>
                      <w:rFonts w:hint="eastAsia"/>
                      <w:bCs/>
                      <w:kern w:val="0"/>
                      <w:szCs w:val="21"/>
                    </w:rPr>
                    <w:t>42.22</w:t>
                  </w:r>
                  <w:r>
                    <w:rPr>
                      <w:bCs/>
                      <w:kern w:val="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4" w:hRule="exact"/>
                <w:jc w:val="center"/>
              </w:trPr>
              <w:tc>
                <w:tcPr>
                  <w:tcW w:w="2339" w:type="dxa"/>
                </w:tcPr>
                <w:p>
                  <w:pPr>
                    <w:widowControl/>
                    <w:jc w:val="center"/>
                    <w:rPr>
                      <w:bCs/>
                      <w:kern w:val="0"/>
                      <w:szCs w:val="21"/>
                    </w:rPr>
                  </w:pPr>
                  <w:r>
                    <w:rPr>
                      <w:rFonts w:hint="eastAsia"/>
                      <w:bCs/>
                      <w:kern w:val="0"/>
                      <w:szCs w:val="21"/>
                    </w:rPr>
                    <w:t>P</w:t>
                  </w:r>
                  <w:r>
                    <w:rPr>
                      <w:bCs/>
                      <w:kern w:val="0"/>
                      <w:szCs w:val="21"/>
                    </w:rPr>
                    <w:t>=95%</w:t>
                  </w:r>
                </w:p>
              </w:tc>
              <w:tc>
                <w:tcPr>
                  <w:tcW w:w="2876" w:type="dxa"/>
                  <w:vAlign w:val="center"/>
                </w:tcPr>
                <w:p>
                  <w:pPr>
                    <w:widowControl/>
                    <w:jc w:val="center"/>
                    <w:rPr>
                      <w:bCs/>
                      <w:kern w:val="0"/>
                      <w:szCs w:val="21"/>
                    </w:rPr>
                  </w:pPr>
                  <w:r>
                    <w:rPr>
                      <w:rFonts w:hint="eastAsia"/>
                      <w:bCs/>
                      <w:kern w:val="0"/>
                      <w:szCs w:val="21"/>
                    </w:rPr>
                    <w:t>7.15</w:t>
                  </w:r>
                  <w:r>
                    <w:rPr>
                      <w:bCs/>
                      <w:kern w:val="0"/>
                      <w:szCs w:val="21"/>
                    </w:rPr>
                    <w:t>%</w:t>
                  </w:r>
                </w:p>
              </w:tc>
              <w:tc>
                <w:tcPr>
                  <w:tcW w:w="3006" w:type="dxa"/>
                  <w:vAlign w:val="center"/>
                </w:tcPr>
                <w:p>
                  <w:pPr>
                    <w:widowControl/>
                    <w:jc w:val="center"/>
                    <w:rPr>
                      <w:bCs/>
                      <w:kern w:val="0"/>
                      <w:szCs w:val="21"/>
                    </w:rPr>
                  </w:pPr>
                  <w:r>
                    <w:rPr>
                      <w:rFonts w:hint="eastAsia"/>
                      <w:bCs/>
                      <w:kern w:val="0"/>
                      <w:szCs w:val="21"/>
                    </w:rPr>
                    <w:t>9.96</w:t>
                  </w:r>
                  <w:r>
                    <w:rPr>
                      <w:bCs/>
                      <w:kern w:val="0"/>
                      <w:szCs w:val="21"/>
                    </w:rPr>
                    <w:t>%</w:t>
                  </w:r>
                </w:p>
              </w:tc>
            </w:tr>
          </w:tbl>
          <w:p>
            <w:pPr>
              <w:pStyle w:val="45"/>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753" w:hRule="atLeast"/>
          <w:jc w:val="center"/>
        </w:trPr>
        <w:tc>
          <w:tcPr>
            <w:tcW w:w="757" w:type="dxa"/>
            <w:vAlign w:val="center"/>
          </w:tcPr>
          <w:p>
            <w:pPr>
              <w:adjustRightInd w:val="0"/>
              <w:snapToGrid w:val="0"/>
              <w:jc w:val="center"/>
              <w:rPr>
                <w:rFonts w:ascii="宋体" w:hAnsi="宋体" w:cs="宋体"/>
                <w:kern w:val="0"/>
                <w:szCs w:val="21"/>
              </w:rPr>
            </w:pPr>
            <w:r>
              <w:rPr>
                <w:rFonts w:hint="eastAsia" w:ascii="宋体" w:hAnsi="宋体"/>
                <w:bCs/>
                <w:szCs w:val="21"/>
              </w:rPr>
              <w:t>与项目有关的原有环境污染和生态破坏问题</w:t>
            </w:r>
          </w:p>
        </w:tc>
        <w:tc>
          <w:tcPr>
            <w:tcW w:w="8447" w:type="dxa"/>
            <w:vAlign w:val="center"/>
          </w:tcPr>
          <w:p>
            <w:pPr>
              <w:pStyle w:val="45"/>
              <w:ind w:firstLine="480"/>
            </w:pPr>
            <w:r>
              <w:rPr>
                <w:rFonts w:hint="eastAsia"/>
              </w:rPr>
              <w:t>本项目为新建项目，不涉及该部分内容。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435" w:hRule="atLeast"/>
          <w:jc w:val="center"/>
        </w:trPr>
        <w:tc>
          <w:tcPr>
            <w:tcW w:w="757"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生态环境保护目标</w:t>
            </w:r>
          </w:p>
        </w:tc>
        <w:tc>
          <w:tcPr>
            <w:tcW w:w="8447" w:type="dxa"/>
            <w:vAlign w:val="center"/>
          </w:tcPr>
          <w:p>
            <w:pPr>
              <w:adjustRightInd w:val="0"/>
              <w:snapToGrid w:val="0"/>
              <w:spacing w:line="360" w:lineRule="auto"/>
              <w:ind w:firstLine="480" w:firstLineChars="200"/>
              <w:rPr>
                <w:sz w:val="24"/>
              </w:rPr>
            </w:pPr>
            <w:r>
              <w:rPr>
                <w:rFonts w:hint="eastAsia"/>
                <w:sz w:val="24"/>
              </w:rPr>
              <w:t>经对照，本工程占地范围内不涉及生态保护红线、自然保护区、森林公园、湿地公园等环境敏感区。工程布置距离东城镇</w:t>
            </w:r>
            <w:r>
              <w:rPr>
                <w:sz w:val="24"/>
              </w:rPr>
              <w:t>饮用水水源地二级保护区</w:t>
            </w:r>
            <w:r>
              <w:rPr>
                <w:rFonts w:hint="eastAsia"/>
                <w:sz w:val="24"/>
              </w:rPr>
              <w:t>边缘约1.5</w:t>
            </w:r>
            <w:r>
              <w:rPr>
                <w:sz w:val="24"/>
              </w:rPr>
              <w:t>km</w:t>
            </w:r>
            <w:r>
              <w:rPr>
                <w:rFonts w:hint="eastAsia"/>
                <w:sz w:val="24"/>
              </w:rPr>
              <w:t>。</w:t>
            </w:r>
          </w:p>
          <w:p>
            <w:pPr>
              <w:adjustRightInd w:val="0"/>
              <w:snapToGrid w:val="0"/>
              <w:spacing w:line="360" w:lineRule="auto"/>
              <w:ind w:firstLine="480" w:firstLineChars="200"/>
              <w:rPr>
                <w:sz w:val="24"/>
              </w:rPr>
            </w:pPr>
            <w:r>
              <w:rPr>
                <w:rFonts w:hint="eastAsia"/>
                <w:sz w:val="24"/>
              </w:rPr>
              <w:t>（1）水资源</w:t>
            </w:r>
            <w:r>
              <w:rPr>
                <w:sz w:val="24"/>
              </w:rPr>
              <w:t>保护目标</w:t>
            </w:r>
          </w:p>
          <w:p>
            <w:pPr>
              <w:adjustRightInd w:val="0"/>
              <w:snapToGrid w:val="0"/>
              <w:spacing w:line="360" w:lineRule="auto"/>
              <w:ind w:firstLine="480" w:firstLineChars="200"/>
              <w:rPr>
                <w:sz w:val="24"/>
              </w:rPr>
            </w:pPr>
            <w:r>
              <w:rPr>
                <w:rFonts w:hint="eastAsia"/>
                <w:sz w:val="24"/>
              </w:rPr>
              <w:t>保护</w:t>
            </w:r>
            <w:r>
              <w:rPr>
                <w:sz w:val="24"/>
              </w:rPr>
              <w:t>目标：</w:t>
            </w:r>
            <w:r>
              <w:rPr>
                <w:rFonts w:hint="eastAsia"/>
                <w:sz w:val="24"/>
              </w:rPr>
              <w:t>①落实最严格水资源管理制度，控制东城灌区社会经济用水量，在保证生态用水前提下进行合理的水资源配置；②红山嘴</w:t>
            </w:r>
            <w:r>
              <w:rPr>
                <w:sz w:val="24"/>
              </w:rPr>
              <w:t>水库坝址</w:t>
            </w:r>
            <w:r>
              <w:rPr>
                <w:rFonts w:hint="eastAsia"/>
                <w:sz w:val="24"/>
              </w:rPr>
              <w:t>断面生态流量。</w:t>
            </w:r>
          </w:p>
          <w:p>
            <w:pPr>
              <w:adjustRightInd w:val="0"/>
              <w:snapToGrid w:val="0"/>
              <w:spacing w:line="360" w:lineRule="auto"/>
              <w:ind w:firstLine="480" w:firstLineChars="200"/>
              <w:rPr>
                <w:sz w:val="24"/>
              </w:rPr>
            </w:pPr>
            <w:r>
              <w:rPr>
                <w:rFonts w:hint="eastAsia"/>
                <w:sz w:val="24"/>
              </w:rPr>
              <w:t>保护</w:t>
            </w:r>
            <w:r>
              <w:rPr>
                <w:sz w:val="24"/>
              </w:rPr>
              <w:t>要求</w:t>
            </w:r>
            <w:r>
              <w:rPr>
                <w:rFonts w:hint="eastAsia"/>
                <w:sz w:val="24"/>
              </w:rPr>
              <w:t>：①全面落实最严格水资源管理制度，通过优化调整农业种植业产业结构、大力发展节水灌溉，减少东城河供水灌区农业灌溉水量，使得东城灌区灌溉水量较现状有所减少；修建红山嘴水库调蓄径流，合理进行水资源配置，确保设计水平年流域社会经济总用水量符合流域用水总量控制目标；在保证坝址断面生态流量的前提下，与灌区水利设施联合运用，改善东城灌区灌溉条件。②保证红山嘴水库坝址断面生态流量。</w:t>
            </w:r>
          </w:p>
          <w:p>
            <w:pPr>
              <w:adjustRightInd w:val="0"/>
              <w:snapToGrid w:val="0"/>
              <w:spacing w:line="360" w:lineRule="auto"/>
              <w:ind w:firstLine="480" w:firstLineChars="200"/>
              <w:rPr>
                <w:sz w:val="24"/>
              </w:rPr>
            </w:pPr>
            <w:r>
              <w:rPr>
                <w:rFonts w:hint="eastAsia"/>
                <w:sz w:val="24"/>
              </w:rPr>
              <w:t>（</w:t>
            </w:r>
            <w:r>
              <w:rPr>
                <w:sz w:val="24"/>
              </w:rPr>
              <w:t>2</w:t>
            </w:r>
            <w:r>
              <w:rPr>
                <w:rFonts w:hint="eastAsia"/>
                <w:sz w:val="24"/>
              </w:rPr>
              <w:t>）水环境保护目标</w:t>
            </w:r>
          </w:p>
          <w:p>
            <w:pPr>
              <w:adjustRightInd w:val="0"/>
              <w:snapToGrid w:val="0"/>
              <w:spacing w:line="360" w:lineRule="auto"/>
              <w:ind w:firstLine="480" w:firstLineChars="200"/>
              <w:rPr>
                <w:sz w:val="24"/>
              </w:rPr>
            </w:pPr>
            <w:r>
              <w:rPr>
                <w:rFonts w:hint="eastAsia"/>
                <w:sz w:val="24"/>
              </w:rPr>
              <w:t>保护目标：</w:t>
            </w:r>
            <w:r>
              <w:rPr>
                <w:rFonts w:hint="eastAsia" w:cs="宋体"/>
                <w:kern w:val="0"/>
                <w:sz w:val="24"/>
              </w:rPr>
              <w:t>红山嘴水库</w:t>
            </w:r>
            <w:r>
              <w:rPr>
                <w:rFonts w:cs="宋体"/>
                <w:kern w:val="0"/>
                <w:sz w:val="24"/>
              </w:rPr>
              <w:t>库区及坝址以下</w:t>
            </w:r>
            <w:r>
              <w:rPr>
                <w:rFonts w:hint="eastAsia" w:cs="宋体"/>
                <w:kern w:val="0"/>
                <w:sz w:val="24"/>
              </w:rPr>
              <w:t>干流</w:t>
            </w:r>
            <w:r>
              <w:rPr>
                <w:rFonts w:cs="宋体"/>
                <w:kern w:val="0"/>
                <w:sz w:val="24"/>
              </w:rPr>
              <w:t>河段水质</w:t>
            </w:r>
            <w:r>
              <w:rPr>
                <w:rFonts w:hint="eastAsia"/>
                <w:sz w:val="24"/>
              </w:rPr>
              <w:t>、水温。</w:t>
            </w:r>
          </w:p>
          <w:p>
            <w:pPr>
              <w:widowControl/>
              <w:spacing w:line="360" w:lineRule="auto"/>
              <w:ind w:firstLine="480" w:firstLineChars="200"/>
              <w:rPr>
                <w:rFonts w:cs="宋体"/>
                <w:kern w:val="0"/>
                <w:sz w:val="24"/>
              </w:rPr>
            </w:pPr>
            <w:r>
              <w:rPr>
                <w:rFonts w:hint="eastAsia"/>
                <w:sz w:val="24"/>
              </w:rPr>
              <w:t>保护要求：</w:t>
            </w:r>
            <w:r>
              <w:rPr>
                <w:rFonts w:hint="eastAsia" w:cs="宋体"/>
                <w:kern w:val="0"/>
                <w:sz w:val="24"/>
              </w:rPr>
              <w:t>保护水库</w:t>
            </w:r>
            <w:r>
              <w:rPr>
                <w:rFonts w:cs="宋体"/>
                <w:kern w:val="0"/>
                <w:sz w:val="24"/>
              </w:rPr>
              <w:t>及库区</w:t>
            </w:r>
            <w:r>
              <w:rPr>
                <w:rFonts w:hint="eastAsia" w:cs="宋体"/>
                <w:kern w:val="0"/>
                <w:sz w:val="24"/>
              </w:rPr>
              <w:t>水质，使其能够满足《地表水环境质量标准》（GB3838-2002）</w:t>
            </w:r>
            <w:r>
              <w:rPr>
                <w:rFonts w:hint="eastAsia" w:ascii="宋体" w:hAnsi="宋体" w:cs="宋体"/>
                <w:kern w:val="0"/>
                <w:sz w:val="24"/>
              </w:rPr>
              <w:t>Ⅱ</w:t>
            </w:r>
            <w:r>
              <w:rPr>
                <w:rFonts w:hint="eastAsia" w:cs="宋体"/>
                <w:kern w:val="0"/>
                <w:sz w:val="24"/>
              </w:rPr>
              <w:t>类水质标准；保护坝址至</w:t>
            </w:r>
            <w:r>
              <w:rPr>
                <w:rFonts w:cs="宋体"/>
                <w:kern w:val="0"/>
                <w:sz w:val="24"/>
              </w:rPr>
              <w:t>东城渠首河段</w:t>
            </w:r>
            <w:r>
              <w:rPr>
                <w:rFonts w:hint="eastAsia" w:cs="宋体"/>
                <w:kern w:val="0"/>
                <w:sz w:val="24"/>
              </w:rPr>
              <w:t>水质，使其满足</w:t>
            </w:r>
            <w:r>
              <w:rPr>
                <w:rFonts w:hint="eastAsia" w:ascii="宋体" w:hAnsi="宋体" w:cs="宋体"/>
                <w:kern w:val="0"/>
                <w:sz w:val="24"/>
              </w:rPr>
              <w:t>Ⅱ</w:t>
            </w:r>
            <w:r>
              <w:rPr>
                <w:rFonts w:hint="eastAsia" w:cs="宋体"/>
                <w:kern w:val="0"/>
                <w:sz w:val="24"/>
              </w:rPr>
              <w:t>类水质标准；保护</w:t>
            </w:r>
            <w:r>
              <w:rPr>
                <w:rFonts w:cs="宋体"/>
                <w:kern w:val="0"/>
                <w:sz w:val="24"/>
              </w:rPr>
              <w:t>东城渠首</w:t>
            </w:r>
            <w:r>
              <w:rPr>
                <w:rFonts w:hint="eastAsia" w:cs="宋体"/>
                <w:kern w:val="0"/>
                <w:sz w:val="24"/>
              </w:rPr>
              <w:t>以下</w:t>
            </w:r>
            <w:r>
              <w:rPr>
                <w:rFonts w:cs="宋体"/>
                <w:kern w:val="0"/>
                <w:sz w:val="24"/>
              </w:rPr>
              <w:t>河段</w:t>
            </w:r>
            <w:r>
              <w:rPr>
                <w:rFonts w:hint="eastAsia" w:cs="宋体"/>
                <w:kern w:val="0"/>
                <w:sz w:val="24"/>
              </w:rPr>
              <w:t>水质，使其满足</w:t>
            </w:r>
            <w:r>
              <w:rPr>
                <w:rFonts w:hint="eastAsia" w:ascii="宋体" w:hAnsi="宋体" w:cs="宋体"/>
                <w:kern w:val="0"/>
                <w:sz w:val="24"/>
              </w:rPr>
              <w:t>Ⅲ</w:t>
            </w:r>
            <w:r>
              <w:rPr>
                <w:rFonts w:hint="eastAsia" w:cs="宋体"/>
                <w:kern w:val="0"/>
                <w:sz w:val="24"/>
              </w:rPr>
              <w:t>类水质标准。不因工程建设降低各自使用功能，严禁将施工期和运行期产生的废、污水以任何形式排入工程周边水体；避免红山嘴水库下泄低温水对坝下河段水生生态及鱼类、农业灌溉产生明显不利影响。</w:t>
            </w:r>
          </w:p>
          <w:p>
            <w:pPr>
              <w:adjustRightInd w:val="0"/>
              <w:snapToGrid w:val="0"/>
              <w:spacing w:line="360" w:lineRule="auto"/>
              <w:ind w:firstLine="480" w:firstLineChars="200"/>
              <w:rPr>
                <w:sz w:val="24"/>
              </w:rPr>
            </w:pPr>
            <w:r>
              <w:rPr>
                <w:rFonts w:hint="eastAsia"/>
                <w:sz w:val="24"/>
              </w:rPr>
              <w:t>（</w:t>
            </w:r>
            <w:r>
              <w:rPr>
                <w:sz w:val="24"/>
              </w:rPr>
              <w:t>3</w:t>
            </w:r>
            <w:r>
              <w:rPr>
                <w:rFonts w:hint="eastAsia"/>
                <w:sz w:val="24"/>
              </w:rPr>
              <w:t>）环境空气保护目标</w:t>
            </w:r>
          </w:p>
          <w:p>
            <w:pPr>
              <w:adjustRightInd w:val="0"/>
              <w:snapToGrid w:val="0"/>
              <w:spacing w:line="360" w:lineRule="auto"/>
              <w:ind w:firstLine="480" w:firstLineChars="200"/>
              <w:rPr>
                <w:sz w:val="24"/>
              </w:rPr>
            </w:pPr>
            <w:r>
              <w:rPr>
                <w:rFonts w:hint="eastAsia"/>
                <w:sz w:val="24"/>
              </w:rPr>
              <w:t>保护目标：工程区周围无</w:t>
            </w:r>
            <w:r>
              <w:rPr>
                <w:sz w:val="24"/>
              </w:rPr>
              <w:t>工矿企业，</w:t>
            </w:r>
            <w:r>
              <w:rPr>
                <w:rFonts w:hint="eastAsia"/>
                <w:sz w:val="24"/>
              </w:rPr>
              <w:t>工程区下游</w:t>
            </w:r>
            <w:r>
              <w:rPr>
                <w:sz w:val="24"/>
              </w:rPr>
              <w:t>左岸周围分布有</w:t>
            </w:r>
            <w:r>
              <w:rPr>
                <w:rFonts w:hint="eastAsia"/>
                <w:sz w:val="24"/>
              </w:rPr>
              <w:t>部分</w:t>
            </w:r>
            <w:r>
              <w:rPr>
                <w:sz w:val="24"/>
              </w:rPr>
              <w:t>鸡心梁村</w:t>
            </w:r>
            <w:r>
              <w:rPr>
                <w:rFonts w:hint="eastAsia"/>
                <w:sz w:val="24"/>
              </w:rPr>
              <w:t>村民，</w:t>
            </w:r>
            <w:r>
              <w:rPr>
                <w:sz w:val="24"/>
              </w:rPr>
              <w:t>距</w:t>
            </w:r>
            <w:r>
              <w:rPr>
                <w:rFonts w:hint="eastAsia"/>
                <w:sz w:val="24"/>
              </w:rPr>
              <w:t>红山嘴水库</w:t>
            </w:r>
            <w:r>
              <w:rPr>
                <w:sz w:val="24"/>
              </w:rPr>
              <w:t>坝址约</w:t>
            </w:r>
            <w:r>
              <w:rPr>
                <w:rFonts w:hint="eastAsia"/>
                <w:sz w:val="24"/>
              </w:rPr>
              <w:t>18</w:t>
            </w:r>
            <w:r>
              <w:rPr>
                <w:sz w:val="24"/>
              </w:rPr>
              <w:t>5m</w:t>
            </w:r>
            <w:r>
              <w:rPr>
                <w:rFonts w:hint="eastAsia"/>
                <w:sz w:val="24"/>
              </w:rPr>
              <w:t>，受影响的主要为现场施工人员和临近</w:t>
            </w:r>
            <w:r>
              <w:rPr>
                <w:sz w:val="24"/>
              </w:rPr>
              <w:t>工程区的居民</w:t>
            </w:r>
            <w:r>
              <w:rPr>
                <w:rFonts w:hint="eastAsia"/>
                <w:sz w:val="24"/>
              </w:rPr>
              <w:t>。</w:t>
            </w:r>
          </w:p>
          <w:p>
            <w:pPr>
              <w:adjustRightInd w:val="0"/>
              <w:snapToGrid w:val="0"/>
              <w:spacing w:line="360" w:lineRule="auto"/>
              <w:ind w:firstLine="480" w:firstLineChars="200"/>
              <w:rPr>
                <w:sz w:val="24"/>
              </w:rPr>
            </w:pPr>
            <w:r>
              <w:rPr>
                <w:rFonts w:hint="eastAsia"/>
                <w:sz w:val="24"/>
              </w:rPr>
              <w:t>保护要求：消减或控制施工过程中产生的粉尘、扬尘、燃油废气等，对施工人员和</w:t>
            </w:r>
            <w:r>
              <w:rPr>
                <w:sz w:val="24"/>
              </w:rPr>
              <w:t>临近工程区居民</w:t>
            </w:r>
            <w:r>
              <w:rPr>
                <w:rFonts w:hint="eastAsia"/>
                <w:sz w:val="24"/>
              </w:rPr>
              <w:t>进行防护。</w:t>
            </w:r>
          </w:p>
          <w:p>
            <w:pPr>
              <w:adjustRightInd w:val="0"/>
              <w:snapToGrid w:val="0"/>
              <w:spacing w:line="360" w:lineRule="auto"/>
              <w:ind w:firstLine="480" w:firstLineChars="200"/>
              <w:rPr>
                <w:sz w:val="24"/>
              </w:rPr>
            </w:pPr>
            <w:r>
              <w:rPr>
                <w:rFonts w:hint="eastAsia"/>
                <w:sz w:val="24"/>
              </w:rPr>
              <w:t>（</w:t>
            </w:r>
            <w:r>
              <w:rPr>
                <w:sz w:val="24"/>
              </w:rPr>
              <w:t>4</w:t>
            </w:r>
            <w:r>
              <w:rPr>
                <w:rFonts w:hint="eastAsia"/>
                <w:sz w:val="24"/>
              </w:rPr>
              <w:t>）声环境保护目标</w:t>
            </w:r>
          </w:p>
          <w:p>
            <w:pPr>
              <w:adjustRightInd w:val="0"/>
              <w:snapToGrid w:val="0"/>
              <w:spacing w:line="360" w:lineRule="auto"/>
              <w:ind w:firstLine="480" w:firstLineChars="200"/>
              <w:rPr>
                <w:sz w:val="24"/>
              </w:rPr>
            </w:pPr>
            <w:r>
              <w:rPr>
                <w:rFonts w:hint="eastAsia"/>
                <w:sz w:val="24"/>
              </w:rPr>
              <w:t>保护目标：工程区周围无工矿企业，工程区下游</w:t>
            </w:r>
            <w:r>
              <w:rPr>
                <w:sz w:val="24"/>
              </w:rPr>
              <w:t>左岸周围分布有</w:t>
            </w:r>
            <w:r>
              <w:rPr>
                <w:rFonts w:hint="eastAsia"/>
                <w:sz w:val="24"/>
              </w:rPr>
              <w:t>部分</w:t>
            </w:r>
            <w:r>
              <w:rPr>
                <w:sz w:val="24"/>
              </w:rPr>
              <w:t>鸡心梁村</w:t>
            </w:r>
            <w:r>
              <w:rPr>
                <w:rFonts w:hint="eastAsia"/>
                <w:sz w:val="24"/>
              </w:rPr>
              <w:t>村民，距</w:t>
            </w:r>
            <w:r>
              <w:rPr>
                <w:sz w:val="24"/>
              </w:rPr>
              <w:t>红山嘴</w:t>
            </w:r>
            <w:r>
              <w:rPr>
                <w:rFonts w:hint="eastAsia"/>
                <w:sz w:val="24"/>
              </w:rPr>
              <w:t>水库</w:t>
            </w:r>
            <w:r>
              <w:rPr>
                <w:sz w:val="24"/>
              </w:rPr>
              <w:t>坝址约</w:t>
            </w:r>
            <w:r>
              <w:rPr>
                <w:rFonts w:hint="eastAsia"/>
                <w:sz w:val="24"/>
              </w:rPr>
              <w:t>185</w:t>
            </w:r>
            <w:r>
              <w:rPr>
                <w:sz w:val="24"/>
              </w:rPr>
              <w:t>m，</w:t>
            </w:r>
            <w:r>
              <w:rPr>
                <w:rFonts w:hint="eastAsia"/>
                <w:sz w:val="24"/>
              </w:rPr>
              <w:t>受影响的主要为现场施工人员和临近</w:t>
            </w:r>
            <w:r>
              <w:rPr>
                <w:sz w:val="24"/>
              </w:rPr>
              <w:t>工程区的居民</w:t>
            </w:r>
            <w:r>
              <w:rPr>
                <w:rFonts w:hint="eastAsia"/>
                <w:sz w:val="24"/>
              </w:rPr>
              <w:t>。</w:t>
            </w:r>
          </w:p>
          <w:p>
            <w:pPr>
              <w:adjustRightInd w:val="0"/>
              <w:snapToGrid w:val="0"/>
              <w:spacing w:line="360" w:lineRule="auto"/>
              <w:ind w:firstLine="480" w:firstLineChars="200"/>
              <w:rPr>
                <w:sz w:val="24"/>
              </w:rPr>
            </w:pPr>
            <w:r>
              <w:rPr>
                <w:rFonts w:hint="eastAsia"/>
                <w:sz w:val="24"/>
              </w:rPr>
              <w:t>保护要求：从声源上降低施工、交通噪声，对施工人员和</w:t>
            </w:r>
            <w:r>
              <w:rPr>
                <w:sz w:val="24"/>
              </w:rPr>
              <w:t>临近工程区居民</w:t>
            </w:r>
            <w:r>
              <w:rPr>
                <w:rFonts w:hint="eastAsia"/>
                <w:sz w:val="24"/>
              </w:rPr>
              <w:t>采取防护措施。</w:t>
            </w:r>
          </w:p>
          <w:p>
            <w:pPr>
              <w:adjustRightInd w:val="0"/>
              <w:snapToGrid w:val="0"/>
              <w:spacing w:line="360" w:lineRule="auto"/>
              <w:ind w:firstLine="480" w:firstLineChars="200"/>
              <w:rPr>
                <w:sz w:val="24"/>
              </w:rPr>
            </w:pPr>
            <w:r>
              <w:rPr>
                <w:rFonts w:hint="eastAsia"/>
                <w:sz w:val="24"/>
              </w:rPr>
              <w:t>（</w:t>
            </w:r>
            <w:r>
              <w:rPr>
                <w:sz w:val="24"/>
              </w:rPr>
              <w:t>5</w:t>
            </w:r>
            <w:r>
              <w:rPr>
                <w:rFonts w:hint="eastAsia"/>
                <w:sz w:val="24"/>
              </w:rPr>
              <w:t>）土壤环境保护目标</w:t>
            </w:r>
          </w:p>
          <w:p>
            <w:pPr>
              <w:adjustRightInd w:val="0"/>
              <w:snapToGrid w:val="0"/>
              <w:spacing w:line="360" w:lineRule="auto"/>
              <w:ind w:firstLine="480" w:firstLineChars="200"/>
              <w:rPr>
                <w:sz w:val="24"/>
              </w:rPr>
            </w:pPr>
            <w:r>
              <w:rPr>
                <w:rFonts w:hint="eastAsia"/>
                <w:sz w:val="24"/>
              </w:rPr>
              <w:t>保护目标：水库库区周边土壤环境。</w:t>
            </w:r>
          </w:p>
          <w:p>
            <w:pPr>
              <w:adjustRightInd w:val="0"/>
              <w:snapToGrid w:val="0"/>
              <w:spacing w:line="360" w:lineRule="auto"/>
              <w:ind w:firstLine="480" w:firstLineChars="200"/>
              <w:rPr>
                <w:sz w:val="24"/>
              </w:rPr>
            </w:pPr>
            <w:r>
              <w:rPr>
                <w:rFonts w:hint="eastAsia"/>
                <w:sz w:val="24"/>
              </w:rPr>
              <w:t>保护要求：避免因水库建设导致周边区域产生盐渍化、沼泽化等问题，避免对库区周边土壤产生不良影响。</w:t>
            </w:r>
          </w:p>
          <w:p>
            <w:pPr>
              <w:adjustRightInd w:val="0"/>
              <w:snapToGrid w:val="0"/>
              <w:spacing w:line="360" w:lineRule="auto"/>
              <w:ind w:firstLine="480" w:firstLineChars="200"/>
              <w:rPr>
                <w:sz w:val="24"/>
              </w:rPr>
            </w:pPr>
            <w:r>
              <w:rPr>
                <w:rFonts w:hint="eastAsia"/>
                <w:sz w:val="24"/>
              </w:rPr>
              <w:t>（</w:t>
            </w:r>
            <w:r>
              <w:rPr>
                <w:sz w:val="24"/>
              </w:rPr>
              <w:t>6</w:t>
            </w:r>
            <w:r>
              <w:rPr>
                <w:rFonts w:hint="eastAsia"/>
                <w:sz w:val="24"/>
              </w:rPr>
              <w:t>）陆生生态保护目标</w:t>
            </w:r>
          </w:p>
          <w:p>
            <w:pPr>
              <w:adjustRightInd w:val="0"/>
              <w:snapToGrid w:val="0"/>
              <w:spacing w:line="360" w:lineRule="auto"/>
              <w:ind w:firstLine="480" w:firstLineChars="200"/>
              <w:rPr>
                <w:sz w:val="24"/>
              </w:rPr>
            </w:pPr>
            <w:r>
              <w:rPr>
                <w:rFonts w:hint="eastAsia"/>
                <w:sz w:val="24"/>
              </w:rPr>
              <w:t>保护目标：工程占地区陆生动植物、</w:t>
            </w:r>
            <w:r>
              <w:rPr>
                <w:sz w:val="24"/>
              </w:rPr>
              <w:t>工程占地区周边陆生动植物及工程改复建道路区</w:t>
            </w:r>
            <w:r>
              <w:rPr>
                <w:rFonts w:hint="eastAsia"/>
                <w:sz w:val="24"/>
              </w:rPr>
              <w:t>占用林地等</w:t>
            </w:r>
            <w:r>
              <w:rPr>
                <w:sz w:val="24"/>
              </w:rPr>
              <w:t>。</w:t>
            </w:r>
          </w:p>
          <w:p>
            <w:pPr>
              <w:adjustRightInd w:val="0"/>
              <w:snapToGrid w:val="0"/>
              <w:spacing w:line="360" w:lineRule="auto"/>
              <w:ind w:firstLine="480" w:firstLineChars="200"/>
              <w:rPr>
                <w:sz w:val="24"/>
              </w:rPr>
            </w:pPr>
            <w:r>
              <w:rPr>
                <w:rFonts w:hint="eastAsia"/>
                <w:sz w:val="24"/>
              </w:rPr>
              <w:t>保护要求：严格限定工程建设扰动区域，减少建设活动对地表植被的破坏；防止工程开挖、临时堆渣产生的新增水土流失；明确施工用地范围，工程施工应在征地范围内进行。禁止捕捉、猎杀野生动物，降低对野生动物的影响。合理</w:t>
            </w:r>
            <w:r>
              <w:rPr>
                <w:sz w:val="24"/>
              </w:rPr>
              <w:t>规划工程改复建道路，尽量减少对林地的</w:t>
            </w:r>
            <w:r>
              <w:rPr>
                <w:rFonts w:hint="eastAsia"/>
                <w:sz w:val="24"/>
              </w:rPr>
              <w:t>占用</w:t>
            </w:r>
            <w:r>
              <w:rPr>
                <w:sz w:val="24"/>
              </w:rPr>
              <w:t>。</w:t>
            </w:r>
          </w:p>
          <w:p>
            <w:pPr>
              <w:adjustRightInd w:val="0"/>
              <w:snapToGrid w:val="0"/>
              <w:spacing w:line="360" w:lineRule="auto"/>
              <w:ind w:firstLine="480" w:firstLineChars="200"/>
              <w:rPr>
                <w:sz w:val="24"/>
              </w:rPr>
            </w:pPr>
            <w:r>
              <w:rPr>
                <w:rFonts w:hint="eastAsia"/>
                <w:sz w:val="24"/>
              </w:rPr>
              <w:t>（</w:t>
            </w:r>
            <w:r>
              <w:rPr>
                <w:sz w:val="24"/>
              </w:rPr>
              <w:t>7</w:t>
            </w:r>
            <w:r>
              <w:rPr>
                <w:rFonts w:hint="eastAsia"/>
                <w:sz w:val="24"/>
              </w:rPr>
              <w:t>）水生生态保护目标</w:t>
            </w:r>
          </w:p>
          <w:p>
            <w:pPr>
              <w:adjustRightInd w:val="0"/>
              <w:snapToGrid w:val="0"/>
              <w:spacing w:line="360" w:lineRule="auto"/>
              <w:ind w:firstLine="480" w:firstLineChars="200"/>
              <w:rPr>
                <w:sz w:val="24"/>
              </w:rPr>
            </w:pPr>
            <w:r>
              <w:rPr>
                <w:rFonts w:hint="eastAsia"/>
                <w:sz w:val="24"/>
              </w:rPr>
              <w:t>保护目标：评价河段分布的小眼须鳅和新疆高原鳅2种</w:t>
            </w:r>
            <w:r>
              <w:rPr>
                <w:sz w:val="24"/>
              </w:rPr>
              <w:t>土著鱼类</w:t>
            </w:r>
            <w:r>
              <w:rPr>
                <w:rFonts w:hint="eastAsia"/>
                <w:sz w:val="24"/>
              </w:rPr>
              <w:t>；维持</w:t>
            </w:r>
            <w:r>
              <w:rPr>
                <w:sz w:val="24"/>
              </w:rPr>
              <w:t>河流水生生境</w:t>
            </w:r>
            <w:r>
              <w:rPr>
                <w:rFonts w:hint="eastAsia"/>
                <w:sz w:val="24"/>
              </w:rPr>
              <w:t>。</w:t>
            </w:r>
          </w:p>
          <w:p>
            <w:pPr>
              <w:adjustRightInd w:val="0"/>
              <w:snapToGrid w:val="0"/>
              <w:spacing w:line="360" w:lineRule="auto"/>
              <w:ind w:firstLine="480" w:firstLineChars="200"/>
              <w:rPr>
                <w:sz w:val="24"/>
              </w:rPr>
            </w:pPr>
            <w:r>
              <w:rPr>
                <w:rFonts w:hint="eastAsia"/>
                <w:sz w:val="24"/>
              </w:rPr>
              <w:t>保护要求：保护水生生物物种及多样性；保证</w:t>
            </w:r>
            <w:r>
              <w:rPr>
                <w:sz w:val="24"/>
              </w:rPr>
              <w:t>断面下泄生态流量，</w:t>
            </w:r>
            <w:r>
              <w:rPr>
                <w:rFonts w:hint="eastAsia"/>
                <w:sz w:val="24"/>
              </w:rPr>
              <w:t>维护河段水生生境</w:t>
            </w:r>
            <w:r>
              <w:rPr>
                <w:sz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1" w:hRule="atLeast"/>
          <w:jc w:val="center"/>
        </w:trPr>
        <w:tc>
          <w:tcPr>
            <w:tcW w:w="757"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评价</w:t>
            </w:r>
          </w:p>
          <w:p>
            <w:pPr>
              <w:adjustRightInd w:val="0"/>
              <w:snapToGrid w:val="0"/>
              <w:jc w:val="center"/>
              <w:rPr>
                <w:rFonts w:ascii="宋体" w:hAnsi="宋体" w:cs="宋体"/>
                <w:kern w:val="0"/>
                <w:szCs w:val="21"/>
              </w:rPr>
            </w:pPr>
            <w:r>
              <w:rPr>
                <w:rFonts w:hint="eastAsia" w:ascii="宋体" w:hAnsi="宋体" w:cs="宋体"/>
                <w:kern w:val="0"/>
                <w:szCs w:val="21"/>
              </w:rPr>
              <w:t>标准</w:t>
            </w:r>
          </w:p>
        </w:tc>
        <w:tc>
          <w:tcPr>
            <w:tcW w:w="8447" w:type="dxa"/>
            <w:vAlign w:val="center"/>
          </w:tcPr>
          <w:p>
            <w:pPr>
              <w:adjustRightInd w:val="0"/>
              <w:snapToGrid w:val="0"/>
              <w:spacing w:line="360" w:lineRule="auto"/>
              <w:outlineLvl w:val="1"/>
              <w:rPr>
                <w:b/>
                <w:sz w:val="24"/>
                <w:szCs w:val="32"/>
              </w:rPr>
            </w:pPr>
            <w:r>
              <w:rPr>
                <w:rFonts w:hint="eastAsia"/>
                <w:b/>
                <w:sz w:val="24"/>
                <w:szCs w:val="32"/>
              </w:rPr>
              <w:t>一、地表水</w:t>
            </w:r>
          </w:p>
          <w:p>
            <w:pPr>
              <w:adjustRightInd w:val="0"/>
              <w:snapToGrid w:val="0"/>
              <w:spacing w:line="360" w:lineRule="auto"/>
              <w:ind w:firstLine="480" w:firstLineChars="200"/>
              <w:rPr>
                <w:sz w:val="24"/>
              </w:rPr>
            </w:pPr>
            <w:r>
              <w:rPr>
                <w:sz w:val="24"/>
              </w:rPr>
              <w:t>（1）环境质量标准</w:t>
            </w:r>
          </w:p>
          <w:p>
            <w:pPr>
              <w:adjustRightInd w:val="0"/>
              <w:snapToGrid w:val="0"/>
              <w:spacing w:line="360" w:lineRule="auto"/>
              <w:ind w:firstLine="480" w:firstLineChars="200"/>
              <w:rPr>
                <w:rFonts w:cs="宋体"/>
                <w:kern w:val="0"/>
                <w:sz w:val="24"/>
              </w:rPr>
            </w:pPr>
            <w:r>
              <w:rPr>
                <w:rFonts w:cs="宋体"/>
                <w:kern w:val="0"/>
                <w:sz w:val="24"/>
              </w:rPr>
              <w:t>地表水水质评价采用《地表水环境质量标准》(GB3838-2002)</w:t>
            </w:r>
            <w:r>
              <w:rPr>
                <w:rFonts w:hint="eastAsia" w:cs="宋体"/>
                <w:kern w:val="0"/>
                <w:sz w:val="24"/>
              </w:rPr>
              <w:t>。工程</w:t>
            </w:r>
            <w:r>
              <w:rPr>
                <w:rFonts w:cs="宋体"/>
                <w:kern w:val="0"/>
                <w:sz w:val="24"/>
              </w:rPr>
              <w:t>涉及河段为东城河</w:t>
            </w:r>
            <w:r>
              <w:rPr>
                <w:rFonts w:hint="eastAsia" w:cs="宋体"/>
                <w:kern w:val="0"/>
                <w:sz w:val="24"/>
              </w:rPr>
              <w:t>红山嘴</w:t>
            </w:r>
            <w:r>
              <w:rPr>
                <w:rFonts w:cs="宋体"/>
                <w:kern w:val="0"/>
                <w:sz w:val="24"/>
              </w:rPr>
              <w:t>水库库区及以下东城河干流</w:t>
            </w:r>
            <w:r>
              <w:rPr>
                <w:rFonts w:hint="eastAsia" w:cs="宋体"/>
                <w:kern w:val="0"/>
                <w:sz w:val="24"/>
              </w:rPr>
              <w:t>河段，《新疆水环境功能区划》和《新疆维吾尔自治区水功能区划》均未对其进行功能区划分。流域规划环评根据东城河水系现状及规划水平年水资源主要用于农业灌溉，并结合《新疆水环境功能区划》中规定“新疆的河流基本上都发源于高山，出山口以前源头水目标水质定为Ⅰ类，中山至出山口段由人类活动（牧区、旅游区）区域定为Ⅱ类，出山口以后的一般工业欠发达的城镇河农牧团场区域为Ⅲ类，地州所在市、县区域，根据其水体污染及监测资料情况，划分为Ⅲ类和Ⅳ类”，提出：东城河东城渠首以上河段按Ⅱ类水质目标进行控制，东城河东城渠首以下河段按Ⅲ类水质目标进行控制。</w:t>
            </w:r>
            <w:r>
              <w:rPr>
                <w:rFonts w:cs="宋体"/>
                <w:kern w:val="0"/>
                <w:sz w:val="24"/>
              </w:rPr>
              <w:t>红山嘴水库位于东城渠首以上河段，执行</w:t>
            </w:r>
            <w:r>
              <w:rPr>
                <w:rFonts w:hint="eastAsia" w:ascii="宋体" w:hAnsi="宋体" w:cs="宋体"/>
                <w:kern w:val="0"/>
                <w:sz w:val="24"/>
              </w:rPr>
              <w:t>Ⅱ</w:t>
            </w:r>
            <w:r>
              <w:rPr>
                <w:rFonts w:hint="eastAsia" w:cs="宋体"/>
                <w:kern w:val="0"/>
                <w:sz w:val="24"/>
              </w:rPr>
              <w:t>类水质</w:t>
            </w:r>
            <w:r>
              <w:rPr>
                <w:rFonts w:cs="宋体"/>
                <w:kern w:val="0"/>
                <w:sz w:val="24"/>
              </w:rPr>
              <w:t>标准</w:t>
            </w:r>
            <w:r>
              <w:rPr>
                <w:rFonts w:hint="eastAsia" w:cs="宋体"/>
                <w:kern w:val="0"/>
                <w:sz w:val="24"/>
              </w:rPr>
              <w:t>。</w:t>
            </w:r>
          </w:p>
          <w:p>
            <w:pPr>
              <w:adjustRightInd w:val="0"/>
              <w:snapToGrid w:val="0"/>
              <w:spacing w:line="360" w:lineRule="auto"/>
              <w:ind w:firstLine="480" w:firstLineChars="200"/>
              <w:rPr>
                <w:sz w:val="24"/>
              </w:rPr>
            </w:pPr>
            <w:r>
              <w:rPr>
                <w:sz w:val="24"/>
              </w:rPr>
              <w:t>（2）污染物排放标准</w:t>
            </w:r>
          </w:p>
          <w:p>
            <w:pPr>
              <w:adjustRightInd w:val="0"/>
              <w:snapToGrid w:val="0"/>
              <w:spacing w:line="360" w:lineRule="auto"/>
              <w:ind w:firstLine="480" w:firstLineChars="200"/>
              <w:rPr>
                <w:sz w:val="24"/>
              </w:rPr>
            </w:pPr>
            <w:r>
              <w:rPr>
                <w:rFonts w:hint="eastAsia"/>
                <w:sz w:val="24"/>
              </w:rPr>
              <w:t>工程</w:t>
            </w:r>
            <w:r>
              <w:rPr>
                <w:sz w:val="24"/>
              </w:rPr>
              <w:t>位于</w:t>
            </w:r>
            <w:r>
              <w:rPr>
                <w:rFonts w:hint="eastAsia"/>
                <w:sz w:val="24"/>
              </w:rPr>
              <w:t>东城河</w:t>
            </w:r>
            <w:r>
              <w:rPr>
                <w:sz w:val="24"/>
              </w:rPr>
              <w:t>东城渠首以上</w:t>
            </w:r>
            <w:r>
              <w:rPr>
                <w:rFonts w:hint="eastAsia"/>
                <w:sz w:val="24"/>
              </w:rPr>
              <w:t>河段</w:t>
            </w:r>
            <w:r>
              <w:rPr>
                <w:sz w:val="24"/>
              </w:rPr>
              <w:t>，</w:t>
            </w:r>
            <w:r>
              <w:rPr>
                <w:rFonts w:hint="eastAsia"/>
                <w:sz w:val="24"/>
              </w:rPr>
              <w:t>执行</w:t>
            </w:r>
            <w:r>
              <w:rPr>
                <w:rFonts w:hint="eastAsia" w:ascii="宋体" w:hAnsi="宋体"/>
                <w:sz w:val="24"/>
              </w:rPr>
              <w:t>Ⅱ</w:t>
            </w:r>
            <w:r>
              <w:rPr>
                <w:rFonts w:hint="eastAsia"/>
                <w:sz w:val="24"/>
              </w:rPr>
              <w:t>类水质标准，施工期各类废污水和运行期生活污水均不得外排，须经处理达标后全部回用或综合利用。施工期生产废水需处理后达到《水电工程砂石加工系统设计规范》（DL/T5098-2010）或</w:t>
            </w:r>
            <w:r>
              <w:rPr>
                <w:sz w:val="24"/>
              </w:rPr>
              <w:t>《水工混凝土施工规范》（SL677-2014）</w:t>
            </w:r>
            <w:r>
              <w:rPr>
                <w:rFonts w:hint="eastAsia"/>
                <w:sz w:val="24"/>
              </w:rPr>
              <w:t>中的相关要求后回用于生产环节；施工期和运行期生活污水需处理后达到《农村生活污水处理排放标准》（D</w:t>
            </w:r>
            <w:r>
              <w:rPr>
                <w:sz w:val="24"/>
              </w:rPr>
              <w:t>B654275-2019</w:t>
            </w:r>
            <w:r>
              <w:rPr>
                <w:rFonts w:hint="eastAsia"/>
                <w:sz w:val="24"/>
              </w:rPr>
              <w:t>）中用于生态恢复治理的出水水质控制B级标准，出水用于营地绿化、周边荒漠灌溉，冬储夏灌。</w:t>
            </w:r>
          </w:p>
          <w:p>
            <w:pPr>
              <w:adjustRightInd w:val="0"/>
              <w:snapToGrid w:val="0"/>
              <w:spacing w:line="360" w:lineRule="auto"/>
              <w:outlineLvl w:val="1"/>
              <w:rPr>
                <w:b/>
                <w:sz w:val="24"/>
                <w:szCs w:val="32"/>
              </w:rPr>
            </w:pPr>
            <w:r>
              <w:rPr>
                <w:rFonts w:hint="eastAsia"/>
                <w:b/>
                <w:sz w:val="24"/>
                <w:szCs w:val="32"/>
              </w:rPr>
              <w:t>二、</w:t>
            </w:r>
            <w:r>
              <w:rPr>
                <w:b/>
                <w:sz w:val="24"/>
                <w:szCs w:val="32"/>
              </w:rPr>
              <w:t>土壤环境</w:t>
            </w:r>
          </w:p>
          <w:p>
            <w:pPr>
              <w:adjustRightInd w:val="0"/>
              <w:snapToGrid w:val="0"/>
              <w:spacing w:line="360" w:lineRule="auto"/>
              <w:ind w:firstLine="480" w:firstLineChars="200"/>
              <w:rPr>
                <w:sz w:val="24"/>
              </w:rPr>
            </w:pPr>
            <w:r>
              <w:rPr>
                <w:rFonts w:hint="eastAsia"/>
                <w:sz w:val="24"/>
              </w:rPr>
              <w:t>本工程为水利建设项目，工程占地区内用地属第二类用地，风险筛选值和管制值采用《土壤环境质量建设用地土壤污染风险管控标准（试行）》（</w:t>
            </w:r>
            <w:r>
              <w:rPr>
                <w:sz w:val="24"/>
              </w:rPr>
              <w:t>GB36600-2018）中第二类用地标准。</w:t>
            </w:r>
            <w:r>
              <w:rPr>
                <w:rFonts w:hint="eastAsia"/>
                <w:sz w:val="24"/>
              </w:rPr>
              <w:t>工程占地区外土地执行《土壤环境质量农用地土壤污染风险管控标准（试行）》（G</w:t>
            </w:r>
            <w:r>
              <w:rPr>
                <w:sz w:val="24"/>
              </w:rPr>
              <w:t>B15618</w:t>
            </w:r>
            <w:r>
              <w:rPr>
                <w:rFonts w:hint="eastAsia"/>
                <w:sz w:val="24"/>
              </w:rPr>
              <w:t>-</w:t>
            </w:r>
            <w:r>
              <w:rPr>
                <w:sz w:val="24"/>
              </w:rPr>
              <w:t>2018</w:t>
            </w:r>
            <w:r>
              <w:rPr>
                <w:rFonts w:hint="eastAsia"/>
                <w:sz w:val="24"/>
              </w:rPr>
              <w:t>）表一和表三中的农用地筛选值和风险管控值。</w:t>
            </w:r>
          </w:p>
          <w:p>
            <w:pPr>
              <w:adjustRightInd w:val="0"/>
              <w:snapToGrid w:val="0"/>
              <w:spacing w:line="360" w:lineRule="auto"/>
              <w:ind w:firstLine="480" w:firstLineChars="200"/>
              <w:rPr>
                <w:sz w:val="24"/>
              </w:rPr>
            </w:pPr>
            <w:r>
              <w:rPr>
                <w:rFonts w:hint="eastAsia"/>
                <w:sz w:val="24"/>
              </w:rPr>
              <w:t>土壤盐化、酸化、碱化分级标准采用《环境影响评价技术导则土壤环境（试行）》（</w:t>
            </w:r>
            <w:r>
              <w:rPr>
                <w:sz w:val="24"/>
              </w:rPr>
              <w:t>HJ 964-2018）附录D中表D.1、D.2相应的标准。</w:t>
            </w:r>
          </w:p>
          <w:p>
            <w:pPr>
              <w:adjustRightInd w:val="0"/>
              <w:snapToGrid w:val="0"/>
              <w:spacing w:line="360" w:lineRule="auto"/>
              <w:outlineLvl w:val="1"/>
              <w:rPr>
                <w:b/>
                <w:sz w:val="24"/>
                <w:szCs w:val="32"/>
              </w:rPr>
            </w:pPr>
            <w:r>
              <w:rPr>
                <w:rFonts w:hint="eastAsia"/>
                <w:b/>
                <w:sz w:val="24"/>
                <w:szCs w:val="32"/>
              </w:rPr>
              <w:t>三、</w:t>
            </w:r>
            <w:r>
              <w:rPr>
                <w:b/>
                <w:sz w:val="24"/>
                <w:szCs w:val="32"/>
              </w:rPr>
              <w:t>环境空气</w:t>
            </w:r>
          </w:p>
          <w:p>
            <w:pPr>
              <w:adjustRightInd w:val="0"/>
              <w:snapToGrid w:val="0"/>
              <w:spacing w:line="360" w:lineRule="auto"/>
              <w:ind w:firstLine="480" w:firstLineChars="200"/>
              <w:rPr>
                <w:sz w:val="24"/>
              </w:rPr>
            </w:pPr>
            <w:r>
              <w:rPr>
                <w:sz w:val="24"/>
              </w:rPr>
              <w:t>（1）环境质量标准</w:t>
            </w:r>
          </w:p>
          <w:p>
            <w:pPr>
              <w:adjustRightInd w:val="0"/>
              <w:snapToGrid w:val="0"/>
              <w:spacing w:line="360" w:lineRule="auto"/>
              <w:ind w:firstLine="480" w:firstLineChars="200"/>
              <w:rPr>
                <w:sz w:val="24"/>
              </w:rPr>
            </w:pPr>
            <w:r>
              <w:rPr>
                <w:rFonts w:hint="eastAsia"/>
                <w:sz w:val="24"/>
              </w:rPr>
              <w:t>工程所在区域环境空气质量功能分区为二类区，执行《环境空气质量标准》（</w:t>
            </w:r>
            <w:r>
              <w:rPr>
                <w:sz w:val="24"/>
              </w:rPr>
              <w:t>GB3095-2012）二级标准。</w:t>
            </w:r>
          </w:p>
          <w:p>
            <w:pPr>
              <w:adjustRightInd w:val="0"/>
              <w:snapToGrid w:val="0"/>
              <w:spacing w:line="360" w:lineRule="auto"/>
              <w:ind w:firstLine="480" w:firstLineChars="200"/>
              <w:rPr>
                <w:sz w:val="24"/>
              </w:rPr>
            </w:pPr>
            <w:r>
              <w:rPr>
                <w:sz w:val="24"/>
              </w:rPr>
              <w:t>（2）污染物排放物标准</w:t>
            </w:r>
          </w:p>
          <w:p>
            <w:pPr>
              <w:adjustRightInd w:val="0"/>
              <w:snapToGrid w:val="0"/>
              <w:spacing w:line="360" w:lineRule="auto"/>
              <w:ind w:firstLine="480" w:firstLineChars="200"/>
              <w:rPr>
                <w:sz w:val="24"/>
              </w:rPr>
            </w:pPr>
            <w:r>
              <w:rPr>
                <w:rFonts w:hint="eastAsia"/>
                <w:sz w:val="24"/>
              </w:rPr>
              <w:t>本工程仅施工期产生大气污染物，执行《大气污染物综合排放标准》（</w:t>
            </w:r>
            <w:r>
              <w:rPr>
                <w:sz w:val="24"/>
              </w:rPr>
              <w:t>GB16297-1996）表2中的无组织排放监控浓度限值。</w:t>
            </w:r>
          </w:p>
          <w:p>
            <w:pPr>
              <w:adjustRightInd w:val="0"/>
              <w:snapToGrid w:val="0"/>
              <w:spacing w:line="360" w:lineRule="auto"/>
              <w:outlineLvl w:val="1"/>
              <w:rPr>
                <w:b/>
                <w:sz w:val="24"/>
                <w:szCs w:val="32"/>
              </w:rPr>
            </w:pPr>
            <w:r>
              <w:rPr>
                <w:rFonts w:hint="eastAsia"/>
                <w:b/>
                <w:sz w:val="24"/>
                <w:szCs w:val="32"/>
              </w:rPr>
              <w:t>四、</w:t>
            </w:r>
            <w:r>
              <w:rPr>
                <w:b/>
                <w:sz w:val="24"/>
                <w:szCs w:val="32"/>
              </w:rPr>
              <w:t>声环境</w:t>
            </w:r>
          </w:p>
          <w:p>
            <w:pPr>
              <w:adjustRightInd w:val="0"/>
              <w:snapToGrid w:val="0"/>
              <w:spacing w:line="360" w:lineRule="auto"/>
              <w:ind w:firstLine="480" w:firstLineChars="200"/>
              <w:rPr>
                <w:sz w:val="24"/>
              </w:rPr>
            </w:pPr>
            <w:r>
              <w:rPr>
                <w:sz w:val="24"/>
              </w:rPr>
              <w:t>（1）环境质量标准</w:t>
            </w:r>
          </w:p>
          <w:p>
            <w:pPr>
              <w:adjustRightInd w:val="0"/>
              <w:snapToGrid w:val="0"/>
              <w:spacing w:line="360" w:lineRule="auto"/>
              <w:ind w:firstLine="480" w:firstLineChars="200"/>
              <w:rPr>
                <w:sz w:val="24"/>
              </w:rPr>
            </w:pPr>
            <w:r>
              <w:rPr>
                <w:rFonts w:hint="eastAsia"/>
                <w:sz w:val="24"/>
              </w:rPr>
              <w:t>工程所在地区位于东城镇鸡心</w:t>
            </w:r>
            <w:r>
              <w:rPr>
                <w:sz w:val="24"/>
              </w:rPr>
              <w:t>梁村</w:t>
            </w:r>
            <w:r>
              <w:rPr>
                <w:rFonts w:hint="eastAsia"/>
                <w:sz w:val="24"/>
              </w:rPr>
              <w:t>，执行《声环境质量标准》（</w:t>
            </w:r>
            <w:r>
              <w:rPr>
                <w:sz w:val="24"/>
              </w:rPr>
              <w:t>GB3096-2008）中的1类标准。</w:t>
            </w:r>
          </w:p>
          <w:p>
            <w:pPr>
              <w:adjustRightInd w:val="0"/>
              <w:snapToGrid w:val="0"/>
              <w:spacing w:line="360" w:lineRule="auto"/>
              <w:ind w:firstLine="480" w:firstLineChars="200"/>
              <w:rPr>
                <w:sz w:val="24"/>
              </w:rPr>
            </w:pPr>
            <w:r>
              <w:rPr>
                <w:sz w:val="24"/>
              </w:rPr>
              <w:t>（2）污染物排放物标准</w:t>
            </w:r>
          </w:p>
          <w:p>
            <w:pPr>
              <w:adjustRightInd w:val="0"/>
              <w:snapToGrid w:val="0"/>
              <w:spacing w:line="360" w:lineRule="auto"/>
              <w:ind w:firstLine="480" w:firstLineChars="200"/>
              <w:rPr>
                <w:sz w:val="24"/>
              </w:rPr>
            </w:pPr>
            <w:r>
              <w:rPr>
                <w:rFonts w:hint="eastAsia"/>
                <w:sz w:val="24"/>
              </w:rPr>
              <w:t>施工噪声执行《建筑施工场界环境噪声排放标准》（</w:t>
            </w:r>
            <w:r>
              <w:rPr>
                <w:sz w:val="24"/>
              </w:rPr>
              <w:t>GB12523-2011）施工过程中场界噪声排放限值</w:t>
            </w:r>
            <w:r>
              <w:rPr>
                <w:rFonts w:hint="eastAsia"/>
                <w:sz w:val="24"/>
              </w:rPr>
              <w:t>。</w:t>
            </w:r>
          </w:p>
          <w:p>
            <w:pPr>
              <w:adjustRightInd w:val="0"/>
              <w:snapToGrid w:val="0"/>
              <w:spacing w:line="360" w:lineRule="auto"/>
              <w:rPr>
                <w:b/>
                <w:bCs/>
                <w:sz w:val="24"/>
              </w:rPr>
            </w:pPr>
            <w:r>
              <w:rPr>
                <w:rFonts w:hint="eastAsia"/>
                <w:b/>
                <w:bCs/>
                <w:sz w:val="24"/>
              </w:rPr>
              <w:t>五、固体废物</w:t>
            </w:r>
          </w:p>
          <w:p>
            <w:pPr>
              <w:adjustRightInd w:val="0"/>
              <w:snapToGrid w:val="0"/>
              <w:spacing w:line="360" w:lineRule="auto"/>
              <w:ind w:firstLine="480" w:firstLineChars="200"/>
              <w:rPr>
                <w:sz w:val="24"/>
              </w:rPr>
            </w:pPr>
            <w:r>
              <w:rPr>
                <w:sz w:val="24"/>
              </w:rPr>
              <w:t>一般工业固体废物执行《</w:t>
            </w:r>
            <w:r>
              <w:rPr>
                <w:rFonts w:hint="eastAsia"/>
                <w:sz w:val="24"/>
              </w:rPr>
              <w:t>一般工业</w:t>
            </w:r>
            <w:r>
              <w:rPr>
                <w:sz w:val="24"/>
              </w:rPr>
              <w:t>固体废物贮存和填埋污染控制标准》（GB18599-2020），危险废物执行《危险废物贮存污染控制标准》（GB18597-2023）及修改单。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63" w:hRule="atLeast"/>
          <w:jc w:val="center"/>
        </w:trPr>
        <w:tc>
          <w:tcPr>
            <w:tcW w:w="757" w:type="dxa"/>
            <w:vAlign w:val="center"/>
          </w:tcPr>
          <w:p>
            <w:pPr>
              <w:adjustRightInd w:val="0"/>
              <w:snapToGrid w:val="0"/>
              <w:jc w:val="center"/>
              <w:rPr>
                <w:rFonts w:ascii="宋体" w:hAnsi="宋体" w:cs="宋体"/>
                <w:kern w:val="0"/>
                <w:szCs w:val="21"/>
              </w:rPr>
            </w:pPr>
            <w:r>
              <w:rPr>
                <w:rFonts w:hint="eastAsia" w:ascii="宋体" w:hAnsi="宋体" w:cs="宋体"/>
                <w:kern w:val="0"/>
                <w:szCs w:val="21"/>
              </w:rPr>
              <w:t>其他</w:t>
            </w:r>
          </w:p>
        </w:tc>
        <w:tc>
          <w:tcPr>
            <w:tcW w:w="8447" w:type="dxa"/>
            <w:vAlign w:val="center"/>
          </w:tcPr>
          <w:p>
            <w:pPr>
              <w:pStyle w:val="45"/>
              <w:ind w:firstLine="480"/>
            </w:pPr>
            <w:r>
              <w:rPr>
                <w:rFonts w:hint="eastAsia"/>
              </w:rPr>
              <w:t>本工程为新建水利工程，为生态影响类项目，运行期管理人员产生的少量生活污水经处理后综合利用、不外排，并且不产生大气污染物，不涉及总量控制问题，故本工程不设置总量控制指标。</w:t>
            </w:r>
          </w:p>
        </w:tc>
      </w:tr>
    </w:tbl>
    <w:p/>
    <w:p>
      <w:pPr>
        <w:widowControl/>
        <w:jc w:val="left"/>
        <w:rPr>
          <w:rFonts w:ascii="黑体" w:hAnsi="黑体" w:eastAsia="黑体"/>
          <w:snapToGrid w:val="0"/>
          <w:kern w:val="0"/>
          <w:sz w:val="30"/>
          <w:szCs w:val="30"/>
        </w:rPr>
      </w:pPr>
      <w:r>
        <w:rPr>
          <w:rFonts w:ascii="黑体" w:hAnsi="黑体" w:eastAsia="黑体"/>
          <w:snapToGrid w:val="0"/>
          <w:sz w:val="30"/>
          <w:szCs w:val="30"/>
        </w:rPr>
        <w:br w:type="page"/>
      </w:r>
    </w:p>
    <w:p>
      <w:pPr>
        <w:pStyle w:val="17"/>
        <w:jc w:val="center"/>
        <w:outlineLvl w:val="0"/>
        <w:rPr>
          <w:snapToGrid w:val="0"/>
        </w:rPr>
      </w:pPr>
      <w:r>
        <w:rPr>
          <w:rFonts w:hint="eastAsia" w:ascii="黑体" w:hAnsi="黑体" w:eastAsia="黑体"/>
          <w:snapToGrid w:val="0"/>
          <w:sz w:val="30"/>
          <w:szCs w:val="30"/>
        </w:rPr>
        <w:t>四、生态环境影响分析</w:t>
      </w:r>
    </w:p>
    <w:tbl>
      <w:tblPr>
        <w:tblStyle w:val="21"/>
        <w:tblW w:w="924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88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06" w:hRule="atLeast"/>
          <w:jc w:val="center"/>
        </w:trPr>
        <w:tc>
          <w:tcPr>
            <w:tcW w:w="426" w:type="dxa"/>
            <w:tcBorders>
              <w:top w:val="single" w:color="auto" w:sz="4" w:space="0"/>
              <w:left w:val="single" w:color="auto" w:sz="4" w:space="0"/>
              <w:bottom w:val="single" w:color="auto" w:sz="4" w:space="0"/>
              <w:right w:val="single" w:color="auto" w:sz="4" w:space="0"/>
            </w:tcBorders>
            <w:tcMar>
              <w:left w:w="28" w:type="dxa"/>
              <w:right w:w="28" w:type="dxa"/>
            </w:tcMar>
            <w:vAlign w:val="center"/>
          </w:tcPr>
          <w:p>
            <w:pPr>
              <w:pStyle w:val="17"/>
              <w:adjustRightInd w:val="0"/>
              <w:snapToGrid w:val="0"/>
              <w:spacing w:before="0" w:beforeAutospacing="0" w:after="0" w:afterAutospacing="0"/>
              <w:jc w:val="center"/>
              <w:rPr>
                <w:rFonts w:cs="宋体"/>
                <w:bCs/>
                <w:kern w:val="2"/>
                <w:sz w:val="21"/>
                <w:szCs w:val="21"/>
              </w:rPr>
            </w:pPr>
            <w:bookmarkStart w:id="3" w:name="_Hlk49796138"/>
            <w:r>
              <w:rPr>
                <w:rFonts w:hint="eastAsia" w:cs="宋体"/>
                <w:bCs/>
                <w:spacing w:val="10"/>
                <w:kern w:val="2"/>
                <w:sz w:val="21"/>
                <w:szCs w:val="21"/>
              </w:rPr>
              <w:t>施工期生态环境影响分析</w:t>
            </w:r>
            <w:bookmarkEnd w:id="3"/>
          </w:p>
        </w:tc>
        <w:tc>
          <w:tcPr>
            <w:tcW w:w="8816" w:type="dxa"/>
            <w:tcBorders>
              <w:top w:val="single" w:color="auto" w:sz="4" w:space="0"/>
              <w:left w:val="single" w:color="auto" w:sz="4" w:space="0"/>
              <w:bottom w:val="single" w:color="auto" w:sz="4" w:space="0"/>
              <w:right w:val="single" w:color="auto" w:sz="4" w:space="0"/>
            </w:tcBorders>
          </w:tcPr>
          <w:p>
            <w:pPr>
              <w:adjustRightInd w:val="0"/>
              <w:snapToGrid w:val="0"/>
              <w:spacing w:line="360" w:lineRule="auto"/>
              <w:outlineLvl w:val="1"/>
              <w:rPr>
                <w:b/>
                <w:sz w:val="24"/>
                <w:szCs w:val="32"/>
              </w:rPr>
            </w:pPr>
            <w:r>
              <w:rPr>
                <w:rFonts w:hint="eastAsia"/>
                <w:b/>
                <w:sz w:val="24"/>
                <w:szCs w:val="32"/>
              </w:rPr>
              <w:t>一、施工期废水对环境的影响</w:t>
            </w:r>
          </w:p>
          <w:p>
            <w:pPr>
              <w:adjustRightInd w:val="0"/>
              <w:snapToGrid w:val="0"/>
              <w:spacing w:line="360" w:lineRule="auto"/>
              <w:ind w:firstLine="480" w:firstLineChars="200"/>
              <w:rPr>
                <w:sz w:val="24"/>
              </w:rPr>
            </w:pPr>
            <w:r>
              <w:rPr>
                <w:rFonts w:hint="eastAsia"/>
                <w:sz w:val="24"/>
              </w:rPr>
              <w:t>本次工程施工期产生的废、污水主要为砂石料加工系统、混凝土拌和系统、机械修配保养</w:t>
            </w:r>
            <w:r>
              <w:rPr>
                <w:sz w:val="24"/>
              </w:rPr>
              <w:t>站</w:t>
            </w:r>
            <w:r>
              <w:rPr>
                <w:rFonts w:hint="eastAsia"/>
                <w:sz w:val="24"/>
              </w:rPr>
              <w:t>冲洗设备产生的生产废水以及临时生活区施工人员产生的生活污水</w:t>
            </w:r>
            <w:r>
              <w:rPr>
                <w:sz w:val="24"/>
              </w:rPr>
              <w:t>。</w:t>
            </w:r>
          </w:p>
          <w:p>
            <w:pPr>
              <w:adjustRightInd w:val="0"/>
              <w:snapToGrid w:val="0"/>
              <w:spacing w:line="360" w:lineRule="auto"/>
              <w:ind w:firstLine="480" w:firstLineChars="200"/>
              <w:rPr>
                <w:sz w:val="24"/>
              </w:rPr>
            </w:pPr>
            <w:r>
              <w:rPr>
                <w:rFonts w:hint="eastAsia"/>
                <w:sz w:val="24"/>
              </w:rPr>
              <w:t>（</w:t>
            </w:r>
            <w:r>
              <w:rPr>
                <w:sz w:val="24"/>
              </w:rPr>
              <w:t>1）</w:t>
            </w:r>
            <w:r>
              <w:rPr>
                <w:rFonts w:hint="eastAsia"/>
                <w:sz w:val="24"/>
              </w:rPr>
              <w:t>砂石料加工系统</w:t>
            </w:r>
          </w:p>
          <w:p>
            <w:pPr>
              <w:adjustRightInd w:val="0"/>
              <w:snapToGrid w:val="0"/>
              <w:spacing w:line="360" w:lineRule="auto"/>
              <w:ind w:firstLine="480" w:firstLineChars="200"/>
              <w:rPr>
                <w:sz w:val="24"/>
              </w:rPr>
            </w:pPr>
            <w:r>
              <w:rPr>
                <w:rFonts w:hint="eastAsia"/>
                <w:sz w:val="24"/>
              </w:rPr>
              <w:t>根据施工主体布置，共设置</w:t>
            </w:r>
            <w:r>
              <w:rPr>
                <w:sz w:val="24"/>
              </w:rPr>
              <w:t>1</w:t>
            </w:r>
            <w:r>
              <w:rPr>
                <w:rFonts w:hint="eastAsia"/>
                <w:sz w:val="24"/>
              </w:rPr>
              <w:t>处砂石料加工系统，产生废水中主要污染物为</w:t>
            </w:r>
            <w:r>
              <w:rPr>
                <w:sz w:val="24"/>
              </w:rPr>
              <w:t>SS，浓度可达50000mg/L</w:t>
            </w:r>
            <w:r>
              <w:rPr>
                <w:rFonts w:hint="eastAsia"/>
                <w:sz w:val="24"/>
              </w:rPr>
              <w:t>，废水高峰期产生量为</w:t>
            </w:r>
            <w:r>
              <w:rPr>
                <w:sz w:val="24"/>
              </w:rPr>
              <w:t>104</w:t>
            </w:r>
            <w:r>
              <w:rPr>
                <w:rFonts w:hint="eastAsia"/>
                <w:sz w:val="24"/>
              </w:rPr>
              <w:t>m</w:t>
            </w:r>
            <w:r>
              <w:rPr>
                <w:sz w:val="24"/>
                <w:vertAlign w:val="superscript"/>
              </w:rPr>
              <w:t>3</w:t>
            </w:r>
            <w:r>
              <w:rPr>
                <w:rFonts w:hint="eastAsia"/>
                <w:sz w:val="24"/>
              </w:rPr>
              <w:t>/</w:t>
            </w:r>
            <w:r>
              <w:rPr>
                <w:sz w:val="24"/>
              </w:rPr>
              <w:t>h</w:t>
            </w:r>
            <w:r>
              <w:rPr>
                <w:rFonts w:hint="eastAsia"/>
                <w:sz w:val="24"/>
              </w:rPr>
              <w:t>，砂石加工系统废水若随意排放，将污染周边土壤环境，还可能影响工程生活用水取水水质。</w:t>
            </w:r>
          </w:p>
          <w:p>
            <w:pPr>
              <w:adjustRightInd w:val="0"/>
              <w:snapToGrid w:val="0"/>
              <w:spacing w:line="360" w:lineRule="auto"/>
              <w:ind w:firstLine="480" w:firstLineChars="200"/>
              <w:rPr>
                <w:sz w:val="24"/>
              </w:rPr>
            </w:pPr>
            <w:r>
              <w:rPr>
                <w:rFonts w:hint="eastAsia"/>
                <w:sz w:val="24"/>
              </w:rPr>
              <w:t>从环境保护的角度考虑，本次评价提出废水须经处理达标后回用，禁止外排。</w:t>
            </w:r>
          </w:p>
          <w:p>
            <w:pPr>
              <w:adjustRightInd w:val="0"/>
              <w:snapToGrid w:val="0"/>
              <w:spacing w:line="360" w:lineRule="auto"/>
              <w:ind w:firstLine="480" w:firstLineChars="200"/>
              <w:rPr>
                <w:sz w:val="24"/>
              </w:rPr>
            </w:pPr>
            <w:r>
              <w:rPr>
                <w:rFonts w:hint="eastAsia"/>
                <w:sz w:val="24"/>
              </w:rPr>
              <w:t>（2）混凝土拌和系统</w:t>
            </w:r>
          </w:p>
          <w:p>
            <w:pPr>
              <w:adjustRightInd w:val="0"/>
              <w:snapToGrid w:val="0"/>
              <w:spacing w:line="360" w:lineRule="auto"/>
              <w:ind w:firstLine="480" w:firstLineChars="200"/>
              <w:rPr>
                <w:sz w:val="24"/>
              </w:rPr>
            </w:pPr>
            <w:r>
              <w:rPr>
                <w:rFonts w:hint="eastAsia"/>
                <w:sz w:val="24"/>
              </w:rPr>
              <w:t>本工程</w:t>
            </w:r>
            <w:r>
              <w:rPr>
                <w:sz w:val="24"/>
              </w:rPr>
              <w:t>共设置</w:t>
            </w:r>
            <w:r>
              <w:rPr>
                <w:rFonts w:hint="eastAsia"/>
                <w:sz w:val="24"/>
              </w:rPr>
              <w:t>2处</w:t>
            </w:r>
            <w:r>
              <w:rPr>
                <w:sz w:val="24"/>
              </w:rPr>
              <w:t>混凝土拌和系统，其中</w:t>
            </w:r>
            <w:r>
              <w:rPr>
                <w:rFonts w:hint="eastAsia"/>
                <w:sz w:val="24"/>
              </w:rPr>
              <w:t>1处</w:t>
            </w:r>
            <w:r>
              <w:rPr>
                <w:sz w:val="24"/>
              </w:rPr>
              <w:t>为沥青混凝土拌和，不产生冲洗废水</w:t>
            </w:r>
            <w:r>
              <w:rPr>
                <w:rFonts w:hint="eastAsia"/>
                <w:sz w:val="24"/>
              </w:rPr>
              <w:t>，</w:t>
            </w:r>
            <w:r>
              <w:rPr>
                <w:sz w:val="24"/>
              </w:rPr>
              <w:t>本次针对另一</w:t>
            </w:r>
            <w:r>
              <w:rPr>
                <w:rFonts w:hint="eastAsia"/>
                <w:sz w:val="24"/>
              </w:rPr>
              <w:t>处</w:t>
            </w:r>
            <w:r>
              <w:rPr>
                <w:sz w:val="24"/>
              </w:rPr>
              <w:t>产生废水的水泥混凝土拌和系统进行设计。</w:t>
            </w:r>
            <w:r>
              <w:rPr>
                <w:rFonts w:hint="eastAsia"/>
                <w:sz w:val="24"/>
              </w:rPr>
              <w:t>混凝土拌和系统废水主要来自混凝土拌和罐、混凝土罐车和自卸汽车的清洗，具有间歇式排放特点，污染物主要是</w:t>
            </w:r>
            <w:r>
              <w:rPr>
                <w:sz w:val="24"/>
              </w:rPr>
              <w:t>SS，浓度约为5000mg/L，pH值11～12，呈碱性。</w:t>
            </w:r>
            <w:r>
              <w:rPr>
                <w:rFonts w:hint="eastAsia"/>
                <w:sz w:val="24"/>
              </w:rPr>
              <w:t>废水高峰期产生量为</w:t>
            </w:r>
            <w:r>
              <w:rPr>
                <w:sz w:val="24"/>
              </w:rPr>
              <w:t>0.9m</w:t>
            </w:r>
            <w:r>
              <w:rPr>
                <w:sz w:val="24"/>
                <w:vertAlign w:val="superscript"/>
              </w:rPr>
              <w:t>3</w:t>
            </w:r>
            <w:r>
              <w:rPr>
                <w:sz w:val="24"/>
              </w:rPr>
              <w:t>/h</w:t>
            </w:r>
            <w:r>
              <w:rPr>
                <w:rFonts w:hint="eastAsia"/>
                <w:sz w:val="24"/>
              </w:rPr>
              <w:t>，这类废水任意排放，将会影响河道水质，同时可能会造成周边土壤逐渐碱化，不利于施工后期的迹地恢复。</w:t>
            </w:r>
          </w:p>
          <w:p>
            <w:pPr>
              <w:adjustRightInd w:val="0"/>
              <w:snapToGrid w:val="0"/>
              <w:spacing w:line="360" w:lineRule="auto"/>
              <w:ind w:firstLine="480" w:firstLineChars="200"/>
              <w:rPr>
                <w:sz w:val="24"/>
              </w:rPr>
            </w:pPr>
            <w:r>
              <w:rPr>
                <w:rFonts w:hint="eastAsia"/>
                <w:sz w:val="24"/>
              </w:rPr>
              <w:t>本次评价提出对混凝土拌和系统废水收集处理达标后回用，禁止排放。</w:t>
            </w:r>
          </w:p>
          <w:p>
            <w:pPr>
              <w:adjustRightInd w:val="0"/>
              <w:snapToGrid w:val="0"/>
              <w:spacing w:line="360" w:lineRule="auto"/>
              <w:ind w:firstLine="480" w:firstLineChars="200"/>
              <w:rPr>
                <w:sz w:val="24"/>
              </w:rPr>
            </w:pPr>
            <w:r>
              <w:rPr>
                <w:rFonts w:hint="eastAsia"/>
                <w:sz w:val="24"/>
              </w:rPr>
              <w:t>（3）含油废水</w:t>
            </w:r>
          </w:p>
          <w:p>
            <w:pPr>
              <w:adjustRightInd w:val="0"/>
              <w:snapToGrid w:val="0"/>
              <w:spacing w:line="360" w:lineRule="auto"/>
              <w:ind w:firstLine="480" w:firstLineChars="200"/>
              <w:rPr>
                <w:sz w:val="24"/>
              </w:rPr>
            </w:pPr>
            <w:r>
              <w:rPr>
                <w:rFonts w:hint="eastAsia"/>
                <w:sz w:val="24"/>
              </w:rPr>
              <w:t>本工程于生活区附近布置</w:t>
            </w:r>
            <w:r>
              <w:rPr>
                <w:sz w:val="24"/>
              </w:rPr>
              <w:t>1处机械</w:t>
            </w:r>
            <w:r>
              <w:rPr>
                <w:rFonts w:hint="eastAsia"/>
                <w:sz w:val="24"/>
              </w:rPr>
              <w:t>修配</w:t>
            </w:r>
            <w:r>
              <w:rPr>
                <w:sz w:val="24"/>
              </w:rPr>
              <w:t>保养站。</w:t>
            </w:r>
            <w:r>
              <w:rPr>
                <w:rFonts w:hint="eastAsia"/>
                <w:sz w:val="24"/>
              </w:rPr>
              <w:t>机械修配保养站含油废水产自机械车辆维修保养和零件冲洗过程中。废水主要污染成分为</w:t>
            </w:r>
            <w:r>
              <w:rPr>
                <w:sz w:val="24"/>
              </w:rPr>
              <w:t>SS和石油类，其浓度分别为500～4000mg/L、10～30mg/L，排放强度为0.8m</w:t>
            </w:r>
            <w:r>
              <w:rPr>
                <w:sz w:val="24"/>
                <w:vertAlign w:val="superscript"/>
              </w:rPr>
              <w:t>3</w:t>
            </w:r>
            <w:r>
              <w:rPr>
                <w:sz w:val="24"/>
              </w:rPr>
              <w:t>/d。</w:t>
            </w:r>
          </w:p>
          <w:p>
            <w:pPr>
              <w:autoSpaceDE w:val="0"/>
              <w:autoSpaceDN w:val="0"/>
              <w:spacing w:line="360" w:lineRule="auto"/>
              <w:ind w:firstLine="480" w:firstLineChars="200"/>
              <w:textAlignment w:val="baseline"/>
              <w:rPr>
                <w:kern w:val="0"/>
                <w:sz w:val="24"/>
                <w:szCs w:val="20"/>
              </w:rPr>
            </w:pPr>
            <w:r>
              <w:rPr>
                <w:rFonts w:hint="eastAsia"/>
                <w:sz w:val="24"/>
              </w:rPr>
              <w:t>若机械修配保养站含油废水任意排放，将会在地表形成一层干结的黑色油污，导致土壤理化性质改变、肥力降低，不利于迹地恢复，且影响地表景观；同时含油废水散发机油气味，还将对施工作业区和周边环境造成影响。本次评价提出将含油废水收集处理后回用，禁止外排。同时，</w:t>
            </w:r>
            <w:r>
              <w:rPr>
                <w:kern w:val="0"/>
                <w:sz w:val="24"/>
                <w:szCs w:val="20"/>
              </w:rPr>
              <w:t>处理后收集的浮油属于危险废物（HW08：900-210-08），须按危废</w:t>
            </w:r>
            <w:r>
              <w:rPr>
                <w:rFonts w:hint="eastAsia"/>
                <w:kern w:val="0"/>
                <w:sz w:val="24"/>
                <w:szCs w:val="20"/>
              </w:rPr>
              <w:t>相关要求进行</w:t>
            </w:r>
            <w:r>
              <w:rPr>
                <w:kern w:val="0"/>
                <w:sz w:val="24"/>
                <w:szCs w:val="20"/>
              </w:rPr>
              <w:t>处置。</w:t>
            </w:r>
          </w:p>
          <w:p>
            <w:pPr>
              <w:adjustRightInd w:val="0"/>
              <w:snapToGrid w:val="0"/>
              <w:spacing w:line="360" w:lineRule="auto"/>
              <w:ind w:firstLine="480" w:firstLineChars="200"/>
              <w:rPr>
                <w:sz w:val="24"/>
              </w:rPr>
            </w:pPr>
            <w:r>
              <w:rPr>
                <w:rFonts w:hint="eastAsia"/>
                <w:sz w:val="24"/>
              </w:rPr>
              <w:t>（</w:t>
            </w:r>
            <w:r>
              <w:rPr>
                <w:sz w:val="24"/>
              </w:rPr>
              <w:t>4）基坑</w:t>
            </w:r>
            <w:r>
              <w:rPr>
                <w:rFonts w:hint="eastAsia"/>
                <w:sz w:val="24"/>
              </w:rPr>
              <w:t>废水</w:t>
            </w:r>
          </w:p>
          <w:p>
            <w:pPr>
              <w:adjustRightInd w:val="0"/>
              <w:snapToGrid w:val="0"/>
              <w:spacing w:line="360" w:lineRule="auto"/>
              <w:ind w:firstLine="420"/>
              <w:rPr>
                <w:sz w:val="24"/>
              </w:rPr>
            </w:pPr>
            <w:r>
              <w:rPr>
                <w:rFonts w:hint="eastAsia"/>
                <w:sz w:val="24"/>
              </w:rPr>
              <w:t>本工程基坑排水为经常性排水，主要包括围堰与基坑渗水、降雨、施工弃水等施工用水，高峰期排水</w:t>
            </w:r>
            <w:r>
              <w:rPr>
                <w:sz w:val="24"/>
              </w:rPr>
              <w:t>强度为</w:t>
            </w:r>
            <w:r>
              <w:rPr>
                <w:rFonts w:hint="eastAsia"/>
                <w:sz w:val="24"/>
              </w:rPr>
              <w:t>80m</w:t>
            </w:r>
            <w:r>
              <w:rPr>
                <w:rFonts w:hint="eastAsia"/>
                <w:sz w:val="24"/>
                <w:vertAlign w:val="superscript"/>
              </w:rPr>
              <w:t>3</w:t>
            </w:r>
            <w:r>
              <w:rPr>
                <w:rFonts w:hint="eastAsia"/>
                <w:sz w:val="24"/>
              </w:rPr>
              <w:t>/h。基坑经常性排水水质较清澈，</w:t>
            </w:r>
            <w:r>
              <w:rPr>
                <w:sz w:val="24"/>
              </w:rPr>
              <w:t>SS浓度低，无复杂污染物。</w:t>
            </w:r>
          </w:p>
          <w:p>
            <w:pPr>
              <w:adjustRightInd w:val="0"/>
              <w:snapToGrid w:val="0"/>
              <w:spacing w:line="360" w:lineRule="auto"/>
              <w:ind w:firstLine="480" w:firstLineChars="200"/>
              <w:rPr>
                <w:sz w:val="24"/>
              </w:rPr>
            </w:pPr>
            <w:r>
              <w:rPr>
                <w:rFonts w:hint="eastAsia"/>
                <w:sz w:val="24"/>
              </w:rPr>
              <w:t>（</w:t>
            </w:r>
            <w:r>
              <w:rPr>
                <w:sz w:val="24"/>
              </w:rPr>
              <w:t>5）生活污水</w:t>
            </w:r>
          </w:p>
          <w:p>
            <w:pPr>
              <w:adjustRightInd w:val="0"/>
              <w:snapToGrid w:val="0"/>
              <w:spacing w:line="360" w:lineRule="auto"/>
              <w:ind w:firstLine="480" w:firstLineChars="200"/>
              <w:rPr>
                <w:sz w:val="24"/>
              </w:rPr>
            </w:pPr>
            <w:r>
              <w:rPr>
                <w:rFonts w:hint="eastAsia"/>
                <w:sz w:val="24"/>
              </w:rPr>
              <w:t>生活污水主要产自临时生活区，根据施工组织设计，本工程共布设</w:t>
            </w:r>
            <w:r>
              <w:rPr>
                <w:sz w:val="24"/>
              </w:rPr>
              <w:t>1处</w:t>
            </w:r>
            <w:r>
              <w:rPr>
                <w:rFonts w:hint="eastAsia"/>
                <w:sz w:val="24"/>
              </w:rPr>
              <w:t>施工</w:t>
            </w:r>
            <w:r>
              <w:rPr>
                <w:sz w:val="24"/>
              </w:rPr>
              <w:t>临时生活区，主要污染物为BOD</w:t>
            </w:r>
            <w:r>
              <w:rPr>
                <w:sz w:val="24"/>
                <w:vertAlign w:val="subscript"/>
              </w:rPr>
              <w:t>5</w:t>
            </w:r>
            <w:r>
              <w:rPr>
                <w:sz w:val="24"/>
              </w:rPr>
              <w:t>和COD</w:t>
            </w:r>
            <w:r>
              <w:rPr>
                <w:sz w:val="24"/>
                <w:vertAlign w:val="subscript"/>
              </w:rPr>
              <w:t>Cr</w:t>
            </w:r>
            <w:r>
              <w:rPr>
                <w:sz w:val="24"/>
              </w:rPr>
              <w:t>，浓度分别为500mg/L、600mg/L左右。本工程施工高峰期人数为337人，人均用水量为100L/d，生活污水产生量按用水量的80%计，</w:t>
            </w:r>
            <w:r>
              <w:rPr>
                <w:rFonts w:hint="eastAsia"/>
                <w:sz w:val="24"/>
              </w:rPr>
              <w:t>施工高峰期</w:t>
            </w:r>
            <w:r>
              <w:rPr>
                <w:sz w:val="24"/>
              </w:rPr>
              <w:t>生活污水排放量约26.96m</w:t>
            </w:r>
            <w:r>
              <w:rPr>
                <w:sz w:val="24"/>
                <w:vertAlign w:val="superscript"/>
              </w:rPr>
              <w:t>3</w:t>
            </w:r>
            <w:r>
              <w:rPr>
                <w:sz w:val="24"/>
              </w:rPr>
              <w:t>/d。</w:t>
            </w:r>
          </w:p>
          <w:p>
            <w:pPr>
              <w:adjustRightInd w:val="0"/>
              <w:snapToGrid w:val="0"/>
              <w:spacing w:line="360" w:lineRule="auto"/>
              <w:ind w:firstLine="480" w:firstLineChars="200"/>
              <w:rPr>
                <w:sz w:val="24"/>
              </w:rPr>
            </w:pPr>
            <w:r>
              <w:rPr>
                <w:rFonts w:hint="eastAsia"/>
                <w:sz w:val="24"/>
              </w:rPr>
              <w:t>生活污水若不经过处理任意排放，不仅将污染水体和土壤，还将孳生蚊蝇、传播细菌，对施工人员生活环境卫生及人群健康都构成威胁，故须对生活污水进行收集、达标处理，用于生活区内绿化、周边荒漠灌溉等。</w:t>
            </w:r>
          </w:p>
          <w:p>
            <w:pPr>
              <w:adjustRightInd w:val="0"/>
              <w:snapToGrid w:val="0"/>
              <w:spacing w:line="360" w:lineRule="auto"/>
              <w:rPr>
                <w:b/>
                <w:sz w:val="24"/>
              </w:rPr>
            </w:pPr>
            <w:r>
              <w:rPr>
                <w:rFonts w:hint="eastAsia"/>
                <w:b/>
                <w:sz w:val="24"/>
              </w:rPr>
              <w:t>二、对环境空气的影响</w:t>
            </w:r>
          </w:p>
          <w:p>
            <w:pPr>
              <w:adjustRightInd w:val="0"/>
              <w:snapToGrid w:val="0"/>
              <w:spacing w:line="360" w:lineRule="auto"/>
              <w:ind w:firstLine="480" w:firstLineChars="200"/>
              <w:rPr>
                <w:sz w:val="24"/>
              </w:rPr>
            </w:pPr>
            <w:r>
              <w:rPr>
                <w:rFonts w:hint="eastAsia"/>
                <w:sz w:val="24"/>
              </w:rPr>
              <w:t>工程施工期环境空气污染物主要来源于施工作业面粉尘、机动车辆和施工机械排放的燃油尾气、生产系统粉尘以及施工道路扬尘等，主要污染物有</w:t>
            </w:r>
            <w:r>
              <w:rPr>
                <w:sz w:val="24"/>
              </w:rPr>
              <w:t>SO</w:t>
            </w:r>
            <w:r>
              <w:rPr>
                <w:sz w:val="24"/>
                <w:vertAlign w:val="subscript"/>
              </w:rPr>
              <w:t>2</w:t>
            </w:r>
            <w:r>
              <w:rPr>
                <w:sz w:val="24"/>
              </w:rPr>
              <w:t>、NO</w:t>
            </w:r>
            <w:r>
              <w:rPr>
                <w:sz w:val="24"/>
                <w:vertAlign w:val="subscript"/>
              </w:rPr>
              <w:t>x</w:t>
            </w:r>
            <w:r>
              <w:rPr>
                <w:sz w:val="24"/>
              </w:rPr>
              <w:t>及粉尘等。</w:t>
            </w:r>
          </w:p>
          <w:p>
            <w:pPr>
              <w:adjustRightInd w:val="0"/>
              <w:snapToGrid w:val="0"/>
              <w:spacing w:line="360" w:lineRule="auto"/>
              <w:ind w:firstLine="480" w:firstLineChars="200"/>
              <w:rPr>
                <w:sz w:val="24"/>
              </w:rPr>
            </w:pPr>
            <w:r>
              <w:rPr>
                <w:rFonts w:hint="eastAsia"/>
                <w:sz w:val="24"/>
              </w:rPr>
              <w:t>（</w:t>
            </w:r>
            <w:r>
              <w:rPr>
                <w:sz w:val="24"/>
              </w:rPr>
              <w:t>1）施工粉尘、扬尘对环境的影响</w:t>
            </w:r>
          </w:p>
          <w:p>
            <w:pPr>
              <w:adjustRightInd w:val="0"/>
              <w:snapToGrid w:val="0"/>
              <w:spacing w:line="360" w:lineRule="auto"/>
              <w:ind w:firstLine="480" w:firstLineChars="200"/>
              <w:rPr>
                <w:sz w:val="24"/>
              </w:rPr>
            </w:pPr>
            <w:r>
              <w:rPr>
                <w:rFonts w:hint="eastAsia"/>
                <w:sz w:val="24"/>
              </w:rPr>
              <w:t>施工期对环境空气的影响主要来自于施工作业面、生产系统及交通运输产生的粉尘或扬尘。施工扬尘主要产生于土石方挖填、建材装卸、车辆行驶、建筑散体材料存储场地以及散体材料运输过程中。根据有关资料，施工交通扬尘约占施工期总扬尘量的</w:t>
            </w:r>
            <w:r>
              <w:rPr>
                <w:sz w:val="24"/>
              </w:rPr>
              <w:t>60%以上；此外，运输物料泄露也是产生扬尘的因素之一，水泥若运输装卸不当，会产生物料扬尘。扬尘的排放量与施工场地的面积大小、施工活动的频率以及当地土壤中泥沙颗粒成一定比例，同时，还与当地气象条件如风速、湿度、日照等有关。施工扬尘使工地周围空气环境TSP指标增加，在大风不利气象条件下，施工扬尘影响更为明显，根据类比资料，在风速4.6m/s时，施工扬尘将造成150m范围内空</w:t>
            </w:r>
            <w:r>
              <w:rPr>
                <w:rFonts w:hint="eastAsia"/>
                <w:sz w:val="24"/>
              </w:rPr>
              <w:t>气</w:t>
            </w:r>
            <w:r>
              <w:rPr>
                <w:sz w:val="24"/>
              </w:rPr>
              <w:t>TSP超过《环境空气质量标准》（GB3095-2012）二级标准。所以，在一般情况下，不利天气下扬尘会对施工场地周边的环境空气造成影响</w:t>
            </w:r>
            <w:r>
              <w:rPr>
                <w:rFonts w:hint="eastAsia"/>
                <w:sz w:val="24"/>
              </w:rPr>
              <w:t>，</w:t>
            </w:r>
            <w:r>
              <w:rPr>
                <w:sz w:val="24"/>
              </w:rPr>
              <w:t>特别是工程量较大的挖方、填方和临时堆土都可能产生扬尘，在有风不利天气下影响较为明显。</w:t>
            </w:r>
          </w:p>
          <w:p>
            <w:pPr>
              <w:adjustRightInd w:val="0"/>
              <w:snapToGrid w:val="0"/>
              <w:spacing w:line="360" w:lineRule="auto"/>
              <w:ind w:firstLine="480" w:firstLineChars="200"/>
              <w:rPr>
                <w:sz w:val="24"/>
              </w:rPr>
            </w:pPr>
            <w:r>
              <w:rPr>
                <w:rFonts w:hint="eastAsia"/>
                <w:sz w:val="24"/>
              </w:rPr>
              <w:t>工程区附近分布有</w:t>
            </w:r>
            <w:r>
              <w:rPr>
                <w:sz w:val="24"/>
              </w:rPr>
              <w:t>鸡心梁村部分村民</w:t>
            </w:r>
            <w:r>
              <w:rPr>
                <w:rFonts w:hint="eastAsia"/>
                <w:sz w:val="24"/>
              </w:rPr>
              <w:t>，扬尘和粉尘影响对象主要为施工人员和</w:t>
            </w:r>
            <w:r>
              <w:rPr>
                <w:sz w:val="24"/>
              </w:rPr>
              <w:t>鸡心梁村部分居民</w:t>
            </w:r>
            <w:r>
              <w:rPr>
                <w:rFonts w:hint="eastAsia"/>
                <w:sz w:val="24"/>
              </w:rPr>
              <w:t>，施工结束后影响随即消失。根据同类工程施工经验，采取洒水等措施后，扬尘粉尘影响时长和范围都会得到有效控制。</w:t>
            </w:r>
          </w:p>
          <w:p>
            <w:pPr>
              <w:adjustRightInd w:val="0"/>
              <w:snapToGrid w:val="0"/>
              <w:spacing w:line="360" w:lineRule="auto"/>
              <w:ind w:firstLine="480" w:firstLineChars="200"/>
              <w:rPr>
                <w:sz w:val="24"/>
              </w:rPr>
            </w:pPr>
            <w:r>
              <w:rPr>
                <w:rFonts w:hint="eastAsia"/>
                <w:sz w:val="24"/>
              </w:rPr>
              <w:t>（</w:t>
            </w:r>
            <w:r>
              <w:rPr>
                <w:sz w:val="24"/>
              </w:rPr>
              <w:t>2）燃油废气</w:t>
            </w:r>
          </w:p>
          <w:p>
            <w:pPr>
              <w:adjustRightInd w:val="0"/>
              <w:snapToGrid w:val="0"/>
              <w:spacing w:line="360" w:lineRule="auto"/>
              <w:ind w:firstLine="480" w:firstLineChars="200"/>
              <w:rPr>
                <w:sz w:val="24"/>
              </w:rPr>
            </w:pPr>
            <w:r>
              <w:rPr>
                <w:rFonts w:hint="eastAsia"/>
                <w:sz w:val="24"/>
              </w:rPr>
              <w:t>本工程施工过程用到的施工机械，主要有挖掘机、振动碾、推土机等机械，施工机械以柴油为燃料，会排放燃油废气，施工车辆运输产生一定的汽车尾气，包括</w:t>
            </w:r>
            <w:r>
              <w:rPr>
                <w:sz w:val="24"/>
              </w:rPr>
              <w:t>SO</w:t>
            </w:r>
            <w:r>
              <w:rPr>
                <w:sz w:val="24"/>
                <w:vertAlign w:val="subscript"/>
              </w:rPr>
              <w:t>2</w:t>
            </w:r>
            <w:r>
              <w:rPr>
                <w:sz w:val="24"/>
              </w:rPr>
              <w:t>、NO</w:t>
            </w:r>
            <w:r>
              <w:rPr>
                <w:sz w:val="24"/>
                <w:vertAlign w:val="subscript"/>
              </w:rPr>
              <w:t>x</w:t>
            </w:r>
            <w:r>
              <w:rPr>
                <w:sz w:val="24"/>
              </w:rPr>
              <w:t>等。同时，机动车辆及机械燃油废气污染源多为流动性污染源，由于施工活动导致短期内局部区域污染物浓度会有所升高，但污染源较分散，污染强度不大，且污染物的排放会随施工活动的停止而消失，不会产生严重的环境空气污染。</w:t>
            </w:r>
          </w:p>
          <w:p>
            <w:pPr>
              <w:adjustRightInd w:val="0"/>
              <w:snapToGrid w:val="0"/>
              <w:spacing w:line="360" w:lineRule="auto"/>
              <w:ind w:firstLine="480" w:firstLineChars="200"/>
              <w:rPr>
                <w:sz w:val="24"/>
              </w:rPr>
            </w:pPr>
            <w:r>
              <w:rPr>
                <w:rFonts w:hint="eastAsia"/>
                <w:sz w:val="24"/>
              </w:rPr>
              <w:t>（3）混凝土</w:t>
            </w:r>
            <w:r>
              <w:rPr>
                <w:sz w:val="24"/>
              </w:rPr>
              <w:t>拌和</w:t>
            </w:r>
            <w:r>
              <w:rPr>
                <w:rFonts w:hint="eastAsia"/>
                <w:sz w:val="24"/>
              </w:rPr>
              <w:t>系统和沥青</w:t>
            </w:r>
            <w:r>
              <w:rPr>
                <w:sz w:val="24"/>
              </w:rPr>
              <w:t>混凝土拌和系统的影响</w:t>
            </w:r>
          </w:p>
          <w:p>
            <w:pPr>
              <w:adjustRightInd w:val="0"/>
              <w:snapToGrid w:val="0"/>
              <w:spacing w:line="360" w:lineRule="auto"/>
              <w:ind w:firstLine="480" w:firstLineChars="200"/>
              <w:rPr>
                <w:sz w:val="24"/>
              </w:rPr>
            </w:pPr>
            <w:r>
              <w:rPr>
                <w:rFonts w:hint="eastAsia"/>
                <w:sz w:val="24"/>
              </w:rPr>
              <w:t>本工程混凝土拌和系统运行过程中粉尘主要来源于输送、计量、投料工序产生的粉尘、运输车辆动力起尘、筒仓粉尘、筒仓抽料时放空口产生的粉尘以及砂石卸料、堆放扬尘等；</w:t>
            </w:r>
            <w:r>
              <w:rPr>
                <w:sz w:val="24"/>
              </w:rPr>
              <w:t>沥青混凝土拌和系统产生的粉尘和废气</w:t>
            </w:r>
            <w:r>
              <w:rPr>
                <w:rFonts w:hint="eastAsia"/>
                <w:sz w:val="24"/>
              </w:rPr>
              <w:t>主要来源于</w:t>
            </w:r>
            <w:r>
              <w:rPr>
                <w:sz w:val="24"/>
              </w:rPr>
              <w:t>原料库粉尘、燃烧器和干燥筒废气、</w:t>
            </w:r>
            <w:r>
              <w:rPr>
                <w:rFonts w:hint="eastAsia"/>
                <w:sz w:val="24"/>
              </w:rPr>
              <w:t>导热油</w:t>
            </w:r>
            <w:r>
              <w:rPr>
                <w:sz w:val="24"/>
              </w:rPr>
              <w:t>炉燃烧烟气、</w:t>
            </w:r>
            <w:r>
              <w:rPr>
                <w:rFonts w:hint="eastAsia"/>
                <w:sz w:val="24"/>
              </w:rPr>
              <w:t>上料</w:t>
            </w:r>
            <w:r>
              <w:rPr>
                <w:sz w:val="24"/>
              </w:rPr>
              <w:t>粉尘</w:t>
            </w:r>
            <w:r>
              <w:rPr>
                <w:rFonts w:hint="eastAsia"/>
                <w:sz w:val="24"/>
              </w:rPr>
              <w:t>以及储罐和成品出料口废气。</w:t>
            </w:r>
          </w:p>
          <w:p>
            <w:pPr>
              <w:adjustRightInd w:val="0"/>
              <w:snapToGrid w:val="0"/>
              <w:spacing w:line="360" w:lineRule="auto"/>
              <w:ind w:firstLine="480" w:firstLineChars="200"/>
              <w:rPr>
                <w:sz w:val="24"/>
              </w:rPr>
            </w:pPr>
            <w:r>
              <w:rPr>
                <w:rFonts w:hint="eastAsia"/>
                <w:sz w:val="24"/>
              </w:rPr>
              <w:t>其中</w:t>
            </w:r>
            <w:r>
              <w:rPr>
                <w:sz w:val="24"/>
              </w:rPr>
              <w:t>粉尘和扬尘</w:t>
            </w:r>
            <w:r>
              <w:rPr>
                <w:rFonts w:hint="eastAsia"/>
                <w:sz w:val="24"/>
              </w:rPr>
              <w:t>产生</w:t>
            </w:r>
            <w:r>
              <w:rPr>
                <w:sz w:val="24"/>
              </w:rPr>
              <w:t>的影响同上</w:t>
            </w:r>
            <w:r>
              <w:rPr>
                <w:rFonts w:hint="eastAsia"/>
                <w:sz w:val="24"/>
              </w:rPr>
              <w:t>，燃烧器和干燥筒废气、导热油炉燃烧烟气中</w:t>
            </w:r>
            <w:r>
              <w:rPr>
                <w:sz w:val="24"/>
              </w:rPr>
              <w:t>含有</w:t>
            </w:r>
            <w:r>
              <w:rPr>
                <w:rFonts w:hint="eastAsia"/>
                <w:sz w:val="24"/>
              </w:rPr>
              <w:t>SO</w:t>
            </w:r>
            <w:r>
              <w:rPr>
                <w:rFonts w:hint="eastAsia"/>
                <w:sz w:val="24"/>
                <w:vertAlign w:val="subscript"/>
              </w:rPr>
              <w:t>2</w:t>
            </w:r>
            <w:r>
              <w:rPr>
                <w:rFonts w:hint="eastAsia"/>
                <w:sz w:val="24"/>
              </w:rPr>
              <w:t>、NO</w:t>
            </w:r>
            <w:r>
              <w:rPr>
                <w:rFonts w:hint="eastAsia"/>
                <w:sz w:val="24"/>
                <w:vertAlign w:val="subscript"/>
              </w:rPr>
              <w:t>X</w:t>
            </w:r>
            <w:r>
              <w:rPr>
                <w:rFonts w:hint="eastAsia"/>
                <w:sz w:val="24"/>
              </w:rPr>
              <w:t>、TSP，储罐和成品出料口废气中主要有</w:t>
            </w:r>
            <w:r>
              <w:rPr>
                <w:sz w:val="24"/>
              </w:rPr>
              <w:t>沥青</w:t>
            </w:r>
            <w:r>
              <w:rPr>
                <w:rFonts w:hint="eastAsia"/>
                <w:sz w:val="24"/>
              </w:rPr>
              <w:t>烟。沥青烟是指石油沥青及沥青制品生产中排放的液态烃类有机颗粒物质和少量在常温下的气态烃类物质，它是含多种化学物质的混合烟气，以烃类混合物为主要成分，其中含多环芳烃类物质尤多，以苯并[a]芘为代表的多环芳烃类物质是强致癌物。在沥青烟中，苯并[a]芘通常附在直径8.0µm以下的颗粒上。本项目生产所需沥青先通过导热油炉加热，再由沥青泵送入沥青混凝土生产车间内搅拌缸中。沥青输送及搅拌系统全部封闭，搅拌系统产生废气的排放点为沥青混凝土成品出料口，出料口处设有烟气收集装置对沥青混凝土搅拌过程产生的废气进行收集并输送至“电捕焦油器+活性炭吸附装置”进行处理；沥青罐有逸散部位均有管道收集废气，全部收集后经配套风机（风量3000m³/h）引至“电捕焦油器+活性炭吸附装置”对废气进行处理。处理后的废气经3#排气筒（15m）排放，去除效率可达到99.8%以上。柴油储罐VOCS废气中</w:t>
            </w:r>
            <w:r>
              <w:rPr>
                <w:sz w:val="24"/>
              </w:rPr>
              <w:t>主要为</w:t>
            </w:r>
            <w:r>
              <w:rPr>
                <w:rFonts w:hint="eastAsia"/>
                <w:sz w:val="24"/>
              </w:rPr>
              <w:t>VOC</w:t>
            </w:r>
            <w:r>
              <w:rPr>
                <w:sz w:val="24"/>
              </w:rPr>
              <w:t>s</w:t>
            </w:r>
            <w:r>
              <w:rPr>
                <w:rFonts w:hint="eastAsia"/>
                <w:sz w:val="24"/>
              </w:rPr>
              <w:t>（以非甲烷总烃计），柴油储罐和沥青储罐均设置在室内，因沥青储罐采用导热油炉加热保温，储存过程中室内保持恒温，温度变化较小，因此小呼吸排放量（排出蒸气和吸入空气的过程造成的物料损失）可忽略不计。</w:t>
            </w:r>
          </w:p>
          <w:p>
            <w:pPr>
              <w:adjustRightInd w:val="0"/>
              <w:snapToGrid w:val="0"/>
              <w:spacing w:line="360" w:lineRule="auto"/>
              <w:ind w:firstLine="480" w:firstLineChars="200"/>
              <w:rPr>
                <w:sz w:val="24"/>
              </w:rPr>
            </w:pPr>
            <w:r>
              <w:rPr>
                <w:rFonts w:hint="eastAsia"/>
                <w:sz w:val="24"/>
              </w:rPr>
              <w:t>（</w:t>
            </w:r>
            <w:r>
              <w:rPr>
                <w:sz w:val="24"/>
              </w:rPr>
              <w:t>4）供热的影响</w:t>
            </w:r>
          </w:p>
          <w:p>
            <w:pPr>
              <w:adjustRightInd w:val="0"/>
              <w:snapToGrid w:val="0"/>
              <w:spacing w:line="360" w:lineRule="auto"/>
              <w:ind w:firstLine="480" w:firstLineChars="200"/>
              <w:rPr>
                <w:sz w:val="24"/>
              </w:rPr>
            </w:pPr>
            <w:r>
              <w:rPr>
                <w:rFonts w:hint="eastAsia"/>
                <w:sz w:val="24"/>
              </w:rPr>
              <w:t>本工程施工期间对临时生活区的供热采用电热水锅炉进行，不会产生锅炉废气，不会产生环境空气污染。</w:t>
            </w:r>
          </w:p>
          <w:p>
            <w:pPr>
              <w:adjustRightInd w:val="0"/>
              <w:snapToGrid w:val="0"/>
              <w:spacing w:line="360" w:lineRule="auto"/>
              <w:rPr>
                <w:b/>
                <w:sz w:val="24"/>
              </w:rPr>
            </w:pPr>
            <w:r>
              <w:rPr>
                <w:rFonts w:hint="eastAsia"/>
                <w:b/>
                <w:sz w:val="24"/>
              </w:rPr>
              <w:t>三</w:t>
            </w:r>
            <w:r>
              <w:rPr>
                <w:b/>
                <w:sz w:val="24"/>
              </w:rPr>
              <w:t>、固体废物对环境的影响</w:t>
            </w:r>
          </w:p>
          <w:p>
            <w:pPr>
              <w:adjustRightInd w:val="0"/>
              <w:snapToGrid w:val="0"/>
              <w:spacing w:line="360" w:lineRule="auto"/>
              <w:ind w:firstLine="480" w:firstLineChars="200"/>
              <w:rPr>
                <w:sz w:val="24"/>
              </w:rPr>
            </w:pPr>
            <w:r>
              <w:rPr>
                <w:sz w:val="24"/>
              </w:rPr>
              <w:t>固体废物主要包括施工过程中产生的弃土（渣）、生活垃圾及隔油池产生的少量废油。</w:t>
            </w:r>
          </w:p>
          <w:p>
            <w:pPr>
              <w:adjustRightInd w:val="0"/>
              <w:snapToGrid w:val="0"/>
              <w:spacing w:line="360" w:lineRule="auto"/>
              <w:ind w:firstLine="480" w:firstLineChars="200"/>
              <w:rPr>
                <w:sz w:val="24"/>
              </w:rPr>
            </w:pPr>
            <w:r>
              <w:rPr>
                <w:sz w:val="24"/>
              </w:rPr>
              <w:t>（1）弃土、弃渣</w:t>
            </w:r>
          </w:p>
          <w:p>
            <w:pPr>
              <w:adjustRightInd w:val="0"/>
              <w:snapToGrid w:val="0"/>
              <w:spacing w:line="360" w:lineRule="auto"/>
              <w:ind w:firstLine="480" w:firstLineChars="200"/>
              <w:rPr>
                <w:sz w:val="24"/>
              </w:rPr>
            </w:pPr>
            <w:r>
              <w:rPr>
                <w:rFonts w:hint="eastAsia"/>
                <w:sz w:val="24"/>
              </w:rPr>
              <w:t>本工程各项水工建筑物开挖料岩性为石炭系凝灰质砂岩，可作为坝体的砂砾填筑料来利用。本工程土石方开挖总量为</w:t>
            </w:r>
            <w:r>
              <w:rPr>
                <w:sz w:val="24"/>
              </w:rPr>
              <w:t>88.12</w:t>
            </w:r>
            <w:r>
              <w:rPr>
                <w:rFonts w:hint="eastAsia"/>
                <w:sz w:val="24"/>
              </w:rPr>
              <w:t>万m</w:t>
            </w:r>
            <w:r>
              <w:rPr>
                <w:rFonts w:hint="eastAsia"/>
                <w:sz w:val="24"/>
                <w:vertAlign w:val="superscript"/>
              </w:rPr>
              <w:t>3</w:t>
            </w:r>
            <w:r>
              <w:rPr>
                <w:rFonts w:hint="eastAsia"/>
                <w:sz w:val="24"/>
              </w:rPr>
              <w:t>，土石方填筑及回填总量为</w:t>
            </w:r>
            <w:r>
              <w:rPr>
                <w:sz w:val="24"/>
              </w:rPr>
              <w:t>49.99</w:t>
            </w:r>
            <w:r>
              <w:rPr>
                <w:rFonts w:hint="eastAsia"/>
                <w:sz w:val="24"/>
              </w:rPr>
              <w:t>万m</w:t>
            </w:r>
            <w:r>
              <w:rPr>
                <w:rFonts w:hint="eastAsia"/>
                <w:sz w:val="24"/>
                <w:vertAlign w:val="superscript"/>
              </w:rPr>
              <w:t>3</w:t>
            </w:r>
            <w:r>
              <w:rPr>
                <w:rFonts w:hint="eastAsia"/>
                <w:sz w:val="24"/>
              </w:rPr>
              <w:t>，外借方</w:t>
            </w:r>
            <w:r>
              <w:rPr>
                <w:sz w:val="24"/>
              </w:rPr>
              <w:t>33.33</w:t>
            </w:r>
            <w:r>
              <w:rPr>
                <w:rFonts w:hint="eastAsia"/>
                <w:sz w:val="24"/>
              </w:rPr>
              <w:t>万m</w:t>
            </w:r>
            <w:r>
              <w:rPr>
                <w:rFonts w:hint="eastAsia"/>
                <w:sz w:val="24"/>
                <w:vertAlign w:val="superscript"/>
              </w:rPr>
              <w:t>3</w:t>
            </w:r>
            <w:r>
              <w:rPr>
                <w:rFonts w:hint="eastAsia"/>
                <w:sz w:val="24"/>
              </w:rPr>
              <w:t>，弃渣量</w:t>
            </w:r>
            <w:r>
              <w:rPr>
                <w:sz w:val="24"/>
              </w:rPr>
              <w:t>71.47</w:t>
            </w:r>
            <w:r>
              <w:rPr>
                <w:rFonts w:hint="eastAsia"/>
                <w:sz w:val="24"/>
              </w:rPr>
              <w:t>万m</w:t>
            </w:r>
            <w:r>
              <w:rPr>
                <w:rFonts w:hint="eastAsia"/>
                <w:sz w:val="24"/>
                <w:vertAlign w:val="superscript"/>
              </w:rPr>
              <w:t>3</w:t>
            </w:r>
            <w:r>
              <w:rPr>
                <w:rFonts w:hint="eastAsia"/>
                <w:sz w:val="24"/>
              </w:rPr>
              <w:t>。根据主体工程布置，本工程布设3处弃渣场，永久弃渣场地设置2处，为1#和3#弃渣场，1</w:t>
            </w:r>
            <w:r>
              <w:rPr>
                <w:sz w:val="24"/>
              </w:rPr>
              <w:t>#</w:t>
            </w:r>
            <w:r>
              <w:rPr>
                <w:rFonts w:hint="eastAsia"/>
                <w:sz w:val="24"/>
              </w:rPr>
              <w:t>弃渣场位于</w:t>
            </w:r>
            <w:r>
              <w:rPr>
                <w:sz w:val="24"/>
              </w:rPr>
              <w:t>坝后</w:t>
            </w:r>
            <w:r>
              <w:rPr>
                <w:rFonts w:hint="eastAsia"/>
                <w:sz w:val="24"/>
              </w:rPr>
              <w:t>坡脚空地处，堆弃开挖的土料及砂砾石料；3</w:t>
            </w:r>
            <w:r>
              <w:rPr>
                <w:sz w:val="24"/>
              </w:rPr>
              <w:t>#弃渣场位于水库下游报废</w:t>
            </w:r>
            <w:r>
              <w:rPr>
                <w:rFonts w:hint="eastAsia"/>
                <w:sz w:val="24"/>
              </w:rPr>
              <w:t>的</w:t>
            </w:r>
            <w:r>
              <w:rPr>
                <w:sz w:val="24"/>
              </w:rPr>
              <w:t>东城水库左侧</w:t>
            </w:r>
            <w:r>
              <w:rPr>
                <w:rFonts w:hint="eastAsia"/>
                <w:sz w:val="24"/>
              </w:rPr>
              <w:t>库盘内</w:t>
            </w:r>
            <w:r>
              <w:rPr>
                <w:sz w:val="24"/>
              </w:rPr>
              <w:t>，</w:t>
            </w:r>
            <w:r>
              <w:rPr>
                <w:rFonts w:hint="eastAsia"/>
                <w:sz w:val="24"/>
              </w:rPr>
              <w:t>不在河道的主河道内，位于岸边阶地上，主要堆砌水库大部分弃渣料；临时弃渣场地设置1处，为2#弃渣场，</w:t>
            </w:r>
            <w:r>
              <w:rPr>
                <w:sz w:val="24"/>
              </w:rPr>
              <w:t>布</w:t>
            </w:r>
            <w:r>
              <w:rPr>
                <w:rFonts w:hint="eastAsia"/>
                <w:sz w:val="24"/>
              </w:rPr>
              <w:t>置</w:t>
            </w:r>
            <w:r>
              <w:rPr>
                <w:sz w:val="24"/>
              </w:rPr>
              <w:t>在坝址下游右岸阶地约</w:t>
            </w:r>
            <w:r>
              <w:rPr>
                <w:rFonts w:hint="eastAsia"/>
                <w:sz w:val="24"/>
              </w:rPr>
              <w:t>0.2</w:t>
            </w:r>
            <w:r>
              <w:rPr>
                <w:sz w:val="24"/>
              </w:rPr>
              <w:t>km处，</w:t>
            </w:r>
            <w:r>
              <w:rPr>
                <w:rFonts w:hint="eastAsia"/>
                <w:sz w:val="24"/>
              </w:rPr>
              <w:t>堆放临时堆弃大坝左、右坝肩及溢洪道和涵洞开挖的石料，部分用于坝体填筑，</w:t>
            </w:r>
            <w:r>
              <w:rPr>
                <w:sz w:val="24"/>
              </w:rPr>
              <w:t>剩余部分最终</w:t>
            </w:r>
            <w:r>
              <w:rPr>
                <w:rFonts w:hint="eastAsia"/>
                <w:sz w:val="24"/>
              </w:rPr>
              <w:t>倒运至1#弃渣场。2</w:t>
            </w:r>
            <w:r>
              <w:rPr>
                <w:sz w:val="24"/>
              </w:rPr>
              <w:t>#临时弃渣场</w:t>
            </w:r>
            <w:r>
              <w:rPr>
                <w:rFonts w:hint="eastAsia"/>
                <w:sz w:val="24"/>
              </w:rPr>
              <w:t>现状地表零星生长着荒漠常见植被，植被总体覆盖度为1</w:t>
            </w:r>
            <w:r>
              <w:rPr>
                <w:sz w:val="24"/>
              </w:rPr>
              <w:t>0%</w:t>
            </w:r>
            <w:r>
              <w:rPr>
                <w:rFonts w:hint="eastAsia"/>
                <w:sz w:val="24"/>
              </w:rPr>
              <w:t>左右。3处</w:t>
            </w:r>
            <w:r>
              <w:rPr>
                <w:sz w:val="24"/>
              </w:rPr>
              <w:t>弃渣场周边</w:t>
            </w:r>
            <w:r>
              <w:rPr>
                <w:rFonts w:hint="eastAsia"/>
                <w:sz w:val="24"/>
              </w:rPr>
              <w:t>均无</w:t>
            </w:r>
            <w:r>
              <w:rPr>
                <w:sz w:val="24"/>
              </w:rPr>
              <w:t>公共设施</w:t>
            </w:r>
            <w:r>
              <w:rPr>
                <w:rFonts w:hint="eastAsia"/>
                <w:sz w:val="24"/>
              </w:rPr>
              <w:t>、</w:t>
            </w:r>
            <w:r>
              <w:rPr>
                <w:sz w:val="24"/>
              </w:rPr>
              <w:t>工业企业和居民点</w:t>
            </w:r>
            <w:r>
              <w:rPr>
                <w:rFonts w:hint="eastAsia"/>
                <w:sz w:val="24"/>
              </w:rPr>
              <w:t>、</w:t>
            </w:r>
            <w:r>
              <w:rPr>
                <w:sz w:val="24"/>
              </w:rPr>
              <w:t>水流量较大的沟道</w:t>
            </w:r>
            <w:r>
              <w:rPr>
                <w:rFonts w:hint="eastAsia"/>
                <w:sz w:val="24"/>
              </w:rPr>
              <w:t>，填筑</w:t>
            </w:r>
            <w:r>
              <w:rPr>
                <w:sz w:val="24"/>
              </w:rPr>
              <w:t>后不会加剧周边的侵蚀</w:t>
            </w:r>
            <w:r>
              <w:rPr>
                <w:rFonts w:hint="eastAsia"/>
                <w:sz w:val="24"/>
              </w:rPr>
              <w:t>，</w:t>
            </w:r>
            <w:r>
              <w:rPr>
                <w:sz w:val="24"/>
              </w:rPr>
              <w:t>不会对</w:t>
            </w:r>
            <w:r>
              <w:rPr>
                <w:rFonts w:hint="eastAsia"/>
                <w:sz w:val="24"/>
              </w:rPr>
              <w:t>周围</w:t>
            </w:r>
            <w:r>
              <w:rPr>
                <w:sz w:val="24"/>
              </w:rPr>
              <w:t>环境产生明显</w:t>
            </w:r>
            <w:r>
              <w:rPr>
                <w:rFonts w:hint="eastAsia"/>
                <w:sz w:val="24"/>
              </w:rPr>
              <w:t>不利</w:t>
            </w:r>
            <w:r>
              <w:rPr>
                <w:sz w:val="24"/>
              </w:rPr>
              <w:t>影响。</w:t>
            </w:r>
          </w:p>
          <w:p>
            <w:pPr>
              <w:adjustRightInd w:val="0"/>
              <w:snapToGrid w:val="0"/>
              <w:spacing w:line="360" w:lineRule="auto"/>
              <w:ind w:firstLine="480" w:firstLineChars="200"/>
              <w:rPr>
                <w:sz w:val="24"/>
              </w:rPr>
            </w:pPr>
            <w:r>
              <w:rPr>
                <w:sz w:val="24"/>
              </w:rPr>
              <w:t>（2）生活垃圾</w:t>
            </w:r>
          </w:p>
          <w:p>
            <w:pPr>
              <w:adjustRightInd w:val="0"/>
              <w:snapToGrid w:val="0"/>
              <w:spacing w:line="360" w:lineRule="auto"/>
              <w:ind w:firstLine="480" w:firstLineChars="200"/>
              <w:rPr>
                <w:sz w:val="24"/>
              </w:rPr>
            </w:pPr>
            <w:r>
              <w:rPr>
                <w:sz w:val="24"/>
              </w:rPr>
              <w:t>工程设1处临时施工生活</w:t>
            </w:r>
            <w:r>
              <w:rPr>
                <w:rFonts w:hint="eastAsia"/>
                <w:sz w:val="24"/>
              </w:rPr>
              <w:t>区</w:t>
            </w:r>
            <w:r>
              <w:rPr>
                <w:sz w:val="24"/>
              </w:rPr>
              <w:t>，高峰期施工人数337人，生活垃圾产生量按1kg/人•d计算，估算高峰期日产生活垃圾0.337t/d</w:t>
            </w:r>
            <w:r>
              <w:rPr>
                <w:rFonts w:hint="eastAsia"/>
                <w:sz w:val="24"/>
              </w:rPr>
              <w:t>，施工期总产生量为</w:t>
            </w:r>
            <w:r>
              <w:rPr>
                <w:sz w:val="24"/>
              </w:rPr>
              <w:t>232.8</w:t>
            </w:r>
            <w:r>
              <w:rPr>
                <w:rFonts w:hint="eastAsia"/>
                <w:sz w:val="24"/>
              </w:rPr>
              <w:t>t</w:t>
            </w:r>
            <w:r>
              <w:rPr>
                <w:sz w:val="24"/>
              </w:rPr>
              <w:t>。</w:t>
            </w:r>
          </w:p>
          <w:p>
            <w:pPr>
              <w:adjustRightInd w:val="0"/>
              <w:snapToGrid w:val="0"/>
              <w:spacing w:line="360" w:lineRule="auto"/>
              <w:ind w:firstLine="480" w:firstLineChars="200"/>
              <w:rPr>
                <w:sz w:val="24"/>
              </w:rPr>
            </w:pPr>
            <w:r>
              <w:rPr>
                <w:sz w:val="24"/>
              </w:rPr>
              <w:t>生活垃圾是苍蝇、蚊虫孳生、致病细菌繁衍、鼠类肆虐的场所，是传染病的主要传播源，若不采取卫生清理及垃圾处理措施会污染周边环境、危害施工人群健康、影响施工区景观。此外，根据以往施工经验，若不加强对施工人员行为管理，在车辆行驶过程中随意抛弃各种垃圾，还将污染其它区域环境。</w:t>
            </w:r>
          </w:p>
          <w:p>
            <w:pPr>
              <w:adjustRightInd w:val="0"/>
              <w:snapToGrid w:val="0"/>
              <w:spacing w:line="360" w:lineRule="auto"/>
              <w:ind w:firstLine="480" w:firstLineChars="200"/>
              <w:rPr>
                <w:sz w:val="24"/>
              </w:rPr>
            </w:pPr>
            <w:r>
              <w:rPr>
                <w:sz w:val="24"/>
              </w:rPr>
              <w:t>（3）危险废物</w:t>
            </w:r>
          </w:p>
          <w:p>
            <w:pPr>
              <w:adjustRightInd w:val="0"/>
              <w:snapToGrid w:val="0"/>
              <w:spacing w:line="360" w:lineRule="auto"/>
              <w:ind w:firstLine="480" w:firstLineChars="200"/>
              <w:rPr>
                <w:sz w:val="24"/>
              </w:rPr>
            </w:pPr>
            <w:r>
              <w:rPr>
                <w:rFonts w:hint="eastAsia"/>
                <w:sz w:val="24"/>
              </w:rPr>
              <w:t>工程施工过程中危险废物主要产自机械设备使用、设备维修保养、木制模具防腐制作等环节，包括废润滑油、废齿轮油、废发动机油、废润滑脂、各种废油桶等包装物以及受到废油污染的各类废物</w:t>
            </w:r>
            <w:r>
              <w:rPr>
                <w:sz w:val="24"/>
              </w:rPr>
              <w:t>（危废类别HW08）。</w:t>
            </w:r>
          </w:p>
          <w:p>
            <w:pPr>
              <w:adjustRightInd w:val="0"/>
              <w:snapToGrid w:val="0"/>
              <w:spacing w:line="360" w:lineRule="auto"/>
              <w:ind w:firstLine="480" w:firstLineChars="200"/>
              <w:rPr>
                <w:sz w:val="24"/>
              </w:rPr>
            </w:pPr>
            <w:r>
              <w:rPr>
                <w:sz w:val="24"/>
              </w:rPr>
              <w:t>危险废物乱堆乱弃将对区域土壤环境及地下水水质等产生不利影响，对土壤和地下水水质的污染长期难以恢复，此外上述危险废弃物还属于易燃物，管理不当可能引起安全隐患。</w:t>
            </w:r>
            <w:r>
              <w:rPr>
                <w:rFonts w:hint="eastAsia"/>
                <w:sz w:val="24"/>
              </w:rPr>
              <w:t>本次评价提出</w:t>
            </w:r>
            <w:r>
              <w:rPr>
                <w:sz w:val="24"/>
              </w:rPr>
              <w:t>应妥善收集</w:t>
            </w:r>
            <w:r>
              <w:rPr>
                <w:rFonts w:hint="eastAsia"/>
                <w:sz w:val="24"/>
              </w:rPr>
              <w:t>危险废物</w:t>
            </w:r>
            <w:r>
              <w:rPr>
                <w:sz w:val="24"/>
              </w:rPr>
              <w:t>，施工期间须按照相关危废暂存及转运要求，设置符合危废管理要求的暂存场所，建立管理台账，委托</w:t>
            </w:r>
            <w:r>
              <w:rPr>
                <w:rFonts w:hint="eastAsia"/>
                <w:sz w:val="24"/>
              </w:rPr>
              <w:t>具</w:t>
            </w:r>
            <w:r>
              <w:rPr>
                <w:sz w:val="24"/>
              </w:rPr>
              <w:t>资质单位转运处置。</w:t>
            </w:r>
          </w:p>
          <w:p>
            <w:pPr>
              <w:adjustRightInd w:val="0"/>
              <w:snapToGrid w:val="0"/>
              <w:spacing w:line="360" w:lineRule="auto"/>
              <w:rPr>
                <w:b/>
                <w:sz w:val="24"/>
              </w:rPr>
            </w:pPr>
            <w:r>
              <w:rPr>
                <w:b/>
                <w:sz w:val="24"/>
              </w:rPr>
              <w:t>四、施工噪声对环境的影响</w:t>
            </w:r>
          </w:p>
          <w:p>
            <w:pPr>
              <w:adjustRightInd w:val="0"/>
              <w:snapToGrid w:val="0"/>
              <w:spacing w:line="360" w:lineRule="auto"/>
              <w:ind w:firstLine="480" w:firstLineChars="200"/>
              <w:rPr>
                <w:sz w:val="24"/>
              </w:rPr>
            </w:pPr>
            <w:r>
              <w:rPr>
                <w:sz w:val="24"/>
              </w:rPr>
              <w:t>施工噪声</w:t>
            </w:r>
            <w:r>
              <w:rPr>
                <w:rFonts w:hint="eastAsia"/>
                <w:sz w:val="24"/>
              </w:rPr>
              <w:t>主要为</w:t>
            </w:r>
            <w:r>
              <w:rPr>
                <w:sz w:val="24"/>
              </w:rPr>
              <w:t>施工机械设备噪声</w:t>
            </w:r>
            <w:r>
              <w:rPr>
                <w:rFonts w:hint="eastAsia"/>
                <w:sz w:val="24"/>
              </w:rPr>
              <w:t>和</w:t>
            </w:r>
            <w:r>
              <w:rPr>
                <w:sz w:val="24"/>
              </w:rPr>
              <w:t>运输车辆的流动噪声。机械噪声主要来自</w:t>
            </w:r>
            <w:r>
              <w:rPr>
                <w:rFonts w:hint="eastAsia"/>
                <w:sz w:val="24"/>
              </w:rPr>
              <w:t>砂石料</w:t>
            </w:r>
            <w:r>
              <w:rPr>
                <w:sz w:val="24"/>
              </w:rPr>
              <w:t>加工系统、混凝土拌和机械，机械噪声的特点是固定、连续、声源强、声级大，会对现场施工人员</w:t>
            </w:r>
            <w:r>
              <w:rPr>
                <w:rFonts w:hint="eastAsia"/>
                <w:sz w:val="24"/>
              </w:rPr>
              <w:t>及</w:t>
            </w:r>
            <w:r>
              <w:rPr>
                <w:sz w:val="24"/>
              </w:rPr>
              <w:t>周边居民有影响。交通噪声由自卸汽车、载重汽车在运输和装卸过程中产生，运输车辆的引擎声对道路沿线的居民有一定的影响。噪声主要影响对象为施工作业人员</w:t>
            </w:r>
            <w:r>
              <w:rPr>
                <w:rFonts w:hint="eastAsia"/>
                <w:sz w:val="24"/>
              </w:rPr>
              <w:t>和部分</w:t>
            </w:r>
            <w:r>
              <w:rPr>
                <w:sz w:val="24"/>
              </w:rPr>
              <w:t>鸡心梁村居民，工程施工噪声对环境的影响会随施工结束而消失。在施工期间应保证施工生产生活区域噪声声级能满足《建筑施工场界环境噪声排放标准》(GB12523-2011)昼间70dB(A)、夜间55dB(A)限值标准。</w:t>
            </w:r>
          </w:p>
          <w:p>
            <w:pPr>
              <w:adjustRightInd w:val="0"/>
              <w:snapToGrid w:val="0"/>
              <w:spacing w:line="360" w:lineRule="auto"/>
              <w:ind w:firstLine="480" w:firstLineChars="200"/>
              <w:rPr>
                <w:sz w:val="24"/>
              </w:rPr>
            </w:pPr>
            <w:r>
              <w:rPr>
                <w:sz w:val="24"/>
              </w:rPr>
              <w:t>类比同类水库工程，本工程主要施工机械的噪声源强如表1，施工机械噪声级为70～105dB（A）。</w:t>
            </w:r>
          </w:p>
          <w:p>
            <w:pPr>
              <w:jc w:val="left"/>
              <w:rPr>
                <w:rFonts w:eastAsia="黑体"/>
                <w:sz w:val="24"/>
              </w:rPr>
            </w:pPr>
            <w:r>
              <w:rPr>
                <w:rFonts w:ascii="黑体" w:hAnsi="黑体" w:eastAsia="黑体"/>
                <w:sz w:val="24"/>
              </w:rPr>
              <w:t>表</w:t>
            </w:r>
            <w:r>
              <w:rPr>
                <w:rFonts w:eastAsia="黑体"/>
                <w:sz w:val="24"/>
              </w:rPr>
              <w:t>1</w:t>
            </w:r>
            <w:r>
              <w:rPr>
                <w:rFonts w:ascii="黑体" w:hAnsi="黑体" w:eastAsia="黑体"/>
                <w:sz w:val="24"/>
              </w:rPr>
              <w:t xml:space="preserve">                   主要施工机械设备的噪声声级</w:t>
            </w:r>
          </w:p>
          <w:tbl>
            <w:tblPr>
              <w:tblStyle w:val="21"/>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3"/>
              <w:gridCol w:w="2246"/>
              <w:gridCol w:w="2395"/>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序号</w:t>
                  </w:r>
                </w:p>
              </w:tc>
              <w:tc>
                <w:tcPr>
                  <w:tcW w:w="2246" w:type="dxa"/>
                  <w:shd w:val="clear" w:color="auto" w:fill="auto"/>
                  <w:vAlign w:val="center"/>
                </w:tcPr>
                <w:p>
                  <w:pPr>
                    <w:adjustRightInd w:val="0"/>
                    <w:snapToGrid w:val="0"/>
                    <w:jc w:val="center"/>
                    <w:rPr>
                      <w:bCs/>
                      <w:szCs w:val="21"/>
                    </w:rPr>
                  </w:pPr>
                  <w:r>
                    <w:rPr>
                      <w:bCs/>
                      <w:szCs w:val="21"/>
                    </w:rPr>
                    <w:t>施工机械</w:t>
                  </w:r>
                </w:p>
              </w:tc>
              <w:tc>
                <w:tcPr>
                  <w:tcW w:w="2395" w:type="dxa"/>
                  <w:shd w:val="clear" w:color="auto" w:fill="auto"/>
                  <w:vAlign w:val="center"/>
                </w:tcPr>
                <w:p>
                  <w:pPr>
                    <w:adjustRightInd w:val="0"/>
                    <w:snapToGrid w:val="0"/>
                    <w:jc w:val="center"/>
                    <w:rPr>
                      <w:bCs/>
                      <w:szCs w:val="21"/>
                    </w:rPr>
                  </w:pPr>
                  <w:r>
                    <w:rPr>
                      <w:bCs/>
                      <w:szCs w:val="21"/>
                    </w:rPr>
                    <w:t>测量声dB（A）</w:t>
                  </w:r>
                </w:p>
              </w:tc>
              <w:tc>
                <w:tcPr>
                  <w:tcW w:w="2406" w:type="dxa"/>
                  <w:shd w:val="clear" w:color="auto" w:fill="auto"/>
                  <w:vAlign w:val="center"/>
                </w:tcPr>
                <w:p>
                  <w:pPr>
                    <w:adjustRightInd w:val="0"/>
                    <w:snapToGrid w:val="0"/>
                    <w:jc w:val="center"/>
                    <w:rPr>
                      <w:bCs/>
                      <w:szCs w:val="21"/>
                    </w:rPr>
                  </w:pPr>
                  <w:r>
                    <w:rPr>
                      <w:bCs/>
                      <w:szCs w:val="21"/>
                    </w:rPr>
                    <w:t>测量距离（m）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1</w:t>
                  </w:r>
                </w:p>
              </w:tc>
              <w:tc>
                <w:tcPr>
                  <w:tcW w:w="2246" w:type="dxa"/>
                  <w:shd w:val="clear" w:color="auto" w:fill="auto"/>
                  <w:vAlign w:val="center"/>
                </w:tcPr>
                <w:p>
                  <w:pPr>
                    <w:adjustRightInd w:val="0"/>
                    <w:snapToGrid w:val="0"/>
                    <w:jc w:val="center"/>
                    <w:rPr>
                      <w:bCs/>
                      <w:szCs w:val="21"/>
                    </w:rPr>
                  </w:pPr>
                  <w:r>
                    <w:rPr>
                      <w:bCs/>
                      <w:szCs w:val="21"/>
                    </w:rPr>
                    <w:t>挖掘机</w:t>
                  </w:r>
                </w:p>
              </w:tc>
              <w:tc>
                <w:tcPr>
                  <w:tcW w:w="2395" w:type="dxa"/>
                  <w:shd w:val="clear" w:color="auto" w:fill="auto"/>
                  <w:vAlign w:val="center"/>
                </w:tcPr>
                <w:p>
                  <w:pPr>
                    <w:adjustRightInd w:val="0"/>
                    <w:snapToGrid w:val="0"/>
                    <w:jc w:val="center"/>
                    <w:rPr>
                      <w:bCs/>
                      <w:szCs w:val="21"/>
                    </w:rPr>
                  </w:pPr>
                  <w:r>
                    <w:rPr>
                      <w:bCs/>
                      <w:szCs w:val="21"/>
                    </w:rPr>
                    <w:t>79</w:t>
                  </w:r>
                </w:p>
              </w:tc>
              <w:tc>
                <w:tcPr>
                  <w:tcW w:w="2406" w:type="dxa"/>
                  <w:shd w:val="clear" w:color="auto" w:fill="auto"/>
                  <w:vAlign w:val="center"/>
                </w:tcPr>
                <w:p>
                  <w:pPr>
                    <w:adjustRightInd w:val="0"/>
                    <w:snapToGrid w:val="0"/>
                    <w:jc w:val="center"/>
                    <w:rPr>
                      <w:bCs/>
                      <w:szCs w:val="21"/>
                    </w:rPr>
                  </w:pPr>
                  <w:r>
                    <w:rPr>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2</w:t>
                  </w:r>
                </w:p>
              </w:tc>
              <w:tc>
                <w:tcPr>
                  <w:tcW w:w="2246" w:type="dxa"/>
                  <w:shd w:val="clear" w:color="auto" w:fill="auto"/>
                  <w:vAlign w:val="center"/>
                </w:tcPr>
                <w:p>
                  <w:pPr>
                    <w:adjustRightInd w:val="0"/>
                    <w:snapToGrid w:val="0"/>
                    <w:jc w:val="center"/>
                    <w:rPr>
                      <w:bCs/>
                      <w:szCs w:val="21"/>
                    </w:rPr>
                  </w:pPr>
                  <w:r>
                    <w:rPr>
                      <w:bCs/>
                      <w:szCs w:val="21"/>
                    </w:rPr>
                    <w:t>推土机</w:t>
                  </w:r>
                </w:p>
              </w:tc>
              <w:tc>
                <w:tcPr>
                  <w:tcW w:w="2395" w:type="dxa"/>
                  <w:shd w:val="clear" w:color="auto" w:fill="auto"/>
                  <w:vAlign w:val="center"/>
                </w:tcPr>
                <w:p>
                  <w:pPr>
                    <w:adjustRightInd w:val="0"/>
                    <w:snapToGrid w:val="0"/>
                    <w:jc w:val="center"/>
                    <w:rPr>
                      <w:bCs/>
                      <w:szCs w:val="21"/>
                    </w:rPr>
                  </w:pPr>
                  <w:r>
                    <w:rPr>
                      <w:bCs/>
                      <w:szCs w:val="21"/>
                    </w:rPr>
                    <w:t>88</w:t>
                  </w:r>
                </w:p>
              </w:tc>
              <w:tc>
                <w:tcPr>
                  <w:tcW w:w="2406" w:type="dxa"/>
                  <w:shd w:val="clear" w:color="auto" w:fill="auto"/>
                  <w:vAlign w:val="center"/>
                </w:tcPr>
                <w:p>
                  <w:pPr>
                    <w:adjustRightInd w:val="0"/>
                    <w:snapToGrid w:val="0"/>
                    <w:jc w:val="center"/>
                    <w:rPr>
                      <w:bCs/>
                      <w:szCs w:val="21"/>
                    </w:rPr>
                  </w:pPr>
                  <w:r>
                    <w:rPr>
                      <w:bCs/>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3</w:t>
                  </w:r>
                </w:p>
              </w:tc>
              <w:tc>
                <w:tcPr>
                  <w:tcW w:w="2246" w:type="dxa"/>
                  <w:shd w:val="clear" w:color="auto" w:fill="auto"/>
                  <w:vAlign w:val="center"/>
                </w:tcPr>
                <w:p>
                  <w:pPr>
                    <w:adjustRightInd w:val="0"/>
                    <w:snapToGrid w:val="0"/>
                    <w:jc w:val="center"/>
                    <w:rPr>
                      <w:bCs/>
                      <w:szCs w:val="21"/>
                    </w:rPr>
                  </w:pPr>
                  <w:r>
                    <w:rPr>
                      <w:bCs/>
                      <w:szCs w:val="21"/>
                    </w:rPr>
                    <w:t>自卸汽车</w:t>
                  </w:r>
                </w:p>
              </w:tc>
              <w:tc>
                <w:tcPr>
                  <w:tcW w:w="2395" w:type="dxa"/>
                  <w:shd w:val="clear" w:color="auto" w:fill="auto"/>
                  <w:vAlign w:val="center"/>
                </w:tcPr>
                <w:p>
                  <w:pPr>
                    <w:adjustRightInd w:val="0"/>
                    <w:snapToGrid w:val="0"/>
                    <w:jc w:val="center"/>
                    <w:rPr>
                      <w:bCs/>
                      <w:szCs w:val="21"/>
                    </w:rPr>
                  </w:pPr>
                  <w:r>
                    <w:rPr>
                      <w:bCs/>
                      <w:szCs w:val="21"/>
                    </w:rPr>
                    <w:t>85</w:t>
                  </w:r>
                </w:p>
              </w:tc>
              <w:tc>
                <w:tcPr>
                  <w:tcW w:w="2406" w:type="dxa"/>
                  <w:shd w:val="clear" w:color="auto" w:fill="auto"/>
                  <w:vAlign w:val="center"/>
                </w:tcPr>
                <w:p>
                  <w:pPr>
                    <w:adjustRightInd w:val="0"/>
                    <w:snapToGrid w:val="0"/>
                    <w:jc w:val="center"/>
                    <w:rPr>
                      <w:bCs/>
                      <w:szCs w:val="21"/>
                    </w:rPr>
                  </w:pPr>
                  <w:r>
                    <w:rPr>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4</w:t>
                  </w:r>
                </w:p>
              </w:tc>
              <w:tc>
                <w:tcPr>
                  <w:tcW w:w="2246" w:type="dxa"/>
                  <w:shd w:val="clear" w:color="auto" w:fill="auto"/>
                  <w:vAlign w:val="center"/>
                </w:tcPr>
                <w:p>
                  <w:pPr>
                    <w:adjustRightInd w:val="0"/>
                    <w:snapToGrid w:val="0"/>
                    <w:jc w:val="center"/>
                    <w:rPr>
                      <w:bCs/>
                      <w:szCs w:val="21"/>
                    </w:rPr>
                  </w:pPr>
                  <w:r>
                    <w:rPr>
                      <w:bCs/>
                      <w:szCs w:val="21"/>
                    </w:rPr>
                    <w:t>砼搅拌车</w:t>
                  </w:r>
                </w:p>
              </w:tc>
              <w:tc>
                <w:tcPr>
                  <w:tcW w:w="2395" w:type="dxa"/>
                  <w:shd w:val="clear" w:color="auto" w:fill="auto"/>
                  <w:vAlign w:val="center"/>
                </w:tcPr>
                <w:p>
                  <w:pPr>
                    <w:adjustRightInd w:val="0"/>
                    <w:snapToGrid w:val="0"/>
                    <w:jc w:val="center"/>
                    <w:rPr>
                      <w:bCs/>
                      <w:szCs w:val="21"/>
                    </w:rPr>
                  </w:pPr>
                  <w:r>
                    <w:rPr>
                      <w:bCs/>
                      <w:szCs w:val="21"/>
                    </w:rPr>
                    <w:t>83</w:t>
                  </w:r>
                </w:p>
              </w:tc>
              <w:tc>
                <w:tcPr>
                  <w:tcW w:w="2406" w:type="dxa"/>
                  <w:shd w:val="clear" w:color="auto" w:fill="auto"/>
                  <w:vAlign w:val="center"/>
                </w:tcPr>
                <w:p>
                  <w:pPr>
                    <w:jc w:val="center"/>
                  </w:pPr>
                  <w:r>
                    <w:rPr>
                      <w:bCs/>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5</w:t>
                  </w:r>
                </w:p>
              </w:tc>
              <w:tc>
                <w:tcPr>
                  <w:tcW w:w="2246" w:type="dxa"/>
                  <w:shd w:val="clear" w:color="auto" w:fill="auto"/>
                  <w:vAlign w:val="center"/>
                </w:tcPr>
                <w:p>
                  <w:pPr>
                    <w:adjustRightInd w:val="0"/>
                    <w:snapToGrid w:val="0"/>
                    <w:jc w:val="center"/>
                    <w:rPr>
                      <w:bCs/>
                      <w:szCs w:val="21"/>
                    </w:rPr>
                  </w:pPr>
                  <w:r>
                    <w:rPr>
                      <w:bCs/>
                      <w:szCs w:val="21"/>
                    </w:rPr>
                    <w:t>装载机</w:t>
                  </w:r>
                </w:p>
              </w:tc>
              <w:tc>
                <w:tcPr>
                  <w:tcW w:w="2395" w:type="dxa"/>
                  <w:shd w:val="clear" w:color="auto" w:fill="auto"/>
                  <w:vAlign w:val="center"/>
                </w:tcPr>
                <w:p>
                  <w:pPr>
                    <w:adjustRightInd w:val="0"/>
                    <w:snapToGrid w:val="0"/>
                    <w:jc w:val="center"/>
                    <w:rPr>
                      <w:bCs/>
                      <w:szCs w:val="21"/>
                    </w:rPr>
                  </w:pPr>
                  <w:r>
                    <w:rPr>
                      <w:bCs/>
                      <w:szCs w:val="21"/>
                    </w:rPr>
                    <w:t>85.7</w:t>
                  </w:r>
                </w:p>
              </w:tc>
              <w:tc>
                <w:tcPr>
                  <w:tcW w:w="2406" w:type="dxa"/>
                  <w:shd w:val="clear" w:color="auto" w:fill="auto"/>
                  <w:vAlign w:val="center"/>
                </w:tcPr>
                <w:p>
                  <w:pPr>
                    <w:jc w:val="center"/>
                  </w:pPr>
                  <w:r>
                    <w:rPr>
                      <w:bCs/>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6</w:t>
                  </w:r>
                </w:p>
              </w:tc>
              <w:tc>
                <w:tcPr>
                  <w:tcW w:w="2246" w:type="dxa"/>
                  <w:shd w:val="clear" w:color="auto" w:fill="auto"/>
                  <w:vAlign w:val="center"/>
                </w:tcPr>
                <w:p>
                  <w:pPr>
                    <w:adjustRightInd w:val="0"/>
                    <w:snapToGrid w:val="0"/>
                    <w:jc w:val="center"/>
                    <w:rPr>
                      <w:bCs/>
                      <w:szCs w:val="21"/>
                    </w:rPr>
                  </w:pPr>
                  <w:r>
                    <w:rPr>
                      <w:bCs/>
                      <w:szCs w:val="21"/>
                    </w:rPr>
                    <w:t>洒水车</w:t>
                  </w:r>
                </w:p>
              </w:tc>
              <w:tc>
                <w:tcPr>
                  <w:tcW w:w="2395" w:type="dxa"/>
                  <w:shd w:val="clear" w:color="auto" w:fill="auto"/>
                  <w:vAlign w:val="center"/>
                </w:tcPr>
                <w:p>
                  <w:pPr>
                    <w:adjustRightInd w:val="0"/>
                    <w:snapToGrid w:val="0"/>
                    <w:jc w:val="center"/>
                    <w:rPr>
                      <w:bCs/>
                      <w:szCs w:val="21"/>
                    </w:rPr>
                  </w:pPr>
                  <w:r>
                    <w:rPr>
                      <w:bCs/>
                      <w:szCs w:val="21"/>
                    </w:rPr>
                    <w:t>74</w:t>
                  </w:r>
                </w:p>
              </w:tc>
              <w:tc>
                <w:tcPr>
                  <w:tcW w:w="2406" w:type="dxa"/>
                  <w:shd w:val="clear" w:color="auto" w:fill="auto"/>
                  <w:vAlign w:val="center"/>
                </w:tcPr>
                <w:p>
                  <w:pPr>
                    <w:jc w:val="center"/>
                  </w:pPr>
                  <w:r>
                    <w:rPr>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7</w:t>
                  </w:r>
                </w:p>
              </w:tc>
              <w:tc>
                <w:tcPr>
                  <w:tcW w:w="2246" w:type="dxa"/>
                  <w:shd w:val="clear" w:color="auto" w:fill="auto"/>
                  <w:vAlign w:val="center"/>
                </w:tcPr>
                <w:p>
                  <w:pPr>
                    <w:adjustRightInd w:val="0"/>
                    <w:snapToGrid w:val="0"/>
                    <w:jc w:val="center"/>
                    <w:rPr>
                      <w:bCs/>
                      <w:szCs w:val="21"/>
                    </w:rPr>
                  </w:pPr>
                  <w:r>
                    <w:rPr>
                      <w:bCs/>
                      <w:szCs w:val="21"/>
                    </w:rPr>
                    <w:t>插入式振捣棒</w:t>
                  </w:r>
                </w:p>
              </w:tc>
              <w:tc>
                <w:tcPr>
                  <w:tcW w:w="2395" w:type="dxa"/>
                  <w:shd w:val="clear" w:color="auto" w:fill="auto"/>
                  <w:vAlign w:val="center"/>
                </w:tcPr>
                <w:p>
                  <w:pPr>
                    <w:adjustRightInd w:val="0"/>
                    <w:snapToGrid w:val="0"/>
                    <w:jc w:val="center"/>
                    <w:rPr>
                      <w:bCs/>
                      <w:szCs w:val="21"/>
                    </w:rPr>
                  </w:pPr>
                  <w:r>
                    <w:rPr>
                      <w:bCs/>
                      <w:szCs w:val="21"/>
                    </w:rPr>
                    <w:t>87</w:t>
                  </w:r>
                </w:p>
              </w:tc>
              <w:tc>
                <w:tcPr>
                  <w:tcW w:w="2406" w:type="dxa"/>
                  <w:shd w:val="clear" w:color="auto" w:fill="auto"/>
                  <w:vAlign w:val="center"/>
                </w:tcPr>
                <w:p>
                  <w:pPr>
                    <w:jc w:val="center"/>
                  </w:pPr>
                  <w:r>
                    <w:rPr>
                      <w:bCs/>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8</w:t>
                  </w:r>
                </w:p>
              </w:tc>
              <w:tc>
                <w:tcPr>
                  <w:tcW w:w="2246" w:type="dxa"/>
                  <w:shd w:val="clear" w:color="auto" w:fill="auto"/>
                  <w:vAlign w:val="center"/>
                </w:tcPr>
                <w:p>
                  <w:pPr>
                    <w:adjustRightInd w:val="0"/>
                    <w:snapToGrid w:val="0"/>
                    <w:jc w:val="center"/>
                    <w:rPr>
                      <w:bCs/>
                      <w:szCs w:val="21"/>
                    </w:rPr>
                  </w:pPr>
                  <w:r>
                    <w:rPr>
                      <w:bCs/>
                      <w:szCs w:val="21"/>
                    </w:rPr>
                    <w:t>振动碾</w:t>
                  </w:r>
                </w:p>
              </w:tc>
              <w:tc>
                <w:tcPr>
                  <w:tcW w:w="2395" w:type="dxa"/>
                  <w:shd w:val="clear" w:color="auto" w:fill="auto"/>
                  <w:vAlign w:val="center"/>
                </w:tcPr>
                <w:p>
                  <w:pPr>
                    <w:adjustRightInd w:val="0"/>
                    <w:snapToGrid w:val="0"/>
                    <w:jc w:val="center"/>
                    <w:rPr>
                      <w:bCs/>
                      <w:szCs w:val="21"/>
                    </w:rPr>
                  </w:pPr>
                  <w:r>
                    <w:rPr>
                      <w:bCs/>
                      <w:szCs w:val="21"/>
                    </w:rPr>
                    <w:t>105</w:t>
                  </w:r>
                </w:p>
              </w:tc>
              <w:tc>
                <w:tcPr>
                  <w:tcW w:w="2406" w:type="dxa"/>
                  <w:shd w:val="clear" w:color="auto" w:fill="auto"/>
                  <w:vAlign w:val="center"/>
                </w:tcPr>
                <w:p>
                  <w:pPr>
                    <w:jc w:val="center"/>
                  </w:pPr>
                  <w:r>
                    <w:rPr>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9</w:t>
                  </w:r>
                </w:p>
              </w:tc>
              <w:tc>
                <w:tcPr>
                  <w:tcW w:w="2246" w:type="dxa"/>
                  <w:shd w:val="clear" w:color="auto" w:fill="auto"/>
                  <w:vAlign w:val="center"/>
                </w:tcPr>
                <w:p>
                  <w:pPr>
                    <w:adjustRightInd w:val="0"/>
                    <w:snapToGrid w:val="0"/>
                    <w:jc w:val="center"/>
                    <w:rPr>
                      <w:bCs/>
                      <w:szCs w:val="21"/>
                    </w:rPr>
                  </w:pPr>
                  <w:r>
                    <w:rPr>
                      <w:bCs/>
                      <w:szCs w:val="21"/>
                    </w:rPr>
                    <w:t>羊角碾</w:t>
                  </w:r>
                </w:p>
              </w:tc>
              <w:tc>
                <w:tcPr>
                  <w:tcW w:w="2395" w:type="dxa"/>
                  <w:shd w:val="clear" w:color="auto" w:fill="auto"/>
                  <w:vAlign w:val="center"/>
                </w:tcPr>
                <w:p>
                  <w:pPr>
                    <w:adjustRightInd w:val="0"/>
                    <w:snapToGrid w:val="0"/>
                    <w:jc w:val="center"/>
                    <w:rPr>
                      <w:bCs/>
                      <w:szCs w:val="21"/>
                    </w:rPr>
                  </w:pPr>
                  <w:r>
                    <w:rPr>
                      <w:bCs/>
                      <w:szCs w:val="21"/>
                    </w:rPr>
                    <w:t>100</w:t>
                  </w:r>
                </w:p>
              </w:tc>
              <w:tc>
                <w:tcPr>
                  <w:tcW w:w="2406" w:type="dxa"/>
                  <w:shd w:val="clear" w:color="auto" w:fill="auto"/>
                  <w:vAlign w:val="center"/>
                </w:tcPr>
                <w:p>
                  <w:pPr>
                    <w:jc w:val="center"/>
                  </w:pPr>
                  <w:r>
                    <w:rPr>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10</w:t>
                  </w:r>
                </w:p>
              </w:tc>
              <w:tc>
                <w:tcPr>
                  <w:tcW w:w="2246" w:type="dxa"/>
                  <w:shd w:val="clear" w:color="auto" w:fill="auto"/>
                  <w:vAlign w:val="center"/>
                </w:tcPr>
                <w:p>
                  <w:pPr>
                    <w:adjustRightInd w:val="0"/>
                    <w:snapToGrid w:val="0"/>
                    <w:jc w:val="center"/>
                    <w:rPr>
                      <w:bCs/>
                      <w:szCs w:val="21"/>
                    </w:rPr>
                  </w:pPr>
                  <w:r>
                    <w:rPr>
                      <w:bCs/>
                      <w:szCs w:val="21"/>
                    </w:rPr>
                    <w:t>汽车吊</w:t>
                  </w:r>
                </w:p>
              </w:tc>
              <w:tc>
                <w:tcPr>
                  <w:tcW w:w="2395" w:type="dxa"/>
                  <w:shd w:val="clear" w:color="auto" w:fill="auto"/>
                  <w:vAlign w:val="center"/>
                </w:tcPr>
                <w:p>
                  <w:pPr>
                    <w:adjustRightInd w:val="0"/>
                    <w:snapToGrid w:val="0"/>
                    <w:jc w:val="center"/>
                    <w:rPr>
                      <w:bCs/>
                      <w:szCs w:val="21"/>
                    </w:rPr>
                  </w:pPr>
                  <w:r>
                    <w:rPr>
                      <w:bCs/>
                      <w:szCs w:val="21"/>
                    </w:rPr>
                    <w:t>71.5</w:t>
                  </w:r>
                </w:p>
              </w:tc>
              <w:tc>
                <w:tcPr>
                  <w:tcW w:w="2406" w:type="dxa"/>
                  <w:shd w:val="clear" w:color="auto" w:fill="auto"/>
                  <w:vAlign w:val="center"/>
                </w:tcPr>
                <w:p>
                  <w:pPr>
                    <w:jc w:val="center"/>
                  </w:pPr>
                  <w:r>
                    <w:rPr>
                      <w:bCs/>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11</w:t>
                  </w:r>
                </w:p>
              </w:tc>
              <w:tc>
                <w:tcPr>
                  <w:tcW w:w="2246" w:type="dxa"/>
                  <w:shd w:val="clear" w:color="auto" w:fill="auto"/>
                  <w:vAlign w:val="center"/>
                </w:tcPr>
                <w:p>
                  <w:pPr>
                    <w:adjustRightInd w:val="0"/>
                    <w:snapToGrid w:val="0"/>
                    <w:jc w:val="center"/>
                    <w:rPr>
                      <w:bCs/>
                      <w:szCs w:val="21"/>
                    </w:rPr>
                  </w:pPr>
                  <w:r>
                    <w:rPr>
                      <w:bCs/>
                      <w:szCs w:val="21"/>
                    </w:rPr>
                    <w:t>柴油发电机组</w:t>
                  </w:r>
                </w:p>
              </w:tc>
              <w:tc>
                <w:tcPr>
                  <w:tcW w:w="2395" w:type="dxa"/>
                  <w:shd w:val="clear" w:color="auto" w:fill="auto"/>
                  <w:vAlign w:val="center"/>
                </w:tcPr>
                <w:p>
                  <w:pPr>
                    <w:adjustRightInd w:val="0"/>
                    <w:snapToGrid w:val="0"/>
                    <w:jc w:val="center"/>
                    <w:rPr>
                      <w:bCs/>
                      <w:szCs w:val="21"/>
                    </w:rPr>
                  </w:pPr>
                  <w:r>
                    <w:rPr>
                      <w:bCs/>
                      <w:szCs w:val="21"/>
                    </w:rPr>
                    <w:t>100</w:t>
                  </w:r>
                </w:p>
              </w:tc>
              <w:tc>
                <w:tcPr>
                  <w:tcW w:w="2406" w:type="dxa"/>
                  <w:shd w:val="clear" w:color="auto" w:fill="auto"/>
                  <w:vAlign w:val="center"/>
                </w:tcPr>
                <w:p>
                  <w:pPr>
                    <w:jc w:val="center"/>
                  </w:pPr>
                  <w:r>
                    <w:rPr>
                      <w:bCs/>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43" w:type="dxa"/>
                  <w:shd w:val="clear" w:color="auto" w:fill="auto"/>
                  <w:vAlign w:val="center"/>
                </w:tcPr>
                <w:p>
                  <w:pPr>
                    <w:adjustRightInd w:val="0"/>
                    <w:snapToGrid w:val="0"/>
                    <w:jc w:val="center"/>
                    <w:rPr>
                      <w:bCs/>
                      <w:szCs w:val="21"/>
                    </w:rPr>
                  </w:pPr>
                  <w:r>
                    <w:rPr>
                      <w:bCs/>
                      <w:szCs w:val="21"/>
                    </w:rPr>
                    <w:t>12</w:t>
                  </w:r>
                </w:p>
              </w:tc>
              <w:tc>
                <w:tcPr>
                  <w:tcW w:w="2246" w:type="dxa"/>
                  <w:shd w:val="clear" w:color="auto" w:fill="auto"/>
                  <w:vAlign w:val="center"/>
                </w:tcPr>
                <w:p>
                  <w:pPr>
                    <w:adjustRightInd w:val="0"/>
                    <w:snapToGrid w:val="0"/>
                    <w:jc w:val="center"/>
                    <w:rPr>
                      <w:bCs/>
                      <w:szCs w:val="21"/>
                    </w:rPr>
                  </w:pPr>
                  <w:r>
                    <w:rPr>
                      <w:bCs/>
                      <w:szCs w:val="21"/>
                    </w:rPr>
                    <w:t>混凝土搅拌机</w:t>
                  </w:r>
                </w:p>
              </w:tc>
              <w:tc>
                <w:tcPr>
                  <w:tcW w:w="2395" w:type="dxa"/>
                  <w:shd w:val="clear" w:color="auto" w:fill="auto"/>
                  <w:vAlign w:val="center"/>
                </w:tcPr>
                <w:p>
                  <w:pPr>
                    <w:adjustRightInd w:val="0"/>
                    <w:snapToGrid w:val="0"/>
                    <w:jc w:val="center"/>
                    <w:rPr>
                      <w:bCs/>
                      <w:szCs w:val="21"/>
                    </w:rPr>
                  </w:pPr>
                  <w:r>
                    <w:rPr>
                      <w:bCs/>
                      <w:szCs w:val="21"/>
                    </w:rPr>
                    <w:t>79</w:t>
                  </w:r>
                </w:p>
              </w:tc>
              <w:tc>
                <w:tcPr>
                  <w:tcW w:w="2406" w:type="dxa"/>
                  <w:shd w:val="clear" w:color="auto" w:fill="auto"/>
                  <w:vAlign w:val="center"/>
                </w:tcPr>
                <w:p>
                  <w:pPr>
                    <w:adjustRightInd w:val="0"/>
                    <w:snapToGrid w:val="0"/>
                    <w:jc w:val="center"/>
                    <w:rPr>
                      <w:bCs/>
                      <w:szCs w:val="21"/>
                    </w:rPr>
                  </w:pPr>
                  <w:r>
                    <w:rPr>
                      <w:bCs/>
                      <w:szCs w:val="21"/>
                    </w:rPr>
                    <w:t>15</w:t>
                  </w:r>
                </w:p>
              </w:tc>
            </w:tr>
          </w:tbl>
          <w:p>
            <w:pPr>
              <w:adjustRightInd w:val="0"/>
              <w:snapToGrid w:val="0"/>
              <w:spacing w:line="360" w:lineRule="auto"/>
              <w:rPr>
                <w:b/>
                <w:sz w:val="24"/>
              </w:rPr>
            </w:pPr>
          </w:p>
          <w:p>
            <w:pPr>
              <w:adjustRightInd w:val="0"/>
              <w:snapToGrid w:val="0"/>
              <w:spacing w:line="360" w:lineRule="auto"/>
              <w:rPr>
                <w:b/>
                <w:sz w:val="24"/>
              </w:rPr>
            </w:pPr>
            <w:r>
              <w:rPr>
                <w:rFonts w:hint="eastAsia"/>
                <w:b/>
                <w:sz w:val="24"/>
              </w:rPr>
              <w:t>五、对陆生生态环境的影响</w:t>
            </w:r>
          </w:p>
          <w:p>
            <w:pPr>
              <w:adjustRightInd w:val="0"/>
              <w:snapToGrid w:val="0"/>
              <w:spacing w:line="360" w:lineRule="auto"/>
              <w:ind w:firstLine="480" w:firstLineChars="200"/>
              <w:rPr>
                <w:sz w:val="24"/>
              </w:rPr>
            </w:pPr>
            <w:r>
              <w:rPr>
                <w:rFonts w:hint="eastAsia"/>
                <w:sz w:val="24"/>
              </w:rPr>
              <w:t>工程施工对陆生生态环境的影响表现在工程建设对植被破坏、对野生动物的扰动、水土流失等的影响。</w:t>
            </w:r>
          </w:p>
          <w:p>
            <w:pPr>
              <w:adjustRightInd w:val="0"/>
              <w:snapToGrid w:val="0"/>
              <w:spacing w:line="360" w:lineRule="auto"/>
              <w:ind w:firstLine="480" w:firstLineChars="200"/>
              <w:rPr>
                <w:sz w:val="24"/>
              </w:rPr>
            </w:pPr>
            <w:r>
              <w:rPr>
                <w:rFonts w:hint="eastAsia"/>
                <w:sz w:val="24"/>
              </w:rPr>
              <w:t>（</w:t>
            </w:r>
            <w:r>
              <w:rPr>
                <w:sz w:val="24"/>
              </w:rPr>
              <w:t>1）对植被的影响</w:t>
            </w:r>
          </w:p>
          <w:p>
            <w:pPr>
              <w:adjustRightInd w:val="0"/>
              <w:snapToGrid w:val="0"/>
              <w:spacing w:line="360" w:lineRule="auto"/>
              <w:ind w:firstLine="480" w:firstLineChars="200"/>
              <w:rPr>
                <w:sz w:val="24"/>
              </w:rPr>
            </w:pPr>
            <w:r>
              <w:rPr>
                <w:rFonts w:hint="eastAsia"/>
                <w:sz w:val="24"/>
              </w:rPr>
              <w:t>本工程占地总面积为</w:t>
            </w:r>
            <w:r>
              <w:rPr>
                <w:sz w:val="24"/>
              </w:rPr>
              <w:t>75.51</w:t>
            </w:r>
            <w:r>
              <w:rPr>
                <w:rFonts w:hint="eastAsia"/>
                <w:sz w:val="24"/>
              </w:rPr>
              <w:t>hm</w:t>
            </w:r>
            <w:r>
              <w:rPr>
                <w:sz w:val="24"/>
                <w:vertAlign w:val="superscript"/>
              </w:rPr>
              <w:t>2</w:t>
            </w:r>
            <w:r>
              <w:rPr>
                <w:rFonts w:hint="eastAsia"/>
                <w:sz w:val="24"/>
              </w:rPr>
              <w:t>，其中永久占地</w:t>
            </w:r>
            <w:r>
              <w:rPr>
                <w:sz w:val="24"/>
              </w:rPr>
              <w:t>42.34</w:t>
            </w:r>
            <w:r>
              <w:rPr>
                <w:rFonts w:hint="eastAsia"/>
                <w:sz w:val="24"/>
              </w:rPr>
              <w:t>hm</w:t>
            </w:r>
            <w:r>
              <w:rPr>
                <w:sz w:val="24"/>
                <w:vertAlign w:val="superscript"/>
              </w:rPr>
              <w:t>2</w:t>
            </w:r>
            <w:r>
              <w:rPr>
                <w:rFonts w:hint="eastAsia"/>
                <w:sz w:val="24"/>
              </w:rPr>
              <w:t>，临时占地</w:t>
            </w:r>
            <w:r>
              <w:rPr>
                <w:sz w:val="24"/>
              </w:rPr>
              <w:t>33.17</w:t>
            </w:r>
            <w:r>
              <w:rPr>
                <w:rFonts w:hint="eastAsia"/>
                <w:sz w:val="24"/>
              </w:rPr>
              <w:t>hm</w:t>
            </w:r>
            <w:r>
              <w:rPr>
                <w:sz w:val="24"/>
                <w:vertAlign w:val="superscript"/>
              </w:rPr>
              <w:t>2</w:t>
            </w:r>
            <w:r>
              <w:rPr>
                <w:rFonts w:hint="eastAsia"/>
                <w:sz w:val="24"/>
              </w:rPr>
              <w:t>，总占地中耕地（非</w:t>
            </w:r>
            <w:r>
              <w:rPr>
                <w:sz w:val="24"/>
              </w:rPr>
              <w:t>基本农田</w:t>
            </w:r>
            <w:r>
              <w:rPr>
                <w:rFonts w:hint="eastAsia"/>
                <w:sz w:val="24"/>
              </w:rPr>
              <w:t>）</w:t>
            </w:r>
            <w:r>
              <w:rPr>
                <w:sz w:val="24"/>
              </w:rPr>
              <w:t>2.61</w:t>
            </w:r>
            <w:r>
              <w:rPr>
                <w:rFonts w:hint="eastAsia"/>
                <w:sz w:val="24"/>
              </w:rPr>
              <w:t>hm</w:t>
            </w:r>
            <w:r>
              <w:rPr>
                <w:sz w:val="24"/>
                <w:vertAlign w:val="superscript"/>
              </w:rPr>
              <w:t>2</w:t>
            </w:r>
            <w:r>
              <w:rPr>
                <w:rFonts w:hint="eastAsia"/>
                <w:sz w:val="24"/>
              </w:rPr>
              <w:t>，林地（灌木</w:t>
            </w:r>
            <w:r>
              <w:rPr>
                <w:sz w:val="24"/>
              </w:rPr>
              <w:t>林地</w:t>
            </w:r>
            <w:r>
              <w:rPr>
                <w:rFonts w:hint="eastAsia"/>
                <w:sz w:val="24"/>
              </w:rPr>
              <w:t>）</w:t>
            </w:r>
            <w:r>
              <w:rPr>
                <w:sz w:val="24"/>
              </w:rPr>
              <w:t>1.42</w:t>
            </w:r>
            <w:r>
              <w:rPr>
                <w:rFonts w:hint="eastAsia"/>
                <w:sz w:val="24"/>
              </w:rPr>
              <w:t>hm</w:t>
            </w:r>
            <w:r>
              <w:rPr>
                <w:sz w:val="24"/>
                <w:vertAlign w:val="superscript"/>
              </w:rPr>
              <w:t>2</w:t>
            </w:r>
            <w:r>
              <w:rPr>
                <w:rFonts w:hint="eastAsia"/>
                <w:sz w:val="24"/>
              </w:rPr>
              <w:t>，草地（天然</w:t>
            </w:r>
            <w:r>
              <w:rPr>
                <w:sz w:val="24"/>
              </w:rPr>
              <w:t>牧草地：</w:t>
            </w:r>
            <w:r>
              <w:rPr>
                <w:rFonts w:hint="eastAsia"/>
                <w:sz w:val="24"/>
              </w:rPr>
              <w:t>二等1级）</w:t>
            </w:r>
            <w:r>
              <w:rPr>
                <w:sz w:val="24"/>
              </w:rPr>
              <w:t>42.63</w:t>
            </w:r>
            <w:r>
              <w:rPr>
                <w:rFonts w:hint="eastAsia"/>
                <w:sz w:val="24"/>
              </w:rPr>
              <w:t>hm</w:t>
            </w:r>
            <w:r>
              <w:rPr>
                <w:sz w:val="24"/>
                <w:vertAlign w:val="superscript"/>
              </w:rPr>
              <w:t>2</w:t>
            </w:r>
            <w:r>
              <w:rPr>
                <w:rFonts w:hint="eastAsia"/>
                <w:sz w:val="24"/>
              </w:rPr>
              <w:t>，水域及水利设施用地</w:t>
            </w:r>
            <w:r>
              <w:rPr>
                <w:sz w:val="24"/>
              </w:rPr>
              <w:t>24.18</w:t>
            </w:r>
            <w:r>
              <w:rPr>
                <w:rFonts w:hint="eastAsia"/>
                <w:sz w:val="24"/>
              </w:rPr>
              <w:t>hm</w:t>
            </w:r>
            <w:r>
              <w:rPr>
                <w:sz w:val="24"/>
                <w:vertAlign w:val="superscript"/>
              </w:rPr>
              <w:t>2</w:t>
            </w:r>
            <w:r>
              <w:rPr>
                <w:rFonts w:hint="eastAsia"/>
                <w:sz w:val="24"/>
              </w:rPr>
              <w:t>，交通运输</w:t>
            </w:r>
            <w:r>
              <w:rPr>
                <w:sz w:val="24"/>
              </w:rPr>
              <w:t>用地2.44</w:t>
            </w:r>
            <w:r>
              <w:rPr>
                <w:rFonts w:hint="eastAsia"/>
                <w:sz w:val="24"/>
              </w:rPr>
              <w:t>hm</w:t>
            </w:r>
            <w:r>
              <w:rPr>
                <w:sz w:val="24"/>
                <w:vertAlign w:val="superscript"/>
              </w:rPr>
              <w:t>2</w:t>
            </w:r>
            <w:r>
              <w:rPr>
                <w:sz w:val="24"/>
              </w:rPr>
              <w:t>。</w:t>
            </w:r>
            <w:r>
              <w:rPr>
                <w:rFonts w:hint="eastAsia"/>
                <w:sz w:val="24"/>
              </w:rPr>
              <w:t>工程占地区的植物种类较少，根据现场调查，主要为伊犁绢蒿</w:t>
            </w:r>
            <w:r>
              <w:rPr>
                <w:sz w:val="24"/>
              </w:rPr>
              <w:t>、</w:t>
            </w:r>
            <w:r>
              <w:rPr>
                <w:rFonts w:hint="eastAsia"/>
                <w:sz w:val="24"/>
              </w:rPr>
              <w:t>针茅等荒漠常见植物，总体盖度1</w:t>
            </w:r>
            <w:r>
              <w:rPr>
                <w:sz w:val="24"/>
              </w:rPr>
              <w:t>0</w:t>
            </w:r>
            <w:r>
              <w:rPr>
                <w:rFonts w:hint="eastAsia"/>
                <w:sz w:val="24"/>
              </w:rPr>
              <w:t>%～30</w:t>
            </w:r>
            <w:r>
              <w:rPr>
                <w:sz w:val="24"/>
              </w:rPr>
              <w:t>%</w:t>
            </w:r>
            <w:r>
              <w:rPr>
                <w:rFonts w:hint="eastAsia"/>
                <w:sz w:val="24"/>
              </w:rPr>
              <w:t>。工程建设对陆生植物的影响主要表现为临时占地对地表植被造成的扰动与破坏，施工机械在运输过程中会碾压、破坏一定作业范围内的地表植被，并会使此区域内受影响土壤的结构和理化性质发生改变，阻断生物与土壤间的物质交换，造成有机质含量降低，不利于植被恢复，施工临建设施占压和施工活动扰动区域等临时占地在施工结束后，通过采取一定的整治恢复措施，地表植被可以逐步得到恢复。另外，占地区无国家级和自治区级保护植物分布，植物种类均为常见种类，工程建设不会对其种类产生较大的影响，因此，通过采取措施，临时占地的地表植被逐步得到恢复，对植被的影响较小，不会对当地的生态环境产生明显的影响。</w:t>
            </w:r>
          </w:p>
          <w:p>
            <w:pPr>
              <w:adjustRightInd w:val="0"/>
              <w:snapToGrid w:val="0"/>
              <w:spacing w:line="360" w:lineRule="auto"/>
              <w:ind w:firstLine="480" w:firstLineChars="200"/>
              <w:rPr>
                <w:sz w:val="24"/>
              </w:rPr>
            </w:pPr>
            <w:r>
              <w:rPr>
                <w:rFonts w:hint="eastAsia"/>
                <w:sz w:val="24"/>
              </w:rPr>
              <w:t>（</w:t>
            </w:r>
            <w:r>
              <w:rPr>
                <w:sz w:val="24"/>
              </w:rPr>
              <w:t>2）对野生动物的影响</w:t>
            </w:r>
          </w:p>
          <w:p>
            <w:pPr>
              <w:adjustRightInd w:val="0"/>
              <w:snapToGrid w:val="0"/>
              <w:spacing w:line="360" w:lineRule="auto"/>
              <w:ind w:firstLine="480" w:firstLineChars="200"/>
              <w:rPr>
                <w:sz w:val="24"/>
              </w:rPr>
            </w:pPr>
            <w:r>
              <w:rPr>
                <w:rFonts w:hint="eastAsia"/>
                <w:sz w:val="24"/>
              </w:rPr>
              <w:t>①对鸟类的影响</w:t>
            </w:r>
          </w:p>
          <w:p>
            <w:pPr>
              <w:adjustRightInd w:val="0"/>
              <w:snapToGrid w:val="0"/>
              <w:spacing w:line="360" w:lineRule="auto"/>
              <w:ind w:firstLine="480" w:firstLineChars="200"/>
              <w:rPr>
                <w:sz w:val="24"/>
              </w:rPr>
            </w:pPr>
            <w:r>
              <w:rPr>
                <w:rFonts w:hint="eastAsia"/>
                <w:sz w:val="24"/>
              </w:rPr>
              <w:t>工程施工机械车辆往来、大量施工人员进驻等，将对一些听觉和视觉灵敏的鸟类一定程度上起到驱赶作用，迫使其转向其它区域予以回避，其生存空间受到一定压缩。但这种影响范围有限，多局限于施工区域内，不会造成鸟类种群数量的改变，且此类影响将随着施工活动的结束而消失。</w:t>
            </w:r>
          </w:p>
          <w:p>
            <w:pPr>
              <w:adjustRightInd w:val="0"/>
              <w:snapToGrid w:val="0"/>
              <w:spacing w:line="360" w:lineRule="auto"/>
              <w:ind w:firstLine="480" w:firstLineChars="200"/>
              <w:rPr>
                <w:sz w:val="24"/>
              </w:rPr>
            </w:pPr>
            <w:r>
              <w:rPr>
                <w:rFonts w:hint="eastAsia"/>
                <w:sz w:val="24"/>
              </w:rPr>
              <w:t>②对兽类的影响</w:t>
            </w:r>
          </w:p>
          <w:p>
            <w:pPr>
              <w:adjustRightInd w:val="0"/>
              <w:snapToGrid w:val="0"/>
              <w:spacing w:line="360" w:lineRule="auto"/>
              <w:ind w:firstLine="480" w:firstLineChars="200"/>
              <w:rPr>
                <w:sz w:val="24"/>
              </w:rPr>
            </w:pPr>
            <w:r>
              <w:rPr>
                <w:rFonts w:hint="eastAsia"/>
                <w:sz w:val="24"/>
              </w:rPr>
              <w:t>根据调查，工程施工区分布的兽类主要以常见的爬行类两栖</w:t>
            </w:r>
            <w:r>
              <w:rPr>
                <w:sz w:val="24"/>
              </w:rPr>
              <w:t>类和小型兽类</w:t>
            </w:r>
            <w:r>
              <w:rPr>
                <w:rFonts w:hint="eastAsia"/>
                <w:sz w:val="24"/>
              </w:rPr>
              <w:t>动物为主，这类动物适应性强且数量比较稀少，无珍稀野生动物分布。工程施工活动将导致地表植被破坏，使部分动物觅食场所相应减少，迫使这些野生动物为避开人类活动，迁往未受干扰的地带。由于工程占地面积较小，这部分野生动物的生存活动区域范围广，区域类似生境广泛，工程建设不会对区域动物的生存环境产生明显影响。</w:t>
            </w:r>
          </w:p>
          <w:p>
            <w:pPr>
              <w:adjustRightInd w:val="0"/>
              <w:snapToGrid w:val="0"/>
              <w:spacing w:line="360" w:lineRule="auto"/>
              <w:ind w:firstLine="480" w:firstLineChars="200"/>
              <w:rPr>
                <w:sz w:val="24"/>
              </w:rPr>
            </w:pPr>
            <w:r>
              <w:rPr>
                <w:rFonts w:hint="eastAsia"/>
                <w:sz w:val="24"/>
              </w:rPr>
              <w:t>（</w:t>
            </w:r>
            <w:r>
              <w:rPr>
                <w:sz w:val="24"/>
              </w:rPr>
              <w:t>3）对水土流失的影响</w:t>
            </w:r>
          </w:p>
          <w:p>
            <w:pPr>
              <w:adjustRightInd w:val="0"/>
              <w:snapToGrid w:val="0"/>
              <w:spacing w:line="360" w:lineRule="auto"/>
              <w:ind w:firstLine="480" w:firstLineChars="200"/>
              <w:rPr>
                <w:sz w:val="24"/>
              </w:rPr>
            </w:pPr>
            <w:r>
              <w:rPr>
                <w:sz w:val="24"/>
              </w:rPr>
              <w:t>工程建设过程中人为活动造成水土流失的原因主要是清除、开挖、回填、占压、碾压等活动破坏地表植被、表层土壤，在大风和暴雨季节产生水土流失。根据本工程地形地貌和施工建设的特点，本工程建设不会引发泥石流、地面塌陷、大型滑坡等严重生态影响，但会造成一定的水土流失，工程建设水土流失防治责任范围为74.95hm</w:t>
            </w:r>
            <w:r>
              <w:rPr>
                <w:sz w:val="24"/>
                <w:vertAlign w:val="superscript"/>
              </w:rPr>
              <w:t>2</w:t>
            </w:r>
            <w:r>
              <w:rPr>
                <w:sz w:val="24"/>
              </w:rPr>
              <w:t>，</w:t>
            </w:r>
            <w:r>
              <w:rPr>
                <w:rFonts w:hint="eastAsia"/>
                <w:sz w:val="24"/>
              </w:rPr>
              <w:t>工程中主体工程区占地为</w:t>
            </w:r>
            <w:r>
              <w:rPr>
                <w:sz w:val="24"/>
              </w:rPr>
              <w:t>12.44</w:t>
            </w:r>
            <w:r>
              <w:rPr>
                <w:rFonts w:hint="eastAsia"/>
                <w:sz w:val="24"/>
              </w:rPr>
              <w:t>hm</w:t>
            </w:r>
            <w:r>
              <w:rPr>
                <w:rFonts w:hint="eastAsia"/>
                <w:sz w:val="24"/>
                <w:vertAlign w:val="superscript"/>
              </w:rPr>
              <w:t>2</w:t>
            </w:r>
            <w:r>
              <w:rPr>
                <w:rFonts w:hint="eastAsia"/>
                <w:sz w:val="24"/>
              </w:rPr>
              <w:t>，管理区占地为</w:t>
            </w:r>
            <w:r>
              <w:rPr>
                <w:sz w:val="24"/>
              </w:rPr>
              <w:t>0.15</w:t>
            </w:r>
            <w:r>
              <w:rPr>
                <w:rFonts w:hint="eastAsia"/>
                <w:sz w:val="24"/>
              </w:rPr>
              <w:t>hm</w:t>
            </w:r>
            <w:r>
              <w:rPr>
                <w:rFonts w:hint="eastAsia"/>
                <w:sz w:val="24"/>
                <w:vertAlign w:val="superscript"/>
              </w:rPr>
              <w:t>2</w:t>
            </w:r>
            <w:r>
              <w:rPr>
                <w:rFonts w:hint="eastAsia"/>
                <w:sz w:val="24"/>
              </w:rPr>
              <w:t>，道路区占地为</w:t>
            </w:r>
            <w:r>
              <w:rPr>
                <w:sz w:val="24"/>
              </w:rPr>
              <w:t>19.29</w:t>
            </w:r>
            <w:r>
              <w:rPr>
                <w:rFonts w:hint="eastAsia"/>
                <w:sz w:val="24"/>
              </w:rPr>
              <w:t>hm</w:t>
            </w:r>
            <w:r>
              <w:rPr>
                <w:rFonts w:hint="eastAsia"/>
                <w:sz w:val="24"/>
                <w:vertAlign w:val="superscript"/>
              </w:rPr>
              <w:t>2</w:t>
            </w:r>
            <w:r>
              <w:rPr>
                <w:rFonts w:hint="eastAsia"/>
                <w:sz w:val="24"/>
              </w:rPr>
              <w:t>，料场区占地为</w:t>
            </w:r>
            <w:r>
              <w:rPr>
                <w:sz w:val="24"/>
              </w:rPr>
              <w:t>11.38</w:t>
            </w:r>
            <w:r>
              <w:rPr>
                <w:rFonts w:hint="eastAsia"/>
                <w:sz w:val="24"/>
              </w:rPr>
              <w:t>hm</w:t>
            </w:r>
            <w:r>
              <w:rPr>
                <w:rFonts w:hint="eastAsia"/>
                <w:sz w:val="24"/>
                <w:vertAlign w:val="superscript"/>
              </w:rPr>
              <w:t>2</w:t>
            </w:r>
            <w:r>
              <w:rPr>
                <w:rFonts w:hint="eastAsia"/>
                <w:sz w:val="24"/>
              </w:rPr>
              <w:t>，施工生产生活区占地为0.60hm</w:t>
            </w:r>
            <w:r>
              <w:rPr>
                <w:rFonts w:hint="eastAsia"/>
                <w:sz w:val="24"/>
                <w:vertAlign w:val="superscript"/>
              </w:rPr>
              <w:t>2</w:t>
            </w:r>
            <w:r>
              <w:rPr>
                <w:rFonts w:hint="eastAsia"/>
                <w:sz w:val="24"/>
              </w:rPr>
              <w:t>，临时</w:t>
            </w:r>
            <w:r>
              <w:rPr>
                <w:sz w:val="24"/>
              </w:rPr>
              <w:t>弃渣场</w:t>
            </w:r>
            <w:r>
              <w:rPr>
                <w:rFonts w:hint="eastAsia"/>
                <w:sz w:val="24"/>
              </w:rPr>
              <w:t>占地为</w:t>
            </w:r>
            <w:r>
              <w:rPr>
                <w:sz w:val="24"/>
              </w:rPr>
              <w:t>2.87</w:t>
            </w:r>
            <w:r>
              <w:rPr>
                <w:rFonts w:hint="eastAsia"/>
                <w:sz w:val="24"/>
              </w:rPr>
              <w:t>hm</w:t>
            </w:r>
            <w:r>
              <w:rPr>
                <w:rFonts w:hint="eastAsia"/>
                <w:sz w:val="24"/>
                <w:vertAlign w:val="superscript"/>
              </w:rPr>
              <w:t>2</w:t>
            </w:r>
            <w:r>
              <w:rPr>
                <w:rFonts w:hint="eastAsia"/>
                <w:sz w:val="24"/>
              </w:rPr>
              <w:t>，输电线路区占地为0.20hm</w:t>
            </w:r>
            <w:r>
              <w:rPr>
                <w:rFonts w:hint="eastAsia"/>
                <w:sz w:val="24"/>
                <w:vertAlign w:val="superscript"/>
              </w:rPr>
              <w:t>2</w:t>
            </w:r>
            <w:r>
              <w:rPr>
                <w:rFonts w:hint="eastAsia"/>
                <w:sz w:val="24"/>
              </w:rPr>
              <w:t>，供水管线区占地为0.39hm</w:t>
            </w:r>
            <w:r>
              <w:rPr>
                <w:rFonts w:hint="eastAsia"/>
                <w:sz w:val="24"/>
                <w:vertAlign w:val="superscript"/>
              </w:rPr>
              <w:t>2</w:t>
            </w:r>
            <w:r>
              <w:rPr>
                <w:rFonts w:hint="eastAsia"/>
                <w:sz w:val="24"/>
              </w:rPr>
              <w:t>，弃渣场占地面积为</w:t>
            </w:r>
            <w:r>
              <w:rPr>
                <w:sz w:val="24"/>
              </w:rPr>
              <w:t>16.51</w:t>
            </w:r>
            <w:r>
              <w:rPr>
                <w:rFonts w:hint="eastAsia"/>
                <w:sz w:val="24"/>
              </w:rPr>
              <w:t>hm</w:t>
            </w:r>
            <w:r>
              <w:rPr>
                <w:rFonts w:hint="eastAsia"/>
                <w:sz w:val="24"/>
                <w:vertAlign w:val="superscript"/>
              </w:rPr>
              <w:t>2</w:t>
            </w:r>
            <w:r>
              <w:rPr>
                <w:rFonts w:hint="eastAsia"/>
                <w:sz w:val="24"/>
              </w:rPr>
              <w:t>，水库淹没区占地</w:t>
            </w:r>
            <w:r>
              <w:rPr>
                <w:sz w:val="24"/>
              </w:rPr>
              <w:t>16.16</w:t>
            </w:r>
            <w:r>
              <w:rPr>
                <w:rFonts w:hint="eastAsia"/>
                <w:sz w:val="24"/>
              </w:rPr>
              <w:t>hm</w:t>
            </w:r>
            <w:r>
              <w:rPr>
                <w:rFonts w:hint="eastAsia"/>
                <w:sz w:val="24"/>
                <w:vertAlign w:val="superscript"/>
              </w:rPr>
              <w:t>2</w:t>
            </w:r>
            <w:r>
              <w:rPr>
                <w:rFonts w:hint="eastAsia"/>
                <w:sz w:val="24"/>
              </w:rPr>
              <w:t>，</w:t>
            </w:r>
            <w:r>
              <w:rPr>
                <w:sz w:val="24"/>
              </w:rPr>
              <w:t>建设扰动后</w:t>
            </w:r>
            <w:r>
              <w:rPr>
                <w:rFonts w:hint="eastAsia"/>
                <w:sz w:val="24"/>
              </w:rPr>
              <w:t>新增土壤流失量为</w:t>
            </w:r>
            <w:r>
              <w:rPr>
                <w:sz w:val="24"/>
              </w:rPr>
              <w:t>4773.02</w:t>
            </w:r>
            <w:r>
              <w:rPr>
                <w:rFonts w:hint="eastAsia"/>
                <w:sz w:val="24"/>
              </w:rPr>
              <w:t>t</w:t>
            </w:r>
            <w:r>
              <w:rPr>
                <w:sz w:val="24"/>
              </w:rPr>
              <w:t>。若不采取有效的水土流失防治措施，水土流失可能造成的危害主要有以下几个方面：</w:t>
            </w:r>
          </w:p>
          <w:p>
            <w:pPr>
              <w:adjustRightInd w:val="0"/>
              <w:snapToGrid w:val="0"/>
              <w:spacing w:line="360" w:lineRule="auto"/>
              <w:ind w:firstLine="480" w:firstLineChars="200"/>
              <w:rPr>
                <w:sz w:val="24"/>
                <w:lang w:val="zh-CN"/>
              </w:rPr>
            </w:pPr>
            <w:r>
              <w:rPr>
                <w:rFonts w:hint="eastAsia"/>
                <w:sz w:val="24"/>
              </w:rPr>
              <w:t>①</w:t>
            </w:r>
            <w:r>
              <w:rPr>
                <w:rFonts w:hint="eastAsia"/>
                <w:sz w:val="24"/>
                <w:lang w:val="zh-CN"/>
              </w:rPr>
              <w:t>破损地表和损毁水土 保持设施。工程施工期土建工程主要由坝体、放水涵洞和溢洪道基础开挖，开发建设施工、机械碾压、施工人员践踏等不可避免地将破坏、扰动原地形地貌土壤结构，损失一定的水土保持设施。</w:t>
            </w:r>
          </w:p>
          <w:p>
            <w:pPr>
              <w:adjustRightInd w:val="0"/>
              <w:snapToGrid w:val="0"/>
              <w:spacing w:line="360" w:lineRule="auto"/>
              <w:ind w:firstLine="480" w:firstLineChars="200"/>
              <w:rPr>
                <w:sz w:val="24"/>
                <w:lang w:val="zh-CN"/>
              </w:rPr>
            </w:pPr>
            <w:r>
              <w:rPr>
                <w:rFonts w:hint="eastAsia"/>
                <w:sz w:val="24"/>
                <w:lang w:val="zh-CN"/>
              </w:rPr>
              <w:t>②降低项目区生态环境质量。项目施工开挖的扰动、土砂石料运输、堆放等，破坏了土壤结构，降低了土壤抗蚀能力，弃渣堆放破坏原有地表植被，造成地表破坏。</w:t>
            </w:r>
          </w:p>
          <w:p>
            <w:pPr>
              <w:adjustRightInd w:val="0"/>
              <w:snapToGrid w:val="0"/>
              <w:spacing w:line="360" w:lineRule="auto"/>
              <w:ind w:firstLine="480" w:firstLineChars="200"/>
              <w:rPr>
                <w:sz w:val="24"/>
                <w:lang w:val="zh-CN"/>
              </w:rPr>
            </w:pPr>
            <w:r>
              <w:rPr>
                <w:rFonts w:hint="eastAsia"/>
                <w:sz w:val="24"/>
                <w:lang w:val="zh-CN"/>
              </w:rPr>
              <w:t>③可能造成新的水土流失。土地平整、土方开挖及临时堆放等施工作业过程中，致使土体表面的结构松散，遇大风时表土极易被风吹起，为扬沙天气提供物资源；遇强降水时表土会随洪水冲走，亦易产生水蚀，引发新的水土流失。</w:t>
            </w:r>
          </w:p>
          <w:p>
            <w:pPr>
              <w:adjustRightInd w:val="0"/>
              <w:snapToGrid w:val="0"/>
              <w:spacing w:line="360" w:lineRule="auto"/>
              <w:rPr>
                <w:b/>
                <w:bCs/>
                <w:sz w:val="24"/>
              </w:rPr>
            </w:pPr>
            <w:r>
              <w:rPr>
                <w:rFonts w:hint="eastAsia"/>
                <w:b/>
                <w:bCs/>
                <w:sz w:val="24"/>
              </w:rPr>
              <w:t>六</w:t>
            </w:r>
            <w:r>
              <w:rPr>
                <w:b/>
                <w:bCs/>
                <w:sz w:val="24"/>
              </w:rPr>
              <w:t>、对</w:t>
            </w:r>
            <w:r>
              <w:rPr>
                <w:rFonts w:hint="eastAsia"/>
                <w:b/>
                <w:bCs/>
                <w:sz w:val="24"/>
              </w:rPr>
              <w:t>水生生态</w:t>
            </w:r>
            <w:r>
              <w:rPr>
                <w:b/>
                <w:bCs/>
                <w:sz w:val="24"/>
              </w:rPr>
              <w:t>的影响</w:t>
            </w:r>
          </w:p>
          <w:p>
            <w:pPr>
              <w:snapToGrid w:val="0"/>
              <w:spacing w:line="360" w:lineRule="auto"/>
              <w:ind w:firstLine="482"/>
              <w:rPr>
                <w:sz w:val="24"/>
              </w:rPr>
            </w:pPr>
            <w:r>
              <w:rPr>
                <w:rFonts w:hint="eastAsia"/>
                <w:sz w:val="24"/>
              </w:rPr>
              <w:t>根据工程特点，分析认为本工程施工对水生生态的直接影响范围主要在东城河红山嘴</w:t>
            </w:r>
            <w:r>
              <w:rPr>
                <w:sz w:val="24"/>
              </w:rPr>
              <w:t>水库</w:t>
            </w:r>
            <w:r>
              <w:rPr>
                <w:rFonts w:hint="eastAsia"/>
                <w:sz w:val="24"/>
              </w:rPr>
              <w:t>工程坝址附近水域。</w:t>
            </w:r>
          </w:p>
          <w:p>
            <w:pPr>
              <w:snapToGrid w:val="0"/>
              <w:spacing w:line="360" w:lineRule="auto"/>
              <w:ind w:firstLine="482"/>
              <w:rPr>
                <w:sz w:val="24"/>
              </w:rPr>
            </w:pPr>
            <w:r>
              <w:rPr>
                <w:rFonts w:hint="eastAsia"/>
                <w:sz w:val="24"/>
              </w:rPr>
              <w:t>工程施工采用分期围堰</w:t>
            </w:r>
            <w:r>
              <w:rPr>
                <w:sz w:val="24"/>
              </w:rPr>
              <w:t>和涵洞</w:t>
            </w:r>
            <w:r>
              <w:rPr>
                <w:rFonts w:hint="eastAsia"/>
                <w:sz w:val="24"/>
              </w:rPr>
              <w:t>的</w:t>
            </w:r>
            <w:r>
              <w:rPr>
                <w:sz w:val="24"/>
              </w:rPr>
              <w:t>组合</w:t>
            </w:r>
            <w:r>
              <w:rPr>
                <w:rFonts w:hint="eastAsia"/>
                <w:sz w:val="24"/>
              </w:rPr>
              <w:t>导流方式。施工期在河道构筑围堰，涉水开挖等施工活动将对底质生境产生破坏，从而使生境条件发生改变，造成水生生物资源损失；涉水开挖和围堰填筑对底栖生物有一定影响，影响范围在上、下游围堰之间，对其他水域的影响较小。</w:t>
            </w:r>
          </w:p>
          <w:p>
            <w:pPr>
              <w:snapToGrid w:val="0"/>
              <w:spacing w:line="360" w:lineRule="auto"/>
              <w:ind w:firstLine="482"/>
              <w:rPr>
                <w:bCs/>
                <w:sz w:val="24"/>
              </w:rPr>
            </w:pPr>
            <w:r>
              <w:rPr>
                <w:sz w:val="24"/>
              </w:rPr>
              <w:t>根据本工程施工特点，分析认为工程施工对水生生态的直接影响范围集中在</w:t>
            </w:r>
            <w:r>
              <w:rPr>
                <w:rFonts w:hint="eastAsia"/>
                <w:sz w:val="24"/>
              </w:rPr>
              <w:t>红山嘴水库</w:t>
            </w:r>
            <w:r>
              <w:rPr>
                <w:sz w:val="24"/>
              </w:rPr>
              <w:t>附近水域。拦河建筑物、围堰等施工活动，将破坏占地区河床底质，进而影响水生生物及鱼类栖息生境；若施工污废水直接入河，则会影响河流水质，也将会对水生生物及鱼类产生影响；另外，施工活动将会惊扰鱼类，对其产生驱离作用，迫使其离开工程所处河段。但上述影响仅局限于施工期，在施工结束后将自动消失</w:t>
            </w:r>
            <w:r>
              <w:rPr>
                <w:rFonts w:hint="eastAsia"/>
                <w:bCs/>
                <w:sz w:val="24"/>
              </w:rPr>
              <w:t>。</w:t>
            </w:r>
          </w:p>
          <w:p>
            <w:pPr>
              <w:adjustRightInd w:val="0"/>
              <w:snapToGrid w:val="0"/>
              <w:spacing w:line="360" w:lineRule="auto"/>
              <w:rPr>
                <w:b/>
                <w:bCs/>
                <w:sz w:val="24"/>
              </w:rPr>
            </w:pPr>
            <w:r>
              <w:rPr>
                <w:rFonts w:hint="eastAsia"/>
                <w:b/>
                <w:bCs/>
                <w:sz w:val="24"/>
              </w:rPr>
              <w:t>七</w:t>
            </w:r>
            <w:r>
              <w:rPr>
                <w:b/>
                <w:bCs/>
                <w:sz w:val="24"/>
              </w:rPr>
              <w:t>、对土壤环境的影响</w:t>
            </w:r>
          </w:p>
          <w:p>
            <w:pPr>
              <w:spacing w:line="360" w:lineRule="auto"/>
              <w:ind w:firstLine="480"/>
              <w:rPr>
                <w:sz w:val="24"/>
              </w:rPr>
            </w:pPr>
            <w:r>
              <w:rPr>
                <w:rFonts w:hint="eastAsia"/>
                <w:sz w:val="24"/>
              </w:rPr>
              <w:t>工程临时占地总面积</w:t>
            </w:r>
            <w:r>
              <w:rPr>
                <w:sz w:val="24"/>
              </w:rPr>
              <w:t>33.17hm</w:t>
            </w:r>
            <w:r>
              <w:rPr>
                <w:sz w:val="24"/>
                <w:vertAlign w:val="superscript"/>
              </w:rPr>
              <w:t>2</w:t>
            </w:r>
            <w:r>
              <w:rPr>
                <w:sz w:val="24"/>
              </w:rPr>
              <w:t>，</w:t>
            </w:r>
            <w:r>
              <w:rPr>
                <w:rFonts w:hint="eastAsia"/>
                <w:sz w:val="24"/>
              </w:rPr>
              <w:t>主要为草地</w:t>
            </w:r>
            <w:r>
              <w:rPr>
                <w:sz w:val="24"/>
              </w:rPr>
              <w:t>（</w:t>
            </w:r>
            <w:r>
              <w:rPr>
                <w:rFonts w:hint="eastAsia"/>
                <w:sz w:val="24"/>
              </w:rPr>
              <w:t>天然</w:t>
            </w:r>
            <w:r>
              <w:rPr>
                <w:sz w:val="24"/>
              </w:rPr>
              <w:t>牧草地）</w:t>
            </w:r>
            <w:r>
              <w:rPr>
                <w:rFonts w:hint="eastAsia"/>
                <w:sz w:val="24"/>
              </w:rPr>
              <w:t>，</w:t>
            </w:r>
            <w:r>
              <w:rPr>
                <w:sz w:val="24"/>
              </w:rPr>
              <w:t>草场等级为二等</w:t>
            </w:r>
            <w:r>
              <w:rPr>
                <w:rFonts w:hint="eastAsia"/>
                <w:sz w:val="24"/>
              </w:rPr>
              <w:t>1级</w:t>
            </w:r>
            <w:r>
              <w:rPr>
                <w:sz w:val="24"/>
              </w:rPr>
              <w:t>，土壤类型为</w:t>
            </w:r>
            <w:r>
              <w:rPr>
                <w:rFonts w:hint="eastAsia"/>
                <w:sz w:val="24"/>
              </w:rPr>
              <w:t>暗栗钙土、黑钙土</w:t>
            </w:r>
            <w:r>
              <w:rPr>
                <w:sz w:val="24"/>
              </w:rPr>
              <w:t>。临时用地主要为</w:t>
            </w:r>
            <w:r>
              <w:rPr>
                <w:rFonts w:hint="eastAsia"/>
                <w:sz w:val="24"/>
              </w:rPr>
              <w:t>临时弃渣</w:t>
            </w:r>
            <w:r>
              <w:rPr>
                <w:sz w:val="24"/>
              </w:rPr>
              <w:t>场、施工临时道路、临时生产生活区等用地。</w:t>
            </w:r>
            <w:r>
              <w:rPr>
                <w:rFonts w:hint="eastAsia"/>
                <w:sz w:val="24"/>
              </w:rPr>
              <w:t>由于土石方开挖、施工人员的践踏和施工机械的碾压，将使原表层土壤结构破坏，土壤变得紧实，表土温度升高，土壤中的有机质分解作用增强，微生物数量减少及营养元素流失。主要影响有：地表受到机械开挖、碾压，施工人员反复踩踏等的影响，土壤孔隙度、通气性等物理性质都将受到影响；一但植被和表层土壤原有结构被破坏后，表层土壤在暴雨洪水或其他地表径流和风力的作用下，很容易发生水土流失，并对周边环境产生影响；施工生产废水、生活污水、生活垃圾处置不当，也会对土壤环境造成污染。施工结束后，临时占地区域的地表会逐渐恢复，土壤结构和功能逐步恢复到自然状态，恢复期和能够恢复的程度与扰动强度和采取的措施等有关。</w:t>
            </w:r>
          </w:p>
          <w:p>
            <w:pPr>
              <w:adjustRightInd w:val="0"/>
              <w:snapToGrid w:val="0"/>
              <w:spacing w:line="360" w:lineRule="auto"/>
              <w:rPr>
                <w:b/>
                <w:bCs/>
                <w:sz w:val="24"/>
              </w:rPr>
            </w:pPr>
            <w:r>
              <w:rPr>
                <w:rFonts w:hint="eastAsia"/>
                <w:b/>
                <w:bCs/>
                <w:sz w:val="24"/>
              </w:rPr>
              <w:t>八</w:t>
            </w:r>
            <w:r>
              <w:rPr>
                <w:b/>
                <w:bCs/>
                <w:sz w:val="24"/>
              </w:rPr>
              <w:t>、</w:t>
            </w:r>
            <w:r>
              <w:rPr>
                <w:rFonts w:hint="eastAsia"/>
                <w:b/>
                <w:bCs/>
                <w:sz w:val="24"/>
              </w:rPr>
              <w:t>移民</w:t>
            </w:r>
            <w:r>
              <w:rPr>
                <w:b/>
                <w:bCs/>
                <w:sz w:val="24"/>
              </w:rPr>
              <w:t>安置的影响</w:t>
            </w:r>
          </w:p>
          <w:p>
            <w:pPr>
              <w:adjustRightInd w:val="0"/>
              <w:snapToGrid w:val="0"/>
              <w:spacing w:line="360" w:lineRule="auto"/>
              <w:ind w:firstLine="480" w:firstLineChars="200"/>
              <w:rPr>
                <w:sz w:val="24"/>
              </w:rPr>
            </w:pPr>
            <w:r>
              <w:rPr>
                <w:rFonts w:hint="eastAsia"/>
                <w:sz w:val="24"/>
              </w:rPr>
              <w:t>工程征占地涉及生产安置移民</w:t>
            </w:r>
            <w:r>
              <w:rPr>
                <w:sz w:val="24"/>
              </w:rPr>
              <w:t>10</w:t>
            </w:r>
            <w:r>
              <w:rPr>
                <w:rFonts w:hint="eastAsia"/>
                <w:sz w:val="24"/>
              </w:rPr>
              <w:t>人，采用一次性经济补偿方式进行安置；涉及搬迁安置牧民人口14户</w:t>
            </w:r>
            <w:r>
              <w:rPr>
                <w:sz w:val="24"/>
              </w:rPr>
              <w:t>48</w:t>
            </w:r>
            <w:r>
              <w:rPr>
                <w:rFonts w:hint="eastAsia"/>
                <w:sz w:val="24"/>
              </w:rPr>
              <w:t>人（包含2户9人非农业居民），全部采用乡镇内就近集中安置方式，全部搬迁至东城镇鸡心梁村3组，</w:t>
            </w:r>
            <w:r>
              <w:rPr>
                <w:sz w:val="24"/>
              </w:rPr>
              <w:t>根据了解村内条件</w:t>
            </w:r>
            <w:r>
              <w:rPr>
                <w:rFonts w:hint="eastAsia"/>
                <w:sz w:val="24"/>
              </w:rPr>
              <w:t>较好，</w:t>
            </w:r>
            <w:r>
              <w:rPr>
                <w:sz w:val="24"/>
              </w:rPr>
              <w:t>有足够</w:t>
            </w:r>
            <w:r>
              <w:rPr>
                <w:rFonts w:hint="eastAsia"/>
                <w:sz w:val="24"/>
              </w:rPr>
              <w:t>的</w:t>
            </w:r>
            <w:r>
              <w:rPr>
                <w:sz w:val="24"/>
              </w:rPr>
              <w:t>环境容量安置本工程移民，</w:t>
            </w:r>
            <w:r>
              <w:rPr>
                <w:rFonts w:hint="eastAsia"/>
                <w:sz w:val="24"/>
              </w:rPr>
              <w:t>搬迁前后居民所处环境如民族语言、风俗习惯等基本不会发生改变，不存在民族融合问题，且</w:t>
            </w:r>
            <w:r>
              <w:rPr>
                <w:sz w:val="24"/>
              </w:rPr>
              <w:t>移民安置区位于原村内，</w:t>
            </w:r>
            <w:r>
              <w:rPr>
                <w:rFonts w:hint="eastAsia"/>
                <w:sz w:val="24"/>
              </w:rPr>
              <w:t>无</w:t>
            </w:r>
            <w:r>
              <w:rPr>
                <w:sz w:val="24"/>
              </w:rPr>
              <w:t>新增</w:t>
            </w:r>
            <w:r>
              <w:rPr>
                <w:rFonts w:hint="eastAsia"/>
                <w:sz w:val="24"/>
              </w:rPr>
              <w:t>土地</w:t>
            </w:r>
            <w:r>
              <w:rPr>
                <w:sz w:val="24"/>
              </w:rPr>
              <w:t>开发活动，不会新增环境不利影响</w:t>
            </w:r>
            <w:r>
              <w:rPr>
                <w:rFonts w:hint="eastAsia"/>
                <w:sz w:val="24"/>
              </w:rPr>
              <w:t>。</w:t>
            </w:r>
          </w:p>
          <w:p>
            <w:pPr>
              <w:adjustRightInd w:val="0"/>
              <w:snapToGrid w:val="0"/>
              <w:spacing w:line="360" w:lineRule="auto"/>
              <w:ind w:firstLine="480" w:firstLineChars="200"/>
              <w:rPr>
                <w:sz w:val="24"/>
              </w:rPr>
            </w:pPr>
            <w:r>
              <w:rPr>
                <w:rFonts w:hint="eastAsia"/>
                <w:sz w:val="24"/>
              </w:rPr>
              <w:t>本次工程需恢复</w:t>
            </w:r>
            <w:r>
              <w:rPr>
                <w:sz w:val="24"/>
              </w:rPr>
              <w:t>道路</w:t>
            </w:r>
            <w:r>
              <w:rPr>
                <w:rFonts w:hint="eastAsia"/>
                <w:sz w:val="24"/>
              </w:rPr>
              <w:t>2.1</w:t>
            </w:r>
            <w:r>
              <w:rPr>
                <w:sz w:val="24"/>
              </w:rPr>
              <w:t>km</w:t>
            </w:r>
            <w:r>
              <w:rPr>
                <w:rFonts w:hint="eastAsia"/>
                <w:sz w:val="24"/>
              </w:rPr>
              <w:t>、</w:t>
            </w:r>
            <w:r>
              <w:rPr>
                <w:sz w:val="24"/>
              </w:rPr>
              <w:t>输电线路</w:t>
            </w:r>
            <w:r>
              <w:rPr>
                <w:rFonts w:hint="eastAsia"/>
                <w:sz w:val="24"/>
              </w:rPr>
              <w:t>2.1</w:t>
            </w:r>
            <w:r>
              <w:rPr>
                <w:sz w:val="24"/>
              </w:rPr>
              <w:t>km</w:t>
            </w:r>
            <w:r>
              <w:rPr>
                <w:rFonts w:hint="eastAsia"/>
                <w:sz w:val="24"/>
              </w:rPr>
              <w:t>、输电线路2.35</w:t>
            </w:r>
            <w:r>
              <w:rPr>
                <w:sz w:val="24"/>
              </w:rPr>
              <w:t>km</w:t>
            </w:r>
            <w:r>
              <w:rPr>
                <w:rFonts w:hint="eastAsia"/>
                <w:sz w:val="24"/>
              </w:rPr>
              <w:t>、</w:t>
            </w:r>
            <w:r>
              <w:rPr>
                <w:sz w:val="24"/>
              </w:rPr>
              <w:t>改建</w:t>
            </w:r>
            <w:r>
              <w:rPr>
                <w:rFonts w:hint="eastAsia"/>
                <w:sz w:val="24"/>
              </w:rPr>
              <w:t>人饮供水工程1处。专项设施改复建工程开挖、回填等活动将产生粉尘，由于开挖量较小，相应产生的粉尘量也较小，施工场地较为分散，因此改复建工程对周围环境空气的影响较小。改复建施工噪声源主要为施工机械，噪声源单一，持续时间不长，施工场地距离居民点较远，因此对周围声环境的影响较小。改复建工程施工过程将产生少量混凝土拌和废水、机械冲洗废水，以及少量施工人员生活污水，废污水经处理后全部回用或综合利用，不外排，因此改复建工程不会对地表水环境产生影响。改复建工程占地较小，对地表植被影响较小。改复建活动顺地形布置，施工过程中土石方工程量较小，通过加强施工管理及防护，施工活动新增水土流失也是可以控制的，不会产生较大不利影响。</w:t>
            </w:r>
          </w:p>
          <w:p>
            <w:pPr>
              <w:adjustRightInd w:val="0"/>
              <w:snapToGrid w:val="0"/>
              <w:spacing w:line="360" w:lineRule="auto"/>
              <w:rPr>
                <w:b/>
                <w:bCs/>
                <w:sz w:val="24"/>
              </w:rPr>
            </w:pPr>
            <w:r>
              <w:rPr>
                <w:rFonts w:hint="eastAsia"/>
                <w:b/>
                <w:bCs/>
                <w:sz w:val="24"/>
              </w:rPr>
              <w:t>九</w:t>
            </w:r>
            <w:r>
              <w:rPr>
                <w:b/>
                <w:bCs/>
                <w:sz w:val="24"/>
              </w:rPr>
              <w:t>、环境风险分析</w:t>
            </w:r>
          </w:p>
          <w:p>
            <w:pPr>
              <w:adjustRightInd w:val="0"/>
              <w:snapToGrid w:val="0"/>
              <w:spacing w:line="360" w:lineRule="auto"/>
              <w:ind w:firstLine="480" w:firstLineChars="200"/>
              <w:rPr>
                <w:sz w:val="24"/>
              </w:rPr>
            </w:pPr>
            <w:r>
              <w:rPr>
                <w:sz w:val="24"/>
              </w:rPr>
              <w:t>本项目可能发生的风险为施工期油料泄漏和着火</w:t>
            </w:r>
            <w:r>
              <w:rPr>
                <w:rFonts w:hint="eastAsia"/>
                <w:sz w:val="24"/>
              </w:rPr>
              <w:t>、</w:t>
            </w:r>
            <w:r>
              <w:rPr>
                <w:sz w:val="24"/>
              </w:rPr>
              <w:t>河流水质污染</w:t>
            </w:r>
            <w:r>
              <w:rPr>
                <w:rFonts w:hint="eastAsia"/>
                <w:sz w:val="24"/>
              </w:rPr>
              <w:t>、</w:t>
            </w:r>
            <w:r>
              <w:rPr>
                <w:sz w:val="24"/>
              </w:rPr>
              <w:t>水库溃坝环境</w:t>
            </w:r>
            <w:r>
              <w:rPr>
                <w:rFonts w:hint="eastAsia"/>
                <w:sz w:val="24"/>
              </w:rPr>
              <w:t>风险</w:t>
            </w:r>
            <w:r>
              <w:rPr>
                <w:sz w:val="24"/>
              </w:rPr>
              <w:t>。</w:t>
            </w:r>
          </w:p>
          <w:p>
            <w:pPr>
              <w:adjustRightInd w:val="0"/>
              <w:snapToGrid w:val="0"/>
              <w:spacing w:line="360" w:lineRule="auto"/>
              <w:ind w:firstLine="480" w:firstLineChars="200"/>
              <w:rPr>
                <w:sz w:val="24"/>
              </w:rPr>
            </w:pPr>
            <w:r>
              <w:rPr>
                <w:sz w:val="24"/>
              </w:rPr>
              <w:t>（1）环境风险潜势初判</w:t>
            </w:r>
          </w:p>
          <w:p>
            <w:pPr>
              <w:adjustRightInd w:val="0"/>
              <w:snapToGrid w:val="0"/>
              <w:spacing w:line="360" w:lineRule="auto"/>
              <w:ind w:firstLine="480" w:firstLineChars="200"/>
              <w:rPr>
                <w:sz w:val="24"/>
              </w:rPr>
            </w:pPr>
            <w:r>
              <w:rPr>
                <w:sz w:val="24"/>
              </w:rPr>
              <w:t>对照《建设项目环境风险评价技术导则》（HJ169-2018）附录B，本项目涉及的突发环境事件风险物质主要为柴油</w:t>
            </w:r>
            <w:r>
              <w:rPr>
                <w:rFonts w:hint="eastAsia"/>
                <w:sz w:val="24"/>
              </w:rPr>
              <w:t>和</w:t>
            </w:r>
            <w:r>
              <w:rPr>
                <w:sz w:val="24"/>
              </w:rPr>
              <w:t>汽油，工程</w:t>
            </w:r>
            <w:r>
              <w:rPr>
                <w:rFonts w:hint="eastAsia"/>
                <w:sz w:val="24"/>
              </w:rPr>
              <w:t>高峰期</w:t>
            </w:r>
            <w:r>
              <w:rPr>
                <w:sz w:val="24"/>
              </w:rPr>
              <w:t>用量</w:t>
            </w:r>
            <w:r>
              <w:rPr>
                <w:rFonts w:hint="eastAsia"/>
                <w:sz w:val="24"/>
              </w:rPr>
              <w:t>分别</w:t>
            </w:r>
            <w:r>
              <w:rPr>
                <w:sz w:val="24"/>
              </w:rPr>
              <w:t>为1106.7t</w:t>
            </w:r>
            <w:r>
              <w:rPr>
                <w:rFonts w:hint="eastAsia"/>
                <w:sz w:val="24"/>
              </w:rPr>
              <w:t>和59.6</w:t>
            </w:r>
            <w:r>
              <w:rPr>
                <w:sz w:val="24"/>
              </w:rPr>
              <w:t>t</w:t>
            </w:r>
            <w:r>
              <w:rPr>
                <w:rFonts w:hint="eastAsia"/>
                <w:sz w:val="24"/>
              </w:rPr>
              <w:t>，油料由施工单位在距离工程约</w:t>
            </w:r>
            <w:r>
              <w:rPr>
                <w:sz w:val="24"/>
              </w:rPr>
              <w:t>5.0</w:t>
            </w:r>
            <w:r>
              <w:rPr>
                <w:rFonts w:hint="eastAsia"/>
                <w:sz w:val="24"/>
              </w:rPr>
              <w:t>km的东城镇购买，租用</w:t>
            </w:r>
            <w:r>
              <w:rPr>
                <w:sz w:val="24"/>
              </w:rPr>
              <w:t>油罐车</w:t>
            </w:r>
            <w:r>
              <w:rPr>
                <w:rFonts w:hint="eastAsia"/>
                <w:sz w:val="24"/>
              </w:rPr>
              <w:t>定期运送</w:t>
            </w:r>
            <w:r>
              <w:rPr>
                <w:sz w:val="24"/>
              </w:rPr>
              <w:t>至工地</w:t>
            </w:r>
            <w:r>
              <w:rPr>
                <w:rFonts w:hint="eastAsia"/>
                <w:sz w:val="24"/>
              </w:rPr>
              <w:t>进行使用，</w:t>
            </w:r>
            <w:r>
              <w:rPr>
                <w:sz w:val="24"/>
              </w:rPr>
              <w:t>油库布置在距坝址</w:t>
            </w:r>
            <w:r>
              <w:rPr>
                <w:rFonts w:hint="eastAsia"/>
                <w:sz w:val="24"/>
              </w:rPr>
              <w:t>1.5</w:t>
            </w:r>
            <w:r>
              <w:rPr>
                <w:sz w:val="24"/>
              </w:rPr>
              <w:t>km处。</w:t>
            </w:r>
          </w:p>
          <w:p>
            <w:pPr>
              <w:adjustRightInd w:val="0"/>
              <w:snapToGrid w:val="0"/>
              <w:spacing w:line="360" w:lineRule="auto"/>
              <w:ind w:firstLine="480" w:firstLineChars="200"/>
              <w:rPr>
                <w:sz w:val="24"/>
              </w:rPr>
            </w:pPr>
            <w:r>
              <w:rPr>
                <w:rFonts w:hint="eastAsia"/>
                <w:sz w:val="24"/>
              </w:rPr>
              <w:t>工程</w:t>
            </w:r>
            <w:r>
              <w:rPr>
                <w:sz w:val="24"/>
              </w:rPr>
              <w:t>施工期主要废污水为砂石料加工系统废水</w:t>
            </w:r>
            <w:r>
              <w:rPr>
                <w:rFonts w:hint="eastAsia"/>
                <w:sz w:val="24"/>
              </w:rPr>
              <w:t>、</w:t>
            </w:r>
            <w:r>
              <w:rPr>
                <w:sz w:val="24"/>
              </w:rPr>
              <w:t>混凝土拌和废水、含油废水和生活污水</w:t>
            </w:r>
            <w:r>
              <w:rPr>
                <w:rFonts w:hint="eastAsia"/>
                <w:sz w:val="24"/>
              </w:rPr>
              <w:t>等</w:t>
            </w:r>
            <w:r>
              <w:rPr>
                <w:sz w:val="24"/>
              </w:rPr>
              <w:t>，经前文</w:t>
            </w:r>
            <w:r>
              <w:rPr>
                <w:rFonts w:hint="eastAsia"/>
                <w:sz w:val="24"/>
              </w:rPr>
              <w:t>预测</w:t>
            </w:r>
            <w:r>
              <w:rPr>
                <w:sz w:val="24"/>
              </w:rPr>
              <w:t>估算，</w:t>
            </w:r>
            <w:r>
              <w:rPr>
                <w:rFonts w:hint="eastAsia"/>
                <w:sz w:val="24"/>
              </w:rPr>
              <w:t>施工</w:t>
            </w:r>
            <w:r>
              <w:rPr>
                <w:sz w:val="24"/>
              </w:rPr>
              <w:t>高峰期废污水总排放量约为1720.16m</w:t>
            </w:r>
            <w:r>
              <w:rPr>
                <w:sz w:val="24"/>
                <w:vertAlign w:val="superscript"/>
              </w:rPr>
              <w:t>3</w:t>
            </w:r>
            <w:r>
              <w:rPr>
                <w:sz w:val="24"/>
              </w:rPr>
              <w:t>/d</w:t>
            </w:r>
            <w:r>
              <w:rPr>
                <w:rFonts w:hint="eastAsia"/>
                <w:sz w:val="24"/>
              </w:rPr>
              <w:t>（</w:t>
            </w:r>
            <w:r>
              <w:rPr>
                <w:sz w:val="24"/>
              </w:rPr>
              <w:t>生产废水排放总量为1679.2m</w:t>
            </w:r>
            <w:r>
              <w:rPr>
                <w:sz w:val="24"/>
                <w:vertAlign w:val="superscript"/>
              </w:rPr>
              <w:t>3</w:t>
            </w:r>
            <w:r>
              <w:rPr>
                <w:sz w:val="24"/>
              </w:rPr>
              <w:t>/d，生活污水排放总量为</w:t>
            </w:r>
            <w:r>
              <w:rPr>
                <w:rFonts w:hint="eastAsia"/>
                <w:sz w:val="24"/>
              </w:rPr>
              <w:t>26.96</w:t>
            </w:r>
            <w:r>
              <w:rPr>
                <w:sz w:val="24"/>
              </w:rPr>
              <w:t>m</w:t>
            </w:r>
            <w:r>
              <w:rPr>
                <w:sz w:val="24"/>
                <w:vertAlign w:val="superscript"/>
              </w:rPr>
              <w:t>3</w:t>
            </w:r>
            <w:r>
              <w:rPr>
                <w:sz w:val="24"/>
              </w:rPr>
              <w:t>/d</w:t>
            </w:r>
            <w:r>
              <w:rPr>
                <w:rFonts w:hint="eastAsia"/>
                <w:sz w:val="24"/>
              </w:rPr>
              <w:t>），</w:t>
            </w:r>
            <w:r>
              <w:rPr>
                <w:sz w:val="24"/>
              </w:rPr>
              <w:t>主要污染物为</w:t>
            </w:r>
            <w:r>
              <w:rPr>
                <w:rFonts w:hint="eastAsia"/>
                <w:sz w:val="24"/>
              </w:rPr>
              <w:t>SS、</w:t>
            </w:r>
            <w:r>
              <w:rPr>
                <w:sz w:val="24"/>
              </w:rPr>
              <w:t>石油类、</w:t>
            </w:r>
            <w:r>
              <w:rPr>
                <w:rFonts w:hint="eastAsia"/>
                <w:sz w:val="24"/>
              </w:rPr>
              <w:t>COD</w:t>
            </w:r>
            <w:r>
              <w:rPr>
                <w:rFonts w:hint="eastAsia"/>
                <w:sz w:val="24"/>
                <w:vertAlign w:val="subscript"/>
              </w:rPr>
              <w:t>C</w:t>
            </w:r>
            <w:r>
              <w:rPr>
                <w:sz w:val="24"/>
                <w:vertAlign w:val="subscript"/>
              </w:rPr>
              <w:t>r</w:t>
            </w:r>
            <w:r>
              <w:rPr>
                <w:sz w:val="24"/>
              </w:rPr>
              <w:t>、</w:t>
            </w:r>
            <w:r>
              <w:rPr>
                <w:rFonts w:hint="eastAsia"/>
                <w:sz w:val="24"/>
              </w:rPr>
              <w:t>BOD</w:t>
            </w:r>
            <w:r>
              <w:rPr>
                <w:rFonts w:hint="eastAsia"/>
                <w:sz w:val="24"/>
                <w:vertAlign w:val="subscript"/>
              </w:rPr>
              <w:t>5</w:t>
            </w:r>
            <w:r>
              <w:rPr>
                <w:rFonts w:hint="eastAsia"/>
                <w:sz w:val="24"/>
              </w:rPr>
              <w:t>、</w:t>
            </w:r>
            <w:r>
              <w:rPr>
                <w:sz w:val="24"/>
              </w:rPr>
              <w:t>细菌等。</w:t>
            </w:r>
          </w:p>
          <w:p>
            <w:pPr>
              <w:adjustRightInd w:val="0"/>
              <w:snapToGrid w:val="0"/>
              <w:spacing w:line="360" w:lineRule="auto"/>
              <w:ind w:firstLine="480" w:firstLineChars="200"/>
              <w:rPr>
                <w:kern w:val="0"/>
                <w:sz w:val="24"/>
                <w:szCs w:val="28"/>
              </w:rPr>
            </w:pPr>
            <w:r>
              <w:rPr>
                <w:sz w:val="24"/>
                <w:szCs w:val="28"/>
              </w:rPr>
              <w:t>东城渠首位于拟建红山嘴水库下游470m，2016年10月东城渠首至下游已报废的东城水库之间12.0km的河道两岸防护工程已建成，2018年11月通过验收。防护工程设防洪水标准为10年一遇，最大洪峰流量36.1</w:t>
            </w:r>
            <w:r>
              <w:rPr>
                <w:kern w:val="0"/>
                <w:sz w:val="24"/>
                <w:szCs w:val="28"/>
              </w:rPr>
              <w:t xml:space="preserve"> m</w:t>
            </w:r>
            <w:r>
              <w:rPr>
                <w:kern w:val="0"/>
                <w:sz w:val="24"/>
                <w:szCs w:val="28"/>
                <w:vertAlign w:val="superscript"/>
              </w:rPr>
              <w:t>3</w:t>
            </w:r>
            <w:r>
              <w:rPr>
                <w:kern w:val="0"/>
                <w:sz w:val="24"/>
                <w:szCs w:val="28"/>
              </w:rPr>
              <w:t>/s，本次设计洪水分析</w:t>
            </w:r>
            <w:r>
              <w:rPr>
                <w:sz w:val="24"/>
                <w:szCs w:val="28"/>
              </w:rPr>
              <w:t>10年一遇洪峰流量33.7</w:t>
            </w:r>
            <w:r>
              <w:rPr>
                <w:kern w:val="0"/>
                <w:sz w:val="24"/>
                <w:szCs w:val="28"/>
              </w:rPr>
              <w:t>m</w:t>
            </w:r>
            <w:r>
              <w:rPr>
                <w:kern w:val="0"/>
                <w:sz w:val="24"/>
                <w:szCs w:val="28"/>
                <w:vertAlign w:val="superscript"/>
              </w:rPr>
              <w:t>3</w:t>
            </w:r>
            <w:r>
              <w:rPr>
                <w:kern w:val="0"/>
                <w:sz w:val="24"/>
                <w:szCs w:val="28"/>
              </w:rPr>
              <w:t>/s。故拟建的红山嘴水库无防洪任务。</w:t>
            </w:r>
            <w:r>
              <w:rPr>
                <w:rFonts w:hint="eastAsia"/>
                <w:kern w:val="0"/>
                <w:sz w:val="24"/>
                <w:szCs w:val="28"/>
              </w:rPr>
              <w:t>库坝区为</w:t>
            </w:r>
            <w:r>
              <w:rPr>
                <w:kern w:val="0"/>
                <w:sz w:val="24"/>
                <w:szCs w:val="28"/>
              </w:rPr>
              <w:t>中硬岩体</w:t>
            </w:r>
            <w:r>
              <w:rPr>
                <w:rFonts w:hint="eastAsia"/>
                <w:kern w:val="0"/>
                <w:sz w:val="24"/>
                <w:szCs w:val="28"/>
              </w:rPr>
              <w:t>，</w:t>
            </w:r>
            <w:r>
              <w:rPr>
                <w:kern w:val="0"/>
                <w:sz w:val="24"/>
                <w:szCs w:val="28"/>
              </w:rPr>
              <w:t>存在潜在的</w:t>
            </w:r>
            <w:r>
              <w:rPr>
                <w:rFonts w:hint="eastAsia"/>
                <w:kern w:val="0"/>
                <w:sz w:val="24"/>
                <w:szCs w:val="28"/>
              </w:rPr>
              <w:t>地震</w:t>
            </w:r>
            <w:r>
              <w:rPr>
                <w:kern w:val="0"/>
                <w:sz w:val="24"/>
                <w:szCs w:val="28"/>
              </w:rPr>
              <w:t>危险，具备发生中强地震的构造条件，存在</w:t>
            </w:r>
            <w:r>
              <w:rPr>
                <w:rFonts w:hint="eastAsia"/>
                <w:kern w:val="0"/>
                <w:sz w:val="24"/>
                <w:szCs w:val="28"/>
              </w:rPr>
              <w:t>受</w:t>
            </w:r>
            <w:r>
              <w:rPr>
                <w:kern w:val="0"/>
                <w:sz w:val="24"/>
                <w:szCs w:val="28"/>
              </w:rPr>
              <w:t>到洪水</w:t>
            </w:r>
            <w:r>
              <w:rPr>
                <w:rFonts w:hint="eastAsia"/>
                <w:kern w:val="0"/>
                <w:sz w:val="24"/>
                <w:szCs w:val="28"/>
              </w:rPr>
              <w:t>侵蚀、</w:t>
            </w:r>
            <w:r>
              <w:rPr>
                <w:kern w:val="0"/>
                <w:sz w:val="24"/>
                <w:szCs w:val="28"/>
              </w:rPr>
              <w:t>水库溃坝</w:t>
            </w:r>
            <w:r>
              <w:rPr>
                <w:rFonts w:hint="eastAsia"/>
                <w:kern w:val="0"/>
                <w:sz w:val="24"/>
                <w:szCs w:val="28"/>
              </w:rPr>
              <w:t>的</w:t>
            </w:r>
            <w:r>
              <w:rPr>
                <w:kern w:val="0"/>
                <w:sz w:val="24"/>
                <w:szCs w:val="28"/>
              </w:rPr>
              <w:t>风险</w:t>
            </w:r>
            <w:r>
              <w:rPr>
                <w:rFonts w:hint="eastAsia"/>
                <w:kern w:val="0"/>
                <w:sz w:val="24"/>
                <w:szCs w:val="28"/>
              </w:rPr>
              <w:t>。</w:t>
            </w:r>
          </w:p>
          <w:p>
            <w:pPr>
              <w:adjustRightInd w:val="0"/>
              <w:snapToGrid w:val="0"/>
              <w:spacing w:line="360" w:lineRule="auto"/>
              <w:ind w:firstLine="480" w:firstLineChars="200"/>
              <w:rPr>
                <w:sz w:val="24"/>
              </w:rPr>
            </w:pPr>
            <w:r>
              <w:rPr>
                <w:sz w:val="24"/>
              </w:rPr>
              <w:t>根据建设项目</w:t>
            </w:r>
            <w:r>
              <w:rPr>
                <w:rFonts w:hint="eastAsia"/>
                <w:sz w:val="24"/>
              </w:rPr>
              <w:t>涉及</w:t>
            </w:r>
            <w:r>
              <w:rPr>
                <w:sz w:val="24"/>
              </w:rPr>
              <w:t>的物质和工艺系统的危险性及其所在地的环境敏感程度，结合事故情形下环境影响途径，对建设项目潜在环境危害程度进行概化分析，按照表2确定环境风险潜势。</w:t>
            </w:r>
          </w:p>
          <w:p>
            <w:pPr>
              <w:jc w:val="left"/>
              <w:rPr>
                <w:rFonts w:ascii="黑体" w:hAnsi="黑体" w:eastAsia="黑体"/>
                <w:sz w:val="24"/>
              </w:rPr>
            </w:pPr>
            <w:r>
              <w:rPr>
                <w:rFonts w:ascii="黑体" w:hAnsi="黑体" w:eastAsia="黑体"/>
                <w:sz w:val="24"/>
              </w:rPr>
              <w:t>表</w:t>
            </w:r>
            <w:r>
              <w:rPr>
                <w:rFonts w:eastAsia="黑体"/>
                <w:sz w:val="24"/>
              </w:rPr>
              <w:t>2</w:t>
            </w:r>
            <w:r>
              <w:rPr>
                <w:rFonts w:ascii="黑体" w:hAnsi="黑体" w:eastAsia="黑体"/>
                <w:sz w:val="24"/>
              </w:rPr>
              <w:t xml:space="preserve">                    建设项目环境风险潜势划分</w:t>
            </w:r>
          </w:p>
          <w:tbl>
            <w:tblPr>
              <w:tblStyle w:val="21"/>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38"/>
              <w:gridCol w:w="1638"/>
              <w:gridCol w:w="1638"/>
              <w:gridCol w:w="1638"/>
              <w:gridCol w:w="16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38" w:type="dxa"/>
                  <w:vMerge w:val="restart"/>
                  <w:shd w:val="clear" w:color="auto" w:fill="auto"/>
                  <w:vAlign w:val="center"/>
                </w:tcPr>
                <w:p>
                  <w:pPr>
                    <w:widowControl/>
                    <w:jc w:val="center"/>
                    <w:rPr>
                      <w:bCs/>
                      <w:kern w:val="0"/>
                      <w:szCs w:val="21"/>
                    </w:rPr>
                  </w:pPr>
                  <w:r>
                    <w:rPr>
                      <w:bCs/>
                      <w:kern w:val="0"/>
                      <w:szCs w:val="21"/>
                    </w:rPr>
                    <w:t>环境敏感程度（E）</w:t>
                  </w:r>
                </w:p>
              </w:tc>
              <w:tc>
                <w:tcPr>
                  <w:tcW w:w="6552" w:type="dxa"/>
                  <w:gridSpan w:val="4"/>
                  <w:shd w:val="clear" w:color="auto" w:fill="auto"/>
                  <w:vAlign w:val="center"/>
                </w:tcPr>
                <w:p>
                  <w:pPr>
                    <w:widowControl/>
                    <w:jc w:val="center"/>
                    <w:rPr>
                      <w:bCs/>
                      <w:kern w:val="0"/>
                      <w:szCs w:val="21"/>
                    </w:rPr>
                  </w:pPr>
                  <w:r>
                    <w:rPr>
                      <w:bCs/>
                      <w:kern w:val="0"/>
                      <w:szCs w:val="21"/>
                    </w:rPr>
                    <w:t>危险物质及工艺系统危害性（P）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38" w:type="dxa"/>
                  <w:vMerge w:val="continue"/>
                  <w:vAlign w:val="center"/>
                </w:tcPr>
                <w:p>
                  <w:pPr>
                    <w:widowControl/>
                    <w:jc w:val="left"/>
                    <w:rPr>
                      <w:bCs/>
                      <w:kern w:val="0"/>
                      <w:szCs w:val="21"/>
                    </w:rPr>
                  </w:pPr>
                </w:p>
              </w:tc>
              <w:tc>
                <w:tcPr>
                  <w:tcW w:w="1638" w:type="dxa"/>
                  <w:shd w:val="clear" w:color="auto" w:fill="auto"/>
                  <w:vAlign w:val="center"/>
                </w:tcPr>
                <w:p>
                  <w:pPr>
                    <w:widowControl/>
                    <w:jc w:val="center"/>
                    <w:rPr>
                      <w:bCs/>
                      <w:kern w:val="0"/>
                      <w:szCs w:val="21"/>
                    </w:rPr>
                  </w:pPr>
                  <w:r>
                    <w:rPr>
                      <w:bCs/>
                      <w:kern w:val="0"/>
                      <w:szCs w:val="21"/>
                    </w:rPr>
                    <w:t>极高危害（P1）</w:t>
                  </w:r>
                </w:p>
              </w:tc>
              <w:tc>
                <w:tcPr>
                  <w:tcW w:w="1638" w:type="dxa"/>
                  <w:shd w:val="clear" w:color="auto" w:fill="auto"/>
                  <w:vAlign w:val="center"/>
                </w:tcPr>
                <w:p>
                  <w:pPr>
                    <w:widowControl/>
                    <w:jc w:val="center"/>
                    <w:rPr>
                      <w:bCs/>
                      <w:kern w:val="0"/>
                      <w:szCs w:val="21"/>
                    </w:rPr>
                  </w:pPr>
                  <w:r>
                    <w:rPr>
                      <w:bCs/>
                      <w:kern w:val="0"/>
                      <w:szCs w:val="21"/>
                    </w:rPr>
                    <w:t>高度危害（P2）</w:t>
                  </w:r>
                </w:p>
              </w:tc>
              <w:tc>
                <w:tcPr>
                  <w:tcW w:w="1638" w:type="dxa"/>
                  <w:shd w:val="clear" w:color="auto" w:fill="auto"/>
                  <w:vAlign w:val="center"/>
                </w:tcPr>
                <w:p>
                  <w:pPr>
                    <w:widowControl/>
                    <w:jc w:val="center"/>
                    <w:rPr>
                      <w:bCs/>
                      <w:kern w:val="0"/>
                      <w:szCs w:val="21"/>
                    </w:rPr>
                  </w:pPr>
                  <w:r>
                    <w:rPr>
                      <w:bCs/>
                      <w:kern w:val="0"/>
                      <w:szCs w:val="21"/>
                    </w:rPr>
                    <w:t>中度危害（P3）</w:t>
                  </w:r>
                </w:p>
              </w:tc>
              <w:tc>
                <w:tcPr>
                  <w:tcW w:w="1638" w:type="dxa"/>
                  <w:shd w:val="clear" w:color="auto" w:fill="auto"/>
                  <w:vAlign w:val="center"/>
                </w:tcPr>
                <w:p>
                  <w:pPr>
                    <w:widowControl/>
                    <w:jc w:val="center"/>
                    <w:rPr>
                      <w:bCs/>
                      <w:kern w:val="0"/>
                      <w:szCs w:val="21"/>
                    </w:rPr>
                  </w:pPr>
                  <w:r>
                    <w:rPr>
                      <w:bCs/>
                      <w:kern w:val="0"/>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38" w:type="dxa"/>
                  <w:shd w:val="clear" w:color="auto" w:fill="auto"/>
                  <w:vAlign w:val="center"/>
                </w:tcPr>
                <w:p>
                  <w:pPr>
                    <w:widowControl/>
                    <w:jc w:val="center"/>
                    <w:rPr>
                      <w:kern w:val="0"/>
                      <w:szCs w:val="21"/>
                    </w:rPr>
                  </w:pPr>
                  <w:r>
                    <w:rPr>
                      <w:kern w:val="0"/>
                      <w:szCs w:val="21"/>
                    </w:rPr>
                    <w:t>环境高度敏感（E1）</w:t>
                  </w:r>
                </w:p>
              </w:tc>
              <w:tc>
                <w:tcPr>
                  <w:tcW w:w="1638" w:type="dxa"/>
                  <w:shd w:val="clear" w:color="auto" w:fill="auto"/>
                  <w:vAlign w:val="center"/>
                </w:tcPr>
                <w:p>
                  <w:pPr>
                    <w:widowControl/>
                    <w:jc w:val="center"/>
                    <w:rPr>
                      <w:kern w:val="0"/>
                      <w:szCs w:val="21"/>
                    </w:rPr>
                  </w:pPr>
                  <w:r>
                    <w:rPr>
                      <w:kern w:val="0"/>
                      <w:szCs w:val="21"/>
                    </w:rPr>
                    <w:t>Ⅳ</w:t>
                  </w:r>
                  <w:r>
                    <w:rPr>
                      <w:kern w:val="0"/>
                      <w:szCs w:val="21"/>
                      <w:vertAlign w:val="superscript"/>
                    </w:rPr>
                    <w:t>+</w:t>
                  </w:r>
                </w:p>
              </w:tc>
              <w:tc>
                <w:tcPr>
                  <w:tcW w:w="1638" w:type="dxa"/>
                  <w:shd w:val="clear" w:color="auto" w:fill="auto"/>
                  <w:vAlign w:val="center"/>
                </w:tcPr>
                <w:p>
                  <w:pPr>
                    <w:widowControl/>
                    <w:jc w:val="center"/>
                    <w:rPr>
                      <w:kern w:val="0"/>
                      <w:szCs w:val="21"/>
                    </w:rPr>
                  </w:pPr>
                  <w:r>
                    <w:rPr>
                      <w:kern w:val="0"/>
                      <w:szCs w:val="21"/>
                    </w:rPr>
                    <w:t>Ⅳ</w:t>
                  </w:r>
                </w:p>
              </w:tc>
              <w:tc>
                <w:tcPr>
                  <w:tcW w:w="1638" w:type="dxa"/>
                  <w:shd w:val="clear" w:color="auto" w:fill="auto"/>
                  <w:vAlign w:val="center"/>
                </w:tcPr>
                <w:p>
                  <w:pPr>
                    <w:widowControl/>
                    <w:jc w:val="center"/>
                    <w:rPr>
                      <w:kern w:val="0"/>
                      <w:szCs w:val="21"/>
                    </w:rPr>
                  </w:pPr>
                  <w:r>
                    <w:rPr>
                      <w:kern w:val="0"/>
                      <w:szCs w:val="21"/>
                    </w:rPr>
                    <w:t>Ⅲ</w:t>
                  </w:r>
                </w:p>
              </w:tc>
              <w:tc>
                <w:tcPr>
                  <w:tcW w:w="1638" w:type="dxa"/>
                  <w:shd w:val="clear" w:color="auto" w:fill="auto"/>
                  <w:vAlign w:val="center"/>
                </w:tcPr>
                <w:p>
                  <w:pPr>
                    <w:widowControl/>
                    <w:jc w:val="center"/>
                    <w:rPr>
                      <w:kern w:val="0"/>
                      <w:szCs w:val="21"/>
                    </w:rPr>
                  </w:pPr>
                  <w:r>
                    <w:rPr>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38" w:type="dxa"/>
                  <w:shd w:val="clear" w:color="auto" w:fill="auto"/>
                  <w:vAlign w:val="center"/>
                </w:tcPr>
                <w:p>
                  <w:pPr>
                    <w:widowControl/>
                    <w:jc w:val="center"/>
                    <w:rPr>
                      <w:kern w:val="0"/>
                      <w:szCs w:val="21"/>
                    </w:rPr>
                  </w:pPr>
                  <w:r>
                    <w:rPr>
                      <w:kern w:val="0"/>
                      <w:szCs w:val="21"/>
                    </w:rPr>
                    <w:t>环境中度敏感（E2）</w:t>
                  </w:r>
                </w:p>
              </w:tc>
              <w:tc>
                <w:tcPr>
                  <w:tcW w:w="1638" w:type="dxa"/>
                  <w:shd w:val="clear" w:color="auto" w:fill="auto"/>
                  <w:vAlign w:val="center"/>
                </w:tcPr>
                <w:p>
                  <w:pPr>
                    <w:widowControl/>
                    <w:jc w:val="center"/>
                    <w:rPr>
                      <w:kern w:val="0"/>
                      <w:szCs w:val="21"/>
                    </w:rPr>
                  </w:pPr>
                  <w:r>
                    <w:rPr>
                      <w:kern w:val="0"/>
                      <w:szCs w:val="21"/>
                    </w:rPr>
                    <w:t>Ⅳ</w:t>
                  </w:r>
                </w:p>
              </w:tc>
              <w:tc>
                <w:tcPr>
                  <w:tcW w:w="1638" w:type="dxa"/>
                  <w:shd w:val="clear" w:color="auto" w:fill="auto"/>
                  <w:vAlign w:val="center"/>
                </w:tcPr>
                <w:p>
                  <w:pPr>
                    <w:widowControl/>
                    <w:jc w:val="center"/>
                    <w:rPr>
                      <w:kern w:val="0"/>
                      <w:szCs w:val="21"/>
                    </w:rPr>
                  </w:pPr>
                  <w:r>
                    <w:rPr>
                      <w:kern w:val="0"/>
                      <w:szCs w:val="21"/>
                    </w:rPr>
                    <w:t>Ⅲ</w:t>
                  </w:r>
                </w:p>
              </w:tc>
              <w:tc>
                <w:tcPr>
                  <w:tcW w:w="1638" w:type="dxa"/>
                  <w:shd w:val="clear" w:color="auto" w:fill="auto"/>
                  <w:vAlign w:val="center"/>
                </w:tcPr>
                <w:p>
                  <w:pPr>
                    <w:widowControl/>
                    <w:jc w:val="center"/>
                    <w:rPr>
                      <w:kern w:val="0"/>
                      <w:szCs w:val="21"/>
                    </w:rPr>
                  </w:pPr>
                  <w:r>
                    <w:rPr>
                      <w:kern w:val="0"/>
                      <w:szCs w:val="21"/>
                    </w:rPr>
                    <w:t>Ⅲ</w:t>
                  </w:r>
                </w:p>
              </w:tc>
              <w:tc>
                <w:tcPr>
                  <w:tcW w:w="1638" w:type="dxa"/>
                  <w:shd w:val="clear" w:color="auto" w:fill="auto"/>
                  <w:vAlign w:val="center"/>
                </w:tcPr>
                <w:p>
                  <w:pPr>
                    <w:widowControl/>
                    <w:jc w:val="center"/>
                    <w:rPr>
                      <w:kern w:val="0"/>
                      <w:szCs w:val="21"/>
                    </w:rPr>
                  </w:pPr>
                  <w:r>
                    <w:rPr>
                      <w:kern w:val="0"/>
                      <w:szCs w:val="21"/>
                    </w:rPr>
                    <w: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2038" w:type="dxa"/>
                  <w:shd w:val="clear" w:color="auto" w:fill="auto"/>
                  <w:vAlign w:val="center"/>
                </w:tcPr>
                <w:p>
                  <w:pPr>
                    <w:widowControl/>
                    <w:jc w:val="center"/>
                    <w:rPr>
                      <w:kern w:val="0"/>
                      <w:szCs w:val="21"/>
                    </w:rPr>
                  </w:pPr>
                  <w:r>
                    <w:rPr>
                      <w:kern w:val="0"/>
                      <w:szCs w:val="21"/>
                    </w:rPr>
                    <w:t>环境低度敏感（E3）</w:t>
                  </w:r>
                </w:p>
              </w:tc>
              <w:tc>
                <w:tcPr>
                  <w:tcW w:w="1638" w:type="dxa"/>
                  <w:shd w:val="clear" w:color="auto" w:fill="auto"/>
                  <w:vAlign w:val="center"/>
                </w:tcPr>
                <w:p>
                  <w:pPr>
                    <w:widowControl/>
                    <w:jc w:val="center"/>
                    <w:rPr>
                      <w:kern w:val="0"/>
                      <w:szCs w:val="21"/>
                    </w:rPr>
                  </w:pPr>
                  <w:r>
                    <w:rPr>
                      <w:kern w:val="0"/>
                      <w:szCs w:val="21"/>
                    </w:rPr>
                    <w:t>Ⅲ</w:t>
                  </w:r>
                </w:p>
              </w:tc>
              <w:tc>
                <w:tcPr>
                  <w:tcW w:w="1638" w:type="dxa"/>
                  <w:shd w:val="clear" w:color="auto" w:fill="auto"/>
                  <w:vAlign w:val="center"/>
                </w:tcPr>
                <w:p>
                  <w:pPr>
                    <w:widowControl/>
                    <w:jc w:val="center"/>
                    <w:rPr>
                      <w:kern w:val="0"/>
                      <w:szCs w:val="21"/>
                    </w:rPr>
                  </w:pPr>
                  <w:r>
                    <w:rPr>
                      <w:kern w:val="0"/>
                      <w:szCs w:val="21"/>
                    </w:rPr>
                    <w:t>Ⅲ</w:t>
                  </w:r>
                </w:p>
              </w:tc>
              <w:tc>
                <w:tcPr>
                  <w:tcW w:w="1638" w:type="dxa"/>
                  <w:shd w:val="clear" w:color="auto" w:fill="auto"/>
                  <w:vAlign w:val="center"/>
                </w:tcPr>
                <w:p>
                  <w:pPr>
                    <w:widowControl/>
                    <w:jc w:val="center"/>
                    <w:rPr>
                      <w:kern w:val="0"/>
                      <w:szCs w:val="21"/>
                    </w:rPr>
                  </w:pPr>
                  <w:r>
                    <w:rPr>
                      <w:kern w:val="0"/>
                      <w:szCs w:val="21"/>
                    </w:rPr>
                    <w:t>Ⅱ</w:t>
                  </w:r>
                </w:p>
              </w:tc>
              <w:tc>
                <w:tcPr>
                  <w:tcW w:w="1638" w:type="dxa"/>
                  <w:shd w:val="clear" w:color="auto" w:fill="auto"/>
                  <w:vAlign w:val="center"/>
                </w:tcPr>
                <w:p>
                  <w:pPr>
                    <w:widowControl/>
                    <w:jc w:val="center"/>
                    <w:rPr>
                      <w:kern w:val="0"/>
                      <w:szCs w:val="21"/>
                    </w:rPr>
                  </w:pPr>
                  <w:r>
                    <w:rPr>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8590" w:type="dxa"/>
                  <w:gridSpan w:val="5"/>
                  <w:shd w:val="clear" w:color="auto" w:fill="auto"/>
                  <w:vAlign w:val="center"/>
                </w:tcPr>
                <w:p>
                  <w:pPr>
                    <w:widowControl/>
                    <w:jc w:val="center"/>
                    <w:rPr>
                      <w:kern w:val="0"/>
                      <w:szCs w:val="21"/>
                    </w:rPr>
                  </w:pPr>
                  <w:r>
                    <w:rPr>
                      <w:kern w:val="0"/>
                      <w:szCs w:val="21"/>
                    </w:rPr>
                    <w:t>注：Ⅳ+ 为极高环境风险</w:t>
                  </w:r>
                </w:p>
              </w:tc>
            </w:tr>
          </w:tbl>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②</w:t>
            </w:r>
            <w:r>
              <w:rPr>
                <w:sz w:val="24"/>
              </w:rPr>
              <w:t>危险物质数量与临界量比值（Q）</w:t>
            </w:r>
          </w:p>
          <w:p>
            <w:pPr>
              <w:spacing w:line="360" w:lineRule="auto"/>
              <w:ind w:firstLine="480"/>
              <w:rPr>
                <w:sz w:val="24"/>
              </w:rPr>
            </w:pPr>
            <w:r>
              <w:rPr>
                <w:sz w:val="24"/>
              </w:rPr>
              <w:t>根据《建设项目环境风险评价技术导则》（HJ169-2018）附表B和附录C突发环境事件风险物质及临界量表，根据本项目环境风险物质最大存在总量（以折纯计）与其对应的临界量，计算（Q），计算公式如下：</w:t>
            </w:r>
          </w:p>
          <w:p>
            <w:pPr>
              <w:spacing w:line="360" w:lineRule="auto"/>
              <w:jc w:val="center"/>
              <w:rPr>
                <w:sz w:val="24"/>
              </w:rPr>
            </w:pPr>
            <w:r>
              <w:rPr>
                <w:sz w:val="24"/>
              </w:rPr>
              <w:t>Q=q</w:t>
            </w:r>
            <w:r>
              <w:rPr>
                <w:sz w:val="24"/>
                <w:vertAlign w:val="subscript"/>
              </w:rPr>
              <w:t>1</w:t>
            </w:r>
            <w:r>
              <w:rPr>
                <w:sz w:val="24"/>
              </w:rPr>
              <w:t>/Q</w:t>
            </w:r>
            <w:r>
              <w:rPr>
                <w:sz w:val="24"/>
                <w:vertAlign w:val="subscript"/>
              </w:rPr>
              <w:t>1</w:t>
            </w:r>
            <w:r>
              <w:rPr>
                <w:sz w:val="24"/>
              </w:rPr>
              <w:t>+ q</w:t>
            </w:r>
            <w:r>
              <w:rPr>
                <w:sz w:val="24"/>
                <w:vertAlign w:val="subscript"/>
              </w:rPr>
              <w:t>2</w:t>
            </w:r>
            <w:r>
              <w:rPr>
                <w:sz w:val="24"/>
              </w:rPr>
              <w:t>/Q</w:t>
            </w:r>
            <w:r>
              <w:rPr>
                <w:sz w:val="24"/>
                <w:vertAlign w:val="subscript"/>
              </w:rPr>
              <w:t>2</w:t>
            </w:r>
            <w:r>
              <w:rPr>
                <w:sz w:val="24"/>
              </w:rPr>
              <w:t>+...+ q</w:t>
            </w:r>
            <w:r>
              <w:rPr>
                <w:sz w:val="24"/>
                <w:vertAlign w:val="subscript"/>
              </w:rPr>
              <w:t>n</w:t>
            </w:r>
            <w:r>
              <w:rPr>
                <w:sz w:val="24"/>
              </w:rPr>
              <w:t>/Q</w:t>
            </w:r>
            <w:r>
              <w:rPr>
                <w:sz w:val="24"/>
                <w:vertAlign w:val="subscript"/>
              </w:rPr>
              <w:t>n</w:t>
            </w:r>
          </w:p>
          <w:p>
            <w:pPr>
              <w:spacing w:line="360" w:lineRule="auto"/>
              <w:ind w:firstLine="480"/>
              <w:rPr>
                <w:sz w:val="24"/>
              </w:rPr>
            </w:pPr>
            <w:r>
              <w:rPr>
                <w:sz w:val="24"/>
              </w:rPr>
              <w:t>式中： q</w:t>
            </w:r>
            <w:r>
              <w:rPr>
                <w:sz w:val="24"/>
                <w:vertAlign w:val="subscript"/>
              </w:rPr>
              <w:t>1</w:t>
            </w:r>
            <w:r>
              <w:rPr>
                <w:sz w:val="24"/>
              </w:rPr>
              <w:t>、q</w:t>
            </w:r>
            <w:r>
              <w:rPr>
                <w:sz w:val="24"/>
                <w:vertAlign w:val="subscript"/>
              </w:rPr>
              <w:t xml:space="preserve">2 </w:t>
            </w:r>
            <w:r>
              <w:rPr>
                <w:sz w:val="24"/>
              </w:rPr>
              <w:t>、...q</w:t>
            </w:r>
            <w:r>
              <w:rPr>
                <w:sz w:val="24"/>
                <w:vertAlign w:val="subscript"/>
              </w:rPr>
              <w:t>n</w:t>
            </w:r>
            <w:r>
              <w:rPr>
                <w:sz w:val="24"/>
              </w:rPr>
              <w:t xml:space="preserve"> ——每种环境风险物质的最大存在总量，t；</w:t>
            </w:r>
          </w:p>
          <w:p>
            <w:pPr>
              <w:spacing w:line="360" w:lineRule="auto"/>
              <w:ind w:firstLine="1320" w:firstLineChars="550"/>
              <w:rPr>
                <w:sz w:val="24"/>
              </w:rPr>
            </w:pPr>
            <w:r>
              <w:rPr>
                <w:sz w:val="24"/>
              </w:rPr>
              <w:t>Q</w:t>
            </w:r>
            <w:r>
              <w:rPr>
                <w:sz w:val="24"/>
                <w:vertAlign w:val="subscript"/>
              </w:rPr>
              <w:t>1</w:t>
            </w:r>
            <w:r>
              <w:rPr>
                <w:sz w:val="24"/>
              </w:rPr>
              <w:t>、Q</w:t>
            </w:r>
            <w:r>
              <w:rPr>
                <w:sz w:val="24"/>
                <w:vertAlign w:val="subscript"/>
              </w:rPr>
              <w:t>2</w:t>
            </w:r>
            <w:r>
              <w:rPr>
                <w:sz w:val="24"/>
              </w:rPr>
              <w:t>、...Q</w:t>
            </w:r>
            <w:r>
              <w:rPr>
                <w:sz w:val="24"/>
                <w:vertAlign w:val="subscript"/>
              </w:rPr>
              <w:t>n</w:t>
            </w:r>
            <w:r>
              <w:rPr>
                <w:sz w:val="24"/>
              </w:rPr>
              <w:t xml:space="preserve"> ——每种环境风险物质相对应的临界量，t；</w:t>
            </w:r>
          </w:p>
          <w:p>
            <w:pPr>
              <w:spacing w:line="360" w:lineRule="auto"/>
              <w:ind w:firstLine="480"/>
              <w:rPr>
                <w:sz w:val="24"/>
              </w:rPr>
            </w:pPr>
            <w:r>
              <w:rPr>
                <w:sz w:val="24"/>
              </w:rPr>
              <w:t>计算出Q值后，将Q值划分为4级，分别为Q＜1，该项目环境风险潜势为Ⅰ；当Q≥1有三种情况，1＜Q＜10；10≤Q＜100；Q≥100。</w:t>
            </w:r>
          </w:p>
          <w:p>
            <w:pPr>
              <w:spacing w:line="360" w:lineRule="auto"/>
              <w:ind w:firstLine="480"/>
              <w:rPr>
                <w:sz w:val="24"/>
              </w:rPr>
            </w:pPr>
            <w:r>
              <w:rPr>
                <w:sz w:val="24"/>
              </w:rPr>
              <w:t>根据导则附录B，计算出Q＜1。</w:t>
            </w:r>
          </w:p>
          <w:p>
            <w:pPr>
              <w:adjustRightInd w:val="0"/>
              <w:snapToGrid w:val="0"/>
              <w:spacing w:line="360" w:lineRule="auto"/>
              <w:ind w:firstLine="480" w:firstLineChars="200"/>
              <w:rPr>
                <w:sz w:val="24"/>
              </w:rPr>
            </w:pPr>
            <w:r>
              <w:rPr>
                <w:sz w:val="24"/>
              </w:rPr>
              <w:t>（3）建设项目环境风险潜势判断</w:t>
            </w:r>
          </w:p>
          <w:p>
            <w:pPr>
              <w:spacing w:line="360" w:lineRule="auto"/>
              <w:ind w:firstLine="480"/>
              <w:rPr>
                <w:sz w:val="24"/>
              </w:rPr>
            </w:pPr>
            <w:r>
              <w:rPr>
                <w:sz w:val="24"/>
              </w:rPr>
              <w:t>根据导则附录C规定</w:t>
            </w:r>
            <w:r>
              <w:rPr>
                <w:rFonts w:hint="eastAsia"/>
                <w:sz w:val="24"/>
              </w:rPr>
              <w:t>“</w:t>
            </w:r>
            <w:r>
              <w:rPr>
                <w:sz w:val="24"/>
              </w:rPr>
              <w:t>当Q＜1</w:t>
            </w:r>
            <w:r>
              <w:rPr>
                <w:rFonts w:hint="eastAsia"/>
                <w:sz w:val="24"/>
              </w:rPr>
              <w:t>”</w:t>
            </w:r>
            <w:r>
              <w:rPr>
                <w:sz w:val="24"/>
              </w:rPr>
              <w:t>时，该项目环境风险潜势为</w:t>
            </w:r>
            <w:r>
              <w:rPr>
                <w:rFonts w:hint="eastAsia"/>
                <w:sz w:val="24"/>
              </w:rPr>
              <w:t>“</w:t>
            </w:r>
            <w:r>
              <w:rPr>
                <w:sz w:val="24"/>
              </w:rPr>
              <w:t>I</w:t>
            </w:r>
            <w:r>
              <w:rPr>
                <w:rFonts w:hint="eastAsia"/>
                <w:sz w:val="24"/>
              </w:rPr>
              <w:t>”</w:t>
            </w:r>
            <w:r>
              <w:rPr>
                <w:sz w:val="24"/>
              </w:rPr>
              <w:t>，因此环境风险潜势为I级。因此其评价工作等级为</w:t>
            </w:r>
            <w:r>
              <w:rPr>
                <w:rFonts w:hint="eastAsia"/>
                <w:sz w:val="24"/>
              </w:rPr>
              <w:t>“</w:t>
            </w:r>
            <w:r>
              <w:rPr>
                <w:sz w:val="24"/>
              </w:rPr>
              <w:t>简单分析</w:t>
            </w:r>
            <w:r>
              <w:rPr>
                <w:rFonts w:hint="eastAsia"/>
                <w:sz w:val="24"/>
              </w:rPr>
              <w:t>”</w:t>
            </w:r>
            <w:r>
              <w:rPr>
                <w:sz w:val="24"/>
              </w:rPr>
              <w:t>。</w:t>
            </w:r>
          </w:p>
          <w:p>
            <w:pPr>
              <w:adjustRightInd w:val="0"/>
              <w:snapToGrid w:val="0"/>
              <w:spacing w:line="360" w:lineRule="auto"/>
              <w:ind w:firstLine="480" w:firstLineChars="200"/>
              <w:rPr>
                <w:sz w:val="24"/>
              </w:rPr>
            </w:pPr>
            <w:r>
              <w:rPr>
                <w:sz w:val="24"/>
              </w:rPr>
              <w:t>（4）环境风险影响分析</w:t>
            </w:r>
          </w:p>
          <w:p>
            <w:pPr>
              <w:spacing w:line="360" w:lineRule="auto"/>
              <w:ind w:firstLine="480"/>
              <w:rPr>
                <w:sz w:val="24"/>
              </w:rPr>
            </w:pPr>
            <w:r>
              <w:rPr>
                <w:rFonts w:hint="eastAsia"/>
                <w:sz w:val="24"/>
              </w:rPr>
              <w:t>施工现场设置1处油库，工程油料</w:t>
            </w:r>
            <w:r>
              <w:rPr>
                <w:sz w:val="24"/>
              </w:rPr>
              <w:t>由</w:t>
            </w:r>
            <w:r>
              <w:rPr>
                <w:rFonts w:hint="eastAsia"/>
                <w:sz w:val="24"/>
              </w:rPr>
              <w:t>施工单位在距</w:t>
            </w:r>
            <w:r>
              <w:rPr>
                <w:sz w:val="24"/>
              </w:rPr>
              <w:t>工地5km的</w:t>
            </w:r>
            <w:r>
              <w:rPr>
                <w:rFonts w:hint="eastAsia"/>
                <w:sz w:val="24"/>
              </w:rPr>
              <w:t>东城镇</w:t>
            </w:r>
            <w:r>
              <w:rPr>
                <w:sz w:val="24"/>
              </w:rPr>
              <w:t>采购</w:t>
            </w:r>
            <w:r>
              <w:rPr>
                <w:rFonts w:hint="eastAsia"/>
                <w:sz w:val="24"/>
              </w:rPr>
              <w:t>，定期</w:t>
            </w:r>
            <w:r>
              <w:rPr>
                <w:sz w:val="24"/>
              </w:rPr>
              <w:t>通过油罐车运输</w:t>
            </w:r>
            <w:r>
              <w:rPr>
                <w:rFonts w:hint="eastAsia"/>
                <w:sz w:val="24"/>
              </w:rPr>
              <w:t>至</w:t>
            </w:r>
            <w:r>
              <w:rPr>
                <w:sz w:val="24"/>
              </w:rPr>
              <w:t>工地向机械设备加油</w:t>
            </w:r>
            <w:r>
              <w:rPr>
                <w:rFonts w:hint="eastAsia"/>
                <w:sz w:val="24"/>
              </w:rPr>
              <w:t>。在</w:t>
            </w:r>
            <w:r>
              <w:rPr>
                <w:sz w:val="24"/>
              </w:rPr>
              <w:t>油料储存过程中，</w:t>
            </w:r>
            <w:r>
              <w:rPr>
                <w:rFonts w:hint="eastAsia"/>
                <w:sz w:val="24"/>
              </w:rPr>
              <w:t>油罐车储油罐可能</w:t>
            </w:r>
            <w:r>
              <w:rPr>
                <w:sz w:val="24"/>
              </w:rPr>
              <w:t>会发生</w:t>
            </w:r>
            <w:r>
              <w:rPr>
                <w:rFonts w:hint="eastAsia"/>
                <w:sz w:val="24"/>
              </w:rPr>
              <w:t>泄漏</w:t>
            </w:r>
            <w:r>
              <w:rPr>
                <w:sz w:val="24"/>
              </w:rPr>
              <w:t>，发生泄漏的油品可能对土壤、地下水及</w:t>
            </w:r>
            <w:r>
              <w:rPr>
                <w:rFonts w:hint="eastAsia"/>
                <w:sz w:val="24"/>
              </w:rPr>
              <w:t>油罐车停放占地</w:t>
            </w:r>
            <w:r>
              <w:rPr>
                <w:sz w:val="24"/>
              </w:rPr>
              <w:t>区域周围动植物造成影响</w:t>
            </w:r>
            <w:r>
              <w:rPr>
                <w:rFonts w:hint="eastAsia"/>
                <w:sz w:val="24"/>
              </w:rPr>
              <w:t>，根据</w:t>
            </w:r>
            <w:r>
              <w:rPr>
                <w:sz w:val="24"/>
              </w:rPr>
              <w:t>类比调查结果可知，储油罐发生泄漏的概率极小，同时一</w:t>
            </w:r>
            <w:r>
              <w:rPr>
                <w:rFonts w:hint="eastAsia"/>
                <w:sz w:val="24"/>
              </w:rPr>
              <w:t>但</w:t>
            </w:r>
            <w:r>
              <w:rPr>
                <w:sz w:val="24"/>
              </w:rPr>
              <w:t>发生泄漏</w:t>
            </w:r>
            <w:r>
              <w:rPr>
                <w:rFonts w:hint="eastAsia"/>
                <w:sz w:val="24"/>
              </w:rPr>
              <w:t>会在</w:t>
            </w:r>
            <w:r>
              <w:rPr>
                <w:sz w:val="24"/>
              </w:rPr>
              <w:t>较短时间内发现并采取堵漏措施，出现</w:t>
            </w:r>
            <w:r>
              <w:rPr>
                <w:rFonts w:hint="eastAsia"/>
                <w:sz w:val="24"/>
              </w:rPr>
              <w:t>长期</w:t>
            </w:r>
            <w:r>
              <w:rPr>
                <w:sz w:val="24"/>
              </w:rPr>
              <w:t>连续性泄漏的可能性很低</w:t>
            </w:r>
            <w:r>
              <w:rPr>
                <w:rFonts w:hint="eastAsia"/>
                <w:sz w:val="24"/>
              </w:rPr>
              <w:t>，发生</w:t>
            </w:r>
            <w:r>
              <w:rPr>
                <w:sz w:val="24"/>
              </w:rPr>
              <w:t>渗漏污染</w:t>
            </w:r>
            <w:r>
              <w:rPr>
                <w:rFonts w:hint="eastAsia"/>
                <w:sz w:val="24"/>
              </w:rPr>
              <w:t>土壤、地下水及油罐车停放占地区域周围动植物的</w:t>
            </w:r>
            <w:r>
              <w:rPr>
                <w:sz w:val="24"/>
              </w:rPr>
              <w:t>风险事故概率较低</w:t>
            </w:r>
            <w:r>
              <w:rPr>
                <w:rFonts w:hint="eastAsia"/>
                <w:sz w:val="24"/>
              </w:rPr>
              <w:t>。在向</w:t>
            </w:r>
            <w:r>
              <w:rPr>
                <w:sz w:val="24"/>
              </w:rPr>
              <w:t>机械设备加油过程中，</w:t>
            </w:r>
            <w:r>
              <w:rPr>
                <w:rFonts w:hint="eastAsia"/>
                <w:sz w:val="24"/>
              </w:rPr>
              <w:t>可能</w:t>
            </w:r>
            <w:r>
              <w:rPr>
                <w:sz w:val="24"/>
              </w:rPr>
              <w:t>存在由于加油操作人员的工作失误导致原油外溢，遇到火源易引发火灾</w:t>
            </w:r>
            <w:r>
              <w:rPr>
                <w:rFonts w:hint="eastAsia"/>
                <w:sz w:val="24"/>
              </w:rPr>
              <w:t>等</w:t>
            </w:r>
            <w:r>
              <w:rPr>
                <w:sz w:val="24"/>
              </w:rPr>
              <w:t>燃烧事故</w:t>
            </w:r>
            <w:r>
              <w:rPr>
                <w:rFonts w:hint="eastAsia"/>
                <w:sz w:val="24"/>
              </w:rPr>
              <w:t>，</w:t>
            </w:r>
            <w:r>
              <w:rPr>
                <w:sz w:val="24"/>
              </w:rPr>
              <w:t>从已有水利工程施工情况看，发生事故的案例很少，且工程施工管理较为严格，因此本工程在施工期发生</w:t>
            </w:r>
            <w:r>
              <w:rPr>
                <w:rFonts w:hint="eastAsia"/>
                <w:sz w:val="24"/>
              </w:rPr>
              <w:t>火灾等燃烧</w:t>
            </w:r>
            <w:r>
              <w:rPr>
                <w:sz w:val="24"/>
              </w:rPr>
              <w:t>事故的概率不大。</w:t>
            </w:r>
          </w:p>
          <w:p>
            <w:pPr>
              <w:spacing w:line="360" w:lineRule="auto"/>
              <w:ind w:firstLine="480"/>
              <w:rPr>
                <w:sz w:val="24"/>
              </w:rPr>
            </w:pPr>
            <w:r>
              <w:rPr>
                <w:rFonts w:hint="eastAsia"/>
                <w:sz w:val="24"/>
              </w:rPr>
              <w:t>施工期</w:t>
            </w:r>
            <w:r>
              <w:rPr>
                <w:sz w:val="24"/>
              </w:rPr>
              <w:t>生</w:t>
            </w:r>
            <w:r>
              <w:rPr>
                <w:rFonts w:hint="eastAsia"/>
                <w:sz w:val="24"/>
              </w:rPr>
              <w:t>产废水</w:t>
            </w:r>
            <w:r>
              <w:rPr>
                <w:sz w:val="24"/>
              </w:rPr>
              <w:t>经处理后回用生产系统</w:t>
            </w:r>
            <w:r>
              <w:rPr>
                <w:rFonts w:hint="eastAsia"/>
                <w:sz w:val="24"/>
              </w:rPr>
              <w:t>或</w:t>
            </w:r>
            <w:r>
              <w:rPr>
                <w:sz w:val="24"/>
              </w:rPr>
              <w:t>用洒水降尘，生活污水处理后用于绿化</w:t>
            </w:r>
            <w:r>
              <w:rPr>
                <w:rFonts w:hint="eastAsia"/>
                <w:sz w:val="24"/>
              </w:rPr>
              <w:t>。</w:t>
            </w:r>
            <w:r>
              <w:rPr>
                <w:sz w:val="24"/>
              </w:rPr>
              <w:t>正常</w:t>
            </w:r>
            <w:r>
              <w:rPr>
                <w:rFonts w:hint="eastAsia"/>
                <w:sz w:val="24"/>
              </w:rPr>
              <w:t>工况</w:t>
            </w:r>
            <w:r>
              <w:rPr>
                <w:sz w:val="24"/>
              </w:rPr>
              <w:t>下，</w:t>
            </w:r>
            <w:r>
              <w:rPr>
                <w:rFonts w:hint="eastAsia"/>
                <w:sz w:val="24"/>
              </w:rPr>
              <w:t>施工</w:t>
            </w:r>
            <w:r>
              <w:rPr>
                <w:sz w:val="24"/>
              </w:rPr>
              <w:t>废污水处理后回用</w:t>
            </w:r>
            <w:r>
              <w:rPr>
                <w:rFonts w:hint="eastAsia"/>
                <w:sz w:val="24"/>
              </w:rPr>
              <w:t>、</w:t>
            </w:r>
            <w:r>
              <w:rPr>
                <w:sz w:val="24"/>
              </w:rPr>
              <w:t>浇</w:t>
            </w:r>
            <w:r>
              <w:rPr>
                <w:rFonts w:hint="eastAsia"/>
                <w:sz w:val="24"/>
              </w:rPr>
              <w:t>洒</w:t>
            </w:r>
            <w:r>
              <w:rPr>
                <w:sz w:val="24"/>
              </w:rPr>
              <w:t>不会对周边水体水质产生影响</w:t>
            </w:r>
            <w:r>
              <w:rPr>
                <w:rFonts w:hint="eastAsia"/>
                <w:sz w:val="24"/>
              </w:rPr>
              <w:t>；</w:t>
            </w:r>
            <w:r>
              <w:rPr>
                <w:sz w:val="24"/>
              </w:rPr>
              <w:t>但在施工过程中</w:t>
            </w:r>
            <w:r>
              <w:rPr>
                <w:rFonts w:hint="eastAsia"/>
                <w:sz w:val="24"/>
              </w:rPr>
              <w:t>可能</w:t>
            </w:r>
            <w:r>
              <w:rPr>
                <w:sz w:val="24"/>
              </w:rPr>
              <w:t>因为各类废污水处理设施</w:t>
            </w:r>
            <w:r>
              <w:rPr>
                <w:rFonts w:hint="eastAsia"/>
                <w:sz w:val="24"/>
              </w:rPr>
              <w:t>故障</w:t>
            </w:r>
            <w:r>
              <w:rPr>
                <w:sz w:val="24"/>
              </w:rPr>
              <w:t>或措施不到位等造成废水污染事故</w:t>
            </w:r>
            <w:r>
              <w:rPr>
                <w:rFonts w:hint="eastAsia"/>
                <w:sz w:val="24"/>
              </w:rPr>
              <w:t>排放</w:t>
            </w:r>
            <w:r>
              <w:rPr>
                <w:sz w:val="24"/>
              </w:rPr>
              <w:t>，距离河道较近的废污水可能会直接入河，距离较远的则可能通过</w:t>
            </w:r>
            <w:r>
              <w:rPr>
                <w:rFonts w:hint="eastAsia"/>
                <w:sz w:val="24"/>
              </w:rPr>
              <w:t>暴雨冲刷</w:t>
            </w:r>
            <w:r>
              <w:rPr>
                <w:sz w:val="24"/>
              </w:rPr>
              <w:t>场地而顺地形坡面入河，从而影响水体水质。</w:t>
            </w:r>
          </w:p>
          <w:p>
            <w:pPr>
              <w:spacing w:line="360" w:lineRule="auto"/>
              <w:ind w:firstLine="480"/>
              <w:rPr>
                <w:sz w:val="24"/>
              </w:rPr>
            </w:pPr>
            <w:r>
              <w:rPr>
                <w:rFonts w:hint="eastAsia"/>
                <w:sz w:val="24"/>
              </w:rPr>
              <w:t>库坝区</w:t>
            </w:r>
            <w:r>
              <w:rPr>
                <w:sz w:val="24"/>
              </w:rPr>
              <w:t>岩体属于中硬岩体，</w:t>
            </w:r>
            <w:r>
              <w:rPr>
                <w:rFonts w:hint="eastAsia"/>
                <w:sz w:val="24"/>
              </w:rPr>
              <w:t>在</w:t>
            </w:r>
            <w:r>
              <w:rPr>
                <w:sz w:val="24"/>
              </w:rPr>
              <w:t>岩体分化程度较高的</w:t>
            </w:r>
            <w:r>
              <w:rPr>
                <w:rFonts w:hint="eastAsia"/>
                <w:sz w:val="24"/>
              </w:rPr>
              <w:t>区域</w:t>
            </w:r>
            <w:r>
              <w:rPr>
                <w:sz w:val="24"/>
              </w:rPr>
              <w:t>有一定的风险</w:t>
            </w:r>
            <w:r>
              <w:rPr>
                <w:rFonts w:hint="eastAsia"/>
                <w:sz w:val="24"/>
              </w:rPr>
              <w:t>，</w:t>
            </w:r>
            <w:r>
              <w:rPr>
                <w:sz w:val="24"/>
              </w:rPr>
              <w:t>可能会被洪水破坏，</w:t>
            </w:r>
            <w:r>
              <w:rPr>
                <w:rFonts w:hint="eastAsia"/>
                <w:sz w:val="24"/>
              </w:rPr>
              <w:t>对</w:t>
            </w:r>
            <w:r>
              <w:rPr>
                <w:sz w:val="24"/>
              </w:rPr>
              <w:t>大坝造成冲击</w:t>
            </w:r>
            <w:r>
              <w:rPr>
                <w:rFonts w:hint="eastAsia"/>
                <w:sz w:val="24"/>
              </w:rPr>
              <w:t>而</w:t>
            </w:r>
            <w:r>
              <w:rPr>
                <w:sz w:val="24"/>
              </w:rPr>
              <w:t>导致溃坝</w:t>
            </w:r>
            <w:r>
              <w:rPr>
                <w:rFonts w:hint="eastAsia"/>
                <w:sz w:val="24"/>
              </w:rPr>
              <w:t>，</w:t>
            </w:r>
            <w:r>
              <w:rPr>
                <w:sz w:val="24"/>
              </w:rPr>
              <w:t>下泄水量会给下游造成巨大的破坏</w:t>
            </w:r>
            <w:r>
              <w:rPr>
                <w:rFonts w:hint="eastAsia"/>
                <w:sz w:val="24"/>
              </w:rPr>
              <w:t>，</w:t>
            </w:r>
            <w:r>
              <w:rPr>
                <w:sz w:val="24"/>
              </w:rPr>
              <w:t>对下游人民</w:t>
            </w:r>
            <w:r>
              <w:rPr>
                <w:rFonts w:hint="eastAsia"/>
                <w:sz w:val="24"/>
              </w:rPr>
              <w:t>生命</w:t>
            </w:r>
            <w:r>
              <w:rPr>
                <w:sz w:val="24"/>
              </w:rPr>
              <w:t>财产安全造成巨大的</w:t>
            </w:r>
            <w:r>
              <w:rPr>
                <w:rFonts w:hint="eastAsia"/>
                <w:sz w:val="24"/>
              </w:rPr>
              <w:t>损失</w:t>
            </w:r>
            <w:r>
              <w:rPr>
                <w:sz w:val="24"/>
              </w:rPr>
              <w:t>，</w:t>
            </w:r>
            <w:r>
              <w:rPr>
                <w:rFonts w:hint="eastAsia"/>
                <w:sz w:val="24"/>
              </w:rPr>
              <w:t>并且</w:t>
            </w:r>
            <w:r>
              <w:rPr>
                <w:sz w:val="24"/>
              </w:rPr>
              <w:t>产生大面积积水，阻碍</w:t>
            </w:r>
            <w:r>
              <w:rPr>
                <w:rFonts w:hint="eastAsia"/>
                <w:sz w:val="24"/>
              </w:rPr>
              <w:t>道路</w:t>
            </w:r>
            <w:r>
              <w:rPr>
                <w:sz w:val="24"/>
              </w:rPr>
              <w:t>正常交通。</w:t>
            </w:r>
          </w:p>
          <w:p>
            <w:pPr>
              <w:spacing w:line="360" w:lineRule="auto"/>
              <w:ind w:firstLine="480"/>
              <w:rPr>
                <w:sz w:val="24"/>
              </w:rPr>
            </w:pPr>
            <w:r>
              <w:rPr>
                <w:rFonts w:hint="eastAsia"/>
                <w:sz w:val="24"/>
              </w:rPr>
              <w:t>本工程施工期主要污染物产生及预计排放情况见表3。</w:t>
            </w:r>
          </w:p>
          <w:p>
            <w:pPr>
              <w:jc w:val="left"/>
              <w:rPr>
                <w:rFonts w:ascii="黑体" w:hAnsi="黑体" w:eastAsia="黑体"/>
                <w:sz w:val="24"/>
              </w:rPr>
            </w:pPr>
            <w:r>
              <w:rPr>
                <w:rFonts w:ascii="黑体" w:hAnsi="黑体" w:eastAsia="黑体"/>
                <w:sz w:val="24"/>
              </w:rPr>
              <w:t>表</w:t>
            </w:r>
            <w:r>
              <w:rPr>
                <w:rFonts w:eastAsia="黑体"/>
                <w:sz w:val="24"/>
              </w:rPr>
              <w:t>3</w:t>
            </w:r>
            <w:r>
              <w:rPr>
                <w:rFonts w:ascii="黑体" w:hAnsi="黑体" w:eastAsia="黑体"/>
                <w:sz w:val="24"/>
              </w:rPr>
              <w:t xml:space="preserve">               工程主要污染物产生及预计排放情况汇总表</w:t>
            </w:r>
          </w:p>
          <w:tbl>
            <w:tblPr>
              <w:tblStyle w:val="21"/>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567"/>
              <w:gridCol w:w="1418"/>
              <w:gridCol w:w="1276"/>
              <w:gridCol w:w="1842"/>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160" w:type="dxa"/>
                  <w:gridSpan w:val="2"/>
                  <w:tcBorders>
                    <w:tl2br w:val="single" w:color="auto" w:sz="4" w:space="0"/>
                  </w:tcBorders>
                  <w:shd w:val="clear" w:color="auto" w:fill="auto"/>
                  <w:vAlign w:val="center"/>
                </w:tcPr>
                <w:p>
                  <w:pPr>
                    <w:widowControl/>
                    <w:ind w:firstLine="420" w:firstLineChars="200"/>
                    <w:rPr>
                      <w:bCs/>
                      <w:kern w:val="0"/>
                      <w:szCs w:val="21"/>
                    </w:rPr>
                  </w:pPr>
                  <w:r>
                    <w:rPr>
                      <w:bCs/>
                      <w:kern w:val="0"/>
                      <w:szCs w:val="21"/>
                    </w:rPr>
                    <w:t>内容</w:t>
                  </w:r>
                </w:p>
                <w:p>
                  <w:pPr>
                    <w:rPr>
                      <w:bCs/>
                      <w:kern w:val="0"/>
                      <w:szCs w:val="21"/>
                    </w:rPr>
                  </w:pPr>
                  <w:r>
                    <w:rPr>
                      <w:bCs/>
                      <w:kern w:val="0"/>
                      <w:szCs w:val="21"/>
                    </w:rPr>
                    <w:t>类型</w:t>
                  </w:r>
                </w:p>
              </w:tc>
              <w:tc>
                <w:tcPr>
                  <w:tcW w:w="1418" w:type="dxa"/>
                  <w:shd w:val="clear" w:color="auto" w:fill="auto"/>
                  <w:vAlign w:val="center"/>
                </w:tcPr>
                <w:p>
                  <w:pPr>
                    <w:widowControl/>
                    <w:jc w:val="center"/>
                    <w:rPr>
                      <w:bCs/>
                      <w:kern w:val="0"/>
                      <w:szCs w:val="21"/>
                    </w:rPr>
                  </w:pPr>
                  <w:r>
                    <w:rPr>
                      <w:bCs/>
                      <w:kern w:val="0"/>
                      <w:szCs w:val="21"/>
                    </w:rPr>
                    <w:t>排放源</w:t>
                  </w:r>
                </w:p>
              </w:tc>
              <w:tc>
                <w:tcPr>
                  <w:tcW w:w="1276" w:type="dxa"/>
                  <w:shd w:val="clear" w:color="auto" w:fill="auto"/>
                  <w:vAlign w:val="center"/>
                </w:tcPr>
                <w:p>
                  <w:pPr>
                    <w:widowControl/>
                    <w:jc w:val="center"/>
                    <w:rPr>
                      <w:bCs/>
                      <w:kern w:val="0"/>
                      <w:szCs w:val="21"/>
                    </w:rPr>
                  </w:pPr>
                  <w:r>
                    <w:rPr>
                      <w:bCs/>
                      <w:kern w:val="0"/>
                      <w:szCs w:val="21"/>
                    </w:rPr>
                    <w:t>污染物名称</w:t>
                  </w:r>
                </w:p>
              </w:tc>
              <w:tc>
                <w:tcPr>
                  <w:tcW w:w="1842" w:type="dxa"/>
                  <w:shd w:val="clear" w:color="auto" w:fill="auto"/>
                  <w:vAlign w:val="center"/>
                </w:tcPr>
                <w:p>
                  <w:pPr>
                    <w:widowControl/>
                    <w:jc w:val="center"/>
                    <w:rPr>
                      <w:bCs/>
                      <w:kern w:val="0"/>
                      <w:szCs w:val="21"/>
                    </w:rPr>
                  </w:pPr>
                  <w:r>
                    <w:rPr>
                      <w:bCs/>
                      <w:kern w:val="0"/>
                      <w:szCs w:val="21"/>
                    </w:rPr>
                    <w:t>处理前产生浓度/产生量</w:t>
                  </w:r>
                </w:p>
              </w:tc>
              <w:tc>
                <w:tcPr>
                  <w:tcW w:w="2894" w:type="dxa"/>
                  <w:shd w:val="clear" w:color="auto" w:fill="auto"/>
                  <w:vAlign w:val="center"/>
                </w:tcPr>
                <w:p>
                  <w:pPr>
                    <w:widowControl/>
                    <w:jc w:val="center"/>
                    <w:rPr>
                      <w:bCs/>
                      <w:kern w:val="0"/>
                      <w:szCs w:val="21"/>
                    </w:rPr>
                  </w:pPr>
                  <w:r>
                    <w:rPr>
                      <w:bCs/>
                      <w:kern w:val="0"/>
                      <w:szCs w:val="21"/>
                    </w:rPr>
                    <w:t>排放浓度/排放量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restart"/>
                  <w:shd w:val="clear" w:color="auto" w:fill="auto"/>
                  <w:vAlign w:val="center"/>
                </w:tcPr>
                <w:p>
                  <w:pPr>
                    <w:widowControl/>
                    <w:jc w:val="center"/>
                    <w:rPr>
                      <w:kern w:val="0"/>
                      <w:szCs w:val="21"/>
                    </w:rPr>
                  </w:pPr>
                  <w:r>
                    <w:rPr>
                      <w:kern w:val="0"/>
                      <w:szCs w:val="21"/>
                    </w:rPr>
                    <w:t>施工期</w:t>
                  </w:r>
                </w:p>
              </w:tc>
              <w:tc>
                <w:tcPr>
                  <w:tcW w:w="567" w:type="dxa"/>
                  <w:vMerge w:val="restart"/>
                  <w:shd w:val="clear" w:color="auto" w:fill="auto"/>
                  <w:vAlign w:val="center"/>
                </w:tcPr>
                <w:p>
                  <w:pPr>
                    <w:widowControl/>
                    <w:jc w:val="center"/>
                    <w:rPr>
                      <w:kern w:val="0"/>
                      <w:szCs w:val="21"/>
                    </w:rPr>
                  </w:pPr>
                  <w:r>
                    <w:rPr>
                      <w:kern w:val="0"/>
                      <w:szCs w:val="21"/>
                    </w:rPr>
                    <w:t>废污水</w:t>
                  </w:r>
                </w:p>
              </w:tc>
              <w:tc>
                <w:tcPr>
                  <w:tcW w:w="1418" w:type="dxa"/>
                  <w:shd w:val="clear" w:color="auto" w:fill="auto"/>
                  <w:vAlign w:val="center"/>
                </w:tcPr>
                <w:p>
                  <w:pPr>
                    <w:widowControl/>
                    <w:jc w:val="center"/>
                    <w:rPr>
                      <w:kern w:val="0"/>
                      <w:szCs w:val="21"/>
                    </w:rPr>
                  </w:pPr>
                  <w:r>
                    <w:rPr>
                      <w:kern w:val="0"/>
                      <w:szCs w:val="21"/>
                    </w:rPr>
                    <w:t>砂石料加工系统</w:t>
                  </w:r>
                </w:p>
              </w:tc>
              <w:tc>
                <w:tcPr>
                  <w:tcW w:w="1276" w:type="dxa"/>
                  <w:shd w:val="clear" w:color="auto" w:fill="auto"/>
                  <w:vAlign w:val="center"/>
                </w:tcPr>
                <w:p>
                  <w:pPr>
                    <w:widowControl/>
                    <w:jc w:val="center"/>
                    <w:rPr>
                      <w:kern w:val="0"/>
                      <w:szCs w:val="21"/>
                    </w:rPr>
                  </w:pPr>
                  <w:r>
                    <w:rPr>
                      <w:kern w:val="0"/>
                      <w:szCs w:val="21"/>
                    </w:rPr>
                    <w:t>含SS废水</w:t>
                  </w:r>
                </w:p>
              </w:tc>
              <w:tc>
                <w:tcPr>
                  <w:tcW w:w="1842" w:type="dxa"/>
                  <w:shd w:val="clear" w:color="auto" w:fill="auto"/>
                  <w:vAlign w:val="center"/>
                </w:tcPr>
                <w:p>
                  <w:pPr>
                    <w:widowControl/>
                    <w:jc w:val="center"/>
                    <w:rPr>
                      <w:kern w:val="0"/>
                      <w:szCs w:val="21"/>
                    </w:rPr>
                  </w:pPr>
                  <w:r>
                    <w:rPr>
                      <w:szCs w:val="21"/>
                    </w:rPr>
                    <w:t>104</w:t>
                  </w:r>
                  <w:r>
                    <w:rPr>
                      <w:kern w:val="0"/>
                      <w:szCs w:val="21"/>
                    </w:rPr>
                    <w:t>m</w:t>
                  </w:r>
                  <w:r>
                    <w:rPr>
                      <w:kern w:val="0"/>
                      <w:szCs w:val="21"/>
                      <w:vertAlign w:val="superscript"/>
                    </w:rPr>
                    <w:t>3</w:t>
                  </w:r>
                  <w:r>
                    <w:rPr>
                      <w:kern w:val="0"/>
                      <w:szCs w:val="21"/>
                    </w:rPr>
                    <w:t>/h</w:t>
                  </w:r>
                </w:p>
              </w:tc>
              <w:tc>
                <w:tcPr>
                  <w:tcW w:w="2894" w:type="dxa"/>
                  <w:shd w:val="clear" w:color="auto" w:fill="auto"/>
                  <w:vAlign w:val="center"/>
                </w:tcPr>
                <w:p>
                  <w:pPr>
                    <w:widowControl/>
                    <w:jc w:val="center"/>
                    <w:rPr>
                      <w:kern w:val="0"/>
                      <w:szCs w:val="21"/>
                    </w:rPr>
                  </w:pPr>
                  <w:r>
                    <w:rPr>
                      <w:kern w:val="0"/>
                      <w:szCs w:val="21"/>
                    </w:rPr>
                    <w:t>经处理后综合利用，不外排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continue"/>
                  <w:vAlign w:val="center"/>
                </w:tcPr>
                <w:p>
                  <w:pPr>
                    <w:widowControl/>
                    <w:jc w:val="left"/>
                    <w:rPr>
                      <w:kern w:val="0"/>
                      <w:szCs w:val="21"/>
                    </w:rPr>
                  </w:pPr>
                </w:p>
              </w:tc>
              <w:tc>
                <w:tcPr>
                  <w:tcW w:w="1418" w:type="dxa"/>
                  <w:shd w:val="clear" w:color="auto" w:fill="auto"/>
                  <w:vAlign w:val="center"/>
                </w:tcPr>
                <w:p>
                  <w:pPr>
                    <w:widowControl/>
                    <w:jc w:val="center"/>
                    <w:rPr>
                      <w:kern w:val="0"/>
                      <w:szCs w:val="21"/>
                    </w:rPr>
                  </w:pPr>
                  <w:r>
                    <w:rPr>
                      <w:kern w:val="0"/>
                      <w:szCs w:val="21"/>
                    </w:rPr>
                    <w:t>混凝土拌</w:t>
                  </w:r>
                  <w:r>
                    <w:rPr>
                      <w:rFonts w:hint="eastAsia"/>
                      <w:kern w:val="0"/>
                      <w:szCs w:val="21"/>
                    </w:rPr>
                    <w:t>和</w:t>
                  </w:r>
                  <w:r>
                    <w:rPr>
                      <w:kern w:val="0"/>
                      <w:szCs w:val="21"/>
                    </w:rPr>
                    <w:t>系统</w:t>
                  </w:r>
                </w:p>
              </w:tc>
              <w:tc>
                <w:tcPr>
                  <w:tcW w:w="1276" w:type="dxa"/>
                  <w:shd w:val="clear" w:color="auto" w:fill="auto"/>
                  <w:vAlign w:val="center"/>
                </w:tcPr>
                <w:p>
                  <w:pPr>
                    <w:widowControl/>
                    <w:jc w:val="center"/>
                    <w:rPr>
                      <w:kern w:val="0"/>
                      <w:szCs w:val="21"/>
                    </w:rPr>
                  </w:pPr>
                  <w:r>
                    <w:rPr>
                      <w:kern w:val="0"/>
                      <w:szCs w:val="21"/>
                    </w:rPr>
                    <w:t>含SS、pH较高废水</w:t>
                  </w:r>
                </w:p>
              </w:tc>
              <w:tc>
                <w:tcPr>
                  <w:tcW w:w="1842" w:type="dxa"/>
                  <w:shd w:val="clear" w:color="auto" w:fill="auto"/>
                  <w:vAlign w:val="center"/>
                </w:tcPr>
                <w:p>
                  <w:pPr>
                    <w:widowControl/>
                    <w:jc w:val="center"/>
                    <w:rPr>
                      <w:kern w:val="0"/>
                      <w:szCs w:val="21"/>
                    </w:rPr>
                  </w:pPr>
                  <w:r>
                    <w:rPr>
                      <w:szCs w:val="21"/>
                    </w:rPr>
                    <w:t>0.9m</w:t>
                  </w:r>
                  <w:r>
                    <w:rPr>
                      <w:szCs w:val="21"/>
                      <w:vertAlign w:val="superscript"/>
                    </w:rPr>
                    <w:t>3</w:t>
                  </w:r>
                  <w:r>
                    <w:rPr>
                      <w:szCs w:val="21"/>
                    </w:rPr>
                    <w:t>/h</w:t>
                  </w:r>
                </w:p>
              </w:tc>
              <w:tc>
                <w:tcPr>
                  <w:tcW w:w="2894" w:type="dxa"/>
                  <w:shd w:val="clear" w:color="auto" w:fill="auto"/>
                  <w:vAlign w:val="center"/>
                </w:tcPr>
                <w:p>
                  <w:pPr>
                    <w:widowControl/>
                    <w:jc w:val="center"/>
                    <w:rPr>
                      <w:kern w:val="0"/>
                      <w:szCs w:val="21"/>
                    </w:rPr>
                  </w:pPr>
                  <w:r>
                    <w:rPr>
                      <w:kern w:val="0"/>
                      <w:szCs w:val="21"/>
                    </w:rPr>
                    <w:t>经处理后综合利用，不外排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continue"/>
                  <w:vAlign w:val="center"/>
                </w:tcPr>
                <w:p>
                  <w:pPr>
                    <w:widowControl/>
                    <w:jc w:val="left"/>
                    <w:rPr>
                      <w:kern w:val="0"/>
                      <w:szCs w:val="21"/>
                    </w:rPr>
                  </w:pPr>
                </w:p>
              </w:tc>
              <w:tc>
                <w:tcPr>
                  <w:tcW w:w="1418" w:type="dxa"/>
                  <w:shd w:val="clear" w:color="auto" w:fill="auto"/>
                  <w:vAlign w:val="center"/>
                </w:tcPr>
                <w:p>
                  <w:pPr>
                    <w:widowControl/>
                    <w:jc w:val="center"/>
                    <w:rPr>
                      <w:kern w:val="0"/>
                      <w:szCs w:val="21"/>
                    </w:rPr>
                  </w:pPr>
                  <w:r>
                    <w:rPr>
                      <w:kern w:val="0"/>
                      <w:szCs w:val="21"/>
                    </w:rPr>
                    <w:t>施工机械</w:t>
                  </w:r>
                </w:p>
              </w:tc>
              <w:tc>
                <w:tcPr>
                  <w:tcW w:w="1276" w:type="dxa"/>
                  <w:shd w:val="clear" w:color="auto" w:fill="auto"/>
                  <w:vAlign w:val="center"/>
                </w:tcPr>
                <w:p>
                  <w:pPr>
                    <w:widowControl/>
                    <w:jc w:val="center"/>
                    <w:rPr>
                      <w:kern w:val="0"/>
                      <w:szCs w:val="21"/>
                    </w:rPr>
                  </w:pPr>
                  <w:r>
                    <w:rPr>
                      <w:kern w:val="0"/>
                      <w:szCs w:val="21"/>
                    </w:rPr>
                    <w:t>机械</w:t>
                  </w:r>
                  <w:r>
                    <w:rPr>
                      <w:rFonts w:hint="eastAsia"/>
                      <w:kern w:val="0"/>
                      <w:szCs w:val="21"/>
                    </w:rPr>
                    <w:t>修配</w:t>
                  </w:r>
                  <w:r>
                    <w:rPr>
                      <w:kern w:val="0"/>
                      <w:szCs w:val="21"/>
                    </w:rPr>
                    <w:t>保养站含油废水</w:t>
                  </w:r>
                </w:p>
              </w:tc>
              <w:tc>
                <w:tcPr>
                  <w:tcW w:w="1842" w:type="dxa"/>
                  <w:shd w:val="clear" w:color="auto" w:fill="auto"/>
                  <w:vAlign w:val="center"/>
                </w:tcPr>
                <w:p>
                  <w:pPr>
                    <w:widowControl/>
                    <w:jc w:val="center"/>
                    <w:rPr>
                      <w:kern w:val="0"/>
                      <w:szCs w:val="21"/>
                    </w:rPr>
                  </w:pPr>
                  <w:r>
                    <w:rPr>
                      <w:szCs w:val="21"/>
                    </w:rPr>
                    <w:t>0.8m</w:t>
                  </w:r>
                  <w:r>
                    <w:rPr>
                      <w:szCs w:val="21"/>
                      <w:vertAlign w:val="superscript"/>
                    </w:rPr>
                    <w:t>3</w:t>
                  </w:r>
                  <w:r>
                    <w:rPr>
                      <w:szCs w:val="21"/>
                    </w:rPr>
                    <w:t>/d</w:t>
                  </w:r>
                </w:p>
              </w:tc>
              <w:tc>
                <w:tcPr>
                  <w:tcW w:w="2894" w:type="dxa"/>
                  <w:shd w:val="clear" w:color="auto" w:fill="auto"/>
                  <w:vAlign w:val="center"/>
                </w:tcPr>
                <w:p>
                  <w:pPr>
                    <w:widowControl/>
                    <w:jc w:val="center"/>
                    <w:rPr>
                      <w:kern w:val="0"/>
                      <w:szCs w:val="21"/>
                    </w:rPr>
                  </w:pPr>
                  <w:r>
                    <w:rPr>
                      <w:kern w:val="0"/>
                      <w:szCs w:val="21"/>
                    </w:rPr>
                    <w:t>机修保养含油废水处理后综合利用不外排，废油委托有资质的单位处理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continue"/>
                  <w:vAlign w:val="center"/>
                </w:tcPr>
                <w:p>
                  <w:pPr>
                    <w:widowControl/>
                    <w:jc w:val="left"/>
                    <w:rPr>
                      <w:kern w:val="0"/>
                      <w:szCs w:val="21"/>
                    </w:rPr>
                  </w:pPr>
                </w:p>
              </w:tc>
              <w:tc>
                <w:tcPr>
                  <w:tcW w:w="1418" w:type="dxa"/>
                  <w:shd w:val="clear" w:color="auto" w:fill="auto"/>
                  <w:vAlign w:val="center"/>
                </w:tcPr>
                <w:p>
                  <w:pPr>
                    <w:widowControl/>
                    <w:jc w:val="center"/>
                    <w:rPr>
                      <w:kern w:val="0"/>
                      <w:szCs w:val="21"/>
                    </w:rPr>
                  </w:pPr>
                  <w:r>
                    <w:rPr>
                      <w:kern w:val="0"/>
                      <w:szCs w:val="21"/>
                    </w:rPr>
                    <w:t>施工人员</w:t>
                  </w:r>
                </w:p>
              </w:tc>
              <w:tc>
                <w:tcPr>
                  <w:tcW w:w="1276" w:type="dxa"/>
                  <w:shd w:val="clear" w:color="auto" w:fill="auto"/>
                  <w:vAlign w:val="center"/>
                </w:tcPr>
                <w:p>
                  <w:pPr>
                    <w:widowControl/>
                    <w:jc w:val="center"/>
                    <w:rPr>
                      <w:kern w:val="0"/>
                      <w:szCs w:val="21"/>
                    </w:rPr>
                  </w:pPr>
                  <w:r>
                    <w:rPr>
                      <w:kern w:val="0"/>
                      <w:szCs w:val="21"/>
                    </w:rPr>
                    <w:t>生活污水</w:t>
                  </w:r>
                </w:p>
              </w:tc>
              <w:tc>
                <w:tcPr>
                  <w:tcW w:w="1842" w:type="dxa"/>
                  <w:shd w:val="clear" w:color="auto" w:fill="auto"/>
                  <w:vAlign w:val="center"/>
                </w:tcPr>
                <w:p>
                  <w:pPr>
                    <w:widowControl/>
                    <w:jc w:val="center"/>
                    <w:rPr>
                      <w:kern w:val="0"/>
                      <w:szCs w:val="21"/>
                    </w:rPr>
                  </w:pPr>
                  <w:r>
                    <w:rPr>
                      <w:szCs w:val="21"/>
                    </w:rPr>
                    <w:t>26.96m</w:t>
                  </w:r>
                  <w:r>
                    <w:rPr>
                      <w:szCs w:val="21"/>
                      <w:vertAlign w:val="superscript"/>
                    </w:rPr>
                    <w:t>3</w:t>
                  </w:r>
                  <w:r>
                    <w:rPr>
                      <w:szCs w:val="21"/>
                    </w:rPr>
                    <w:t>/d</w:t>
                  </w:r>
                </w:p>
              </w:tc>
              <w:tc>
                <w:tcPr>
                  <w:tcW w:w="2894" w:type="dxa"/>
                  <w:shd w:val="clear" w:color="auto" w:fill="auto"/>
                  <w:vAlign w:val="center"/>
                </w:tcPr>
                <w:p>
                  <w:pPr>
                    <w:widowControl/>
                    <w:jc w:val="center"/>
                    <w:rPr>
                      <w:kern w:val="0"/>
                      <w:szCs w:val="21"/>
                    </w:rPr>
                  </w:pPr>
                  <w:r>
                    <w:rPr>
                      <w:kern w:val="0"/>
                      <w:szCs w:val="21"/>
                    </w:rPr>
                    <w:t>经处理后综合利用，不外排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restart"/>
                  <w:shd w:val="clear" w:color="auto" w:fill="auto"/>
                  <w:vAlign w:val="center"/>
                </w:tcPr>
                <w:p>
                  <w:pPr>
                    <w:widowControl/>
                    <w:jc w:val="center"/>
                    <w:rPr>
                      <w:kern w:val="0"/>
                      <w:szCs w:val="21"/>
                    </w:rPr>
                  </w:pPr>
                  <w:r>
                    <w:rPr>
                      <w:kern w:val="0"/>
                      <w:szCs w:val="21"/>
                    </w:rPr>
                    <w:t>大气</w:t>
                  </w:r>
                </w:p>
              </w:tc>
              <w:tc>
                <w:tcPr>
                  <w:tcW w:w="1418" w:type="dxa"/>
                  <w:shd w:val="clear" w:color="auto" w:fill="auto"/>
                  <w:vAlign w:val="center"/>
                </w:tcPr>
                <w:p>
                  <w:pPr>
                    <w:widowControl/>
                    <w:jc w:val="center"/>
                    <w:rPr>
                      <w:kern w:val="0"/>
                      <w:szCs w:val="21"/>
                    </w:rPr>
                  </w:pPr>
                  <w:r>
                    <w:rPr>
                      <w:kern w:val="0"/>
                      <w:szCs w:val="21"/>
                    </w:rPr>
                    <w:t>施工扬尘</w:t>
                  </w:r>
                </w:p>
              </w:tc>
              <w:tc>
                <w:tcPr>
                  <w:tcW w:w="1276" w:type="dxa"/>
                  <w:shd w:val="clear" w:color="auto" w:fill="auto"/>
                  <w:vAlign w:val="center"/>
                </w:tcPr>
                <w:p>
                  <w:pPr>
                    <w:widowControl/>
                    <w:jc w:val="center"/>
                    <w:rPr>
                      <w:kern w:val="0"/>
                      <w:szCs w:val="21"/>
                    </w:rPr>
                  </w:pPr>
                  <w:r>
                    <w:rPr>
                      <w:kern w:val="0"/>
                      <w:szCs w:val="21"/>
                    </w:rPr>
                    <w:t>粉尘</w:t>
                  </w:r>
                </w:p>
              </w:tc>
              <w:tc>
                <w:tcPr>
                  <w:tcW w:w="1842" w:type="dxa"/>
                  <w:shd w:val="clear" w:color="auto" w:fill="auto"/>
                  <w:vAlign w:val="center"/>
                </w:tcPr>
                <w:p>
                  <w:pPr>
                    <w:widowControl/>
                    <w:jc w:val="center"/>
                    <w:rPr>
                      <w:kern w:val="0"/>
                      <w:szCs w:val="21"/>
                    </w:rPr>
                  </w:pPr>
                  <w:r>
                    <w:rPr>
                      <w:kern w:val="0"/>
                      <w:szCs w:val="21"/>
                    </w:rPr>
                    <w:t>3.17～4.26mg/m</w:t>
                  </w:r>
                  <w:r>
                    <w:rPr>
                      <w:kern w:val="0"/>
                      <w:szCs w:val="21"/>
                      <w:vertAlign w:val="superscript"/>
                    </w:rPr>
                    <w:t>3</w:t>
                  </w:r>
                </w:p>
              </w:tc>
              <w:tc>
                <w:tcPr>
                  <w:tcW w:w="2894" w:type="dxa"/>
                  <w:shd w:val="clear" w:color="auto" w:fill="auto"/>
                  <w:vAlign w:val="center"/>
                </w:tcPr>
                <w:p>
                  <w:pPr>
                    <w:widowControl/>
                    <w:jc w:val="center"/>
                    <w:rPr>
                      <w:kern w:val="0"/>
                      <w:szCs w:val="21"/>
                    </w:rPr>
                  </w:pPr>
                  <w:r>
                    <w:rPr>
                      <w:kern w:val="0"/>
                      <w:szCs w:val="21"/>
                    </w:rPr>
                    <w:t>3.17～4.26mg/m</w:t>
                  </w:r>
                  <w:r>
                    <w:rPr>
                      <w:kern w:val="0"/>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continue"/>
                  <w:vAlign w:val="center"/>
                </w:tcPr>
                <w:p>
                  <w:pPr>
                    <w:widowControl/>
                    <w:jc w:val="left"/>
                    <w:rPr>
                      <w:kern w:val="0"/>
                      <w:szCs w:val="21"/>
                    </w:rPr>
                  </w:pPr>
                </w:p>
              </w:tc>
              <w:tc>
                <w:tcPr>
                  <w:tcW w:w="1418" w:type="dxa"/>
                  <w:shd w:val="clear" w:color="auto" w:fill="auto"/>
                  <w:vAlign w:val="center"/>
                </w:tcPr>
                <w:p>
                  <w:pPr>
                    <w:widowControl/>
                    <w:jc w:val="center"/>
                    <w:rPr>
                      <w:kern w:val="0"/>
                      <w:szCs w:val="21"/>
                    </w:rPr>
                  </w:pPr>
                  <w:r>
                    <w:rPr>
                      <w:kern w:val="0"/>
                      <w:szCs w:val="21"/>
                    </w:rPr>
                    <w:t>机械作业</w:t>
                  </w:r>
                </w:p>
              </w:tc>
              <w:tc>
                <w:tcPr>
                  <w:tcW w:w="1276" w:type="dxa"/>
                  <w:shd w:val="clear" w:color="auto" w:fill="auto"/>
                  <w:vAlign w:val="center"/>
                </w:tcPr>
                <w:p>
                  <w:pPr>
                    <w:widowControl/>
                    <w:jc w:val="center"/>
                    <w:rPr>
                      <w:kern w:val="0"/>
                      <w:szCs w:val="21"/>
                    </w:rPr>
                  </w:pPr>
                  <w:r>
                    <w:rPr>
                      <w:kern w:val="0"/>
                      <w:szCs w:val="21"/>
                    </w:rPr>
                    <w:t>燃油废气</w:t>
                  </w:r>
                </w:p>
              </w:tc>
              <w:tc>
                <w:tcPr>
                  <w:tcW w:w="1842" w:type="dxa"/>
                  <w:shd w:val="clear" w:color="auto" w:fill="auto"/>
                  <w:vAlign w:val="center"/>
                </w:tcPr>
                <w:p>
                  <w:pPr>
                    <w:widowControl/>
                    <w:jc w:val="center"/>
                    <w:rPr>
                      <w:kern w:val="0"/>
                      <w:szCs w:val="21"/>
                    </w:rPr>
                  </w:pPr>
                  <w:r>
                    <w:rPr>
                      <w:kern w:val="0"/>
                      <w:szCs w:val="21"/>
                    </w:rPr>
                    <w:t>单位燃油污染物产生量为NO</w:t>
                  </w:r>
                  <w:r>
                    <w:rPr>
                      <w:kern w:val="0"/>
                      <w:szCs w:val="21"/>
                      <w:vertAlign w:val="subscript"/>
                    </w:rPr>
                    <w:t>X</w:t>
                  </w:r>
                  <w:r>
                    <w:rPr>
                      <w:kern w:val="0"/>
                      <w:szCs w:val="21"/>
                    </w:rPr>
                    <w:t>:21.25kg/t、SO</w:t>
                  </w:r>
                  <w:r>
                    <w:rPr>
                      <w:kern w:val="0"/>
                      <w:szCs w:val="21"/>
                      <w:vertAlign w:val="subscript"/>
                    </w:rPr>
                    <w:t>2</w:t>
                  </w:r>
                  <w:r>
                    <w:rPr>
                      <w:kern w:val="0"/>
                      <w:szCs w:val="21"/>
                    </w:rPr>
                    <w:t>:3.52kg/t</w:t>
                  </w:r>
                </w:p>
              </w:tc>
              <w:tc>
                <w:tcPr>
                  <w:tcW w:w="2894" w:type="dxa"/>
                  <w:shd w:val="clear" w:color="auto" w:fill="auto"/>
                  <w:vAlign w:val="center"/>
                </w:tcPr>
                <w:p>
                  <w:pPr>
                    <w:widowControl/>
                    <w:jc w:val="center"/>
                    <w:rPr>
                      <w:kern w:val="0"/>
                      <w:szCs w:val="21"/>
                    </w:rPr>
                  </w:pPr>
                  <w:r>
                    <w:rPr>
                      <w:kern w:val="0"/>
                      <w:szCs w:val="21"/>
                    </w:rPr>
                    <w:t>NO</w:t>
                  </w:r>
                  <w:r>
                    <w:rPr>
                      <w:kern w:val="0"/>
                      <w:szCs w:val="21"/>
                      <w:vertAlign w:val="subscript"/>
                    </w:rPr>
                    <w:t>X</w:t>
                  </w:r>
                  <w:r>
                    <w:rPr>
                      <w:kern w:val="0"/>
                      <w:szCs w:val="21"/>
                    </w:rPr>
                    <w:t>、SO</w:t>
                  </w:r>
                  <w:r>
                    <w:rPr>
                      <w:kern w:val="0"/>
                      <w:szCs w:val="21"/>
                      <w:vertAlign w:val="subscript"/>
                    </w:rPr>
                    <w:t>2</w:t>
                  </w:r>
                  <w:r>
                    <w:rPr>
                      <w:kern w:val="0"/>
                      <w:szCs w:val="21"/>
                    </w:rPr>
                    <w:t>施工废气</w:t>
                  </w:r>
                  <w:r>
                    <w:rPr>
                      <w:rFonts w:hint="eastAsia"/>
                      <w:kern w:val="0"/>
                      <w:szCs w:val="21"/>
                    </w:rPr>
                    <w:t>高峰期</w:t>
                  </w:r>
                  <w:r>
                    <w:rPr>
                      <w:kern w:val="0"/>
                      <w:szCs w:val="21"/>
                    </w:rPr>
                    <w:t>总产生量分别为24.78t、4.11t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restart"/>
                  <w:shd w:val="clear" w:color="auto" w:fill="auto"/>
                  <w:vAlign w:val="center"/>
                </w:tcPr>
                <w:p>
                  <w:pPr>
                    <w:widowControl/>
                    <w:jc w:val="center"/>
                    <w:rPr>
                      <w:kern w:val="0"/>
                      <w:szCs w:val="21"/>
                    </w:rPr>
                  </w:pPr>
                  <w:r>
                    <w:rPr>
                      <w:kern w:val="0"/>
                      <w:szCs w:val="21"/>
                    </w:rPr>
                    <w:t>噪声</w:t>
                  </w:r>
                </w:p>
              </w:tc>
              <w:tc>
                <w:tcPr>
                  <w:tcW w:w="1418" w:type="dxa"/>
                  <w:shd w:val="clear" w:color="auto" w:fill="auto"/>
                  <w:vAlign w:val="center"/>
                </w:tcPr>
                <w:p>
                  <w:pPr>
                    <w:widowControl/>
                    <w:jc w:val="center"/>
                    <w:rPr>
                      <w:kern w:val="0"/>
                      <w:szCs w:val="21"/>
                    </w:rPr>
                  </w:pPr>
                  <w:r>
                    <w:rPr>
                      <w:kern w:val="0"/>
                      <w:szCs w:val="21"/>
                    </w:rPr>
                    <w:t>混凝土拌和</w:t>
                  </w:r>
                </w:p>
              </w:tc>
              <w:tc>
                <w:tcPr>
                  <w:tcW w:w="1276" w:type="dxa"/>
                  <w:shd w:val="clear" w:color="auto" w:fill="auto"/>
                  <w:vAlign w:val="center"/>
                </w:tcPr>
                <w:p>
                  <w:pPr>
                    <w:widowControl/>
                    <w:jc w:val="center"/>
                    <w:rPr>
                      <w:kern w:val="0"/>
                      <w:szCs w:val="21"/>
                    </w:rPr>
                  </w:pPr>
                  <w:r>
                    <w:rPr>
                      <w:kern w:val="0"/>
                      <w:szCs w:val="21"/>
                    </w:rPr>
                    <w:t>噪声</w:t>
                  </w:r>
                </w:p>
              </w:tc>
              <w:tc>
                <w:tcPr>
                  <w:tcW w:w="4736" w:type="dxa"/>
                  <w:gridSpan w:val="2"/>
                  <w:shd w:val="clear" w:color="auto" w:fill="auto"/>
                  <w:vAlign w:val="center"/>
                </w:tcPr>
                <w:p>
                  <w:pPr>
                    <w:widowControl/>
                    <w:jc w:val="center"/>
                    <w:rPr>
                      <w:kern w:val="0"/>
                      <w:szCs w:val="21"/>
                    </w:rPr>
                  </w:pPr>
                  <w:r>
                    <w:rPr>
                      <w:kern w:val="0"/>
                      <w:szCs w:val="21"/>
                    </w:rPr>
                    <w:t>90～104dB（A）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continue"/>
                  <w:vAlign w:val="center"/>
                </w:tcPr>
                <w:p>
                  <w:pPr>
                    <w:widowControl/>
                    <w:jc w:val="left"/>
                    <w:rPr>
                      <w:kern w:val="0"/>
                      <w:szCs w:val="21"/>
                    </w:rPr>
                  </w:pPr>
                </w:p>
              </w:tc>
              <w:tc>
                <w:tcPr>
                  <w:tcW w:w="1418" w:type="dxa"/>
                  <w:shd w:val="clear" w:color="auto" w:fill="auto"/>
                  <w:vAlign w:val="center"/>
                </w:tcPr>
                <w:p>
                  <w:pPr>
                    <w:widowControl/>
                    <w:jc w:val="center"/>
                    <w:rPr>
                      <w:kern w:val="0"/>
                      <w:szCs w:val="21"/>
                    </w:rPr>
                  </w:pPr>
                  <w:r>
                    <w:rPr>
                      <w:kern w:val="0"/>
                      <w:szCs w:val="21"/>
                    </w:rPr>
                    <w:t>施工机械</w:t>
                  </w:r>
                </w:p>
              </w:tc>
              <w:tc>
                <w:tcPr>
                  <w:tcW w:w="1276" w:type="dxa"/>
                  <w:shd w:val="clear" w:color="auto" w:fill="auto"/>
                  <w:vAlign w:val="center"/>
                </w:tcPr>
                <w:p>
                  <w:pPr>
                    <w:widowControl/>
                    <w:jc w:val="center"/>
                    <w:rPr>
                      <w:kern w:val="0"/>
                      <w:szCs w:val="21"/>
                    </w:rPr>
                  </w:pPr>
                  <w:r>
                    <w:rPr>
                      <w:kern w:val="0"/>
                      <w:szCs w:val="21"/>
                    </w:rPr>
                    <w:t>噪声</w:t>
                  </w:r>
                </w:p>
              </w:tc>
              <w:tc>
                <w:tcPr>
                  <w:tcW w:w="4736" w:type="dxa"/>
                  <w:gridSpan w:val="2"/>
                  <w:shd w:val="clear" w:color="auto" w:fill="auto"/>
                  <w:vAlign w:val="center"/>
                </w:tcPr>
                <w:p>
                  <w:pPr>
                    <w:widowControl/>
                    <w:jc w:val="center"/>
                    <w:rPr>
                      <w:kern w:val="0"/>
                      <w:szCs w:val="21"/>
                    </w:rPr>
                  </w:pPr>
                  <w:r>
                    <w:rPr>
                      <w:kern w:val="0"/>
                      <w:szCs w:val="21"/>
                    </w:rPr>
                    <w:t>90～120dB（A）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continue"/>
                  <w:vAlign w:val="center"/>
                </w:tcPr>
                <w:p>
                  <w:pPr>
                    <w:widowControl/>
                    <w:jc w:val="left"/>
                    <w:rPr>
                      <w:kern w:val="0"/>
                      <w:szCs w:val="21"/>
                    </w:rPr>
                  </w:pPr>
                </w:p>
              </w:tc>
              <w:tc>
                <w:tcPr>
                  <w:tcW w:w="1418" w:type="dxa"/>
                  <w:shd w:val="clear" w:color="auto" w:fill="auto"/>
                  <w:vAlign w:val="center"/>
                </w:tcPr>
                <w:p>
                  <w:pPr>
                    <w:widowControl/>
                    <w:jc w:val="center"/>
                    <w:rPr>
                      <w:kern w:val="0"/>
                      <w:szCs w:val="21"/>
                    </w:rPr>
                  </w:pPr>
                  <w:r>
                    <w:rPr>
                      <w:kern w:val="0"/>
                      <w:szCs w:val="21"/>
                    </w:rPr>
                    <w:t>交通</w:t>
                  </w:r>
                </w:p>
              </w:tc>
              <w:tc>
                <w:tcPr>
                  <w:tcW w:w="1276" w:type="dxa"/>
                  <w:shd w:val="clear" w:color="auto" w:fill="auto"/>
                  <w:vAlign w:val="center"/>
                </w:tcPr>
                <w:p>
                  <w:pPr>
                    <w:widowControl/>
                    <w:jc w:val="center"/>
                    <w:rPr>
                      <w:kern w:val="0"/>
                      <w:szCs w:val="21"/>
                    </w:rPr>
                  </w:pPr>
                  <w:r>
                    <w:rPr>
                      <w:kern w:val="0"/>
                      <w:szCs w:val="21"/>
                    </w:rPr>
                    <w:t>噪声</w:t>
                  </w:r>
                </w:p>
              </w:tc>
              <w:tc>
                <w:tcPr>
                  <w:tcW w:w="4736" w:type="dxa"/>
                  <w:gridSpan w:val="2"/>
                  <w:shd w:val="clear" w:color="auto" w:fill="auto"/>
                  <w:vAlign w:val="center"/>
                </w:tcPr>
                <w:p>
                  <w:pPr>
                    <w:widowControl/>
                    <w:jc w:val="center"/>
                    <w:rPr>
                      <w:kern w:val="0"/>
                      <w:szCs w:val="21"/>
                    </w:rPr>
                  </w:pPr>
                  <w:r>
                    <w:rPr>
                      <w:kern w:val="0"/>
                      <w:szCs w:val="21"/>
                    </w:rPr>
                    <w:t>85～89dB（A）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restart"/>
                  <w:shd w:val="clear" w:color="auto" w:fill="auto"/>
                  <w:vAlign w:val="center"/>
                </w:tcPr>
                <w:p>
                  <w:pPr>
                    <w:widowControl/>
                    <w:jc w:val="center"/>
                    <w:rPr>
                      <w:kern w:val="0"/>
                      <w:szCs w:val="21"/>
                    </w:rPr>
                  </w:pPr>
                  <w:r>
                    <w:rPr>
                      <w:kern w:val="0"/>
                      <w:szCs w:val="21"/>
                    </w:rPr>
                    <w:t>固体废物</w:t>
                  </w:r>
                </w:p>
              </w:tc>
              <w:tc>
                <w:tcPr>
                  <w:tcW w:w="1418" w:type="dxa"/>
                  <w:shd w:val="clear" w:color="auto" w:fill="auto"/>
                  <w:vAlign w:val="center"/>
                </w:tcPr>
                <w:p>
                  <w:pPr>
                    <w:widowControl/>
                    <w:jc w:val="center"/>
                    <w:rPr>
                      <w:kern w:val="0"/>
                      <w:szCs w:val="21"/>
                    </w:rPr>
                  </w:pPr>
                  <w:r>
                    <w:rPr>
                      <w:kern w:val="0"/>
                      <w:szCs w:val="21"/>
                    </w:rPr>
                    <w:t>土石方开挖</w:t>
                  </w:r>
                </w:p>
              </w:tc>
              <w:tc>
                <w:tcPr>
                  <w:tcW w:w="1276" w:type="dxa"/>
                  <w:shd w:val="clear" w:color="auto" w:fill="auto"/>
                  <w:vAlign w:val="center"/>
                </w:tcPr>
                <w:p>
                  <w:pPr>
                    <w:widowControl/>
                    <w:jc w:val="center"/>
                    <w:rPr>
                      <w:kern w:val="0"/>
                      <w:szCs w:val="21"/>
                    </w:rPr>
                  </w:pPr>
                  <w:r>
                    <w:rPr>
                      <w:kern w:val="0"/>
                      <w:szCs w:val="21"/>
                    </w:rPr>
                    <w:t>弃土、弃石</w:t>
                  </w:r>
                </w:p>
              </w:tc>
              <w:tc>
                <w:tcPr>
                  <w:tcW w:w="4736" w:type="dxa"/>
                  <w:gridSpan w:val="2"/>
                  <w:shd w:val="clear" w:color="auto" w:fill="auto"/>
                  <w:vAlign w:val="center"/>
                </w:tcPr>
                <w:p>
                  <w:pPr>
                    <w:widowControl/>
                    <w:jc w:val="center"/>
                    <w:rPr>
                      <w:kern w:val="0"/>
                      <w:szCs w:val="21"/>
                    </w:rPr>
                  </w:pPr>
                  <w:r>
                    <w:rPr>
                      <w:rFonts w:hint="eastAsia"/>
                      <w:szCs w:val="21"/>
                    </w:rPr>
                    <w:t>弃渣量</w:t>
                  </w:r>
                  <w:r>
                    <w:rPr>
                      <w:szCs w:val="21"/>
                    </w:rPr>
                    <w:t>71.47</w:t>
                  </w:r>
                  <w:r>
                    <w:rPr>
                      <w:rFonts w:hint="eastAsia"/>
                      <w:szCs w:val="21"/>
                    </w:rPr>
                    <w:t>万m</w:t>
                  </w:r>
                  <w:r>
                    <w:rPr>
                      <w:rFonts w:hint="eastAsia"/>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vMerge w:val="continue"/>
                  <w:vAlign w:val="center"/>
                </w:tcPr>
                <w:p>
                  <w:pPr>
                    <w:widowControl/>
                    <w:jc w:val="left"/>
                    <w:rPr>
                      <w:kern w:val="0"/>
                      <w:szCs w:val="21"/>
                    </w:rPr>
                  </w:pPr>
                </w:p>
              </w:tc>
              <w:tc>
                <w:tcPr>
                  <w:tcW w:w="1418" w:type="dxa"/>
                  <w:shd w:val="clear" w:color="auto" w:fill="auto"/>
                  <w:vAlign w:val="center"/>
                </w:tcPr>
                <w:p>
                  <w:pPr>
                    <w:widowControl/>
                    <w:jc w:val="center"/>
                    <w:rPr>
                      <w:kern w:val="0"/>
                      <w:szCs w:val="21"/>
                    </w:rPr>
                  </w:pPr>
                  <w:r>
                    <w:rPr>
                      <w:kern w:val="0"/>
                      <w:szCs w:val="21"/>
                    </w:rPr>
                    <w:t>施工人员</w:t>
                  </w:r>
                </w:p>
              </w:tc>
              <w:tc>
                <w:tcPr>
                  <w:tcW w:w="1276" w:type="dxa"/>
                  <w:shd w:val="clear" w:color="auto" w:fill="auto"/>
                  <w:vAlign w:val="center"/>
                </w:tcPr>
                <w:p>
                  <w:pPr>
                    <w:widowControl/>
                    <w:jc w:val="center"/>
                    <w:rPr>
                      <w:kern w:val="0"/>
                      <w:szCs w:val="21"/>
                    </w:rPr>
                  </w:pPr>
                  <w:r>
                    <w:rPr>
                      <w:kern w:val="0"/>
                      <w:szCs w:val="21"/>
                    </w:rPr>
                    <w:t>生活垃圾</w:t>
                  </w:r>
                </w:p>
              </w:tc>
              <w:tc>
                <w:tcPr>
                  <w:tcW w:w="4736" w:type="dxa"/>
                  <w:gridSpan w:val="2"/>
                  <w:shd w:val="clear" w:color="auto" w:fill="auto"/>
                  <w:vAlign w:val="center"/>
                </w:tcPr>
                <w:p>
                  <w:pPr>
                    <w:widowControl/>
                    <w:jc w:val="center"/>
                    <w:rPr>
                      <w:kern w:val="0"/>
                      <w:szCs w:val="21"/>
                    </w:rPr>
                  </w:pPr>
                  <w:r>
                    <w:rPr>
                      <w:kern w:val="0"/>
                      <w:szCs w:val="21"/>
                    </w:rPr>
                    <w:t>施工高峰期产生量约0.337t/d，总产生量为232.8t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93" w:type="dxa"/>
                  <w:vMerge w:val="continue"/>
                  <w:vAlign w:val="center"/>
                </w:tcPr>
                <w:p>
                  <w:pPr>
                    <w:widowControl/>
                    <w:jc w:val="left"/>
                    <w:rPr>
                      <w:kern w:val="0"/>
                      <w:szCs w:val="21"/>
                    </w:rPr>
                  </w:pPr>
                </w:p>
              </w:tc>
              <w:tc>
                <w:tcPr>
                  <w:tcW w:w="567" w:type="dxa"/>
                  <w:shd w:val="clear" w:color="auto" w:fill="auto"/>
                  <w:vAlign w:val="center"/>
                </w:tcPr>
                <w:p>
                  <w:pPr>
                    <w:widowControl/>
                    <w:jc w:val="center"/>
                    <w:rPr>
                      <w:kern w:val="0"/>
                      <w:szCs w:val="21"/>
                    </w:rPr>
                  </w:pPr>
                  <w:r>
                    <w:rPr>
                      <w:kern w:val="0"/>
                      <w:szCs w:val="21"/>
                    </w:rPr>
                    <w:t>危险废物</w:t>
                  </w:r>
                </w:p>
              </w:tc>
              <w:tc>
                <w:tcPr>
                  <w:tcW w:w="1418" w:type="dxa"/>
                  <w:shd w:val="clear" w:color="auto" w:fill="auto"/>
                  <w:vAlign w:val="center"/>
                </w:tcPr>
                <w:p>
                  <w:pPr>
                    <w:widowControl/>
                    <w:jc w:val="center"/>
                    <w:rPr>
                      <w:kern w:val="0"/>
                      <w:szCs w:val="21"/>
                    </w:rPr>
                  </w:pPr>
                  <w:r>
                    <w:rPr>
                      <w:kern w:val="0"/>
                      <w:szCs w:val="21"/>
                    </w:rPr>
                    <w:t>施工机械维护、保养</w:t>
                  </w:r>
                </w:p>
              </w:tc>
              <w:tc>
                <w:tcPr>
                  <w:tcW w:w="1276" w:type="dxa"/>
                  <w:shd w:val="clear" w:color="auto" w:fill="auto"/>
                  <w:vAlign w:val="center"/>
                </w:tcPr>
                <w:p>
                  <w:pPr>
                    <w:widowControl/>
                    <w:jc w:val="center"/>
                    <w:rPr>
                      <w:kern w:val="0"/>
                      <w:szCs w:val="21"/>
                    </w:rPr>
                  </w:pPr>
                  <w:r>
                    <w:rPr>
                      <w:kern w:val="0"/>
                      <w:szCs w:val="21"/>
                    </w:rPr>
                    <w:t>废机油</w:t>
                  </w:r>
                </w:p>
              </w:tc>
              <w:tc>
                <w:tcPr>
                  <w:tcW w:w="4736" w:type="dxa"/>
                  <w:gridSpan w:val="2"/>
                  <w:shd w:val="clear" w:color="auto" w:fill="auto"/>
                  <w:vAlign w:val="center"/>
                </w:tcPr>
                <w:p>
                  <w:pPr>
                    <w:widowControl/>
                    <w:jc w:val="center"/>
                    <w:rPr>
                      <w:kern w:val="0"/>
                      <w:szCs w:val="21"/>
                    </w:rPr>
                  </w:pPr>
                  <w:r>
                    <w:rPr>
                      <w:kern w:val="0"/>
                      <w:szCs w:val="21"/>
                    </w:rPr>
                    <w:t>废机油产生量约1t，需按照《危险废物收集、贮存、运输技术规范》（HJ2025-2012）等规定收集，再委托有资质的单位进行处理</w:t>
                  </w:r>
                </w:p>
              </w:tc>
            </w:tr>
          </w:tbl>
          <w:p>
            <w:pPr>
              <w:adjustRightInd w:val="0"/>
              <w:snapToGrid w:val="0"/>
              <w:spacing w:line="480" w:lineRule="exact"/>
              <w:rPr>
                <w:rFonts w:ascii="宋体" w:hAnsi="宋体" w:cs="宋体"/>
                <w:bCs/>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098" w:hRule="atLeast"/>
          <w:jc w:val="center"/>
        </w:trPr>
        <w:tc>
          <w:tcPr>
            <w:tcW w:w="426" w:type="dxa"/>
            <w:tcBorders>
              <w:top w:val="single" w:color="auto" w:sz="4" w:space="0"/>
            </w:tcBorders>
            <w:tcMar>
              <w:left w:w="28" w:type="dxa"/>
              <w:right w:w="28" w:type="dxa"/>
            </w:tcMar>
            <w:vAlign w:val="center"/>
          </w:tcPr>
          <w:p>
            <w:pPr>
              <w:pStyle w:val="17"/>
              <w:adjustRightInd w:val="0"/>
              <w:snapToGrid w:val="0"/>
              <w:spacing w:before="0" w:beforeAutospacing="0" w:after="0" w:afterAutospacing="0"/>
              <w:jc w:val="center"/>
              <w:rPr>
                <w:rFonts w:cs="宋体"/>
                <w:bCs/>
                <w:kern w:val="2"/>
                <w:sz w:val="21"/>
                <w:szCs w:val="21"/>
              </w:rPr>
            </w:pPr>
            <w:r>
              <w:rPr>
                <w:rFonts w:hint="eastAsia" w:cs="宋体"/>
                <w:bCs/>
                <w:spacing w:val="10"/>
                <w:kern w:val="2"/>
                <w:sz w:val="21"/>
                <w:szCs w:val="21"/>
              </w:rPr>
              <w:t>运营期生态环境影响分析</w:t>
            </w:r>
          </w:p>
        </w:tc>
        <w:tc>
          <w:tcPr>
            <w:tcW w:w="8816" w:type="dxa"/>
            <w:tcBorders>
              <w:top w:val="single" w:color="auto" w:sz="4" w:space="0"/>
            </w:tcBorders>
          </w:tcPr>
          <w:p>
            <w:pPr>
              <w:adjustRightInd w:val="0"/>
              <w:snapToGrid w:val="0"/>
              <w:spacing w:line="360" w:lineRule="auto"/>
              <w:rPr>
                <w:b/>
                <w:bCs/>
                <w:sz w:val="24"/>
              </w:rPr>
            </w:pPr>
            <w:r>
              <w:rPr>
                <w:rFonts w:hint="eastAsia"/>
                <w:b/>
                <w:bCs/>
                <w:sz w:val="24"/>
              </w:rPr>
              <w:t>一、对区域水资源配置的影响</w:t>
            </w:r>
          </w:p>
          <w:p>
            <w:pPr>
              <w:spacing w:line="360" w:lineRule="auto"/>
              <w:ind w:firstLine="480"/>
              <w:rPr>
                <w:sz w:val="24"/>
              </w:rPr>
            </w:pPr>
            <w:r>
              <w:rPr>
                <w:rFonts w:hint="eastAsia"/>
                <w:sz w:val="24"/>
              </w:rPr>
              <w:t>（</w:t>
            </w:r>
            <w:r>
              <w:rPr>
                <w:sz w:val="24"/>
              </w:rPr>
              <w:t>1）水资源配置范围及对象</w:t>
            </w:r>
          </w:p>
          <w:p>
            <w:pPr>
              <w:spacing w:line="360" w:lineRule="auto"/>
              <w:ind w:firstLine="480"/>
              <w:rPr>
                <w:sz w:val="24"/>
              </w:rPr>
            </w:pPr>
            <w:r>
              <w:rPr>
                <w:rFonts w:hint="eastAsia"/>
                <w:sz w:val="24"/>
              </w:rPr>
              <w:t>现状</w:t>
            </w:r>
            <w:r>
              <w:rPr>
                <w:sz w:val="24"/>
              </w:rPr>
              <w:t>年</w:t>
            </w:r>
            <w:r>
              <w:rPr>
                <w:rFonts w:hint="eastAsia"/>
                <w:sz w:val="24"/>
              </w:rPr>
              <w:t>202</w:t>
            </w:r>
            <w:r>
              <w:rPr>
                <w:sz w:val="24"/>
              </w:rPr>
              <w:t>2</w:t>
            </w:r>
            <w:r>
              <w:rPr>
                <w:rFonts w:hint="eastAsia"/>
                <w:sz w:val="24"/>
              </w:rPr>
              <w:t>年</w:t>
            </w:r>
            <w:r>
              <w:rPr>
                <w:sz w:val="24"/>
              </w:rPr>
              <w:t>和设计水平年</w:t>
            </w:r>
            <w:r>
              <w:rPr>
                <w:rFonts w:hint="eastAsia"/>
                <w:sz w:val="24"/>
              </w:rPr>
              <w:t>20</w:t>
            </w:r>
            <w:r>
              <w:rPr>
                <w:sz w:val="24"/>
              </w:rPr>
              <w:t>35</w:t>
            </w:r>
            <w:r>
              <w:rPr>
                <w:rFonts w:hint="eastAsia"/>
                <w:sz w:val="24"/>
              </w:rPr>
              <w:t>年</w:t>
            </w:r>
            <w:r>
              <w:rPr>
                <w:sz w:val="24"/>
              </w:rPr>
              <w:t>水资源配置范围和对象相同，均为</w:t>
            </w:r>
            <w:r>
              <w:rPr>
                <w:rFonts w:hint="eastAsia"/>
                <w:sz w:val="24"/>
              </w:rPr>
              <w:t>东城灌区</w:t>
            </w:r>
            <w:r>
              <w:rPr>
                <w:sz w:val="24"/>
              </w:rPr>
              <w:t>，具体包括</w:t>
            </w:r>
            <w:r>
              <w:rPr>
                <w:rFonts w:hint="eastAsia"/>
                <w:sz w:val="24"/>
              </w:rPr>
              <w:t>东城镇的黑山头村、鸡心梁村、东城口村、中兴村、东城村、四道沟村。</w:t>
            </w:r>
          </w:p>
          <w:p>
            <w:pPr>
              <w:spacing w:line="360" w:lineRule="auto"/>
              <w:ind w:firstLine="480"/>
              <w:rPr>
                <w:sz w:val="24"/>
              </w:rPr>
            </w:pPr>
            <w:r>
              <w:rPr>
                <w:rFonts w:hint="eastAsia"/>
                <w:sz w:val="24"/>
              </w:rPr>
              <w:t>（2）不同水平年灌区灌溉面积及需水变化</w:t>
            </w:r>
          </w:p>
          <w:p>
            <w:pPr>
              <w:spacing w:line="360" w:lineRule="auto"/>
              <w:ind w:firstLine="480"/>
              <w:rPr>
                <w:sz w:val="24"/>
              </w:rPr>
            </w:pPr>
            <w:r>
              <w:rPr>
                <w:rFonts w:hint="eastAsia"/>
                <w:sz w:val="24"/>
              </w:rPr>
              <w:t>现状年（202</w:t>
            </w:r>
            <w:r>
              <w:rPr>
                <w:sz w:val="24"/>
              </w:rPr>
              <w:t>2</w:t>
            </w:r>
            <w:r>
              <w:rPr>
                <w:rFonts w:hint="eastAsia"/>
                <w:sz w:val="24"/>
              </w:rPr>
              <w:t>年）和</w:t>
            </w:r>
            <w:r>
              <w:rPr>
                <w:sz w:val="24"/>
              </w:rPr>
              <w:t>设计水平年</w:t>
            </w:r>
            <w:r>
              <w:rPr>
                <w:rFonts w:hint="eastAsia"/>
                <w:sz w:val="24"/>
              </w:rPr>
              <w:t>（20</w:t>
            </w:r>
            <w:r>
              <w:rPr>
                <w:sz w:val="24"/>
              </w:rPr>
              <w:t>35</w:t>
            </w:r>
            <w:r>
              <w:rPr>
                <w:rFonts w:hint="eastAsia"/>
                <w:sz w:val="24"/>
              </w:rPr>
              <w:t>年）东城灌区保证灌溉面积均</w:t>
            </w:r>
            <w:r>
              <w:rPr>
                <w:sz w:val="24"/>
              </w:rPr>
              <w:t>为16945</w:t>
            </w:r>
            <w:r>
              <w:rPr>
                <w:rFonts w:hint="eastAsia"/>
                <w:sz w:val="24"/>
              </w:rPr>
              <w:t>亩，全部为节水灌溉模式，</w:t>
            </w:r>
            <w:r>
              <w:rPr>
                <w:sz w:val="24"/>
              </w:rPr>
              <w:t>水源为东城河</w:t>
            </w:r>
            <w:r>
              <w:rPr>
                <w:rFonts w:hint="eastAsia"/>
                <w:sz w:val="24"/>
              </w:rPr>
              <w:t>地表水、</w:t>
            </w:r>
            <w:r>
              <w:rPr>
                <w:sz w:val="24"/>
              </w:rPr>
              <w:t>地下水</w:t>
            </w:r>
            <w:r>
              <w:rPr>
                <w:rFonts w:hint="eastAsia"/>
                <w:sz w:val="24"/>
              </w:rPr>
              <w:t>。</w:t>
            </w:r>
          </w:p>
          <w:p>
            <w:pPr>
              <w:spacing w:line="360" w:lineRule="auto"/>
              <w:ind w:firstLine="480"/>
              <w:rPr>
                <w:sz w:val="24"/>
              </w:rPr>
            </w:pPr>
            <w:r>
              <w:rPr>
                <w:rFonts w:hint="eastAsia"/>
                <w:sz w:val="24"/>
              </w:rPr>
              <w:t>现状年灌区</w:t>
            </w:r>
            <w:r>
              <w:rPr>
                <w:sz w:val="24"/>
              </w:rPr>
              <w:t>总需水668.06万m</w:t>
            </w:r>
            <w:r>
              <w:rPr>
                <w:sz w:val="24"/>
                <w:vertAlign w:val="superscript"/>
              </w:rPr>
              <w:t>3</w:t>
            </w:r>
            <w:r>
              <w:rPr>
                <w:rFonts w:hint="eastAsia"/>
                <w:sz w:val="24"/>
              </w:rPr>
              <w:t>，其中</w:t>
            </w:r>
            <w:r>
              <w:rPr>
                <w:sz w:val="24"/>
              </w:rPr>
              <w:t>农业需水602.89</w:t>
            </w:r>
            <w:r>
              <w:rPr>
                <w:rFonts w:hint="eastAsia"/>
                <w:sz w:val="24"/>
              </w:rPr>
              <w:t>万</w:t>
            </w:r>
            <w:r>
              <w:rPr>
                <w:sz w:val="24"/>
              </w:rPr>
              <w:t>m</w:t>
            </w:r>
            <w:r>
              <w:rPr>
                <w:sz w:val="24"/>
                <w:vertAlign w:val="superscript"/>
              </w:rPr>
              <w:t>3</w:t>
            </w:r>
            <w:r>
              <w:rPr>
                <w:sz w:val="24"/>
              </w:rPr>
              <w:t>，居民生活需水32.64</w:t>
            </w:r>
            <w:r>
              <w:rPr>
                <w:rFonts w:hint="eastAsia"/>
                <w:sz w:val="24"/>
              </w:rPr>
              <w:t>万</w:t>
            </w:r>
            <w:r>
              <w:rPr>
                <w:sz w:val="24"/>
              </w:rPr>
              <w:t>m</w:t>
            </w:r>
            <w:r>
              <w:rPr>
                <w:sz w:val="24"/>
                <w:vertAlign w:val="superscript"/>
              </w:rPr>
              <w:t>3</w:t>
            </w:r>
            <w:r>
              <w:rPr>
                <w:sz w:val="24"/>
              </w:rPr>
              <w:t>，牲畜需水30.48</w:t>
            </w:r>
            <w:r>
              <w:rPr>
                <w:rFonts w:hint="eastAsia"/>
                <w:sz w:val="24"/>
              </w:rPr>
              <w:t>万</w:t>
            </w:r>
            <w:r>
              <w:rPr>
                <w:sz w:val="24"/>
              </w:rPr>
              <w:t>m</w:t>
            </w:r>
            <w:r>
              <w:rPr>
                <w:sz w:val="24"/>
                <w:vertAlign w:val="superscript"/>
              </w:rPr>
              <w:t>3</w:t>
            </w:r>
            <w:r>
              <w:rPr>
                <w:sz w:val="24"/>
              </w:rPr>
              <w:t>，工业需水</w:t>
            </w:r>
            <w:r>
              <w:rPr>
                <w:rFonts w:hint="eastAsia"/>
                <w:sz w:val="24"/>
              </w:rPr>
              <w:t>2.0</w:t>
            </w:r>
            <w:r>
              <w:rPr>
                <w:sz w:val="24"/>
              </w:rPr>
              <w:t>4</w:t>
            </w:r>
            <w:r>
              <w:rPr>
                <w:rFonts w:hint="eastAsia"/>
                <w:sz w:val="24"/>
              </w:rPr>
              <w:t>万</w:t>
            </w:r>
            <w:r>
              <w:rPr>
                <w:sz w:val="24"/>
              </w:rPr>
              <w:t>m</w:t>
            </w:r>
            <w:r>
              <w:rPr>
                <w:sz w:val="24"/>
                <w:vertAlign w:val="superscript"/>
              </w:rPr>
              <w:t>3</w:t>
            </w:r>
            <w:r>
              <w:rPr>
                <w:rFonts w:hint="eastAsia"/>
                <w:sz w:val="24"/>
              </w:rPr>
              <w:t>；设计</w:t>
            </w:r>
            <w:r>
              <w:rPr>
                <w:sz w:val="24"/>
              </w:rPr>
              <w:t>水平年灌区总需水568.54万m</w:t>
            </w:r>
            <w:r>
              <w:rPr>
                <w:sz w:val="24"/>
                <w:vertAlign w:val="superscript"/>
              </w:rPr>
              <w:t>3</w:t>
            </w:r>
            <w:r>
              <w:rPr>
                <w:rFonts w:hint="eastAsia"/>
                <w:sz w:val="24"/>
              </w:rPr>
              <w:t>，总需水</w:t>
            </w:r>
            <w:r>
              <w:rPr>
                <w:sz w:val="24"/>
              </w:rPr>
              <w:t>量减少</w:t>
            </w:r>
            <w:r>
              <w:rPr>
                <w:rFonts w:hint="eastAsia"/>
                <w:sz w:val="24"/>
              </w:rPr>
              <w:t>了</w:t>
            </w:r>
            <w:r>
              <w:rPr>
                <w:sz w:val="24"/>
              </w:rPr>
              <w:t>99.52</w:t>
            </w:r>
            <w:r>
              <w:rPr>
                <w:rFonts w:hint="eastAsia"/>
                <w:sz w:val="24"/>
              </w:rPr>
              <w:t>万m</w:t>
            </w:r>
            <w:r>
              <w:rPr>
                <w:sz w:val="24"/>
                <w:vertAlign w:val="superscript"/>
              </w:rPr>
              <w:t>3</w:t>
            </w:r>
            <w:r>
              <w:rPr>
                <w:rFonts w:hint="eastAsia"/>
                <w:sz w:val="24"/>
              </w:rPr>
              <w:t>，其中</w:t>
            </w:r>
            <w:r>
              <w:rPr>
                <w:sz w:val="24"/>
              </w:rPr>
              <w:t>农业需水477.84</w:t>
            </w:r>
            <w:r>
              <w:rPr>
                <w:rFonts w:hint="eastAsia"/>
                <w:sz w:val="24"/>
              </w:rPr>
              <w:t>万</w:t>
            </w:r>
            <w:r>
              <w:rPr>
                <w:sz w:val="24"/>
              </w:rPr>
              <w:t>m</w:t>
            </w:r>
            <w:r>
              <w:rPr>
                <w:sz w:val="24"/>
                <w:vertAlign w:val="superscript"/>
              </w:rPr>
              <w:t>3</w:t>
            </w:r>
            <w:r>
              <w:rPr>
                <w:sz w:val="24"/>
              </w:rPr>
              <w:t>，较现状年减少了125.05</w:t>
            </w:r>
            <w:r>
              <w:rPr>
                <w:rFonts w:hint="eastAsia"/>
                <w:sz w:val="24"/>
              </w:rPr>
              <w:t>万</w:t>
            </w:r>
            <w:r>
              <w:rPr>
                <w:sz w:val="24"/>
              </w:rPr>
              <w:t>m</w:t>
            </w:r>
            <w:r>
              <w:rPr>
                <w:sz w:val="24"/>
                <w:vertAlign w:val="superscript"/>
              </w:rPr>
              <w:t>3</w:t>
            </w:r>
            <w:r>
              <w:rPr>
                <w:rFonts w:hint="eastAsia"/>
                <w:sz w:val="24"/>
              </w:rPr>
              <w:t>，</w:t>
            </w:r>
            <w:r>
              <w:rPr>
                <w:sz w:val="24"/>
              </w:rPr>
              <w:t>居民生活、牲畜及工业需水分别较现状年增加了13.57</w:t>
            </w:r>
            <w:r>
              <w:rPr>
                <w:rFonts w:hint="eastAsia"/>
                <w:sz w:val="24"/>
              </w:rPr>
              <w:t>万</w:t>
            </w:r>
            <w:r>
              <w:rPr>
                <w:sz w:val="24"/>
              </w:rPr>
              <w:t>m</w:t>
            </w:r>
            <w:r>
              <w:rPr>
                <w:sz w:val="24"/>
                <w:vertAlign w:val="superscript"/>
              </w:rPr>
              <w:t>3</w:t>
            </w:r>
            <w:r>
              <w:rPr>
                <w:sz w:val="24"/>
              </w:rPr>
              <w:t>、</w:t>
            </w:r>
            <w:r>
              <w:rPr>
                <w:rFonts w:hint="eastAsia"/>
                <w:sz w:val="24"/>
              </w:rPr>
              <w:t>10.98万</w:t>
            </w:r>
            <w:r>
              <w:rPr>
                <w:sz w:val="24"/>
              </w:rPr>
              <w:t>m</w:t>
            </w:r>
            <w:r>
              <w:rPr>
                <w:sz w:val="24"/>
                <w:vertAlign w:val="superscript"/>
              </w:rPr>
              <w:t>3</w:t>
            </w:r>
            <w:r>
              <w:rPr>
                <w:rFonts w:hint="eastAsia"/>
                <w:sz w:val="24"/>
              </w:rPr>
              <w:t>和</w:t>
            </w:r>
            <w:r>
              <w:rPr>
                <w:sz w:val="24"/>
              </w:rPr>
              <w:t>1.01</w:t>
            </w:r>
            <w:r>
              <w:rPr>
                <w:rFonts w:hint="eastAsia"/>
                <w:sz w:val="24"/>
              </w:rPr>
              <w:t>万</w:t>
            </w:r>
            <w:r>
              <w:rPr>
                <w:sz w:val="24"/>
              </w:rPr>
              <w:t>m</w:t>
            </w:r>
            <w:r>
              <w:rPr>
                <w:sz w:val="24"/>
                <w:vertAlign w:val="superscript"/>
              </w:rPr>
              <w:t>3</w:t>
            </w:r>
            <w:r>
              <w:rPr>
                <w:sz w:val="24"/>
              </w:rPr>
              <w:t>。</w:t>
            </w:r>
          </w:p>
          <w:p>
            <w:pPr>
              <w:spacing w:line="360" w:lineRule="auto"/>
              <w:ind w:firstLine="480"/>
              <w:rPr>
                <w:sz w:val="24"/>
              </w:rPr>
            </w:pPr>
            <w:r>
              <w:rPr>
                <w:rFonts w:hint="eastAsia"/>
                <w:sz w:val="24"/>
              </w:rPr>
              <w:t>（</w:t>
            </w:r>
            <w:r>
              <w:rPr>
                <w:sz w:val="24"/>
              </w:rPr>
              <w:t>3</w:t>
            </w:r>
            <w:r>
              <w:rPr>
                <w:rFonts w:hint="eastAsia"/>
                <w:sz w:val="24"/>
              </w:rPr>
              <w:t>）</w:t>
            </w:r>
            <w:r>
              <w:rPr>
                <w:rFonts w:hint="eastAsia" w:cs="宋体"/>
                <w:kern w:val="0"/>
                <w:sz w:val="24"/>
              </w:rPr>
              <w:t>水资源配置变化分析</w:t>
            </w:r>
          </w:p>
          <w:p>
            <w:pPr>
              <w:spacing w:line="360" w:lineRule="auto"/>
              <w:ind w:firstLine="480"/>
              <w:rPr>
                <w:rFonts w:cs="宋体"/>
                <w:kern w:val="0"/>
                <w:sz w:val="24"/>
              </w:rPr>
            </w:pPr>
            <w:r>
              <w:rPr>
                <w:rFonts w:hint="eastAsia"/>
                <w:sz w:val="24"/>
              </w:rPr>
              <w:t>现状</w:t>
            </w:r>
            <w:r>
              <w:rPr>
                <w:sz w:val="24"/>
              </w:rPr>
              <w:t>年，在</w:t>
            </w:r>
            <w:r>
              <w:rPr>
                <w:rFonts w:hint="eastAsia"/>
                <w:sz w:val="24"/>
              </w:rPr>
              <w:t>P</w:t>
            </w:r>
            <w:r>
              <w:rPr>
                <w:sz w:val="24"/>
              </w:rPr>
              <w:t>=50</w:t>
            </w:r>
            <w:r>
              <w:rPr>
                <w:rFonts w:hint="eastAsia"/>
                <w:sz w:val="24"/>
              </w:rPr>
              <w:t>%来水频率下，东城河地表水来水量</w:t>
            </w:r>
            <w:r>
              <w:rPr>
                <w:sz w:val="24"/>
              </w:rPr>
              <w:t>857.99</w:t>
            </w:r>
            <w:r>
              <w:rPr>
                <w:rFonts w:hint="eastAsia"/>
                <w:sz w:val="24"/>
              </w:rPr>
              <w:t>万m</w:t>
            </w:r>
            <w:r>
              <w:rPr>
                <w:sz w:val="24"/>
                <w:vertAlign w:val="superscript"/>
              </w:rPr>
              <w:t>3</w:t>
            </w:r>
            <w:r>
              <w:rPr>
                <w:rFonts w:hint="eastAsia"/>
                <w:sz w:val="24"/>
              </w:rPr>
              <w:t>，实际</w:t>
            </w:r>
            <w:r>
              <w:rPr>
                <w:sz w:val="24"/>
              </w:rPr>
              <w:t>供水量</w:t>
            </w:r>
            <w:r>
              <w:rPr>
                <w:rFonts w:hint="eastAsia"/>
                <w:sz w:val="24"/>
              </w:rPr>
              <w:t>420.02万</w:t>
            </w:r>
            <w:r>
              <w:rPr>
                <w:sz w:val="24"/>
              </w:rPr>
              <w:t>m</w:t>
            </w:r>
            <w:r>
              <w:rPr>
                <w:sz w:val="24"/>
                <w:vertAlign w:val="superscript"/>
              </w:rPr>
              <w:t>3</w:t>
            </w:r>
            <w:r>
              <w:rPr>
                <w:rFonts w:hint="eastAsia"/>
                <w:sz w:val="24"/>
              </w:rPr>
              <w:t>，其中</w:t>
            </w:r>
            <w:r>
              <w:rPr>
                <w:sz w:val="24"/>
              </w:rPr>
              <w:t>地表水</w:t>
            </w:r>
            <w:r>
              <w:rPr>
                <w:rFonts w:hint="eastAsia"/>
                <w:sz w:val="24"/>
              </w:rPr>
              <w:t>引水量和地下水开采量分别</w:t>
            </w:r>
            <w:r>
              <w:rPr>
                <w:sz w:val="24"/>
              </w:rPr>
              <w:t>为163.06</w:t>
            </w:r>
            <w:r>
              <w:rPr>
                <w:rFonts w:hint="eastAsia"/>
                <w:sz w:val="24"/>
              </w:rPr>
              <w:t>万m</w:t>
            </w:r>
            <w:r>
              <w:rPr>
                <w:sz w:val="24"/>
                <w:vertAlign w:val="superscript"/>
              </w:rPr>
              <w:t>3</w:t>
            </w:r>
            <w:r>
              <w:rPr>
                <w:rFonts w:hint="eastAsia"/>
                <w:sz w:val="24"/>
              </w:rPr>
              <w:t>和2</w:t>
            </w:r>
            <w:r>
              <w:rPr>
                <w:sz w:val="24"/>
              </w:rPr>
              <w:t>56.96</w:t>
            </w:r>
            <w:r>
              <w:rPr>
                <w:rFonts w:hint="eastAsia"/>
                <w:sz w:val="24"/>
              </w:rPr>
              <w:t>万m</w:t>
            </w:r>
            <w:r>
              <w:rPr>
                <w:sz w:val="24"/>
                <w:vertAlign w:val="superscript"/>
              </w:rPr>
              <w:t>3</w:t>
            </w:r>
            <w:r>
              <w:rPr>
                <w:rFonts w:hint="eastAsia"/>
                <w:sz w:val="24"/>
              </w:rPr>
              <w:t>，余水</w:t>
            </w:r>
            <w:r>
              <w:rPr>
                <w:sz w:val="24"/>
              </w:rPr>
              <w:t>694.93</w:t>
            </w:r>
            <w:r>
              <w:rPr>
                <w:rFonts w:hint="eastAsia"/>
                <w:sz w:val="24"/>
              </w:rPr>
              <w:t>万m</w:t>
            </w:r>
            <w:r>
              <w:rPr>
                <w:sz w:val="24"/>
                <w:vertAlign w:val="superscript"/>
              </w:rPr>
              <w:t>3</w:t>
            </w:r>
            <w:r>
              <w:rPr>
                <w:rFonts w:hint="eastAsia"/>
                <w:sz w:val="24"/>
              </w:rPr>
              <w:t>，缺水</w:t>
            </w:r>
            <w:r>
              <w:rPr>
                <w:sz w:val="24"/>
              </w:rPr>
              <w:t>248.03</w:t>
            </w:r>
            <w:r>
              <w:rPr>
                <w:rFonts w:hint="eastAsia"/>
                <w:sz w:val="24"/>
              </w:rPr>
              <w:t>万m</w:t>
            </w:r>
            <w:r>
              <w:rPr>
                <w:sz w:val="24"/>
                <w:vertAlign w:val="superscript"/>
              </w:rPr>
              <w:t>3</w:t>
            </w:r>
            <w:r>
              <w:rPr>
                <w:rFonts w:hint="eastAsia"/>
                <w:sz w:val="24"/>
              </w:rPr>
              <w:t>；P</w:t>
            </w:r>
            <w:r>
              <w:rPr>
                <w:sz w:val="24"/>
              </w:rPr>
              <w:t>=85</w:t>
            </w:r>
            <w:r>
              <w:rPr>
                <w:rFonts w:hint="eastAsia"/>
                <w:sz w:val="24"/>
              </w:rPr>
              <w:t>%来水频率下，地表水来水量</w:t>
            </w:r>
            <w:r>
              <w:rPr>
                <w:sz w:val="24"/>
              </w:rPr>
              <w:t>589.01</w:t>
            </w:r>
            <w:r>
              <w:rPr>
                <w:rFonts w:hint="eastAsia"/>
                <w:sz w:val="24"/>
              </w:rPr>
              <w:t>万m</w:t>
            </w:r>
            <w:r>
              <w:rPr>
                <w:sz w:val="24"/>
                <w:vertAlign w:val="superscript"/>
              </w:rPr>
              <w:t>3</w:t>
            </w:r>
            <w:r>
              <w:rPr>
                <w:rFonts w:hint="eastAsia"/>
                <w:sz w:val="24"/>
              </w:rPr>
              <w:t>，实际</w:t>
            </w:r>
            <w:r>
              <w:rPr>
                <w:sz w:val="24"/>
              </w:rPr>
              <w:t>供水量</w:t>
            </w:r>
            <w:r>
              <w:rPr>
                <w:rFonts w:hint="eastAsia"/>
                <w:sz w:val="24"/>
              </w:rPr>
              <w:t>420.02万</w:t>
            </w:r>
            <w:r>
              <w:rPr>
                <w:sz w:val="24"/>
              </w:rPr>
              <w:t>m</w:t>
            </w:r>
            <w:r>
              <w:rPr>
                <w:sz w:val="24"/>
                <w:vertAlign w:val="superscript"/>
              </w:rPr>
              <w:t>3</w:t>
            </w:r>
            <w:r>
              <w:rPr>
                <w:rFonts w:hint="eastAsia"/>
                <w:sz w:val="24"/>
              </w:rPr>
              <w:t>，其中</w:t>
            </w:r>
            <w:r>
              <w:rPr>
                <w:sz w:val="24"/>
              </w:rPr>
              <w:t>地表水</w:t>
            </w:r>
            <w:r>
              <w:rPr>
                <w:rFonts w:hint="eastAsia"/>
                <w:sz w:val="24"/>
              </w:rPr>
              <w:t>引水量和地下水开采量分别</w:t>
            </w:r>
            <w:r>
              <w:rPr>
                <w:sz w:val="24"/>
              </w:rPr>
              <w:t>为163.03</w:t>
            </w:r>
            <w:r>
              <w:rPr>
                <w:rFonts w:hint="eastAsia"/>
                <w:sz w:val="24"/>
              </w:rPr>
              <w:t>万m</w:t>
            </w:r>
            <w:r>
              <w:rPr>
                <w:sz w:val="24"/>
                <w:vertAlign w:val="superscript"/>
              </w:rPr>
              <w:t>3</w:t>
            </w:r>
            <w:r>
              <w:rPr>
                <w:rFonts w:hint="eastAsia"/>
                <w:sz w:val="24"/>
              </w:rPr>
              <w:t>和2</w:t>
            </w:r>
            <w:r>
              <w:rPr>
                <w:sz w:val="24"/>
              </w:rPr>
              <w:t>56.96</w:t>
            </w:r>
            <w:r>
              <w:rPr>
                <w:rFonts w:hint="eastAsia"/>
                <w:sz w:val="24"/>
              </w:rPr>
              <w:t>万m</w:t>
            </w:r>
            <w:r>
              <w:rPr>
                <w:sz w:val="24"/>
                <w:vertAlign w:val="superscript"/>
              </w:rPr>
              <w:t>3</w:t>
            </w:r>
            <w:r>
              <w:rPr>
                <w:rFonts w:hint="eastAsia"/>
                <w:sz w:val="24"/>
              </w:rPr>
              <w:t>，余水</w:t>
            </w:r>
            <w:r>
              <w:rPr>
                <w:sz w:val="24"/>
              </w:rPr>
              <w:t>425.95</w:t>
            </w:r>
            <w:r>
              <w:rPr>
                <w:rFonts w:hint="eastAsia"/>
                <w:sz w:val="24"/>
              </w:rPr>
              <w:t>万m</w:t>
            </w:r>
            <w:r>
              <w:rPr>
                <w:sz w:val="24"/>
                <w:vertAlign w:val="superscript"/>
              </w:rPr>
              <w:t>3</w:t>
            </w:r>
            <w:r>
              <w:rPr>
                <w:rFonts w:hint="eastAsia"/>
                <w:sz w:val="24"/>
              </w:rPr>
              <w:t>，缺水</w:t>
            </w:r>
            <w:r>
              <w:rPr>
                <w:sz w:val="24"/>
              </w:rPr>
              <w:t>248.03</w:t>
            </w:r>
            <w:r>
              <w:rPr>
                <w:rFonts w:hint="eastAsia"/>
                <w:sz w:val="24"/>
              </w:rPr>
              <w:t>万m</w:t>
            </w:r>
            <w:r>
              <w:rPr>
                <w:sz w:val="24"/>
                <w:vertAlign w:val="superscript"/>
              </w:rPr>
              <w:t>3</w:t>
            </w:r>
            <w:r>
              <w:rPr>
                <w:rFonts w:hint="eastAsia"/>
                <w:sz w:val="24"/>
              </w:rPr>
              <w:t>；P</w:t>
            </w:r>
            <w:r>
              <w:rPr>
                <w:sz w:val="24"/>
              </w:rPr>
              <w:t>=95</w:t>
            </w:r>
            <w:r>
              <w:rPr>
                <w:rFonts w:hint="eastAsia"/>
                <w:sz w:val="24"/>
              </w:rPr>
              <w:t>%来水频率下，地表水来水量</w:t>
            </w:r>
            <w:r>
              <w:rPr>
                <w:sz w:val="24"/>
              </w:rPr>
              <w:t>478.02</w:t>
            </w:r>
            <w:r>
              <w:rPr>
                <w:rFonts w:hint="eastAsia"/>
                <w:sz w:val="24"/>
              </w:rPr>
              <w:t>万m</w:t>
            </w:r>
            <w:r>
              <w:rPr>
                <w:sz w:val="24"/>
                <w:vertAlign w:val="superscript"/>
              </w:rPr>
              <w:t>3</w:t>
            </w:r>
            <w:r>
              <w:rPr>
                <w:rFonts w:hint="eastAsia"/>
                <w:sz w:val="24"/>
              </w:rPr>
              <w:t>，实际</w:t>
            </w:r>
            <w:r>
              <w:rPr>
                <w:sz w:val="24"/>
              </w:rPr>
              <w:t>供水全为地表水</w:t>
            </w:r>
            <w:r>
              <w:rPr>
                <w:rFonts w:hint="eastAsia"/>
                <w:sz w:val="24"/>
              </w:rPr>
              <w:t>引水量，</w:t>
            </w:r>
            <w:r>
              <w:rPr>
                <w:sz w:val="24"/>
              </w:rPr>
              <w:t>为65.16</w:t>
            </w:r>
            <w:r>
              <w:rPr>
                <w:rFonts w:hint="eastAsia"/>
                <w:sz w:val="24"/>
              </w:rPr>
              <w:t>万m</w:t>
            </w:r>
            <w:r>
              <w:rPr>
                <w:sz w:val="24"/>
                <w:vertAlign w:val="superscript"/>
              </w:rPr>
              <w:t>3</w:t>
            </w:r>
            <w:r>
              <w:rPr>
                <w:rFonts w:hint="eastAsia"/>
                <w:sz w:val="24"/>
              </w:rPr>
              <w:t>，余水</w:t>
            </w:r>
            <w:r>
              <w:rPr>
                <w:sz w:val="24"/>
              </w:rPr>
              <w:t>694.93</w:t>
            </w:r>
            <w:r>
              <w:rPr>
                <w:rFonts w:hint="eastAsia"/>
                <w:sz w:val="24"/>
              </w:rPr>
              <w:t>万m</w:t>
            </w:r>
            <w:r>
              <w:rPr>
                <w:sz w:val="24"/>
                <w:vertAlign w:val="superscript"/>
              </w:rPr>
              <w:t>3</w:t>
            </w:r>
            <w:r>
              <w:rPr>
                <w:rFonts w:hint="eastAsia"/>
                <w:sz w:val="24"/>
              </w:rPr>
              <w:t>，无地下水</w:t>
            </w:r>
            <w:r>
              <w:rPr>
                <w:sz w:val="24"/>
              </w:rPr>
              <w:t>开采量</w:t>
            </w:r>
            <w:r>
              <w:rPr>
                <w:rFonts w:hint="eastAsia"/>
                <w:sz w:val="24"/>
              </w:rPr>
              <w:t>，无缺水，但未考虑农业需水要求。</w:t>
            </w:r>
          </w:p>
          <w:p>
            <w:pPr>
              <w:spacing w:line="360" w:lineRule="auto"/>
              <w:ind w:firstLine="480"/>
              <w:rPr>
                <w:sz w:val="24"/>
              </w:rPr>
            </w:pPr>
            <w:r>
              <w:rPr>
                <w:rFonts w:hint="eastAsia"/>
                <w:sz w:val="24"/>
              </w:rPr>
              <w:t>设计</w:t>
            </w:r>
            <w:r>
              <w:rPr>
                <w:sz w:val="24"/>
              </w:rPr>
              <w:t>水平年，</w:t>
            </w:r>
            <w:r>
              <w:rPr>
                <w:rFonts w:hint="eastAsia"/>
                <w:sz w:val="24"/>
              </w:rPr>
              <w:t>红山嘴水库建设运行后，通过其径流调蓄，P</w:t>
            </w:r>
            <w:r>
              <w:rPr>
                <w:sz w:val="24"/>
              </w:rPr>
              <w:t>=50</w:t>
            </w:r>
            <w:r>
              <w:rPr>
                <w:rFonts w:hint="eastAsia"/>
                <w:sz w:val="24"/>
              </w:rPr>
              <w:t>%来水频率下，实际</w:t>
            </w:r>
            <w:r>
              <w:rPr>
                <w:sz w:val="24"/>
              </w:rPr>
              <w:t>供水量</w:t>
            </w:r>
            <w:r>
              <w:rPr>
                <w:rFonts w:hint="eastAsia"/>
                <w:sz w:val="24"/>
              </w:rPr>
              <w:t>568.54万</w:t>
            </w:r>
            <w:r>
              <w:rPr>
                <w:sz w:val="24"/>
              </w:rPr>
              <w:t>m</w:t>
            </w:r>
            <w:r>
              <w:rPr>
                <w:sz w:val="24"/>
                <w:vertAlign w:val="superscript"/>
              </w:rPr>
              <w:t>3</w:t>
            </w:r>
            <w:r>
              <w:rPr>
                <w:rFonts w:hint="eastAsia"/>
                <w:sz w:val="24"/>
              </w:rPr>
              <w:t>，其中地表水供水量和地下水开采量（折地表水）分别</w:t>
            </w:r>
            <w:r>
              <w:rPr>
                <w:sz w:val="24"/>
              </w:rPr>
              <w:t>384.61</w:t>
            </w:r>
            <w:r>
              <w:rPr>
                <w:rFonts w:hint="eastAsia"/>
                <w:sz w:val="24"/>
              </w:rPr>
              <w:t>万m</w:t>
            </w:r>
            <w:r>
              <w:rPr>
                <w:sz w:val="24"/>
                <w:vertAlign w:val="superscript"/>
              </w:rPr>
              <w:t>3</w:t>
            </w:r>
            <w:r>
              <w:rPr>
                <w:rFonts w:hint="eastAsia"/>
                <w:sz w:val="24"/>
              </w:rPr>
              <w:t>和</w:t>
            </w:r>
            <w:r>
              <w:rPr>
                <w:sz w:val="24"/>
              </w:rPr>
              <w:t>183.95</w:t>
            </w:r>
            <w:r>
              <w:rPr>
                <w:rFonts w:hint="eastAsia"/>
                <w:sz w:val="24"/>
              </w:rPr>
              <w:t>万m</w:t>
            </w:r>
            <w:r>
              <w:rPr>
                <w:sz w:val="24"/>
                <w:vertAlign w:val="superscript"/>
              </w:rPr>
              <w:t>3</w:t>
            </w:r>
            <w:r>
              <w:rPr>
                <w:rFonts w:hint="eastAsia"/>
                <w:sz w:val="24"/>
              </w:rPr>
              <w:t>，地表水余水量</w:t>
            </w:r>
            <w:r>
              <w:rPr>
                <w:sz w:val="24"/>
              </w:rPr>
              <w:t>473.38</w:t>
            </w:r>
            <w:r>
              <w:rPr>
                <w:rFonts w:hint="eastAsia"/>
                <w:sz w:val="24"/>
              </w:rPr>
              <w:t>万m</w:t>
            </w:r>
            <w:r>
              <w:rPr>
                <w:sz w:val="24"/>
                <w:vertAlign w:val="superscript"/>
              </w:rPr>
              <w:t>3</w:t>
            </w:r>
            <w:r>
              <w:rPr>
                <w:rFonts w:hint="eastAsia"/>
                <w:sz w:val="24"/>
              </w:rPr>
              <w:t>，各业</w:t>
            </w:r>
            <w:r>
              <w:rPr>
                <w:sz w:val="24"/>
              </w:rPr>
              <w:t>均不缺水</w:t>
            </w:r>
            <w:r>
              <w:rPr>
                <w:rFonts w:hint="eastAsia"/>
                <w:sz w:val="24"/>
              </w:rPr>
              <w:t>；P</w:t>
            </w:r>
            <w:r>
              <w:rPr>
                <w:sz w:val="24"/>
              </w:rPr>
              <w:t>=85</w:t>
            </w:r>
            <w:r>
              <w:rPr>
                <w:rFonts w:hint="eastAsia"/>
                <w:sz w:val="24"/>
              </w:rPr>
              <w:t>%来水频率下，实际</w:t>
            </w:r>
            <w:r>
              <w:rPr>
                <w:sz w:val="24"/>
              </w:rPr>
              <w:t>供水量为</w:t>
            </w:r>
            <w:r>
              <w:rPr>
                <w:rFonts w:hint="eastAsia"/>
                <w:sz w:val="24"/>
              </w:rPr>
              <w:t>568.5</w:t>
            </w:r>
            <w:r>
              <w:rPr>
                <w:sz w:val="24"/>
              </w:rPr>
              <w:t>4</w:t>
            </w:r>
            <w:r>
              <w:rPr>
                <w:rFonts w:hint="eastAsia"/>
                <w:sz w:val="24"/>
              </w:rPr>
              <w:t>万m</w:t>
            </w:r>
            <w:r>
              <w:rPr>
                <w:sz w:val="24"/>
                <w:vertAlign w:val="superscript"/>
              </w:rPr>
              <w:t>3</w:t>
            </w:r>
            <w:r>
              <w:rPr>
                <w:rFonts w:hint="eastAsia"/>
                <w:sz w:val="24"/>
              </w:rPr>
              <w:t>，其中地表水供水量和地下水开采量（折</w:t>
            </w:r>
            <w:r>
              <w:rPr>
                <w:sz w:val="24"/>
              </w:rPr>
              <w:t>地表水</w:t>
            </w:r>
            <w:r>
              <w:rPr>
                <w:rFonts w:hint="eastAsia"/>
                <w:sz w:val="24"/>
              </w:rPr>
              <w:t>）分别</w:t>
            </w:r>
            <w:r>
              <w:rPr>
                <w:sz w:val="24"/>
              </w:rPr>
              <w:t>为384.61</w:t>
            </w:r>
            <w:r>
              <w:rPr>
                <w:rFonts w:hint="eastAsia"/>
                <w:sz w:val="24"/>
              </w:rPr>
              <w:t>万m</w:t>
            </w:r>
            <w:r>
              <w:rPr>
                <w:sz w:val="24"/>
                <w:vertAlign w:val="superscript"/>
              </w:rPr>
              <w:t>3</w:t>
            </w:r>
            <w:r>
              <w:rPr>
                <w:rFonts w:hint="eastAsia"/>
                <w:sz w:val="24"/>
              </w:rPr>
              <w:t>和</w:t>
            </w:r>
            <w:r>
              <w:rPr>
                <w:sz w:val="24"/>
              </w:rPr>
              <w:t>183.95</w:t>
            </w:r>
            <w:r>
              <w:rPr>
                <w:rFonts w:hint="eastAsia"/>
                <w:sz w:val="24"/>
              </w:rPr>
              <w:t>万m</w:t>
            </w:r>
            <w:r>
              <w:rPr>
                <w:sz w:val="24"/>
                <w:vertAlign w:val="superscript"/>
              </w:rPr>
              <w:t>3</w:t>
            </w:r>
            <w:r>
              <w:rPr>
                <w:rFonts w:hint="eastAsia"/>
                <w:sz w:val="24"/>
              </w:rPr>
              <w:t>，地表水余水量</w:t>
            </w:r>
            <w:r>
              <w:rPr>
                <w:sz w:val="24"/>
              </w:rPr>
              <w:t>204.40</w:t>
            </w:r>
            <w:r>
              <w:rPr>
                <w:rFonts w:hint="eastAsia"/>
                <w:sz w:val="24"/>
              </w:rPr>
              <w:t>万m</w:t>
            </w:r>
            <w:r>
              <w:rPr>
                <w:sz w:val="24"/>
                <w:vertAlign w:val="superscript"/>
              </w:rPr>
              <w:t>3</w:t>
            </w:r>
            <w:r>
              <w:rPr>
                <w:rFonts w:hint="eastAsia"/>
                <w:sz w:val="24"/>
              </w:rPr>
              <w:t>，各业均不</w:t>
            </w:r>
            <w:r>
              <w:rPr>
                <w:sz w:val="24"/>
              </w:rPr>
              <w:t>缺水</w:t>
            </w:r>
            <w:r>
              <w:rPr>
                <w:rFonts w:hint="eastAsia"/>
                <w:sz w:val="24"/>
              </w:rPr>
              <w:t>；P</w:t>
            </w:r>
            <w:r>
              <w:rPr>
                <w:sz w:val="24"/>
              </w:rPr>
              <w:t>=95</w:t>
            </w:r>
            <w:r>
              <w:rPr>
                <w:rFonts w:hint="eastAsia"/>
                <w:sz w:val="24"/>
              </w:rPr>
              <w:t>%来水频率下，实际</w:t>
            </w:r>
            <w:r>
              <w:rPr>
                <w:sz w:val="24"/>
              </w:rPr>
              <w:t>供水量为90.71</w:t>
            </w:r>
            <w:r>
              <w:rPr>
                <w:rFonts w:hint="eastAsia"/>
                <w:sz w:val="24"/>
              </w:rPr>
              <w:t>万m</w:t>
            </w:r>
            <w:r>
              <w:rPr>
                <w:sz w:val="24"/>
                <w:vertAlign w:val="superscript"/>
              </w:rPr>
              <w:t>3</w:t>
            </w:r>
            <w:r>
              <w:rPr>
                <w:rFonts w:hint="eastAsia"/>
                <w:sz w:val="24"/>
              </w:rPr>
              <w:t>，均</w:t>
            </w:r>
            <w:r>
              <w:rPr>
                <w:sz w:val="24"/>
              </w:rPr>
              <w:t>为</w:t>
            </w:r>
            <w:r>
              <w:rPr>
                <w:rFonts w:hint="eastAsia"/>
                <w:sz w:val="24"/>
              </w:rPr>
              <w:t>地表水，无地下水</w:t>
            </w:r>
            <w:r>
              <w:rPr>
                <w:sz w:val="24"/>
              </w:rPr>
              <w:t>开采</w:t>
            </w:r>
            <w:r>
              <w:rPr>
                <w:rFonts w:hint="eastAsia"/>
                <w:sz w:val="24"/>
              </w:rPr>
              <w:t>，地表水余水量</w:t>
            </w:r>
            <w:r>
              <w:rPr>
                <w:sz w:val="24"/>
              </w:rPr>
              <w:t>387.31</w:t>
            </w:r>
            <w:r>
              <w:rPr>
                <w:rFonts w:hint="eastAsia"/>
                <w:sz w:val="24"/>
              </w:rPr>
              <w:t>万m</w:t>
            </w:r>
            <w:r>
              <w:rPr>
                <w:sz w:val="24"/>
                <w:vertAlign w:val="superscript"/>
              </w:rPr>
              <w:t>3</w:t>
            </w:r>
            <w:r>
              <w:rPr>
                <w:rFonts w:hint="eastAsia"/>
                <w:sz w:val="24"/>
              </w:rPr>
              <w:t>，生活</w:t>
            </w:r>
            <w:r>
              <w:rPr>
                <w:sz w:val="24"/>
              </w:rPr>
              <w:t>、牲畜</w:t>
            </w:r>
            <w:r>
              <w:rPr>
                <w:rFonts w:hint="eastAsia"/>
                <w:sz w:val="24"/>
              </w:rPr>
              <w:t>和</w:t>
            </w:r>
            <w:r>
              <w:rPr>
                <w:sz w:val="24"/>
              </w:rPr>
              <w:t>工业均不缺水</w:t>
            </w:r>
            <w:r>
              <w:rPr>
                <w:rFonts w:hint="eastAsia"/>
                <w:sz w:val="24"/>
              </w:rPr>
              <w:t>，但未考虑农业需水要求。</w:t>
            </w:r>
          </w:p>
          <w:p>
            <w:pPr>
              <w:spacing w:line="360" w:lineRule="auto"/>
              <w:ind w:firstLine="480"/>
              <w:rPr>
                <w:sz w:val="24"/>
              </w:rPr>
            </w:pPr>
            <w:r>
              <w:rPr>
                <w:rFonts w:hint="eastAsia"/>
                <w:sz w:val="24"/>
              </w:rPr>
              <w:t>不同水平年</w:t>
            </w:r>
            <w:r>
              <w:rPr>
                <w:sz w:val="24"/>
              </w:rPr>
              <w:t>P=95%</w:t>
            </w:r>
            <w:r>
              <w:rPr>
                <w:rFonts w:hint="eastAsia"/>
                <w:sz w:val="24"/>
              </w:rPr>
              <w:t>来水频率下，水资源配置均未考虑农业需水和供水，建议主体工程进一步优化水资源配置。</w:t>
            </w:r>
          </w:p>
          <w:p>
            <w:pPr>
              <w:jc w:val="left"/>
              <w:rPr>
                <w:rFonts w:eastAsia="黑体"/>
                <w:sz w:val="24"/>
              </w:rPr>
            </w:pPr>
            <w:r>
              <w:rPr>
                <w:rFonts w:eastAsia="黑体"/>
                <w:sz w:val="24"/>
              </w:rPr>
              <w:t>表5                不同来水频率下水资源配置变化             单位：万m</w:t>
            </w:r>
            <w:r>
              <w:rPr>
                <w:rFonts w:eastAsia="黑体"/>
                <w:sz w:val="24"/>
                <w:vertAlign w:val="superscript"/>
              </w:rPr>
              <w:t>3</w:t>
            </w:r>
          </w:p>
          <w:tbl>
            <w:tblPr>
              <w:tblStyle w:val="21"/>
              <w:tblW w:w="85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6"/>
              <w:gridCol w:w="1263"/>
              <w:gridCol w:w="606"/>
              <w:gridCol w:w="866"/>
              <w:gridCol w:w="617"/>
              <w:gridCol w:w="606"/>
              <w:gridCol w:w="866"/>
              <w:gridCol w:w="617"/>
              <w:gridCol w:w="606"/>
              <w:gridCol w:w="866"/>
              <w:gridCol w:w="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389" w:type="dxa"/>
                  <w:gridSpan w:val="2"/>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来水频率</w:t>
                  </w:r>
                </w:p>
              </w:tc>
              <w:tc>
                <w:tcPr>
                  <w:tcW w:w="2089" w:type="dxa"/>
                  <w:gridSpan w:val="3"/>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P=50%</w:t>
                  </w:r>
                </w:p>
              </w:tc>
              <w:tc>
                <w:tcPr>
                  <w:tcW w:w="2089" w:type="dxa"/>
                  <w:gridSpan w:val="3"/>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P=</w:t>
                  </w:r>
                  <w:r>
                    <w:rPr>
                      <w:rFonts w:ascii="宋体" w:hAnsi="宋体" w:cs="宋体"/>
                      <w:kern w:val="0"/>
                      <w:sz w:val="13"/>
                      <w:szCs w:val="13"/>
                    </w:rPr>
                    <w:t>85</w:t>
                  </w:r>
                  <w:r>
                    <w:rPr>
                      <w:rFonts w:hint="eastAsia" w:ascii="宋体" w:hAnsi="宋体" w:cs="宋体"/>
                      <w:kern w:val="0"/>
                      <w:sz w:val="13"/>
                      <w:szCs w:val="13"/>
                    </w:rPr>
                    <w:t>%</w:t>
                  </w:r>
                </w:p>
              </w:tc>
              <w:tc>
                <w:tcPr>
                  <w:tcW w:w="2024" w:type="dxa"/>
                  <w:gridSpan w:val="3"/>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P=</w:t>
                  </w:r>
                  <w:r>
                    <w:rPr>
                      <w:rFonts w:ascii="宋体" w:hAnsi="宋体" w:cs="宋体"/>
                      <w:kern w:val="0"/>
                      <w:sz w:val="13"/>
                      <w:szCs w:val="13"/>
                    </w:rPr>
                    <w:t>95</w:t>
                  </w:r>
                  <w:r>
                    <w:rPr>
                      <w:rFonts w:hint="eastAsia" w:ascii="宋体" w:hAnsi="宋体" w:cs="宋体"/>
                      <w:kern w:val="0"/>
                      <w:sz w:val="13"/>
                      <w:szCs w:val="13"/>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2389" w:type="dxa"/>
                  <w:gridSpan w:val="2"/>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水平年</w:t>
                  </w:r>
                </w:p>
              </w:tc>
              <w:tc>
                <w:tcPr>
                  <w:tcW w:w="606"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现状年</w:t>
                  </w:r>
                </w:p>
              </w:tc>
              <w:tc>
                <w:tcPr>
                  <w:tcW w:w="866"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设计水平年</w:t>
                  </w:r>
                </w:p>
              </w:tc>
              <w:tc>
                <w:tcPr>
                  <w:tcW w:w="617"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变化</w:t>
                  </w:r>
                </w:p>
              </w:tc>
              <w:tc>
                <w:tcPr>
                  <w:tcW w:w="606"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现状年</w:t>
                  </w:r>
                </w:p>
              </w:tc>
              <w:tc>
                <w:tcPr>
                  <w:tcW w:w="866"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设计水平年</w:t>
                  </w:r>
                </w:p>
              </w:tc>
              <w:tc>
                <w:tcPr>
                  <w:tcW w:w="617"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变化</w:t>
                  </w:r>
                </w:p>
              </w:tc>
              <w:tc>
                <w:tcPr>
                  <w:tcW w:w="606"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现状年</w:t>
                  </w:r>
                </w:p>
              </w:tc>
              <w:tc>
                <w:tcPr>
                  <w:tcW w:w="866"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设计水平年</w:t>
                  </w:r>
                </w:p>
              </w:tc>
              <w:tc>
                <w:tcPr>
                  <w:tcW w:w="552"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restart"/>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水资源量</w:t>
                  </w:r>
                </w:p>
              </w:tc>
              <w:tc>
                <w:tcPr>
                  <w:tcW w:w="1263" w:type="dxa"/>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3"/>
                      <w:szCs w:val="13"/>
                    </w:rPr>
                    <w:t>东城河来水量</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857.99</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857.99</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589.01</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589.01</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478.02</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478.02</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continue"/>
                  <w:shd w:val="clear" w:color="auto" w:fill="auto"/>
                  <w:noWrap/>
                  <w:vAlign w:val="center"/>
                </w:tcPr>
                <w:p>
                  <w:pPr>
                    <w:widowControl/>
                    <w:jc w:val="center"/>
                    <w:rPr>
                      <w:rFonts w:ascii="宋体" w:hAnsi="宋体" w:cs="宋体"/>
                      <w:kern w:val="0"/>
                      <w:sz w:val="13"/>
                      <w:szCs w:val="13"/>
                    </w:rPr>
                  </w:pPr>
                </w:p>
              </w:tc>
              <w:tc>
                <w:tcPr>
                  <w:tcW w:w="1263" w:type="dxa"/>
                  <w:shd w:val="clear" w:color="auto" w:fill="auto"/>
                  <w:vAlign w:val="center"/>
                </w:tcPr>
                <w:p>
                  <w:pPr>
                    <w:widowControl/>
                    <w:jc w:val="center"/>
                    <w:rPr>
                      <w:rFonts w:ascii="宋体" w:hAnsi="宋体" w:cs="宋体"/>
                      <w:kern w:val="0"/>
                      <w:sz w:val="13"/>
                      <w:szCs w:val="13"/>
                    </w:rPr>
                  </w:pPr>
                  <w:r>
                    <w:rPr>
                      <w:rFonts w:hint="eastAsia" w:ascii="宋体" w:hAnsi="宋体" w:cs="宋体"/>
                      <w:kern w:val="0"/>
                      <w:sz w:val="13"/>
                      <w:szCs w:val="13"/>
                    </w:rPr>
                    <w:t>地下水（折地表水）</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256.96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183.95</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-73.01</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256.96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183.95</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-73.01</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200.89</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183.95</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-16.94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restart"/>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需水量</w:t>
                  </w: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农业需水</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602.89</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477.84</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-125.05</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602.89</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477.84</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-125.05</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continue"/>
                  <w:vAlign w:val="center"/>
                </w:tcPr>
                <w:p>
                  <w:pPr>
                    <w:widowControl/>
                    <w:jc w:val="center"/>
                    <w:rPr>
                      <w:rFonts w:ascii="宋体" w:hAnsi="宋体" w:cs="宋体"/>
                      <w:kern w:val="0"/>
                      <w:sz w:val="13"/>
                      <w:szCs w:val="13"/>
                    </w:rPr>
                  </w:pP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居民</w:t>
                  </w:r>
                  <w:r>
                    <w:rPr>
                      <w:rFonts w:ascii="宋体" w:hAnsi="宋体" w:cs="宋体"/>
                      <w:kern w:val="0"/>
                      <w:sz w:val="13"/>
                      <w:szCs w:val="13"/>
                    </w:rPr>
                    <w:t>生活需水</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32.64</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46.21</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13.57</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32.64</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46.21</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13.57</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32.64</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46.20</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13.56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continue"/>
                  <w:vAlign w:val="center"/>
                </w:tcPr>
                <w:p>
                  <w:pPr>
                    <w:widowControl/>
                    <w:jc w:val="center"/>
                    <w:rPr>
                      <w:rFonts w:ascii="宋体" w:hAnsi="宋体" w:cs="宋体"/>
                      <w:kern w:val="0"/>
                      <w:sz w:val="13"/>
                      <w:szCs w:val="13"/>
                    </w:rPr>
                  </w:pP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牲畜</w:t>
                  </w:r>
                  <w:r>
                    <w:rPr>
                      <w:rFonts w:ascii="宋体" w:hAnsi="宋体" w:cs="宋体"/>
                      <w:kern w:val="0"/>
                      <w:sz w:val="13"/>
                      <w:szCs w:val="13"/>
                    </w:rPr>
                    <w:t>需水</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30.48</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41.46</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10.98</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30.48</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41.46</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10.98</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30.48</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41.40</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10.92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continue"/>
                  <w:vAlign w:val="center"/>
                </w:tcPr>
                <w:p>
                  <w:pPr>
                    <w:widowControl/>
                    <w:jc w:val="center"/>
                    <w:rPr>
                      <w:rFonts w:ascii="宋体" w:hAnsi="宋体" w:cs="宋体"/>
                      <w:kern w:val="0"/>
                      <w:sz w:val="13"/>
                      <w:szCs w:val="13"/>
                    </w:rPr>
                  </w:pP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工业</w:t>
                  </w:r>
                  <w:r>
                    <w:rPr>
                      <w:rFonts w:ascii="宋体" w:hAnsi="宋体" w:cs="宋体"/>
                      <w:kern w:val="0"/>
                      <w:sz w:val="13"/>
                      <w:szCs w:val="13"/>
                    </w:rPr>
                    <w:t>需水</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2.04</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3.05</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1.01</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2.04</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3.05</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1.01</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2.04</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3.05</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continue"/>
                  <w:vAlign w:val="center"/>
                </w:tcPr>
                <w:p>
                  <w:pPr>
                    <w:widowControl/>
                    <w:jc w:val="center"/>
                    <w:rPr>
                      <w:rFonts w:ascii="宋体" w:hAnsi="宋体" w:cs="宋体"/>
                      <w:kern w:val="0"/>
                      <w:sz w:val="13"/>
                      <w:szCs w:val="13"/>
                    </w:rPr>
                  </w:pP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小计</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668.05</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568.54</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-99.51</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668.05</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568.54</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-99.52</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65.16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90.71</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restart"/>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供水量</w:t>
                  </w: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地表水供水量</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163.06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384.61</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221.55</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163.06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384.61</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221.55</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65.16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90.71</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continue"/>
                  <w:vAlign w:val="center"/>
                </w:tcPr>
                <w:p>
                  <w:pPr>
                    <w:widowControl/>
                    <w:jc w:val="center"/>
                    <w:rPr>
                      <w:rFonts w:ascii="宋体" w:hAnsi="宋体" w:cs="宋体"/>
                      <w:kern w:val="0"/>
                      <w:sz w:val="13"/>
                      <w:szCs w:val="13"/>
                    </w:rPr>
                  </w:pP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地下水供水量</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256.96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183.95</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-73.01</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256.96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183.95</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-73.01</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continue"/>
                  <w:vAlign w:val="center"/>
                </w:tcPr>
                <w:p>
                  <w:pPr>
                    <w:widowControl/>
                    <w:jc w:val="center"/>
                    <w:rPr>
                      <w:rFonts w:ascii="宋体" w:hAnsi="宋体" w:cs="宋体"/>
                      <w:kern w:val="0"/>
                      <w:sz w:val="13"/>
                      <w:szCs w:val="13"/>
                    </w:rPr>
                  </w:pP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小计</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420.02</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568.54</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148.52</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420.02</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568.54</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148.52</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65.16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90.71</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restart"/>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供水区用水平衡</w:t>
                  </w: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余水量</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694.93</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473.38</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-221.55</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425.95</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204.40</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-221.55</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412.86</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387.31</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-25.55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trPr>
              <w:tc>
                <w:tcPr>
                  <w:tcW w:w="1126" w:type="dxa"/>
                  <w:vMerge w:val="continue"/>
                  <w:vAlign w:val="center"/>
                </w:tcPr>
                <w:p>
                  <w:pPr>
                    <w:widowControl/>
                    <w:jc w:val="center"/>
                    <w:rPr>
                      <w:rFonts w:ascii="宋体" w:hAnsi="宋体" w:cs="宋体"/>
                      <w:kern w:val="0"/>
                      <w:sz w:val="13"/>
                      <w:szCs w:val="13"/>
                    </w:rPr>
                  </w:pPr>
                </w:p>
              </w:tc>
              <w:tc>
                <w:tcPr>
                  <w:tcW w:w="1263" w:type="dxa"/>
                  <w:shd w:val="clear" w:color="auto" w:fill="auto"/>
                  <w:noWrap/>
                  <w:vAlign w:val="center"/>
                </w:tcPr>
                <w:p>
                  <w:pPr>
                    <w:widowControl/>
                    <w:jc w:val="center"/>
                    <w:rPr>
                      <w:rFonts w:ascii="宋体" w:hAnsi="宋体" w:cs="宋体"/>
                      <w:kern w:val="0"/>
                      <w:sz w:val="13"/>
                      <w:szCs w:val="13"/>
                    </w:rPr>
                  </w:pPr>
                  <w:r>
                    <w:rPr>
                      <w:rFonts w:hint="eastAsia" w:ascii="宋体" w:hAnsi="宋体" w:cs="宋体"/>
                      <w:kern w:val="0"/>
                      <w:sz w:val="13"/>
                      <w:szCs w:val="13"/>
                    </w:rPr>
                    <w:t>缺水量</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248.03</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-248.03</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248.03</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617" w:type="dxa"/>
                  <w:shd w:val="clear" w:color="auto" w:fill="auto"/>
                  <w:noWrap/>
                  <w:vAlign w:val="center"/>
                </w:tcPr>
                <w:p>
                  <w:pPr>
                    <w:widowControl/>
                    <w:jc w:val="center"/>
                    <w:rPr>
                      <w:rFonts w:ascii="宋体" w:hAnsi="宋体" w:cs="宋体"/>
                      <w:kern w:val="0"/>
                      <w:sz w:val="13"/>
                      <w:szCs w:val="13"/>
                    </w:rPr>
                  </w:pPr>
                  <w:r>
                    <w:rPr>
                      <w:kern w:val="0"/>
                      <w:sz w:val="13"/>
                      <w:szCs w:val="13"/>
                    </w:rPr>
                    <w:t>-248.03</w:t>
                  </w:r>
                </w:p>
              </w:tc>
              <w:tc>
                <w:tcPr>
                  <w:tcW w:w="606"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866"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c>
                <w:tcPr>
                  <w:tcW w:w="552" w:type="dxa"/>
                  <w:shd w:val="clear" w:color="auto" w:fill="auto"/>
                  <w:noWrap/>
                  <w:vAlign w:val="center"/>
                </w:tcPr>
                <w:p>
                  <w:pPr>
                    <w:widowControl/>
                    <w:jc w:val="center"/>
                    <w:rPr>
                      <w:rFonts w:ascii="宋体" w:hAnsi="宋体" w:cs="宋体"/>
                      <w:kern w:val="0"/>
                      <w:sz w:val="13"/>
                      <w:szCs w:val="13"/>
                    </w:rPr>
                  </w:pPr>
                  <w:r>
                    <w:rPr>
                      <w:kern w:val="0"/>
                      <w:sz w:val="13"/>
                      <w:szCs w:val="13"/>
                    </w:rPr>
                    <w:t>0.00</w:t>
                  </w:r>
                </w:p>
              </w:tc>
            </w:tr>
          </w:tbl>
          <w:p>
            <w:pPr>
              <w:pStyle w:val="60"/>
              <w:ind w:firstLine="0" w:firstLineChars="0"/>
              <w:rPr>
                <w:color w:val="auto"/>
                <w:sz w:val="18"/>
                <w:szCs w:val="18"/>
              </w:rPr>
            </w:pPr>
          </w:p>
          <w:p>
            <w:pPr>
              <w:spacing w:line="360" w:lineRule="auto"/>
              <w:ind w:firstLine="480"/>
              <w:rPr>
                <w:sz w:val="24"/>
              </w:rPr>
            </w:pPr>
            <w:r>
              <w:rPr>
                <w:rFonts w:hint="eastAsia"/>
                <w:sz w:val="24"/>
              </w:rPr>
              <w:t>（</w:t>
            </w:r>
            <w:r>
              <w:rPr>
                <w:sz w:val="24"/>
              </w:rPr>
              <w:t>5</w:t>
            </w:r>
            <w:r>
              <w:rPr>
                <w:rFonts w:hint="eastAsia"/>
                <w:sz w:val="24"/>
              </w:rPr>
              <w:t>）与用水总量</w:t>
            </w:r>
            <w:r>
              <w:rPr>
                <w:sz w:val="24"/>
              </w:rPr>
              <w:t>控制方案</w:t>
            </w:r>
            <w:r>
              <w:rPr>
                <w:rFonts w:hint="eastAsia"/>
                <w:sz w:val="24"/>
              </w:rPr>
              <w:t>（“三条红线”）的符合性分析</w:t>
            </w:r>
          </w:p>
          <w:p>
            <w:pPr>
              <w:spacing w:line="360" w:lineRule="auto"/>
              <w:ind w:firstLine="480"/>
              <w:rPr>
                <w:sz w:val="24"/>
              </w:rPr>
            </w:pPr>
            <w:r>
              <w:rPr>
                <w:rFonts w:hint="eastAsia"/>
                <w:sz w:val="24"/>
              </w:rPr>
              <w:t>设计水平年东城灌区用水总量控制指标</w:t>
            </w:r>
            <w:r>
              <w:rPr>
                <w:sz w:val="24"/>
              </w:rPr>
              <w:t>为568.54万m</w:t>
            </w:r>
            <w:r>
              <w:rPr>
                <w:sz w:val="24"/>
                <w:vertAlign w:val="superscript"/>
              </w:rPr>
              <w:t>3</w:t>
            </w:r>
            <w:r>
              <w:rPr>
                <w:sz w:val="24"/>
              </w:rPr>
              <w:t>，</w:t>
            </w:r>
            <w:r>
              <w:rPr>
                <w:rFonts w:hint="eastAsia"/>
                <w:sz w:val="24"/>
              </w:rPr>
              <w:t>经对比东城灌区</w:t>
            </w:r>
            <w:r>
              <w:rPr>
                <w:sz w:val="24"/>
              </w:rPr>
              <w:t>用水总量符合</w:t>
            </w:r>
            <w:r>
              <w:rPr>
                <w:rFonts w:hint="eastAsia"/>
                <w:sz w:val="24"/>
              </w:rPr>
              <w:t>昌吉州及木垒县“三条红线”的分解指标，</w:t>
            </w:r>
            <w:r>
              <w:rPr>
                <w:sz w:val="24"/>
              </w:rPr>
              <w:t>用水总量指标控制要求</w:t>
            </w:r>
            <w:r>
              <w:rPr>
                <w:rFonts w:hint="eastAsia"/>
                <w:sz w:val="24"/>
              </w:rPr>
              <w:t>，用水效率也满足控制指标要求。</w:t>
            </w:r>
          </w:p>
          <w:p>
            <w:pPr>
              <w:rPr>
                <w:rFonts w:eastAsia="黑体"/>
                <w:bCs/>
                <w:sz w:val="24"/>
              </w:rPr>
            </w:pPr>
            <w:r>
              <w:rPr>
                <w:rFonts w:eastAsia="黑体"/>
                <w:bCs/>
                <w:sz w:val="24"/>
              </w:rPr>
              <w:t xml:space="preserve">表6            </w:t>
            </w:r>
            <w:r>
              <w:rPr>
                <w:rFonts w:hint="eastAsia" w:eastAsia="黑体"/>
                <w:bCs/>
                <w:sz w:val="24"/>
              </w:rPr>
              <w:t>灌区</w:t>
            </w:r>
            <w:r>
              <w:rPr>
                <w:rFonts w:eastAsia="黑体"/>
                <w:bCs/>
                <w:sz w:val="24"/>
              </w:rPr>
              <w:t>用水量与“三条红线”控制指标对比表        单位：万m</w:t>
            </w:r>
            <w:r>
              <w:rPr>
                <w:rFonts w:eastAsia="黑体"/>
                <w:bCs/>
                <w:sz w:val="24"/>
                <w:vertAlign w:val="superscript"/>
              </w:rPr>
              <w:t>3</w:t>
            </w:r>
          </w:p>
          <w:tbl>
            <w:tblPr>
              <w:tblStyle w:val="21"/>
              <w:tblW w:w="8600" w:type="dxa"/>
              <w:tblInd w:w="0" w:type="dxa"/>
              <w:tblLayout w:type="fixed"/>
              <w:tblCellMar>
                <w:top w:w="0" w:type="dxa"/>
                <w:left w:w="108" w:type="dxa"/>
                <w:bottom w:w="0" w:type="dxa"/>
                <w:right w:w="108" w:type="dxa"/>
              </w:tblCellMar>
            </w:tblPr>
            <w:tblGrid>
              <w:gridCol w:w="1801"/>
              <w:gridCol w:w="1197"/>
              <w:gridCol w:w="2706"/>
              <w:gridCol w:w="1754"/>
              <w:gridCol w:w="1142"/>
            </w:tblGrid>
            <w:tr>
              <w:tblPrEx>
                <w:tblLayout w:type="fixed"/>
                <w:tblCellMar>
                  <w:top w:w="0" w:type="dxa"/>
                  <w:left w:w="108" w:type="dxa"/>
                  <w:bottom w:w="0" w:type="dxa"/>
                  <w:right w:w="108" w:type="dxa"/>
                </w:tblCellMar>
              </w:tblPrEx>
              <w:trPr>
                <w:trHeight w:val="20" w:hRule="atLeast"/>
              </w:trPr>
              <w:tc>
                <w:tcPr>
                  <w:tcW w:w="18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项目</w:t>
                  </w:r>
                </w:p>
              </w:tc>
              <w:tc>
                <w:tcPr>
                  <w:tcW w:w="1197"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地表水</w:t>
                  </w:r>
                </w:p>
              </w:tc>
              <w:tc>
                <w:tcPr>
                  <w:tcW w:w="2706"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地下水</w:t>
                  </w:r>
                </w:p>
              </w:tc>
              <w:tc>
                <w:tcPr>
                  <w:tcW w:w="1754"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其他水源</w:t>
                  </w:r>
                </w:p>
              </w:tc>
              <w:tc>
                <w:tcPr>
                  <w:tcW w:w="114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合计</w:t>
                  </w:r>
                </w:p>
              </w:tc>
            </w:tr>
            <w:tr>
              <w:tblPrEx>
                <w:tblLayout w:type="fixed"/>
                <w:tblCellMar>
                  <w:top w:w="0" w:type="dxa"/>
                  <w:left w:w="108" w:type="dxa"/>
                  <w:bottom w:w="0" w:type="dxa"/>
                  <w:right w:w="108" w:type="dxa"/>
                </w:tblCellMar>
              </w:tblPrEx>
              <w:trPr>
                <w:trHeight w:val="20" w:hRule="atLeast"/>
              </w:trPr>
              <w:tc>
                <w:tcPr>
                  <w:tcW w:w="18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eastAsia="等线"/>
                      <w:kern w:val="0"/>
                      <w:szCs w:val="21"/>
                    </w:rPr>
                  </w:pPr>
                  <w:r>
                    <w:rPr>
                      <w:rFonts w:eastAsia="等线"/>
                      <w:kern w:val="0"/>
                      <w:szCs w:val="21"/>
                    </w:rPr>
                    <w:t>2030</w:t>
                  </w:r>
                  <w:r>
                    <w:rPr>
                      <w:rFonts w:hint="eastAsia" w:ascii="宋体" w:hAnsi="宋体"/>
                      <w:kern w:val="0"/>
                      <w:szCs w:val="21"/>
                    </w:rPr>
                    <w:t>年红线指标</w:t>
                  </w:r>
                </w:p>
              </w:tc>
              <w:tc>
                <w:tcPr>
                  <w:tcW w:w="119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Cs w:val="21"/>
                    </w:rPr>
                  </w:pPr>
                  <w:r>
                    <w:rPr>
                      <w:rFonts w:hint="eastAsia" w:eastAsia="等线"/>
                      <w:kern w:val="0"/>
                      <w:szCs w:val="21"/>
                    </w:rPr>
                    <w:t>394.14</w:t>
                  </w:r>
                </w:p>
              </w:tc>
              <w:tc>
                <w:tcPr>
                  <w:tcW w:w="270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Cs w:val="21"/>
                    </w:rPr>
                  </w:pPr>
                  <w:r>
                    <w:rPr>
                      <w:rFonts w:hint="eastAsia" w:eastAsia="等线"/>
                      <w:kern w:val="0"/>
                      <w:szCs w:val="21"/>
                    </w:rPr>
                    <w:t>174.4</w:t>
                  </w:r>
                </w:p>
              </w:tc>
              <w:tc>
                <w:tcPr>
                  <w:tcW w:w="1754"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Cs w:val="21"/>
                    </w:rPr>
                  </w:pPr>
                  <w:r>
                    <w:rPr>
                      <w:rFonts w:eastAsia="等线"/>
                      <w:kern w:val="0"/>
                      <w:szCs w:val="21"/>
                    </w:rPr>
                    <w:t>0</w:t>
                  </w:r>
                </w:p>
              </w:tc>
              <w:tc>
                <w:tcPr>
                  <w:tcW w:w="1142" w:type="dxa"/>
                  <w:tcBorders>
                    <w:top w:val="nil"/>
                    <w:left w:val="nil"/>
                    <w:bottom w:val="single" w:color="auto" w:sz="4" w:space="0"/>
                    <w:right w:val="single" w:color="auto" w:sz="4" w:space="0"/>
                  </w:tcBorders>
                  <w:shd w:val="clear" w:color="auto" w:fill="auto"/>
                  <w:noWrap/>
                  <w:vAlign w:val="center"/>
                </w:tcPr>
                <w:p>
                  <w:pPr>
                    <w:widowControl/>
                    <w:jc w:val="center"/>
                    <w:rPr>
                      <w:rFonts w:eastAsia="等线"/>
                      <w:kern w:val="0"/>
                      <w:szCs w:val="21"/>
                    </w:rPr>
                  </w:pPr>
                  <w:r>
                    <w:rPr>
                      <w:rFonts w:hint="eastAsia" w:eastAsia="等线"/>
                      <w:kern w:val="0"/>
                      <w:szCs w:val="21"/>
                    </w:rPr>
                    <w:t>568.54</w:t>
                  </w:r>
                </w:p>
              </w:tc>
            </w:tr>
            <w:tr>
              <w:tblPrEx>
                <w:tblLayout w:type="fixed"/>
                <w:tblCellMar>
                  <w:top w:w="0" w:type="dxa"/>
                  <w:left w:w="108" w:type="dxa"/>
                  <w:bottom w:w="0" w:type="dxa"/>
                  <w:right w:w="108" w:type="dxa"/>
                </w:tblCellMar>
              </w:tblPrEx>
              <w:trPr>
                <w:trHeight w:val="20" w:hRule="atLeast"/>
              </w:trPr>
              <w:tc>
                <w:tcPr>
                  <w:tcW w:w="180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本次设计</w:t>
                  </w:r>
                </w:p>
              </w:tc>
              <w:tc>
                <w:tcPr>
                  <w:tcW w:w="1197"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Cs w:val="21"/>
                    </w:rPr>
                  </w:pPr>
                  <w:r>
                    <w:rPr>
                      <w:rFonts w:hint="eastAsia" w:eastAsia="等线"/>
                      <w:kern w:val="0"/>
                      <w:szCs w:val="21"/>
                    </w:rPr>
                    <w:t>384.61</w:t>
                  </w:r>
                </w:p>
              </w:tc>
              <w:tc>
                <w:tcPr>
                  <w:tcW w:w="2706"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Cs w:val="21"/>
                    </w:rPr>
                  </w:pPr>
                  <w:r>
                    <w:rPr>
                      <w:rFonts w:eastAsia="等线"/>
                      <w:kern w:val="0"/>
                      <w:szCs w:val="21"/>
                    </w:rPr>
                    <w:t>174.4</w:t>
                  </w:r>
                </w:p>
              </w:tc>
              <w:tc>
                <w:tcPr>
                  <w:tcW w:w="1754" w:type="dxa"/>
                  <w:tcBorders>
                    <w:top w:val="nil"/>
                    <w:left w:val="nil"/>
                    <w:bottom w:val="single" w:color="auto" w:sz="4" w:space="0"/>
                    <w:right w:val="single" w:color="auto" w:sz="4" w:space="0"/>
                  </w:tcBorders>
                  <w:shd w:val="clear" w:color="auto" w:fill="auto"/>
                  <w:vAlign w:val="center"/>
                </w:tcPr>
                <w:p>
                  <w:pPr>
                    <w:widowControl/>
                    <w:jc w:val="center"/>
                    <w:rPr>
                      <w:rFonts w:eastAsia="等线"/>
                      <w:kern w:val="0"/>
                      <w:szCs w:val="21"/>
                    </w:rPr>
                  </w:pPr>
                  <w:r>
                    <w:rPr>
                      <w:rFonts w:eastAsia="等线"/>
                      <w:kern w:val="0"/>
                      <w:szCs w:val="21"/>
                    </w:rPr>
                    <w:t>0</w:t>
                  </w:r>
                </w:p>
              </w:tc>
              <w:tc>
                <w:tcPr>
                  <w:tcW w:w="1142" w:type="dxa"/>
                  <w:tcBorders>
                    <w:top w:val="nil"/>
                    <w:left w:val="nil"/>
                    <w:bottom w:val="single" w:color="auto" w:sz="4" w:space="0"/>
                    <w:right w:val="single" w:color="auto" w:sz="4" w:space="0"/>
                  </w:tcBorders>
                  <w:shd w:val="clear" w:color="auto" w:fill="auto"/>
                  <w:noWrap/>
                </w:tcPr>
                <w:p>
                  <w:pPr>
                    <w:widowControl/>
                    <w:jc w:val="center"/>
                    <w:rPr>
                      <w:rFonts w:eastAsia="等线"/>
                      <w:kern w:val="0"/>
                      <w:szCs w:val="21"/>
                    </w:rPr>
                  </w:pPr>
                  <w:r>
                    <w:rPr>
                      <w:rFonts w:hint="eastAsia" w:eastAsia="等线"/>
                      <w:kern w:val="0"/>
                      <w:szCs w:val="21"/>
                    </w:rPr>
                    <w:t>559.01</w:t>
                  </w:r>
                </w:p>
              </w:tc>
            </w:tr>
          </w:tbl>
          <w:p>
            <w:pPr>
              <w:jc w:val="left"/>
              <w:rPr>
                <w:rFonts w:eastAsia="黑体"/>
                <w:sz w:val="24"/>
              </w:rPr>
            </w:pPr>
          </w:p>
          <w:p>
            <w:pPr>
              <w:jc w:val="left"/>
              <w:rPr>
                <w:rFonts w:eastAsia="黑体"/>
                <w:sz w:val="24"/>
              </w:rPr>
            </w:pPr>
          </w:p>
          <w:p>
            <w:pPr>
              <w:jc w:val="left"/>
              <w:rPr>
                <w:rFonts w:eastAsia="黑体"/>
                <w:sz w:val="24"/>
              </w:rPr>
            </w:pPr>
          </w:p>
          <w:p>
            <w:pPr>
              <w:jc w:val="left"/>
              <w:rPr>
                <w:rFonts w:eastAsia="黑体"/>
                <w:sz w:val="24"/>
              </w:rPr>
            </w:pPr>
            <w:r>
              <w:rPr>
                <w:rFonts w:eastAsia="黑体"/>
                <w:sz w:val="24"/>
              </w:rPr>
              <w:t xml:space="preserve">表7    </w:t>
            </w:r>
            <w:r>
              <w:rPr>
                <w:rFonts w:hint="eastAsia" w:eastAsia="黑体"/>
                <w:sz w:val="24"/>
              </w:rPr>
              <w:t>红山嘴</w:t>
            </w:r>
            <w:r>
              <w:rPr>
                <w:rFonts w:eastAsia="黑体"/>
                <w:sz w:val="24"/>
              </w:rPr>
              <w:t>水库下游灌区用水效率与“三条红线”控制指标对比表</w:t>
            </w:r>
          </w:p>
          <w:tbl>
            <w:tblPr>
              <w:tblStyle w:val="21"/>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7"/>
              <w:gridCol w:w="3441"/>
              <w:gridCol w:w="2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trPr>
              <w:tc>
                <w:tcPr>
                  <w:tcW w:w="2477" w:type="dxa"/>
                  <w:vAlign w:val="center"/>
                </w:tcPr>
                <w:p>
                  <w:pPr>
                    <w:jc w:val="center"/>
                    <w:rPr>
                      <w:szCs w:val="21"/>
                    </w:rPr>
                  </w:pPr>
                  <w:r>
                    <w:rPr>
                      <w:szCs w:val="21"/>
                    </w:rPr>
                    <w:t>项目</w:t>
                  </w:r>
                </w:p>
              </w:tc>
              <w:tc>
                <w:tcPr>
                  <w:tcW w:w="3441" w:type="dxa"/>
                  <w:shd w:val="clear" w:color="auto" w:fill="auto"/>
                  <w:vAlign w:val="center"/>
                </w:tcPr>
                <w:p>
                  <w:pPr>
                    <w:jc w:val="center"/>
                    <w:rPr>
                      <w:szCs w:val="21"/>
                    </w:rPr>
                  </w:pPr>
                  <w:r>
                    <w:rPr>
                      <w:szCs w:val="21"/>
                    </w:rPr>
                    <w:t>农业综合灌溉定额</w:t>
                  </w:r>
                </w:p>
                <w:p>
                  <w:pPr>
                    <w:jc w:val="center"/>
                    <w:rPr>
                      <w:szCs w:val="21"/>
                    </w:rPr>
                  </w:pPr>
                  <w:r>
                    <w:rPr>
                      <w:szCs w:val="21"/>
                    </w:rPr>
                    <w:t>（m</w:t>
                  </w:r>
                  <w:r>
                    <w:rPr>
                      <w:szCs w:val="21"/>
                      <w:vertAlign w:val="superscript"/>
                    </w:rPr>
                    <w:t>3</w:t>
                  </w:r>
                  <w:r>
                    <w:rPr>
                      <w:szCs w:val="21"/>
                    </w:rPr>
                    <w:t>/亩）</w:t>
                  </w:r>
                </w:p>
              </w:tc>
              <w:tc>
                <w:tcPr>
                  <w:tcW w:w="2672" w:type="dxa"/>
                  <w:shd w:val="clear" w:color="auto" w:fill="auto"/>
                  <w:noWrap/>
                  <w:vAlign w:val="center"/>
                </w:tcPr>
                <w:p>
                  <w:pPr>
                    <w:jc w:val="center"/>
                    <w:rPr>
                      <w:szCs w:val="21"/>
                    </w:rPr>
                  </w:pPr>
                  <w:r>
                    <w:rPr>
                      <w:szCs w:val="21"/>
                    </w:rPr>
                    <w:t>灌溉水利用系数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2477" w:type="dxa"/>
                  <w:vAlign w:val="center"/>
                </w:tcPr>
                <w:p>
                  <w:pPr>
                    <w:jc w:val="center"/>
                    <w:rPr>
                      <w:szCs w:val="21"/>
                    </w:rPr>
                  </w:pPr>
                  <w:r>
                    <w:rPr>
                      <w:szCs w:val="21"/>
                    </w:rPr>
                    <w:t>2030年红线指标</w:t>
                  </w:r>
                </w:p>
              </w:tc>
              <w:tc>
                <w:tcPr>
                  <w:tcW w:w="3441" w:type="dxa"/>
                  <w:shd w:val="clear" w:color="auto" w:fill="auto"/>
                  <w:noWrap/>
                  <w:vAlign w:val="center"/>
                </w:tcPr>
                <w:p>
                  <w:pPr>
                    <w:jc w:val="center"/>
                    <w:rPr>
                      <w:szCs w:val="21"/>
                    </w:rPr>
                  </w:pPr>
                  <w:r>
                    <w:rPr>
                      <w:rFonts w:hint="eastAsia"/>
                      <w:szCs w:val="21"/>
                    </w:rPr>
                    <w:t>2</w:t>
                  </w:r>
                  <w:r>
                    <w:rPr>
                      <w:szCs w:val="21"/>
                    </w:rPr>
                    <w:t>60</w:t>
                  </w:r>
                </w:p>
              </w:tc>
              <w:tc>
                <w:tcPr>
                  <w:tcW w:w="2672" w:type="dxa"/>
                  <w:shd w:val="clear" w:color="auto" w:fill="auto"/>
                  <w:noWrap/>
                  <w:vAlign w:val="center"/>
                </w:tcPr>
                <w:p>
                  <w:pPr>
                    <w:jc w:val="center"/>
                    <w:rPr>
                      <w:szCs w:val="21"/>
                    </w:rPr>
                  </w:pPr>
                  <w:r>
                    <w:rPr>
                      <w:rFonts w:hint="eastAsia"/>
                      <w:szCs w:val="21"/>
                    </w:rPr>
                    <w:t>0</w:t>
                  </w:r>
                  <w:r>
                    <w:rPr>
                      <w:szCs w:val="21"/>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6" w:hRule="atLeast"/>
              </w:trPr>
              <w:tc>
                <w:tcPr>
                  <w:tcW w:w="2477" w:type="dxa"/>
                  <w:vAlign w:val="center"/>
                </w:tcPr>
                <w:p>
                  <w:pPr>
                    <w:jc w:val="center"/>
                    <w:rPr>
                      <w:szCs w:val="21"/>
                    </w:rPr>
                  </w:pPr>
                  <w:r>
                    <w:rPr>
                      <w:szCs w:val="21"/>
                    </w:rPr>
                    <w:t>本次设计</w:t>
                  </w:r>
                </w:p>
              </w:tc>
              <w:tc>
                <w:tcPr>
                  <w:tcW w:w="3441" w:type="dxa"/>
                  <w:shd w:val="clear" w:color="auto" w:fill="auto"/>
                  <w:noWrap/>
                  <w:vAlign w:val="center"/>
                </w:tcPr>
                <w:p>
                  <w:pPr>
                    <w:jc w:val="center"/>
                    <w:rPr>
                      <w:szCs w:val="21"/>
                    </w:rPr>
                  </w:pPr>
                  <w:r>
                    <w:rPr>
                      <w:szCs w:val="21"/>
                    </w:rPr>
                    <w:t>240.14</w:t>
                  </w:r>
                </w:p>
              </w:tc>
              <w:tc>
                <w:tcPr>
                  <w:tcW w:w="2672" w:type="dxa"/>
                  <w:shd w:val="clear" w:color="auto" w:fill="auto"/>
                  <w:noWrap/>
                  <w:vAlign w:val="center"/>
                </w:tcPr>
                <w:p>
                  <w:pPr>
                    <w:jc w:val="center"/>
                    <w:rPr>
                      <w:szCs w:val="21"/>
                    </w:rPr>
                  </w:pPr>
                  <w:r>
                    <w:rPr>
                      <w:rFonts w:hint="eastAsia"/>
                      <w:szCs w:val="21"/>
                    </w:rPr>
                    <w:t>0</w:t>
                  </w:r>
                  <w:r>
                    <w:rPr>
                      <w:szCs w:val="21"/>
                    </w:rPr>
                    <w:t>.90</w:t>
                  </w:r>
                </w:p>
              </w:tc>
            </w:tr>
          </w:tbl>
          <w:p>
            <w:pPr>
              <w:spacing w:line="360" w:lineRule="auto"/>
              <w:ind w:firstLine="480"/>
              <w:rPr>
                <w:sz w:val="24"/>
              </w:rPr>
            </w:pPr>
          </w:p>
          <w:p>
            <w:pPr>
              <w:spacing w:line="360" w:lineRule="auto"/>
              <w:ind w:firstLine="480"/>
              <w:rPr>
                <w:sz w:val="24"/>
              </w:rPr>
            </w:pPr>
            <w:r>
              <w:rPr>
                <w:rFonts w:hint="eastAsia"/>
                <w:sz w:val="24"/>
              </w:rPr>
              <w:t>（6）生态</w:t>
            </w:r>
            <w:r>
              <w:rPr>
                <w:sz w:val="24"/>
              </w:rPr>
              <w:t>流量</w:t>
            </w:r>
            <w:r>
              <w:rPr>
                <w:rFonts w:hint="eastAsia"/>
                <w:sz w:val="24"/>
              </w:rPr>
              <w:t>满足</w:t>
            </w:r>
            <w:r>
              <w:rPr>
                <w:sz w:val="24"/>
              </w:rPr>
              <w:t>程度分析</w:t>
            </w:r>
          </w:p>
          <w:p>
            <w:pPr>
              <w:spacing w:line="360" w:lineRule="auto"/>
              <w:ind w:firstLine="480"/>
              <w:rPr>
                <w:sz w:val="24"/>
              </w:rPr>
            </w:pPr>
            <w:r>
              <w:rPr>
                <w:rFonts w:hint="eastAsia"/>
                <w:sz w:val="24"/>
              </w:rPr>
              <w:t>《新疆木垒县东城河流域规划环境影响报告书》及其审查意见中主要提出“红山嘴水库坝址段断面应确保生态流量下泄，即4月～9月下泄流量为坝址断面多年平均流量的30%，10月～次年3月下泄流量为坝址断面多年平均流量的10%”。同时</w:t>
            </w:r>
            <w:r>
              <w:rPr>
                <w:sz w:val="24"/>
              </w:rPr>
              <w:t>，</w:t>
            </w:r>
            <w:r>
              <w:rPr>
                <w:rFonts w:hint="eastAsia"/>
                <w:sz w:val="24"/>
              </w:rPr>
              <w:t>流域内分布有2种土著鱼类，分别为新疆高原鳅和小眼须鳅，为满足鱼类生长、繁殖需求，根据《关于印发&lt;水电水利建设项目河道生态用水、低温水和过鱼设施环境影响评价技术指南(试行)&gt;的函》(环评函[2006]4号)、《水工程规划设计生态指标体系与应用指导意见》（水利部水利水电规划设计总院，2010年4月），维持一般生境的条件，在鱼类产卵育幼期（4～9月）应下泄多年平均流量的30%，一般用水期（10月～次年3月）应下泄多年平均流量的10%。综上</w:t>
            </w:r>
            <w:r>
              <w:rPr>
                <w:sz w:val="24"/>
              </w:rPr>
              <w:t>，</w:t>
            </w:r>
            <w:r>
              <w:rPr>
                <w:rFonts w:hint="eastAsia"/>
                <w:sz w:val="24"/>
              </w:rPr>
              <w:t>红山嘴水库断面下泄生态流量确定为多水期4～9月下泄生态流量不小于坝址断面多年平均流量的30%；少水期10月～次年3月下泄生态不小于坝址断面多年平均流量的10%。</w:t>
            </w:r>
          </w:p>
          <w:p>
            <w:pPr>
              <w:spacing w:line="360" w:lineRule="auto"/>
              <w:ind w:firstLine="480"/>
              <w:rPr>
                <w:sz w:val="24"/>
              </w:rPr>
            </w:pPr>
            <w:r>
              <w:rPr>
                <w:rFonts w:hint="eastAsia"/>
                <w:sz w:val="24"/>
              </w:rPr>
              <w:t>根据</w:t>
            </w:r>
            <w:r>
              <w:rPr>
                <w:sz w:val="24"/>
              </w:rPr>
              <w:t>表8</w:t>
            </w:r>
            <w:r>
              <w:rPr>
                <w:rFonts w:hint="eastAsia"/>
                <w:sz w:val="24"/>
              </w:rPr>
              <w:t>可以</w:t>
            </w:r>
            <w:r>
              <w:rPr>
                <w:sz w:val="24"/>
              </w:rPr>
              <w:t>看出</w:t>
            </w:r>
            <w:r>
              <w:rPr>
                <w:rFonts w:hint="eastAsia"/>
                <w:sz w:val="24"/>
              </w:rPr>
              <w:t>，总体</w:t>
            </w:r>
            <w:r>
              <w:rPr>
                <w:sz w:val="24"/>
              </w:rPr>
              <w:t>来说在现状年，</w:t>
            </w:r>
            <w:r>
              <w:rPr>
                <w:rFonts w:hint="eastAsia"/>
                <w:sz w:val="24"/>
              </w:rPr>
              <w:t>在P</w:t>
            </w:r>
            <w:r>
              <w:rPr>
                <w:sz w:val="24"/>
              </w:rPr>
              <w:t>=85%来水频率下</w:t>
            </w:r>
            <w:r>
              <w:rPr>
                <w:rFonts w:hint="eastAsia"/>
                <w:sz w:val="24"/>
              </w:rPr>
              <w:t>12月</w:t>
            </w:r>
            <w:r>
              <w:rPr>
                <w:sz w:val="24"/>
              </w:rPr>
              <w:t>、</w:t>
            </w:r>
            <w:r>
              <w:rPr>
                <w:rFonts w:hint="eastAsia"/>
                <w:sz w:val="24"/>
              </w:rPr>
              <w:t>P</w:t>
            </w:r>
            <w:r>
              <w:rPr>
                <w:sz w:val="24"/>
              </w:rPr>
              <w:t>=95%来水频率下</w:t>
            </w:r>
            <w:r>
              <w:rPr>
                <w:rFonts w:hint="eastAsia"/>
                <w:sz w:val="24"/>
              </w:rPr>
              <w:t>1月和2月</w:t>
            </w:r>
            <w:r>
              <w:rPr>
                <w:sz w:val="24"/>
              </w:rPr>
              <w:t>红山嘴坝址断面</w:t>
            </w:r>
            <w:r>
              <w:rPr>
                <w:rFonts w:hint="eastAsia"/>
                <w:sz w:val="24"/>
              </w:rPr>
              <w:t>下泄</w:t>
            </w:r>
            <w:r>
              <w:rPr>
                <w:sz w:val="24"/>
              </w:rPr>
              <w:t>流量不满足</w:t>
            </w:r>
            <w:r>
              <w:rPr>
                <w:rFonts w:hint="eastAsia"/>
                <w:sz w:val="24"/>
              </w:rPr>
              <w:t>生态</w:t>
            </w:r>
            <w:r>
              <w:rPr>
                <w:sz w:val="24"/>
              </w:rPr>
              <w:t>流量下泄要求</w:t>
            </w:r>
            <w:r>
              <w:rPr>
                <w:rFonts w:hint="eastAsia"/>
                <w:sz w:val="24"/>
              </w:rPr>
              <w:t>，</w:t>
            </w:r>
            <w:r>
              <w:rPr>
                <w:sz w:val="24"/>
              </w:rPr>
              <w:t>其余来水频率</w:t>
            </w:r>
            <w:r>
              <w:rPr>
                <w:rFonts w:hint="eastAsia"/>
                <w:sz w:val="24"/>
              </w:rPr>
              <w:t>各月</w:t>
            </w:r>
            <w:r>
              <w:rPr>
                <w:sz w:val="24"/>
              </w:rPr>
              <w:t>均满足生态流量下泄要求，经水库调蓄后，不</w:t>
            </w:r>
            <w:r>
              <w:rPr>
                <w:rFonts w:hint="eastAsia"/>
                <w:sz w:val="24"/>
              </w:rPr>
              <w:t>同</w:t>
            </w:r>
            <w:r>
              <w:rPr>
                <w:sz w:val="24"/>
              </w:rPr>
              <w:t>来水频率下设计水平年</w:t>
            </w:r>
            <w:r>
              <w:rPr>
                <w:rFonts w:hint="eastAsia"/>
                <w:sz w:val="24"/>
              </w:rPr>
              <w:t>各月</w:t>
            </w:r>
            <w:r>
              <w:rPr>
                <w:sz w:val="24"/>
              </w:rPr>
              <w:t>下泄水量均可</w:t>
            </w:r>
            <w:r>
              <w:rPr>
                <w:rFonts w:hint="eastAsia"/>
                <w:sz w:val="24"/>
              </w:rPr>
              <w:t>满足</w:t>
            </w:r>
            <w:r>
              <w:rPr>
                <w:sz w:val="24"/>
              </w:rPr>
              <w:t>生态流量下泄要求。</w:t>
            </w:r>
          </w:p>
          <w:p>
            <w:pPr>
              <w:rPr>
                <w:rFonts w:eastAsia="黑体"/>
                <w:sz w:val="24"/>
              </w:rPr>
            </w:pPr>
            <w:r>
              <w:rPr>
                <w:rFonts w:hint="eastAsia" w:eastAsia="黑体"/>
                <w:sz w:val="24"/>
              </w:rPr>
              <w:t>表</w:t>
            </w:r>
            <w:r>
              <w:rPr>
                <w:rFonts w:eastAsia="黑体"/>
                <w:sz w:val="24"/>
              </w:rPr>
              <w:t xml:space="preserve">8     </w:t>
            </w:r>
            <w:r>
              <w:rPr>
                <w:rFonts w:hint="eastAsia" w:eastAsia="黑体"/>
                <w:sz w:val="24"/>
              </w:rPr>
              <w:t>红山嘴</w:t>
            </w:r>
            <w:r>
              <w:rPr>
                <w:rFonts w:eastAsia="黑体"/>
                <w:sz w:val="24"/>
              </w:rPr>
              <w:t>坝址断面</w:t>
            </w:r>
            <w:r>
              <w:rPr>
                <w:rFonts w:hint="eastAsia" w:eastAsia="黑体"/>
                <w:sz w:val="24"/>
              </w:rPr>
              <w:t>生态流量符合</w:t>
            </w:r>
            <w:r>
              <w:rPr>
                <w:rFonts w:eastAsia="黑体"/>
                <w:sz w:val="24"/>
              </w:rPr>
              <w:t>程度对比表</w:t>
            </w:r>
            <w:r>
              <w:rPr>
                <w:rFonts w:hint="eastAsia" w:eastAsia="黑体"/>
                <w:sz w:val="24"/>
              </w:rPr>
              <w:t xml:space="preserve">             </w:t>
            </w:r>
            <w:r>
              <w:rPr>
                <w:rFonts w:eastAsia="黑体"/>
                <w:bCs/>
                <w:sz w:val="24"/>
              </w:rPr>
              <w:t>单位</w:t>
            </w:r>
            <w:r>
              <w:rPr>
                <w:rFonts w:hint="eastAsia" w:eastAsia="黑体"/>
                <w:bCs/>
                <w:sz w:val="24"/>
              </w:rPr>
              <w:t>：</w:t>
            </w:r>
            <w:r>
              <w:rPr>
                <w:rFonts w:eastAsia="黑体"/>
                <w:bCs/>
                <w:sz w:val="24"/>
              </w:rPr>
              <w:t>m</w:t>
            </w:r>
            <w:r>
              <w:rPr>
                <w:rFonts w:eastAsia="黑体"/>
                <w:bCs/>
                <w:sz w:val="24"/>
                <w:vertAlign w:val="superscript"/>
              </w:rPr>
              <w:t>3</w:t>
            </w:r>
            <w:r>
              <w:rPr>
                <w:rFonts w:eastAsia="黑体"/>
                <w:bCs/>
                <w:sz w:val="24"/>
              </w:rPr>
              <w:t>/s</w:t>
            </w:r>
          </w:p>
          <w:tbl>
            <w:tblPr>
              <w:tblStyle w:val="21"/>
              <w:tblW w:w="8600" w:type="dxa"/>
              <w:tblInd w:w="0" w:type="dxa"/>
              <w:tblLayout w:type="fixed"/>
              <w:tblCellMar>
                <w:top w:w="0" w:type="dxa"/>
                <w:left w:w="108" w:type="dxa"/>
                <w:bottom w:w="0" w:type="dxa"/>
                <w:right w:w="108" w:type="dxa"/>
              </w:tblCellMar>
            </w:tblPr>
            <w:tblGrid>
              <w:gridCol w:w="598"/>
              <w:gridCol w:w="816"/>
              <w:gridCol w:w="598"/>
              <w:gridCol w:w="598"/>
              <w:gridCol w:w="599"/>
              <w:gridCol w:w="599"/>
              <w:gridCol w:w="599"/>
              <w:gridCol w:w="599"/>
              <w:gridCol w:w="599"/>
              <w:gridCol w:w="599"/>
              <w:gridCol w:w="599"/>
              <w:gridCol w:w="599"/>
              <w:gridCol w:w="599"/>
              <w:gridCol w:w="599"/>
            </w:tblGrid>
            <w:tr>
              <w:tblPrEx>
                <w:tblLayout w:type="fixed"/>
                <w:tblCellMar>
                  <w:top w:w="0" w:type="dxa"/>
                  <w:left w:w="108" w:type="dxa"/>
                  <w:bottom w:w="0" w:type="dxa"/>
                  <w:right w:w="108" w:type="dxa"/>
                </w:tblCellMar>
              </w:tblPrEx>
              <w:trPr>
                <w:trHeight w:val="285" w:hRule="atLeast"/>
              </w:trPr>
              <w:tc>
                <w:tcPr>
                  <w:tcW w:w="598" w:type="dxa"/>
                  <w:tcBorders>
                    <w:top w:val="single" w:color="auto" w:sz="8" w:space="0"/>
                    <w:left w:val="single" w:color="auto" w:sz="8" w:space="0"/>
                    <w:bottom w:val="single" w:color="auto" w:sz="8" w:space="0"/>
                    <w:right w:val="single" w:color="auto" w:sz="8" w:space="0"/>
                  </w:tcBorders>
                  <w:noWrap/>
                  <w:vAlign w:val="center"/>
                </w:tcPr>
                <w:p>
                  <w:pPr>
                    <w:widowControl/>
                    <w:jc w:val="center"/>
                    <w:rPr>
                      <w:rFonts w:ascii="宋体" w:hAnsi="宋体" w:cs="宋体"/>
                      <w:kern w:val="0"/>
                      <w:sz w:val="15"/>
                      <w:szCs w:val="15"/>
                    </w:rPr>
                  </w:pPr>
                  <w:r>
                    <w:rPr>
                      <w:rFonts w:hint="eastAsia" w:ascii="宋体" w:hAnsi="宋体" w:cs="宋体"/>
                      <w:kern w:val="0"/>
                      <w:sz w:val="15"/>
                      <w:szCs w:val="15"/>
                    </w:rPr>
                    <w:t>频率</w:t>
                  </w:r>
                </w:p>
              </w:tc>
              <w:tc>
                <w:tcPr>
                  <w:tcW w:w="816" w:type="dxa"/>
                  <w:tcBorders>
                    <w:top w:val="single" w:color="auto" w:sz="8" w:space="0"/>
                    <w:left w:val="nil"/>
                    <w:bottom w:val="single" w:color="auto" w:sz="8" w:space="0"/>
                    <w:right w:val="single" w:color="auto" w:sz="8" w:space="0"/>
                  </w:tcBorders>
                  <w:noWrap/>
                  <w:vAlign w:val="center"/>
                </w:tcPr>
                <w:p>
                  <w:pPr>
                    <w:widowControl/>
                    <w:jc w:val="center"/>
                    <w:rPr>
                      <w:rFonts w:ascii="宋体" w:hAnsi="宋体" w:cs="宋体"/>
                      <w:kern w:val="0"/>
                      <w:sz w:val="15"/>
                      <w:szCs w:val="15"/>
                    </w:rPr>
                  </w:pPr>
                  <w:r>
                    <w:rPr>
                      <w:rFonts w:hint="eastAsia" w:ascii="宋体" w:hAnsi="宋体" w:cs="宋体"/>
                      <w:kern w:val="0"/>
                      <w:sz w:val="15"/>
                      <w:szCs w:val="15"/>
                    </w:rPr>
                    <w:t>月份</w:t>
                  </w:r>
                </w:p>
              </w:tc>
              <w:tc>
                <w:tcPr>
                  <w:tcW w:w="598"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1</w:t>
                  </w:r>
                </w:p>
              </w:tc>
              <w:tc>
                <w:tcPr>
                  <w:tcW w:w="598"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2</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3</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4</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5</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6</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7</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8</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9</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10</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11</w:t>
                  </w:r>
                </w:p>
              </w:tc>
              <w:tc>
                <w:tcPr>
                  <w:tcW w:w="599" w:type="dxa"/>
                  <w:tcBorders>
                    <w:top w:val="single" w:color="auto" w:sz="8" w:space="0"/>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12</w:t>
                  </w:r>
                </w:p>
              </w:tc>
            </w:tr>
            <w:tr>
              <w:tblPrEx>
                <w:tblLayout w:type="fixed"/>
                <w:tblCellMar>
                  <w:top w:w="0" w:type="dxa"/>
                  <w:left w:w="108" w:type="dxa"/>
                  <w:bottom w:w="0" w:type="dxa"/>
                  <w:right w:w="108" w:type="dxa"/>
                </w:tblCellMar>
              </w:tblPrEx>
              <w:trPr>
                <w:trHeight w:val="285" w:hRule="atLeast"/>
              </w:trPr>
              <w:tc>
                <w:tcPr>
                  <w:tcW w:w="598" w:type="dxa"/>
                  <w:vMerge w:val="restart"/>
                  <w:tcBorders>
                    <w:top w:val="nil"/>
                    <w:left w:val="single" w:color="auto" w:sz="8" w:space="0"/>
                    <w:bottom w:val="single" w:color="000000" w:sz="8" w:space="0"/>
                    <w:right w:val="single" w:color="auto" w:sz="8" w:space="0"/>
                  </w:tcBorders>
                  <w:noWrap/>
                  <w:vAlign w:val="center"/>
                </w:tcPr>
                <w:p>
                  <w:pPr>
                    <w:widowControl/>
                    <w:jc w:val="center"/>
                    <w:rPr>
                      <w:kern w:val="0"/>
                      <w:sz w:val="15"/>
                      <w:szCs w:val="15"/>
                    </w:rPr>
                  </w:pPr>
                  <w:r>
                    <w:rPr>
                      <w:kern w:val="0"/>
                      <w:sz w:val="15"/>
                      <w:szCs w:val="15"/>
                    </w:rPr>
                    <w:t>50%</w:t>
                  </w:r>
                </w:p>
              </w:tc>
              <w:tc>
                <w:tcPr>
                  <w:tcW w:w="816"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2022</w:t>
                  </w:r>
                  <w:r>
                    <w:rPr>
                      <w:rFonts w:hint="eastAsia" w:ascii="宋体" w:hAnsi="宋体"/>
                      <w:kern w:val="0"/>
                      <w:sz w:val="15"/>
                      <w:szCs w:val="15"/>
                    </w:rPr>
                    <w:t>年</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0.052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0.043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0.039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0.327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0.406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0.352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0.391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0.328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0.222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0.173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0.149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0.121 </w:t>
                  </w:r>
                </w:p>
              </w:tc>
            </w:tr>
            <w:tr>
              <w:tblPrEx>
                <w:tblLayout w:type="fixed"/>
                <w:tblCellMar>
                  <w:top w:w="0" w:type="dxa"/>
                  <w:left w:w="108" w:type="dxa"/>
                  <w:bottom w:w="0" w:type="dxa"/>
                  <w:right w:w="108" w:type="dxa"/>
                </w:tblCellMar>
              </w:tblPrEx>
              <w:trPr>
                <w:trHeight w:val="285" w:hRule="atLeast"/>
              </w:trPr>
              <w:tc>
                <w:tcPr>
                  <w:tcW w:w="598" w:type="dxa"/>
                  <w:vMerge w:val="continue"/>
                  <w:tcBorders>
                    <w:top w:val="nil"/>
                    <w:left w:val="single" w:color="auto" w:sz="8" w:space="0"/>
                    <w:bottom w:val="single" w:color="000000" w:sz="8" w:space="0"/>
                    <w:right w:val="single" w:color="auto" w:sz="8" w:space="0"/>
                  </w:tcBorders>
                  <w:vAlign w:val="center"/>
                </w:tcPr>
                <w:p>
                  <w:pPr>
                    <w:widowControl/>
                    <w:jc w:val="left"/>
                    <w:rPr>
                      <w:kern w:val="0"/>
                      <w:sz w:val="15"/>
                      <w:szCs w:val="15"/>
                    </w:rPr>
                  </w:pPr>
                </w:p>
              </w:tc>
              <w:tc>
                <w:tcPr>
                  <w:tcW w:w="816"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2035</w:t>
                  </w:r>
                  <w:r>
                    <w:rPr>
                      <w:rFonts w:hint="eastAsia" w:ascii="宋体" w:hAnsi="宋体"/>
                      <w:kern w:val="0"/>
                      <w:sz w:val="15"/>
                      <w:szCs w:val="15"/>
                    </w:rPr>
                    <w:t>年</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0.046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0.032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0.033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0.280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0.373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0.346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0.076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0.167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0.141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0.115 </w:t>
                  </w:r>
                </w:p>
              </w:tc>
            </w:tr>
            <w:tr>
              <w:tblPrEx>
                <w:tblLayout w:type="fixed"/>
                <w:tblCellMar>
                  <w:top w:w="0" w:type="dxa"/>
                  <w:left w:w="108" w:type="dxa"/>
                  <w:bottom w:w="0" w:type="dxa"/>
                  <w:right w:w="108" w:type="dxa"/>
                </w:tblCellMar>
              </w:tblPrEx>
              <w:trPr>
                <w:trHeight w:val="285" w:hRule="atLeast"/>
              </w:trPr>
              <w:tc>
                <w:tcPr>
                  <w:tcW w:w="598" w:type="dxa"/>
                  <w:vMerge w:val="continue"/>
                  <w:tcBorders>
                    <w:top w:val="nil"/>
                    <w:left w:val="single" w:color="auto" w:sz="8" w:space="0"/>
                    <w:bottom w:val="single" w:color="000000" w:sz="8" w:space="0"/>
                    <w:right w:val="single" w:color="auto" w:sz="8" w:space="0"/>
                  </w:tcBorders>
                  <w:vAlign w:val="center"/>
                </w:tcPr>
                <w:p>
                  <w:pPr>
                    <w:widowControl/>
                    <w:jc w:val="left"/>
                    <w:rPr>
                      <w:kern w:val="0"/>
                      <w:sz w:val="15"/>
                      <w:szCs w:val="15"/>
                    </w:rPr>
                  </w:pPr>
                </w:p>
              </w:tc>
              <w:tc>
                <w:tcPr>
                  <w:tcW w:w="816" w:type="dxa"/>
                  <w:tcBorders>
                    <w:top w:val="nil"/>
                    <w:left w:val="nil"/>
                    <w:bottom w:val="single" w:color="auto" w:sz="8" w:space="0"/>
                    <w:right w:val="single" w:color="auto" w:sz="8" w:space="0"/>
                  </w:tcBorders>
                  <w:noWrap/>
                  <w:vAlign w:val="center"/>
                </w:tcPr>
                <w:p>
                  <w:pPr>
                    <w:widowControl/>
                    <w:jc w:val="center"/>
                    <w:rPr>
                      <w:rFonts w:ascii="宋体" w:hAnsi="宋体" w:cs="宋体"/>
                      <w:kern w:val="0"/>
                      <w:sz w:val="15"/>
                      <w:szCs w:val="15"/>
                    </w:rPr>
                  </w:pPr>
                  <w:r>
                    <w:rPr>
                      <w:rFonts w:hint="eastAsia" w:ascii="宋体" w:hAnsi="宋体" w:cs="宋体"/>
                      <w:kern w:val="0"/>
                      <w:sz w:val="15"/>
                      <w:szCs w:val="15"/>
                    </w:rPr>
                    <w:t>生态流量</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r>
            <w:tr>
              <w:tblPrEx>
                <w:tblLayout w:type="fixed"/>
                <w:tblCellMar>
                  <w:top w:w="0" w:type="dxa"/>
                  <w:left w:w="108" w:type="dxa"/>
                  <w:bottom w:w="0" w:type="dxa"/>
                  <w:right w:w="108" w:type="dxa"/>
                </w:tblCellMar>
              </w:tblPrEx>
              <w:trPr>
                <w:trHeight w:val="285" w:hRule="atLeast"/>
              </w:trPr>
              <w:tc>
                <w:tcPr>
                  <w:tcW w:w="598" w:type="dxa"/>
                  <w:vMerge w:val="restart"/>
                  <w:tcBorders>
                    <w:top w:val="nil"/>
                    <w:left w:val="single" w:color="auto" w:sz="8" w:space="0"/>
                    <w:bottom w:val="single" w:color="000000" w:sz="8" w:space="0"/>
                    <w:right w:val="single" w:color="auto" w:sz="8" w:space="0"/>
                  </w:tcBorders>
                  <w:noWrap/>
                  <w:vAlign w:val="center"/>
                </w:tcPr>
                <w:p>
                  <w:pPr>
                    <w:widowControl/>
                    <w:jc w:val="center"/>
                    <w:rPr>
                      <w:kern w:val="0"/>
                      <w:sz w:val="15"/>
                      <w:szCs w:val="15"/>
                    </w:rPr>
                  </w:pPr>
                  <w:r>
                    <w:rPr>
                      <w:kern w:val="0"/>
                      <w:sz w:val="15"/>
                      <w:szCs w:val="15"/>
                    </w:rPr>
                    <w:t>85%</w:t>
                  </w:r>
                </w:p>
              </w:tc>
              <w:tc>
                <w:tcPr>
                  <w:tcW w:w="816"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2022</w:t>
                  </w:r>
                  <w:r>
                    <w:rPr>
                      <w:rFonts w:hint="eastAsia" w:ascii="宋体" w:hAnsi="宋体"/>
                      <w:kern w:val="0"/>
                      <w:sz w:val="15"/>
                      <w:szCs w:val="15"/>
                    </w:rPr>
                    <w:t>年</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0.063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0.050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0.250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0.324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0.059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0.091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0.264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0.122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0.180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0.132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0.032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0.024 </w:t>
                  </w:r>
                </w:p>
              </w:tc>
            </w:tr>
            <w:tr>
              <w:tblPrEx>
                <w:tblLayout w:type="fixed"/>
                <w:tblCellMar>
                  <w:top w:w="0" w:type="dxa"/>
                  <w:left w:w="108" w:type="dxa"/>
                  <w:bottom w:w="0" w:type="dxa"/>
                  <w:right w:w="108" w:type="dxa"/>
                </w:tblCellMar>
              </w:tblPrEx>
              <w:trPr>
                <w:trHeight w:val="285" w:hRule="atLeast"/>
              </w:trPr>
              <w:tc>
                <w:tcPr>
                  <w:tcW w:w="598" w:type="dxa"/>
                  <w:vMerge w:val="continue"/>
                  <w:tcBorders>
                    <w:top w:val="nil"/>
                    <w:left w:val="single" w:color="auto" w:sz="8" w:space="0"/>
                    <w:bottom w:val="single" w:color="000000" w:sz="8" w:space="0"/>
                    <w:right w:val="single" w:color="auto" w:sz="8" w:space="0"/>
                  </w:tcBorders>
                  <w:vAlign w:val="center"/>
                </w:tcPr>
                <w:p>
                  <w:pPr>
                    <w:widowControl/>
                    <w:jc w:val="left"/>
                    <w:rPr>
                      <w:kern w:val="0"/>
                      <w:sz w:val="15"/>
                      <w:szCs w:val="15"/>
                    </w:rPr>
                  </w:pPr>
                </w:p>
              </w:tc>
              <w:tc>
                <w:tcPr>
                  <w:tcW w:w="816"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2035</w:t>
                  </w:r>
                  <w:r>
                    <w:rPr>
                      <w:rFonts w:hint="eastAsia" w:ascii="宋体" w:hAnsi="宋体"/>
                      <w:kern w:val="0"/>
                      <w:sz w:val="15"/>
                      <w:szCs w:val="15"/>
                    </w:rPr>
                    <w:t>年</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0.171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0.076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r>
            <w:tr>
              <w:tblPrEx>
                <w:tblLayout w:type="fixed"/>
                <w:tblCellMar>
                  <w:top w:w="0" w:type="dxa"/>
                  <w:left w:w="108" w:type="dxa"/>
                  <w:bottom w:w="0" w:type="dxa"/>
                  <w:right w:w="108" w:type="dxa"/>
                </w:tblCellMar>
              </w:tblPrEx>
              <w:trPr>
                <w:trHeight w:val="285" w:hRule="atLeast"/>
              </w:trPr>
              <w:tc>
                <w:tcPr>
                  <w:tcW w:w="598" w:type="dxa"/>
                  <w:vMerge w:val="continue"/>
                  <w:tcBorders>
                    <w:top w:val="nil"/>
                    <w:left w:val="single" w:color="auto" w:sz="8" w:space="0"/>
                    <w:bottom w:val="single" w:color="000000" w:sz="8" w:space="0"/>
                    <w:right w:val="single" w:color="auto" w:sz="8" w:space="0"/>
                  </w:tcBorders>
                  <w:vAlign w:val="center"/>
                </w:tcPr>
                <w:p>
                  <w:pPr>
                    <w:widowControl/>
                    <w:jc w:val="left"/>
                    <w:rPr>
                      <w:kern w:val="0"/>
                      <w:sz w:val="15"/>
                      <w:szCs w:val="15"/>
                    </w:rPr>
                  </w:pPr>
                </w:p>
              </w:tc>
              <w:tc>
                <w:tcPr>
                  <w:tcW w:w="816" w:type="dxa"/>
                  <w:tcBorders>
                    <w:top w:val="nil"/>
                    <w:left w:val="nil"/>
                    <w:bottom w:val="single" w:color="auto" w:sz="8" w:space="0"/>
                    <w:right w:val="single" w:color="auto" w:sz="8" w:space="0"/>
                  </w:tcBorders>
                  <w:noWrap/>
                  <w:vAlign w:val="center"/>
                </w:tcPr>
                <w:p>
                  <w:pPr>
                    <w:widowControl/>
                    <w:jc w:val="center"/>
                    <w:rPr>
                      <w:rFonts w:ascii="宋体" w:hAnsi="宋体" w:cs="宋体"/>
                      <w:kern w:val="0"/>
                      <w:sz w:val="15"/>
                      <w:szCs w:val="15"/>
                    </w:rPr>
                  </w:pPr>
                  <w:r>
                    <w:rPr>
                      <w:rFonts w:hint="eastAsia" w:ascii="宋体" w:hAnsi="宋体" w:cs="宋体"/>
                      <w:kern w:val="0"/>
                      <w:sz w:val="15"/>
                      <w:szCs w:val="15"/>
                    </w:rPr>
                    <w:t>生态流量</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r>
            <w:tr>
              <w:tblPrEx>
                <w:tblLayout w:type="fixed"/>
                <w:tblCellMar>
                  <w:top w:w="0" w:type="dxa"/>
                  <w:left w:w="108" w:type="dxa"/>
                  <w:bottom w:w="0" w:type="dxa"/>
                  <w:right w:w="108" w:type="dxa"/>
                </w:tblCellMar>
              </w:tblPrEx>
              <w:trPr>
                <w:trHeight w:val="285" w:hRule="atLeast"/>
              </w:trPr>
              <w:tc>
                <w:tcPr>
                  <w:tcW w:w="598" w:type="dxa"/>
                  <w:vMerge w:val="restart"/>
                  <w:tcBorders>
                    <w:top w:val="nil"/>
                    <w:left w:val="single" w:color="auto" w:sz="8" w:space="0"/>
                    <w:bottom w:val="single" w:color="000000" w:sz="8" w:space="0"/>
                    <w:right w:val="single" w:color="auto" w:sz="8" w:space="0"/>
                  </w:tcBorders>
                  <w:noWrap/>
                  <w:vAlign w:val="center"/>
                </w:tcPr>
                <w:p>
                  <w:pPr>
                    <w:widowControl/>
                    <w:jc w:val="center"/>
                    <w:rPr>
                      <w:kern w:val="0"/>
                      <w:sz w:val="15"/>
                      <w:szCs w:val="15"/>
                    </w:rPr>
                  </w:pPr>
                  <w:r>
                    <w:rPr>
                      <w:kern w:val="0"/>
                      <w:sz w:val="15"/>
                      <w:szCs w:val="15"/>
                    </w:rPr>
                    <w:t>95%</w:t>
                  </w:r>
                </w:p>
              </w:tc>
              <w:tc>
                <w:tcPr>
                  <w:tcW w:w="816"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2022</w:t>
                  </w:r>
                  <w:r>
                    <w:rPr>
                      <w:rFonts w:hint="eastAsia" w:ascii="宋体" w:hAnsi="宋体"/>
                      <w:kern w:val="0"/>
                      <w:sz w:val="15"/>
                      <w:szCs w:val="15"/>
                    </w:rPr>
                    <w:t>年</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0.021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0.023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0.034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0.069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0.269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0.144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0.115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0.459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0.198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0.119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0.041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0.039 </w:t>
                  </w:r>
                </w:p>
              </w:tc>
            </w:tr>
            <w:tr>
              <w:tblPrEx>
                <w:tblLayout w:type="fixed"/>
                <w:tblCellMar>
                  <w:top w:w="0" w:type="dxa"/>
                  <w:left w:w="108" w:type="dxa"/>
                  <w:bottom w:w="0" w:type="dxa"/>
                  <w:right w:w="108" w:type="dxa"/>
                </w:tblCellMar>
              </w:tblPrEx>
              <w:trPr>
                <w:trHeight w:val="285" w:hRule="atLeast"/>
              </w:trPr>
              <w:tc>
                <w:tcPr>
                  <w:tcW w:w="598" w:type="dxa"/>
                  <w:vMerge w:val="continue"/>
                  <w:tcBorders>
                    <w:top w:val="nil"/>
                    <w:left w:val="single" w:color="auto" w:sz="8" w:space="0"/>
                    <w:bottom w:val="single" w:color="000000" w:sz="8" w:space="0"/>
                    <w:right w:val="single" w:color="auto" w:sz="8" w:space="0"/>
                  </w:tcBorders>
                  <w:vAlign w:val="center"/>
                </w:tcPr>
                <w:p>
                  <w:pPr>
                    <w:widowControl/>
                    <w:jc w:val="left"/>
                    <w:rPr>
                      <w:kern w:val="0"/>
                      <w:sz w:val="15"/>
                      <w:szCs w:val="15"/>
                    </w:rPr>
                  </w:pPr>
                </w:p>
              </w:tc>
              <w:tc>
                <w:tcPr>
                  <w:tcW w:w="816"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2035</w:t>
                  </w:r>
                  <w:r>
                    <w:rPr>
                      <w:rFonts w:hint="eastAsia" w:ascii="宋体" w:hAnsi="宋体"/>
                      <w:kern w:val="0"/>
                      <w:sz w:val="15"/>
                      <w:szCs w:val="15"/>
                    </w:rPr>
                    <w:t>年</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0.796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0.087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0.076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r>
            <w:tr>
              <w:tblPrEx>
                <w:tblLayout w:type="fixed"/>
                <w:tblCellMar>
                  <w:top w:w="0" w:type="dxa"/>
                  <w:left w:w="108" w:type="dxa"/>
                  <w:bottom w:w="0" w:type="dxa"/>
                  <w:right w:w="108" w:type="dxa"/>
                </w:tblCellMar>
              </w:tblPrEx>
              <w:trPr>
                <w:trHeight w:val="285" w:hRule="atLeast"/>
              </w:trPr>
              <w:tc>
                <w:tcPr>
                  <w:tcW w:w="598" w:type="dxa"/>
                  <w:vMerge w:val="continue"/>
                  <w:tcBorders>
                    <w:top w:val="nil"/>
                    <w:left w:val="single" w:color="auto" w:sz="8" w:space="0"/>
                    <w:bottom w:val="single" w:color="000000" w:sz="8" w:space="0"/>
                    <w:right w:val="single" w:color="auto" w:sz="8" w:space="0"/>
                  </w:tcBorders>
                  <w:vAlign w:val="center"/>
                </w:tcPr>
                <w:p>
                  <w:pPr>
                    <w:widowControl/>
                    <w:jc w:val="left"/>
                    <w:rPr>
                      <w:kern w:val="0"/>
                      <w:sz w:val="15"/>
                      <w:szCs w:val="15"/>
                    </w:rPr>
                  </w:pPr>
                </w:p>
              </w:tc>
              <w:tc>
                <w:tcPr>
                  <w:tcW w:w="816" w:type="dxa"/>
                  <w:tcBorders>
                    <w:top w:val="nil"/>
                    <w:left w:val="nil"/>
                    <w:bottom w:val="single" w:color="auto" w:sz="8" w:space="0"/>
                    <w:right w:val="single" w:color="auto" w:sz="8" w:space="0"/>
                  </w:tcBorders>
                  <w:noWrap/>
                  <w:vAlign w:val="center"/>
                </w:tcPr>
                <w:p>
                  <w:pPr>
                    <w:widowControl/>
                    <w:jc w:val="center"/>
                    <w:rPr>
                      <w:rFonts w:ascii="宋体" w:hAnsi="宋体" w:cs="宋体"/>
                      <w:kern w:val="0"/>
                      <w:sz w:val="15"/>
                      <w:szCs w:val="15"/>
                    </w:rPr>
                  </w:pPr>
                  <w:r>
                    <w:rPr>
                      <w:rFonts w:hint="eastAsia" w:ascii="宋体" w:hAnsi="宋体" w:cs="宋体"/>
                      <w:kern w:val="0"/>
                      <w:sz w:val="15"/>
                      <w:szCs w:val="15"/>
                    </w:rPr>
                    <w:t>生态流量</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8"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0.086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c>
                <w:tcPr>
                  <w:tcW w:w="599" w:type="dxa"/>
                  <w:tcBorders>
                    <w:top w:val="nil"/>
                    <w:left w:val="nil"/>
                    <w:bottom w:val="single" w:color="auto" w:sz="8" w:space="0"/>
                    <w:right w:val="single" w:color="auto" w:sz="8" w:space="0"/>
                  </w:tcBorders>
                  <w:noWrap/>
                  <w:vAlign w:val="center"/>
                </w:tcPr>
                <w:p>
                  <w:pPr>
                    <w:widowControl/>
                    <w:jc w:val="center"/>
                    <w:rPr>
                      <w:kern w:val="0"/>
                      <w:sz w:val="15"/>
                      <w:szCs w:val="15"/>
                    </w:rPr>
                  </w:pPr>
                  <w:r>
                    <w:rPr>
                      <w:kern w:val="0"/>
                      <w:sz w:val="15"/>
                      <w:szCs w:val="15"/>
                    </w:rPr>
                    <w:t xml:space="preserve">0.029 </w:t>
                  </w:r>
                </w:p>
              </w:tc>
            </w:tr>
          </w:tbl>
          <w:p>
            <w:pPr>
              <w:spacing w:line="360" w:lineRule="auto"/>
              <w:rPr>
                <w:sz w:val="24"/>
              </w:rPr>
            </w:pPr>
          </w:p>
          <w:p>
            <w:pPr>
              <w:adjustRightInd w:val="0"/>
              <w:snapToGrid w:val="0"/>
              <w:spacing w:line="360" w:lineRule="auto"/>
              <w:rPr>
                <w:b/>
                <w:bCs/>
                <w:sz w:val="24"/>
              </w:rPr>
            </w:pPr>
            <w:r>
              <w:rPr>
                <w:rFonts w:hint="eastAsia"/>
                <w:b/>
                <w:bCs/>
                <w:sz w:val="24"/>
              </w:rPr>
              <w:t>二、水文情势的影响</w:t>
            </w:r>
          </w:p>
          <w:p>
            <w:pPr>
              <w:spacing w:line="360" w:lineRule="auto"/>
              <w:ind w:firstLine="480"/>
              <w:rPr>
                <w:sz w:val="24"/>
              </w:rPr>
            </w:pPr>
            <w:r>
              <w:rPr>
                <w:rFonts w:hint="eastAsia"/>
                <w:sz w:val="24"/>
              </w:rPr>
              <w:t>（1）初期蓄水对</w:t>
            </w:r>
            <w:r>
              <w:rPr>
                <w:sz w:val="24"/>
              </w:rPr>
              <w:t>水文情势的影响</w:t>
            </w:r>
          </w:p>
          <w:p>
            <w:pPr>
              <w:spacing w:line="360" w:lineRule="auto"/>
              <w:ind w:firstLine="480"/>
              <w:rPr>
                <w:sz w:val="24"/>
              </w:rPr>
            </w:pPr>
            <w:r>
              <w:rPr>
                <w:rFonts w:hint="eastAsia"/>
                <w:sz w:val="24"/>
              </w:rPr>
              <w:t>根据</w:t>
            </w:r>
            <w:r>
              <w:rPr>
                <w:sz w:val="24"/>
              </w:rPr>
              <w:t>地表水专项评价结果</w:t>
            </w:r>
            <w:r>
              <w:rPr>
                <w:rFonts w:hint="eastAsia"/>
                <w:sz w:val="24"/>
              </w:rPr>
              <w:t>，在初期蓄水期间（仅3月、4月）下泄水量较天然来流有所减少，但均能满足生态流量要求，受水库出库水量减少的影响，下游河段流量也将发生变化。</w:t>
            </w:r>
          </w:p>
          <w:p>
            <w:pPr>
              <w:spacing w:line="360" w:lineRule="auto"/>
              <w:ind w:firstLine="480"/>
              <w:rPr>
                <w:sz w:val="24"/>
              </w:rPr>
            </w:pPr>
            <w:r>
              <w:rPr>
                <w:rFonts w:hint="eastAsia"/>
                <w:sz w:val="24"/>
              </w:rPr>
              <w:t>（</w:t>
            </w:r>
            <w:r>
              <w:rPr>
                <w:sz w:val="24"/>
              </w:rPr>
              <w:t>2</w:t>
            </w:r>
            <w:r>
              <w:rPr>
                <w:rFonts w:hint="eastAsia"/>
                <w:sz w:val="24"/>
              </w:rPr>
              <w:t>）库区</w:t>
            </w:r>
            <w:r>
              <w:rPr>
                <w:sz w:val="24"/>
              </w:rPr>
              <w:t>水</w:t>
            </w:r>
            <w:r>
              <w:rPr>
                <w:rFonts w:hint="eastAsia"/>
                <w:sz w:val="24"/>
              </w:rPr>
              <w:t>文</w:t>
            </w:r>
            <w:r>
              <w:rPr>
                <w:sz w:val="24"/>
              </w:rPr>
              <w:t>情势的变化</w:t>
            </w:r>
          </w:p>
          <w:p>
            <w:pPr>
              <w:spacing w:line="360" w:lineRule="auto"/>
              <w:ind w:firstLine="480"/>
              <w:rPr>
                <w:sz w:val="24"/>
              </w:rPr>
            </w:pPr>
            <w:r>
              <w:rPr>
                <w:rFonts w:hint="eastAsia"/>
                <w:sz w:val="24"/>
              </w:rPr>
              <w:t>红山嘴水库建成运行后，水库蓄水将使库区河段的水位、水面积、水深及流速等发生变化，总体上表现为水深及水面面积增加，流速减缓。水库建成后，当正常蓄水位</w:t>
            </w:r>
            <w:r>
              <w:rPr>
                <w:sz w:val="24"/>
              </w:rPr>
              <w:t>1333.82</w:t>
            </w:r>
            <w:r>
              <w:rPr>
                <w:rFonts w:hint="eastAsia"/>
                <w:sz w:val="24"/>
              </w:rPr>
              <w:t>m时，回水长度1.5km，水域面积较建库前扩大，流速则从库尾至坝前沿程减缓，库坝前流速为最小。</w:t>
            </w:r>
          </w:p>
          <w:p>
            <w:pPr>
              <w:spacing w:line="360" w:lineRule="auto"/>
              <w:ind w:firstLine="480"/>
              <w:rPr>
                <w:sz w:val="24"/>
              </w:rPr>
            </w:pPr>
            <w:r>
              <w:rPr>
                <w:rFonts w:hint="eastAsia"/>
                <w:sz w:val="24"/>
              </w:rPr>
              <w:t>红山嘴水库具有年调节性能，运行期水库水位日内变幅较小，月均水位将在正常蓄水位</w:t>
            </w:r>
            <w:r>
              <w:rPr>
                <w:sz w:val="24"/>
              </w:rPr>
              <w:t>1333.82</w:t>
            </w:r>
            <w:r>
              <w:rPr>
                <w:rFonts w:hint="eastAsia"/>
                <w:sz w:val="24"/>
              </w:rPr>
              <w:t>m～死水位1317.7m间变动，随库水位变动，库区河段水面宽、水深及流速等也会随之变化。</w:t>
            </w:r>
          </w:p>
          <w:p>
            <w:pPr>
              <w:spacing w:line="360" w:lineRule="auto"/>
              <w:ind w:firstLine="480"/>
              <w:rPr>
                <w:sz w:val="24"/>
              </w:rPr>
            </w:pPr>
            <w:r>
              <w:rPr>
                <w:rFonts w:hint="eastAsia"/>
                <w:sz w:val="24"/>
              </w:rPr>
              <w:t>（</w:t>
            </w:r>
            <w:r>
              <w:rPr>
                <w:sz w:val="24"/>
              </w:rPr>
              <w:t>3</w:t>
            </w:r>
            <w:r>
              <w:rPr>
                <w:rFonts w:hint="eastAsia"/>
                <w:sz w:val="24"/>
              </w:rPr>
              <w:t>）下游</w:t>
            </w:r>
            <w:r>
              <w:rPr>
                <w:sz w:val="24"/>
              </w:rPr>
              <w:t>河段水文情势的变化</w:t>
            </w:r>
          </w:p>
          <w:p>
            <w:pPr>
              <w:spacing w:line="360" w:lineRule="auto"/>
              <w:ind w:firstLine="480"/>
              <w:rPr>
                <w:sz w:val="24"/>
              </w:rPr>
            </w:pPr>
            <w:r>
              <w:rPr>
                <w:rFonts w:hint="eastAsia"/>
                <w:sz w:val="24"/>
              </w:rPr>
              <w:t>①</w:t>
            </w:r>
            <w:r>
              <w:rPr>
                <w:sz w:val="24"/>
              </w:rPr>
              <w:t>流量</w:t>
            </w:r>
          </w:p>
          <w:p>
            <w:pPr>
              <w:spacing w:line="360" w:lineRule="auto"/>
              <w:ind w:firstLine="480"/>
              <w:rPr>
                <w:sz w:val="24"/>
              </w:rPr>
            </w:pPr>
            <w:r>
              <w:rPr>
                <w:rFonts w:hint="eastAsia"/>
                <w:sz w:val="24"/>
              </w:rPr>
              <w:t>不同来水频率下，现状年及设计水平年红山嘴水库坝址断面下泄流量变化情况详见表</w:t>
            </w:r>
            <w:r>
              <w:rPr>
                <w:sz w:val="24"/>
              </w:rPr>
              <w:t>9</w:t>
            </w:r>
            <w:r>
              <w:rPr>
                <w:rFonts w:hint="eastAsia"/>
                <w:sz w:val="24"/>
              </w:rPr>
              <w:t>。不同来水频率，水库下泄总水量较现状年减小，其中除P=50%来水频率下8月、P=85%来水频率下5月和12月、P=95%来水频率下1月～4月下泄流量增加外，其余不同</w:t>
            </w:r>
            <w:r>
              <w:rPr>
                <w:sz w:val="24"/>
              </w:rPr>
              <w:t>频率下</w:t>
            </w:r>
            <w:r>
              <w:rPr>
                <w:rFonts w:hint="eastAsia"/>
                <w:sz w:val="24"/>
              </w:rPr>
              <w:t>各月下泄流量均有所减少。</w:t>
            </w:r>
          </w:p>
          <w:p>
            <w:pPr>
              <w:jc w:val="left"/>
              <w:rPr>
                <w:sz w:val="24"/>
                <w:vertAlign w:val="superscript"/>
              </w:rPr>
            </w:pPr>
            <w:r>
              <w:rPr>
                <w:rFonts w:eastAsia="黑体"/>
                <w:sz w:val="24"/>
              </w:rPr>
              <w:t xml:space="preserve">表9             </w:t>
            </w:r>
            <w:r>
              <w:rPr>
                <w:rFonts w:hint="eastAsia" w:eastAsia="黑体"/>
                <w:sz w:val="24"/>
              </w:rPr>
              <w:t>红山嘴水库出库</w:t>
            </w:r>
            <w:r>
              <w:rPr>
                <w:rFonts w:eastAsia="黑体"/>
                <w:sz w:val="24"/>
              </w:rPr>
              <w:t>断面流量变化    单位:流量m</w:t>
            </w:r>
            <w:r>
              <w:rPr>
                <w:rFonts w:eastAsia="黑体"/>
                <w:sz w:val="24"/>
                <w:vertAlign w:val="superscript"/>
              </w:rPr>
              <w:t>3</w:t>
            </w:r>
            <w:r>
              <w:rPr>
                <w:rFonts w:eastAsia="黑体"/>
                <w:sz w:val="24"/>
              </w:rPr>
              <w:t>/s、水量：</w:t>
            </w:r>
            <w:r>
              <w:rPr>
                <w:rFonts w:hint="eastAsia" w:eastAsia="黑体"/>
                <w:sz w:val="24"/>
              </w:rPr>
              <w:t>万</w:t>
            </w:r>
            <w:r>
              <w:rPr>
                <w:rFonts w:eastAsia="黑体"/>
                <w:sz w:val="24"/>
              </w:rPr>
              <w:t>m</w:t>
            </w:r>
            <w:r>
              <w:rPr>
                <w:rFonts w:eastAsia="黑体"/>
                <w:sz w:val="24"/>
                <w:vertAlign w:val="superscript"/>
              </w:rPr>
              <w:t>3</w:t>
            </w:r>
          </w:p>
          <w:tbl>
            <w:tblPr>
              <w:tblStyle w:val="21"/>
              <w:tblW w:w="859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742"/>
              <w:gridCol w:w="622"/>
              <w:gridCol w:w="497"/>
              <w:gridCol w:w="559"/>
              <w:gridCol w:w="560"/>
              <w:gridCol w:w="560"/>
              <w:gridCol w:w="559"/>
              <w:gridCol w:w="560"/>
              <w:gridCol w:w="560"/>
              <w:gridCol w:w="559"/>
              <w:gridCol w:w="560"/>
              <w:gridCol w:w="560"/>
              <w:gridCol w:w="559"/>
              <w:gridCol w:w="560"/>
              <w:gridCol w:w="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27" w:hRule="atLeast"/>
                <w:jc w:val="center"/>
              </w:trPr>
              <w:tc>
                <w:tcPr>
                  <w:tcW w:w="742" w:type="dxa"/>
                  <w:shd w:val="clear" w:color="auto" w:fill="auto"/>
                  <w:noWrap/>
                  <w:vAlign w:val="center"/>
                </w:tcPr>
                <w:p>
                  <w:pPr>
                    <w:widowControl/>
                    <w:spacing w:line="240" w:lineRule="exact"/>
                    <w:jc w:val="center"/>
                    <w:rPr>
                      <w:kern w:val="0"/>
                      <w:sz w:val="18"/>
                      <w:szCs w:val="18"/>
                    </w:rPr>
                  </w:pPr>
                  <w:r>
                    <w:rPr>
                      <w:kern w:val="0"/>
                      <w:sz w:val="18"/>
                      <w:szCs w:val="18"/>
                    </w:rPr>
                    <w:t>来水频率</w:t>
                  </w:r>
                </w:p>
              </w:tc>
              <w:tc>
                <w:tcPr>
                  <w:tcW w:w="622" w:type="dxa"/>
                  <w:shd w:val="clear" w:color="auto" w:fill="auto"/>
                  <w:noWrap/>
                  <w:vAlign w:val="center"/>
                </w:tcPr>
                <w:p>
                  <w:pPr>
                    <w:widowControl/>
                    <w:spacing w:line="240" w:lineRule="exact"/>
                    <w:jc w:val="center"/>
                    <w:rPr>
                      <w:kern w:val="0"/>
                      <w:sz w:val="18"/>
                      <w:szCs w:val="18"/>
                    </w:rPr>
                  </w:pPr>
                  <w:r>
                    <w:rPr>
                      <w:kern w:val="0"/>
                      <w:sz w:val="18"/>
                      <w:szCs w:val="18"/>
                    </w:rPr>
                    <w:t>月份</w:t>
                  </w:r>
                </w:p>
              </w:tc>
              <w:tc>
                <w:tcPr>
                  <w:tcW w:w="497" w:type="dxa"/>
                  <w:shd w:val="clear" w:color="auto" w:fill="auto"/>
                  <w:vAlign w:val="center"/>
                </w:tcPr>
                <w:p>
                  <w:pPr>
                    <w:widowControl/>
                    <w:spacing w:line="240" w:lineRule="exact"/>
                    <w:jc w:val="center"/>
                    <w:rPr>
                      <w:kern w:val="0"/>
                      <w:sz w:val="18"/>
                      <w:szCs w:val="18"/>
                    </w:rPr>
                  </w:pPr>
                  <w:r>
                    <w:rPr>
                      <w:kern w:val="0"/>
                      <w:sz w:val="18"/>
                      <w:szCs w:val="18"/>
                    </w:rPr>
                    <w:t>1</w:t>
                  </w:r>
                </w:p>
              </w:tc>
              <w:tc>
                <w:tcPr>
                  <w:tcW w:w="559" w:type="dxa"/>
                  <w:shd w:val="clear" w:color="auto" w:fill="auto"/>
                  <w:vAlign w:val="center"/>
                </w:tcPr>
                <w:p>
                  <w:pPr>
                    <w:widowControl/>
                    <w:spacing w:line="240" w:lineRule="exact"/>
                    <w:jc w:val="center"/>
                    <w:rPr>
                      <w:kern w:val="0"/>
                      <w:sz w:val="18"/>
                      <w:szCs w:val="18"/>
                    </w:rPr>
                  </w:pPr>
                  <w:r>
                    <w:rPr>
                      <w:kern w:val="0"/>
                      <w:sz w:val="18"/>
                      <w:szCs w:val="18"/>
                    </w:rPr>
                    <w:t>2</w:t>
                  </w:r>
                </w:p>
              </w:tc>
              <w:tc>
                <w:tcPr>
                  <w:tcW w:w="560" w:type="dxa"/>
                  <w:shd w:val="clear" w:color="auto" w:fill="auto"/>
                  <w:vAlign w:val="center"/>
                </w:tcPr>
                <w:p>
                  <w:pPr>
                    <w:widowControl/>
                    <w:spacing w:line="240" w:lineRule="exact"/>
                    <w:jc w:val="center"/>
                    <w:rPr>
                      <w:kern w:val="0"/>
                      <w:sz w:val="18"/>
                      <w:szCs w:val="18"/>
                    </w:rPr>
                  </w:pPr>
                  <w:r>
                    <w:rPr>
                      <w:kern w:val="0"/>
                      <w:sz w:val="18"/>
                      <w:szCs w:val="18"/>
                    </w:rPr>
                    <w:t>3</w:t>
                  </w:r>
                </w:p>
              </w:tc>
              <w:tc>
                <w:tcPr>
                  <w:tcW w:w="560" w:type="dxa"/>
                  <w:shd w:val="clear" w:color="auto" w:fill="auto"/>
                  <w:vAlign w:val="center"/>
                </w:tcPr>
                <w:p>
                  <w:pPr>
                    <w:widowControl/>
                    <w:spacing w:line="240" w:lineRule="exact"/>
                    <w:jc w:val="center"/>
                    <w:rPr>
                      <w:kern w:val="0"/>
                      <w:sz w:val="18"/>
                      <w:szCs w:val="18"/>
                    </w:rPr>
                  </w:pPr>
                  <w:r>
                    <w:rPr>
                      <w:kern w:val="0"/>
                      <w:sz w:val="18"/>
                      <w:szCs w:val="18"/>
                    </w:rPr>
                    <w:t>4</w:t>
                  </w:r>
                </w:p>
              </w:tc>
              <w:tc>
                <w:tcPr>
                  <w:tcW w:w="559" w:type="dxa"/>
                  <w:shd w:val="clear" w:color="auto" w:fill="auto"/>
                  <w:vAlign w:val="center"/>
                </w:tcPr>
                <w:p>
                  <w:pPr>
                    <w:widowControl/>
                    <w:spacing w:line="240" w:lineRule="exact"/>
                    <w:jc w:val="center"/>
                    <w:rPr>
                      <w:kern w:val="0"/>
                      <w:sz w:val="18"/>
                      <w:szCs w:val="18"/>
                    </w:rPr>
                  </w:pPr>
                  <w:r>
                    <w:rPr>
                      <w:kern w:val="0"/>
                      <w:sz w:val="18"/>
                      <w:szCs w:val="18"/>
                    </w:rPr>
                    <w:t>5</w:t>
                  </w:r>
                </w:p>
              </w:tc>
              <w:tc>
                <w:tcPr>
                  <w:tcW w:w="560" w:type="dxa"/>
                  <w:shd w:val="clear" w:color="auto" w:fill="auto"/>
                  <w:vAlign w:val="center"/>
                </w:tcPr>
                <w:p>
                  <w:pPr>
                    <w:widowControl/>
                    <w:spacing w:line="240" w:lineRule="exact"/>
                    <w:jc w:val="center"/>
                    <w:rPr>
                      <w:kern w:val="0"/>
                      <w:sz w:val="18"/>
                      <w:szCs w:val="18"/>
                    </w:rPr>
                  </w:pPr>
                  <w:r>
                    <w:rPr>
                      <w:kern w:val="0"/>
                      <w:sz w:val="18"/>
                      <w:szCs w:val="18"/>
                    </w:rPr>
                    <w:t>6</w:t>
                  </w:r>
                </w:p>
              </w:tc>
              <w:tc>
                <w:tcPr>
                  <w:tcW w:w="560" w:type="dxa"/>
                  <w:shd w:val="clear" w:color="auto" w:fill="auto"/>
                  <w:vAlign w:val="center"/>
                </w:tcPr>
                <w:p>
                  <w:pPr>
                    <w:widowControl/>
                    <w:spacing w:line="240" w:lineRule="exact"/>
                    <w:jc w:val="center"/>
                    <w:rPr>
                      <w:kern w:val="0"/>
                      <w:sz w:val="18"/>
                      <w:szCs w:val="18"/>
                    </w:rPr>
                  </w:pPr>
                  <w:r>
                    <w:rPr>
                      <w:kern w:val="0"/>
                      <w:sz w:val="18"/>
                      <w:szCs w:val="18"/>
                    </w:rPr>
                    <w:t>7</w:t>
                  </w:r>
                </w:p>
              </w:tc>
              <w:tc>
                <w:tcPr>
                  <w:tcW w:w="559" w:type="dxa"/>
                  <w:shd w:val="clear" w:color="auto" w:fill="auto"/>
                  <w:vAlign w:val="center"/>
                </w:tcPr>
                <w:p>
                  <w:pPr>
                    <w:widowControl/>
                    <w:spacing w:line="240" w:lineRule="exact"/>
                    <w:jc w:val="center"/>
                    <w:rPr>
                      <w:kern w:val="0"/>
                      <w:sz w:val="18"/>
                      <w:szCs w:val="18"/>
                    </w:rPr>
                  </w:pPr>
                  <w:r>
                    <w:rPr>
                      <w:kern w:val="0"/>
                      <w:sz w:val="18"/>
                      <w:szCs w:val="18"/>
                    </w:rPr>
                    <w:t>8</w:t>
                  </w:r>
                </w:p>
              </w:tc>
              <w:tc>
                <w:tcPr>
                  <w:tcW w:w="560" w:type="dxa"/>
                  <w:shd w:val="clear" w:color="auto" w:fill="auto"/>
                  <w:vAlign w:val="center"/>
                </w:tcPr>
                <w:p>
                  <w:pPr>
                    <w:widowControl/>
                    <w:spacing w:line="240" w:lineRule="exact"/>
                    <w:jc w:val="center"/>
                    <w:rPr>
                      <w:kern w:val="0"/>
                      <w:sz w:val="18"/>
                      <w:szCs w:val="18"/>
                    </w:rPr>
                  </w:pPr>
                  <w:r>
                    <w:rPr>
                      <w:kern w:val="0"/>
                      <w:sz w:val="18"/>
                      <w:szCs w:val="18"/>
                    </w:rPr>
                    <w:t>9</w:t>
                  </w:r>
                </w:p>
              </w:tc>
              <w:tc>
                <w:tcPr>
                  <w:tcW w:w="560" w:type="dxa"/>
                  <w:shd w:val="clear" w:color="auto" w:fill="auto"/>
                  <w:vAlign w:val="center"/>
                </w:tcPr>
                <w:p>
                  <w:pPr>
                    <w:widowControl/>
                    <w:spacing w:line="240" w:lineRule="exact"/>
                    <w:jc w:val="center"/>
                    <w:rPr>
                      <w:kern w:val="0"/>
                      <w:sz w:val="18"/>
                      <w:szCs w:val="18"/>
                    </w:rPr>
                  </w:pPr>
                  <w:r>
                    <w:rPr>
                      <w:kern w:val="0"/>
                      <w:sz w:val="18"/>
                      <w:szCs w:val="18"/>
                    </w:rPr>
                    <w:t>10</w:t>
                  </w:r>
                </w:p>
              </w:tc>
              <w:tc>
                <w:tcPr>
                  <w:tcW w:w="559" w:type="dxa"/>
                  <w:shd w:val="clear" w:color="auto" w:fill="auto"/>
                  <w:vAlign w:val="center"/>
                </w:tcPr>
                <w:p>
                  <w:pPr>
                    <w:widowControl/>
                    <w:spacing w:line="240" w:lineRule="exact"/>
                    <w:jc w:val="center"/>
                    <w:rPr>
                      <w:kern w:val="0"/>
                      <w:sz w:val="18"/>
                      <w:szCs w:val="18"/>
                    </w:rPr>
                  </w:pPr>
                  <w:r>
                    <w:rPr>
                      <w:kern w:val="0"/>
                      <w:sz w:val="18"/>
                      <w:szCs w:val="18"/>
                    </w:rPr>
                    <w:t>11</w:t>
                  </w:r>
                </w:p>
              </w:tc>
              <w:tc>
                <w:tcPr>
                  <w:tcW w:w="560" w:type="dxa"/>
                  <w:shd w:val="clear" w:color="auto" w:fill="auto"/>
                  <w:vAlign w:val="center"/>
                </w:tcPr>
                <w:p>
                  <w:pPr>
                    <w:widowControl/>
                    <w:spacing w:line="240" w:lineRule="exact"/>
                    <w:jc w:val="center"/>
                    <w:rPr>
                      <w:kern w:val="0"/>
                      <w:sz w:val="18"/>
                      <w:szCs w:val="18"/>
                    </w:rPr>
                  </w:pPr>
                  <w:r>
                    <w:rPr>
                      <w:kern w:val="0"/>
                      <w:sz w:val="18"/>
                      <w:szCs w:val="18"/>
                    </w:rPr>
                    <w:t>12</w:t>
                  </w:r>
                </w:p>
              </w:tc>
              <w:tc>
                <w:tcPr>
                  <w:tcW w:w="573" w:type="dxa"/>
                  <w:shd w:val="clear" w:color="auto" w:fill="auto"/>
                  <w:noWrap/>
                  <w:vAlign w:val="center"/>
                </w:tcPr>
                <w:p>
                  <w:pPr>
                    <w:widowControl/>
                    <w:spacing w:line="240" w:lineRule="exact"/>
                    <w:jc w:val="center"/>
                    <w:rPr>
                      <w:kern w:val="0"/>
                      <w:sz w:val="18"/>
                      <w:szCs w:val="18"/>
                    </w:rPr>
                  </w:pPr>
                  <w:r>
                    <w:rPr>
                      <w:kern w:val="0"/>
                      <w:sz w:val="18"/>
                      <w:szCs w:val="18"/>
                    </w:rPr>
                    <w:t>年水量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27" w:hRule="atLeast"/>
                <w:jc w:val="center"/>
              </w:trPr>
              <w:tc>
                <w:tcPr>
                  <w:tcW w:w="742"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18"/>
                      <w:szCs w:val="18"/>
                    </w:rPr>
                    <w:t>P=50%</w:t>
                  </w:r>
                </w:p>
              </w:tc>
              <w:tc>
                <w:tcPr>
                  <w:tcW w:w="6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rFonts w:hint="eastAsia"/>
                      <w:kern w:val="0"/>
                      <w:sz w:val="18"/>
                      <w:szCs w:val="18"/>
                    </w:rPr>
                    <w:t>2</w:t>
                  </w:r>
                  <w:r>
                    <w:rPr>
                      <w:kern w:val="0"/>
                      <w:sz w:val="18"/>
                      <w:szCs w:val="18"/>
                    </w:rPr>
                    <w:t>022</w:t>
                  </w:r>
                  <w:r>
                    <w:rPr>
                      <w:rFonts w:hint="eastAsia"/>
                      <w:kern w:val="0"/>
                      <w:sz w:val="18"/>
                      <w:szCs w:val="18"/>
                    </w:rPr>
                    <w:t>年</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0.052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0.043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0.039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0.327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0.406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0.352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0.391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0.328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0.222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0.173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0.149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0.121 </w:t>
                  </w: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20"/>
                      <w:szCs w:val="15"/>
                    </w:rPr>
                    <w:t xml:space="preserve">694.93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27" w:hRule="atLeast"/>
                <w:jc w:val="center"/>
              </w:trPr>
              <w:tc>
                <w:tcPr>
                  <w:tcW w:w="742" w:type="dxa"/>
                  <w:vMerge w:val="continue"/>
                  <w:tcBorders>
                    <w:left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p>
              </w:tc>
              <w:tc>
                <w:tcPr>
                  <w:tcW w:w="6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rFonts w:hint="eastAsia"/>
                      <w:kern w:val="0"/>
                      <w:sz w:val="18"/>
                      <w:szCs w:val="18"/>
                    </w:rPr>
                    <w:t>2</w:t>
                  </w:r>
                  <w:r>
                    <w:rPr>
                      <w:kern w:val="0"/>
                      <w:sz w:val="18"/>
                      <w:szCs w:val="18"/>
                    </w:rPr>
                    <w:t>035</w:t>
                  </w:r>
                  <w:r>
                    <w:rPr>
                      <w:rFonts w:hint="eastAsia"/>
                      <w:kern w:val="0"/>
                      <w:sz w:val="18"/>
                      <w:szCs w:val="18"/>
                    </w:rPr>
                    <w:t>年</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0.046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0.032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0.033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0.280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0.373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0.346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0.167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0.141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0.115 </w:t>
                  </w: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20"/>
                      <w:szCs w:val="15"/>
                    </w:rPr>
                    <w:t xml:space="preserve">473.38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27" w:hRule="atLeast"/>
                <w:jc w:val="center"/>
              </w:trPr>
              <w:tc>
                <w:tcPr>
                  <w:tcW w:w="742"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18"/>
                      <w:szCs w:val="18"/>
                    </w:rPr>
                    <w:t>P=85%</w:t>
                  </w:r>
                </w:p>
              </w:tc>
              <w:tc>
                <w:tcPr>
                  <w:tcW w:w="6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rFonts w:hint="eastAsia"/>
                      <w:kern w:val="0"/>
                      <w:sz w:val="18"/>
                      <w:szCs w:val="18"/>
                    </w:rPr>
                    <w:t>2</w:t>
                  </w:r>
                  <w:r>
                    <w:rPr>
                      <w:kern w:val="0"/>
                      <w:sz w:val="18"/>
                      <w:szCs w:val="18"/>
                    </w:rPr>
                    <w:t>022年</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0.063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0.050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0.250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0.324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0.059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0.091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0.264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0.122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0.180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0.132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0.032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0.024 </w:t>
                  </w: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20"/>
                      <w:szCs w:val="15"/>
                    </w:rPr>
                    <w:t xml:space="preserve">425.95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27" w:hRule="atLeast"/>
                <w:jc w:val="center"/>
              </w:trPr>
              <w:tc>
                <w:tcPr>
                  <w:tcW w:w="742" w:type="dxa"/>
                  <w:vMerge w:val="continue"/>
                  <w:tcBorders>
                    <w:left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p>
              </w:tc>
              <w:tc>
                <w:tcPr>
                  <w:tcW w:w="6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rFonts w:hint="eastAsia"/>
                      <w:kern w:val="0"/>
                      <w:sz w:val="18"/>
                      <w:szCs w:val="18"/>
                    </w:rPr>
                    <w:t>2</w:t>
                  </w:r>
                  <w:r>
                    <w:rPr>
                      <w:kern w:val="0"/>
                      <w:sz w:val="18"/>
                      <w:szCs w:val="18"/>
                    </w:rPr>
                    <w:t>035</w:t>
                  </w:r>
                  <w:r>
                    <w:rPr>
                      <w:rFonts w:hint="eastAsia"/>
                      <w:kern w:val="0"/>
                      <w:sz w:val="18"/>
                      <w:szCs w:val="18"/>
                    </w:rPr>
                    <w:t>年</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0.171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20"/>
                      <w:szCs w:val="15"/>
                    </w:rPr>
                    <w:t xml:space="preserve">204.40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27" w:hRule="atLeast"/>
                <w:jc w:val="center"/>
              </w:trPr>
              <w:tc>
                <w:tcPr>
                  <w:tcW w:w="742" w:type="dxa"/>
                  <w:vMerge w:val="restart"/>
                  <w:tcBorders>
                    <w:top w:val="single" w:color="auto" w:sz="4" w:space="0"/>
                    <w:left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18"/>
                      <w:szCs w:val="18"/>
                    </w:rPr>
                    <w:t>P=95%</w:t>
                  </w:r>
                </w:p>
              </w:tc>
              <w:tc>
                <w:tcPr>
                  <w:tcW w:w="6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rFonts w:hint="eastAsia"/>
                      <w:kern w:val="0"/>
                      <w:sz w:val="18"/>
                      <w:szCs w:val="18"/>
                    </w:rPr>
                    <w:t>2</w:t>
                  </w:r>
                  <w:r>
                    <w:rPr>
                      <w:kern w:val="0"/>
                      <w:sz w:val="18"/>
                      <w:szCs w:val="18"/>
                    </w:rPr>
                    <w:t>022年</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0.021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0.023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0.034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0.069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0.269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0.144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0.115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0.459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0.198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0.119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0.041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0.039 </w:t>
                  </w: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20"/>
                      <w:szCs w:val="15"/>
                    </w:rPr>
                    <w:t xml:space="preserve">412.86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Ex>
              <w:trPr>
                <w:trHeight w:val="227" w:hRule="atLeast"/>
                <w:jc w:val="center"/>
              </w:trPr>
              <w:tc>
                <w:tcPr>
                  <w:tcW w:w="742" w:type="dxa"/>
                  <w:vMerge w:val="continue"/>
                  <w:tcBorders>
                    <w:left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p>
              </w:tc>
              <w:tc>
                <w:tcPr>
                  <w:tcW w:w="622"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rFonts w:hint="eastAsia"/>
                      <w:kern w:val="0"/>
                      <w:sz w:val="18"/>
                      <w:szCs w:val="18"/>
                    </w:rPr>
                    <w:t>2</w:t>
                  </w:r>
                  <w:r>
                    <w:rPr>
                      <w:kern w:val="0"/>
                      <w:sz w:val="18"/>
                      <w:szCs w:val="18"/>
                    </w:rPr>
                    <w:t>035</w:t>
                  </w:r>
                  <w:r>
                    <w:rPr>
                      <w:rFonts w:hint="eastAsia"/>
                      <w:kern w:val="0"/>
                      <w:sz w:val="18"/>
                      <w:szCs w:val="18"/>
                    </w:rPr>
                    <w:t>年</w:t>
                  </w:r>
                </w:p>
              </w:tc>
              <w:tc>
                <w:tcPr>
                  <w:tcW w:w="497"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0.796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0.087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0.086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6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exact"/>
                    <w:jc w:val="center"/>
                    <w:rPr>
                      <w:kern w:val="0"/>
                      <w:sz w:val="18"/>
                      <w:szCs w:val="18"/>
                    </w:rPr>
                  </w:pPr>
                  <w:r>
                    <w:rPr>
                      <w:kern w:val="0"/>
                      <w:sz w:val="20"/>
                      <w:szCs w:val="15"/>
                    </w:rPr>
                    <w:t xml:space="preserve">0.029 </w:t>
                  </w:r>
                </w:p>
              </w:tc>
              <w:tc>
                <w:tcPr>
                  <w:tcW w:w="573"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spacing w:line="240" w:lineRule="exact"/>
                    <w:jc w:val="center"/>
                    <w:rPr>
                      <w:kern w:val="0"/>
                      <w:sz w:val="18"/>
                      <w:szCs w:val="18"/>
                    </w:rPr>
                  </w:pPr>
                  <w:r>
                    <w:rPr>
                      <w:kern w:val="0"/>
                      <w:sz w:val="20"/>
                      <w:szCs w:val="15"/>
                    </w:rPr>
                    <w:t xml:space="preserve">387.31 </w:t>
                  </w:r>
                </w:p>
              </w:tc>
            </w:tr>
          </w:tbl>
          <w:p>
            <w:pPr>
              <w:spacing w:line="360" w:lineRule="auto"/>
              <w:ind w:firstLine="480"/>
              <w:rPr>
                <w:sz w:val="24"/>
              </w:rPr>
            </w:pPr>
          </w:p>
          <w:p>
            <w:pPr>
              <w:spacing w:line="360" w:lineRule="auto"/>
              <w:ind w:firstLine="480"/>
              <w:rPr>
                <w:sz w:val="24"/>
              </w:rPr>
            </w:pPr>
            <w:r>
              <w:rPr>
                <w:rFonts w:hint="eastAsia"/>
                <w:sz w:val="24"/>
              </w:rPr>
              <w:t>②水深</w:t>
            </w:r>
            <w:r>
              <w:rPr>
                <w:sz w:val="24"/>
              </w:rPr>
              <w:t>、</w:t>
            </w:r>
            <w:r>
              <w:rPr>
                <w:rFonts w:hint="eastAsia"/>
                <w:sz w:val="24"/>
              </w:rPr>
              <w:t>流速、</w:t>
            </w:r>
            <w:r>
              <w:rPr>
                <w:sz w:val="24"/>
              </w:rPr>
              <w:t>水面宽</w:t>
            </w:r>
            <w:r>
              <w:rPr>
                <w:rFonts w:hint="eastAsia"/>
                <w:sz w:val="24"/>
              </w:rPr>
              <w:t>变化</w:t>
            </w:r>
            <w:r>
              <w:rPr>
                <w:sz w:val="24"/>
              </w:rPr>
              <w:t>分析</w:t>
            </w:r>
          </w:p>
          <w:p>
            <w:pPr>
              <w:spacing w:line="360" w:lineRule="auto"/>
              <w:ind w:firstLine="480"/>
              <w:rPr>
                <w:sz w:val="24"/>
              </w:rPr>
            </w:pPr>
            <w:r>
              <w:rPr>
                <w:rFonts w:hint="eastAsia"/>
                <w:sz w:val="24"/>
              </w:rPr>
              <w:t>根据</w:t>
            </w:r>
            <w:r>
              <w:rPr>
                <w:sz w:val="24"/>
              </w:rPr>
              <w:t>地表水专题评价结果，</w:t>
            </w:r>
            <w:r>
              <w:rPr>
                <w:rFonts w:hint="eastAsia"/>
                <w:sz w:val="24"/>
              </w:rPr>
              <w:t>P</w:t>
            </w:r>
            <w:r>
              <w:rPr>
                <w:sz w:val="24"/>
              </w:rPr>
              <w:t>=50%</w:t>
            </w:r>
            <w:r>
              <w:rPr>
                <w:rFonts w:hint="eastAsia"/>
                <w:sz w:val="24"/>
              </w:rPr>
              <w:t>来水</w:t>
            </w:r>
            <w:r>
              <w:rPr>
                <w:sz w:val="24"/>
              </w:rPr>
              <w:t>频率</w:t>
            </w:r>
            <w:r>
              <w:rPr>
                <w:rFonts w:hint="eastAsia"/>
                <w:sz w:val="24"/>
              </w:rPr>
              <w:t>下，除8月</w:t>
            </w:r>
            <w:r>
              <w:rPr>
                <w:sz w:val="24"/>
              </w:rPr>
              <w:t>月均水深</w:t>
            </w:r>
            <w:r>
              <w:rPr>
                <w:rFonts w:hint="eastAsia"/>
                <w:sz w:val="24"/>
              </w:rPr>
              <w:t>、</w:t>
            </w:r>
            <w:r>
              <w:rPr>
                <w:sz w:val="24"/>
              </w:rPr>
              <w:t>水面宽</w:t>
            </w:r>
            <w:r>
              <w:rPr>
                <w:rFonts w:hint="eastAsia"/>
                <w:sz w:val="24"/>
              </w:rPr>
              <w:t>较现状年</w:t>
            </w:r>
            <w:r>
              <w:rPr>
                <w:sz w:val="24"/>
              </w:rPr>
              <w:t>增加外，其余各月</w:t>
            </w:r>
            <w:r>
              <w:rPr>
                <w:rFonts w:hint="eastAsia"/>
                <w:sz w:val="24"/>
              </w:rPr>
              <w:t>水深、</w:t>
            </w:r>
            <w:r>
              <w:rPr>
                <w:sz w:val="24"/>
              </w:rPr>
              <w:t>水面宽</w:t>
            </w:r>
            <w:r>
              <w:rPr>
                <w:rFonts w:hint="eastAsia"/>
                <w:sz w:val="24"/>
              </w:rPr>
              <w:t>均较现状年减少；P</w:t>
            </w:r>
            <w:r>
              <w:rPr>
                <w:sz w:val="24"/>
              </w:rPr>
              <w:t>=85%</w:t>
            </w:r>
            <w:r>
              <w:rPr>
                <w:rFonts w:hint="eastAsia"/>
                <w:sz w:val="24"/>
              </w:rPr>
              <w:t>来水</w:t>
            </w:r>
            <w:r>
              <w:rPr>
                <w:sz w:val="24"/>
              </w:rPr>
              <w:t>频率下，除</w:t>
            </w:r>
            <w:r>
              <w:rPr>
                <w:rFonts w:hint="eastAsia"/>
                <w:sz w:val="24"/>
              </w:rPr>
              <w:t>5月</w:t>
            </w:r>
            <w:r>
              <w:rPr>
                <w:sz w:val="24"/>
              </w:rPr>
              <w:t>、</w:t>
            </w:r>
            <w:r>
              <w:rPr>
                <w:rFonts w:hint="eastAsia"/>
                <w:sz w:val="24"/>
              </w:rPr>
              <w:t>12月水深、</w:t>
            </w:r>
            <w:r>
              <w:rPr>
                <w:sz w:val="24"/>
              </w:rPr>
              <w:t>水面宽</w:t>
            </w:r>
            <w:r>
              <w:rPr>
                <w:rFonts w:hint="eastAsia"/>
                <w:sz w:val="24"/>
              </w:rPr>
              <w:t>较现状年</w:t>
            </w:r>
            <w:r>
              <w:rPr>
                <w:sz w:val="24"/>
              </w:rPr>
              <w:t>增加外，其余各月</w:t>
            </w:r>
            <w:r>
              <w:rPr>
                <w:rFonts w:hint="eastAsia"/>
                <w:sz w:val="24"/>
              </w:rPr>
              <w:t>水深、</w:t>
            </w:r>
            <w:r>
              <w:rPr>
                <w:sz w:val="24"/>
              </w:rPr>
              <w:t>水面宽</w:t>
            </w:r>
            <w:r>
              <w:rPr>
                <w:rFonts w:hint="eastAsia"/>
                <w:sz w:val="24"/>
              </w:rPr>
              <w:t>均</w:t>
            </w:r>
            <w:r>
              <w:rPr>
                <w:sz w:val="24"/>
              </w:rPr>
              <w:t>较现状年减少；</w:t>
            </w:r>
            <w:r>
              <w:rPr>
                <w:rFonts w:hint="eastAsia"/>
                <w:sz w:val="24"/>
              </w:rPr>
              <w:t>P</w:t>
            </w:r>
            <w:r>
              <w:rPr>
                <w:sz w:val="24"/>
              </w:rPr>
              <w:t>=95%来水频率下，除1</w:t>
            </w:r>
            <w:r>
              <w:rPr>
                <w:rFonts w:hint="eastAsia"/>
                <w:sz w:val="24"/>
              </w:rPr>
              <w:t>月～</w:t>
            </w:r>
            <w:r>
              <w:rPr>
                <w:sz w:val="24"/>
              </w:rPr>
              <w:t>4</w:t>
            </w:r>
            <w:r>
              <w:rPr>
                <w:rFonts w:hint="eastAsia"/>
                <w:sz w:val="24"/>
              </w:rPr>
              <w:t>月水深、</w:t>
            </w:r>
            <w:r>
              <w:rPr>
                <w:sz w:val="24"/>
              </w:rPr>
              <w:t>水面宽</w:t>
            </w:r>
            <w:r>
              <w:rPr>
                <w:rFonts w:hint="eastAsia"/>
                <w:sz w:val="24"/>
              </w:rPr>
              <w:t>较现状年</w:t>
            </w:r>
            <w:r>
              <w:rPr>
                <w:sz w:val="24"/>
              </w:rPr>
              <w:t>增加外，其余各月</w:t>
            </w:r>
            <w:r>
              <w:rPr>
                <w:rFonts w:hint="eastAsia"/>
                <w:sz w:val="24"/>
              </w:rPr>
              <w:t>水深、</w:t>
            </w:r>
            <w:r>
              <w:rPr>
                <w:sz w:val="24"/>
              </w:rPr>
              <w:t>水面宽</w:t>
            </w:r>
            <w:r>
              <w:rPr>
                <w:rFonts w:hint="eastAsia"/>
                <w:sz w:val="24"/>
              </w:rPr>
              <w:t>均</w:t>
            </w:r>
            <w:r>
              <w:rPr>
                <w:sz w:val="24"/>
              </w:rPr>
              <w:t>较现状年减少</w:t>
            </w:r>
            <w:r>
              <w:rPr>
                <w:rFonts w:hint="eastAsia"/>
                <w:sz w:val="24"/>
              </w:rPr>
              <w:t>。</w:t>
            </w:r>
          </w:p>
          <w:p>
            <w:pPr>
              <w:spacing w:line="360" w:lineRule="auto"/>
              <w:ind w:firstLine="480"/>
              <w:rPr>
                <w:sz w:val="24"/>
              </w:rPr>
            </w:pPr>
            <w:r>
              <w:rPr>
                <w:rFonts w:hint="eastAsia"/>
                <w:sz w:val="24"/>
              </w:rPr>
              <w:t>就流速</w:t>
            </w:r>
            <w:r>
              <w:rPr>
                <w:sz w:val="24"/>
              </w:rPr>
              <w:t>来说，</w:t>
            </w:r>
            <w:r>
              <w:rPr>
                <w:rFonts w:hint="eastAsia"/>
                <w:sz w:val="24"/>
              </w:rPr>
              <w:t>P</w:t>
            </w:r>
            <w:r>
              <w:rPr>
                <w:sz w:val="24"/>
              </w:rPr>
              <w:t>=50%</w:t>
            </w:r>
            <w:r>
              <w:rPr>
                <w:rFonts w:hint="eastAsia"/>
                <w:sz w:val="24"/>
              </w:rPr>
              <w:t>来水频率</w:t>
            </w:r>
            <w:r>
              <w:rPr>
                <w:sz w:val="24"/>
              </w:rPr>
              <w:t>下</w:t>
            </w:r>
            <w:r>
              <w:rPr>
                <w:rFonts w:hint="eastAsia"/>
                <w:sz w:val="24"/>
              </w:rPr>
              <w:t>8月流速较现状年增加</w:t>
            </w:r>
            <w:r>
              <w:rPr>
                <w:sz w:val="24"/>
              </w:rPr>
              <w:t>，</w:t>
            </w:r>
            <w:r>
              <w:rPr>
                <w:rFonts w:hint="eastAsia"/>
                <w:sz w:val="24"/>
              </w:rPr>
              <w:t>4月</w:t>
            </w:r>
            <w:r>
              <w:rPr>
                <w:sz w:val="24"/>
              </w:rPr>
              <w:t>～</w:t>
            </w:r>
            <w:r>
              <w:rPr>
                <w:rFonts w:hint="eastAsia"/>
                <w:sz w:val="24"/>
              </w:rPr>
              <w:t>7月</w:t>
            </w:r>
            <w:r>
              <w:rPr>
                <w:sz w:val="24"/>
              </w:rPr>
              <w:t>流速</w:t>
            </w:r>
            <w:r>
              <w:rPr>
                <w:rFonts w:hint="eastAsia"/>
                <w:sz w:val="24"/>
              </w:rPr>
              <w:t>较</w:t>
            </w:r>
            <w:r>
              <w:rPr>
                <w:sz w:val="24"/>
              </w:rPr>
              <w:t>现状年下降</w:t>
            </w:r>
            <w:r>
              <w:rPr>
                <w:rFonts w:hint="eastAsia"/>
                <w:sz w:val="24"/>
              </w:rPr>
              <w:t>，</w:t>
            </w:r>
            <w:r>
              <w:rPr>
                <w:sz w:val="24"/>
              </w:rPr>
              <w:t>其余各月流速较现状年</w:t>
            </w:r>
            <w:r>
              <w:rPr>
                <w:rFonts w:hint="eastAsia"/>
                <w:sz w:val="24"/>
              </w:rPr>
              <w:t>基本</w:t>
            </w:r>
            <w:r>
              <w:rPr>
                <w:sz w:val="24"/>
              </w:rPr>
              <w:t>保持不变</w:t>
            </w:r>
            <w:r>
              <w:rPr>
                <w:rFonts w:hint="eastAsia"/>
                <w:sz w:val="24"/>
              </w:rPr>
              <w:t>；P=</w:t>
            </w:r>
            <w:r>
              <w:rPr>
                <w:sz w:val="24"/>
              </w:rPr>
              <w:t>85%</w:t>
            </w:r>
            <w:r>
              <w:rPr>
                <w:rFonts w:hint="eastAsia"/>
                <w:sz w:val="24"/>
              </w:rPr>
              <w:t>来水</w:t>
            </w:r>
            <w:r>
              <w:rPr>
                <w:sz w:val="24"/>
              </w:rPr>
              <w:t>频率下除</w:t>
            </w:r>
            <w:r>
              <w:rPr>
                <w:rFonts w:hint="eastAsia"/>
                <w:sz w:val="24"/>
              </w:rPr>
              <w:t>4月</w:t>
            </w:r>
            <w:r>
              <w:rPr>
                <w:sz w:val="24"/>
              </w:rPr>
              <w:t>流速较现状年减少外，其余各月</w:t>
            </w:r>
            <w:r>
              <w:rPr>
                <w:rFonts w:hint="eastAsia"/>
                <w:sz w:val="24"/>
              </w:rPr>
              <w:t>流速</w:t>
            </w:r>
            <w:r>
              <w:rPr>
                <w:sz w:val="24"/>
              </w:rPr>
              <w:t>均较</w:t>
            </w:r>
            <w:r>
              <w:rPr>
                <w:rFonts w:hint="eastAsia"/>
                <w:sz w:val="24"/>
              </w:rPr>
              <w:t>现状</w:t>
            </w:r>
            <w:r>
              <w:rPr>
                <w:sz w:val="24"/>
              </w:rPr>
              <w:t>年基本保持不变</w:t>
            </w:r>
            <w:r>
              <w:rPr>
                <w:rFonts w:hint="eastAsia"/>
                <w:sz w:val="24"/>
              </w:rPr>
              <w:t>；P</w:t>
            </w:r>
            <w:r>
              <w:rPr>
                <w:sz w:val="24"/>
              </w:rPr>
              <w:t>=95%来水频率下</w:t>
            </w:r>
            <w:r>
              <w:rPr>
                <w:rFonts w:hint="eastAsia"/>
                <w:sz w:val="24"/>
              </w:rPr>
              <w:t>3月</w:t>
            </w:r>
            <w:r>
              <w:rPr>
                <w:sz w:val="24"/>
              </w:rPr>
              <w:t>流速较现状年增加，</w:t>
            </w:r>
            <w:r>
              <w:rPr>
                <w:rFonts w:hint="eastAsia"/>
                <w:sz w:val="24"/>
              </w:rPr>
              <w:t>8月</w:t>
            </w:r>
            <w:r>
              <w:rPr>
                <w:sz w:val="24"/>
              </w:rPr>
              <w:t>流速较现状年减少，其余各月流速均较现状年基本保持不变。</w:t>
            </w:r>
          </w:p>
          <w:p>
            <w:pPr>
              <w:adjustRightInd w:val="0"/>
              <w:snapToGrid w:val="0"/>
              <w:spacing w:line="360" w:lineRule="auto"/>
              <w:rPr>
                <w:b/>
                <w:bCs/>
                <w:sz w:val="24"/>
              </w:rPr>
            </w:pPr>
            <w:r>
              <w:rPr>
                <w:rFonts w:hint="eastAsia"/>
                <w:b/>
                <w:bCs/>
                <w:sz w:val="24"/>
              </w:rPr>
              <w:t>三、地表</w:t>
            </w:r>
            <w:r>
              <w:rPr>
                <w:b/>
                <w:bCs/>
                <w:sz w:val="24"/>
              </w:rPr>
              <w:t>水环境</w:t>
            </w:r>
          </w:p>
          <w:p>
            <w:pPr>
              <w:spacing w:line="360" w:lineRule="auto"/>
              <w:ind w:firstLine="480"/>
              <w:rPr>
                <w:sz w:val="24"/>
              </w:rPr>
            </w:pPr>
            <w:r>
              <w:rPr>
                <w:rFonts w:hint="eastAsia"/>
                <w:sz w:val="24"/>
              </w:rPr>
              <w:t>（1）工程运行后水质影响</w:t>
            </w:r>
          </w:p>
          <w:p>
            <w:pPr>
              <w:spacing w:line="360" w:lineRule="auto"/>
              <w:ind w:firstLine="480"/>
              <w:rPr>
                <w:sz w:val="24"/>
              </w:rPr>
            </w:pPr>
            <w:r>
              <w:rPr>
                <w:rFonts w:hint="eastAsia" w:ascii="宋体" w:hAnsi="宋体" w:cs="宋体"/>
                <w:sz w:val="24"/>
              </w:rPr>
              <w:t>①</w:t>
            </w:r>
            <w:r>
              <w:rPr>
                <w:rFonts w:hint="eastAsia"/>
                <w:sz w:val="24"/>
              </w:rPr>
              <w:t>水库水质</w:t>
            </w:r>
          </w:p>
          <w:p>
            <w:pPr>
              <w:spacing w:line="360" w:lineRule="auto"/>
              <w:ind w:firstLine="480"/>
              <w:rPr>
                <w:sz w:val="24"/>
              </w:rPr>
            </w:pPr>
            <w:r>
              <w:rPr>
                <w:rFonts w:hint="eastAsia"/>
                <w:sz w:val="24"/>
              </w:rPr>
              <w:t>根据</w:t>
            </w:r>
            <w:r>
              <w:rPr>
                <w:sz w:val="24"/>
              </w:rPr>
              <w:t>现状监测数据，</w:t>
            </w:r>
            <w:r>
              <w:rPr>
                <w:rFonts w:hint="eastAsia"/>
                <w:sz w:val="24"/>
              </w:rPr>
              <w:t>现状</w:t>
            </w:r>
            <w:r>
              <w:rPr>
                <w:sz w:val="24"/>
              </w:rPr>
              <w:t>红山嘴水库坝址断面水质良好</w:t>
            </w:r>
            <w:r>
              <w:rPr>
                <w:rFonts w:hint="eastAsia"/>
                <w:sz w:val="24"/>
              </w:rPr>
              <w:t>。水库运行后，库区将由天然河流变为水库形态，库区水动力条件发生改变，库区范围内水体流动速度将远小于水库建设前天然河道的水流流速，水体的稀释、混合等能力将有所下降，但水流速度变缓有利于悬浮物、重金属等污染物的沉降。</w:t>
            </w:r>
          </w:p>
          <w:p>
            <w:pPr>
              <w:spacing w:line="360" w:lineRule="auto"/>
              <w:ind w:firstLine="480"/>
              <w:rPr>
                <w:sz w:val="24"/>
              </w:rPr>
            </w:pPr>
            <w:r>
              <w:rPr>
                <w:rFonts w:hint="eastAsia"/>
                <w:sz w:val="24"/>
              </w:rPr>
              <w:t>水库蓄水前进行清库工作，不存在库水中大量有机物腐烂而导致水质劣变的可能。红山嘴水库运行后，库区水体交换频繁，同时库周边无入库污染源分布，水库发生富营养化的可能性非常小。</w:t>
            </w:r>
          </w:p>
          <w:p>
            <w:pPr>
              <w:spacing w:line="360" w:lineRule="auto"/>
              <w:ind w:firstLine="480"/>
              <w:rPr>
                <w:sz w:val="24"/>
              </w:rPr>
            </w:pPr>
            <w:r>
              <w:rPr>
                <w:rFonts w:hint="eastAsia"/>
                <w:sz w:val="24"/>
              </w:rPr>
              <w:t>②坝址以下河段水质</w:t>
            </w:r>
          </w:p>
          <w:p>
            <w:pPr>
              <w:spacing w:line="360" w:lineRule="auto"/>
              <w:ind w:firstLine="480"/>
              <w:rPr>
                <w:sz w:val="24"/>
              </w:rPr>
            </w:pPr>
            <w:r>
              <w:rPr>
                <w:rFonts w:hint="eastAsia"/>
                <w:sz w:val="24"/>
              </w:rPr>
              <w:t>根据地表水环境专项评价，红山嘴水库建成后，受水库调蓄及下游河段水文情势变化影响，工程下游河段水质较现状发生了一定变化，预测断面COD、氨氮浓度均满足Ⅱ类水体要求。</w:t>
            </w:r>
          </w:p>
          <w:p>
            <w:pPr>
              <w:spacing w:line="360" w:lineRule="auto"/>
              <w:ind w:firstLine="480"/>
              <w:rPr>
                <w:sz w:val="24"/>
              </w:rPr>
            </w:pPr>
            <w:r>
              <w:rPr>
                <w:rFonts w:hint="eastAsia" w:ascii="宋体" w:hAnsi="宋体" w:cs="宋体"/>
                <w:sz w:val="24"/>
              </w:rPr>
              <w:t>③</w:t>
            </w:r>
            <w:r>
              <w:rPr>
                <w:rFonts w:hint="eastAsia"/>
                <w:sz w:val="24"/>
              </w:rPr>
              <w:t>管理站废污水</w:t>
            </w:r>
          </w:p>
          <w:p>
            <w:pPr>
              <w:spacing w:line="360" w:lineRule="auto"/>
              <w:ind w:firstLine="480"/>
              <w:rPr>
                <w:sz w:val="24"/>
              </w:rPr>
            </w:pPr>
            <w:r>
              <w:rPr>
                <w:rFonts w:hint="eastAsia"/>
                <w:sz w:val="24"/>
              </w:rPr>
              <w:t>运行期废水主要为管理人员的生活污水，管理站工作人员共</w:t>
            </w:r>
            <w:r>
              <w:rPr>
                <w:sz w:val="24"/>
              </w:rPr>
              <w:t>9</w:t>
            </w:r>
            <w:r>
              <w:rPr>
                <w:rFonts w:hint="eastAsia"/>
                <w:sz w:val="24"/>
              </w:rPr>
              <w:t>人，排放量为</w:t>
            </w:r>
            <w:r>
              <w:rPr>
                <w:sz w:val="24"/>
              </w:rPr>
              <w:t>0.72m</w:t>
            </w:r>
            <w:r>
              <w:rPr>
                <w:sz w:val="24"/>
                <w:vertAlign w:val="superscript"/>
              </w:rPr>
              <w:t>3</w:t>
            </w:r>
            <w:r>
              <w:rPr>
                <w:sz w:val="24"/>
              </w:rPr>
              <w:t>/d，污染指标为BOD</w:t>
            </w:r>
            <w:r>
              <w:rPr>
                <w:sz w:val="24"/>
                <w:vertAlign w:val="subscript"/>
              </w:rPr>
              <w:t>5</w:t>
            </w:r>
            <w:r>
              <w:rPr>
                <w:sz w:val="24"/>
              </w:rPr>
              <w:t>、COD</w:t>
            </w:r>
            <w:r>
              <w:rPr>
                <w:sz w:val="24"/>
                <w:vertAlign w:val="subscript"/>
              </w:rPr>
              <w:t>Cr</w:t>
            </w:r>
            <w:r>
              <w:rPr>
                <w:sz w:val="24"/>
              </w:rPr>
              <w:t>、粪大肠菌群等，</w:t>
            </w:r>
            <w:r>
              <w:rPr>
                <w:rFonts w:hint="eastAsia"/>
                <w:sz w:val="24"/>
              </w:rPr>
              <w:t>生活污水</w:t>
            </w:r>
            <w:r>
              <w:rPr>
                <w:sz w:val="24"/>
              </w:rPr>
              <w:t>经一体化污水处理设备处理后</w:t>
            </w:r>
            <w:r>
              <w:rPr>
                <w:rFonts w:hint="eastAsia"/>
                <w:sz w:val="24"/>
              </w:rPr>
              <w:t>，用于管理站绿化、周边荒漠灌溉，冬储夏灌，</w:t>
            </w:r>
            <w:r>
              <w:rPr>
                <w:sz w:val="24"/>
              </w:rPr>
              <w:t>不会对地表水环境产生明显影响。</w:t>
            </w:r>
          </w:p>
          <w:p>
            <w:pPr>
              <w:spacing w:line="360" w:lineRule="auto"/>
              <w:ind w:firstLine="480"/>
              <w:rPr>
                <w:sz w:val="24"/>
              </w:rPr>
            </w:pPr>
            <w:r>
              <w:rPr>
                <w:rFonts w:hint="eastAsia"/>
                <w:sz w:val="24"/>
              </w:rPr>
              <w:t>（2）工程运行后水温影响</w:t>
            </w:r>
          </w:p>
          <w:p>
            <w:pPr>
              <w:spacing w:line="360" w:lineRule="auto"/>
              <w:ind w:firstLine="480"/>
              <w:rPr>
                <w:sz w:val="24"/>
              </w:rPr>
            </w:pPr>
            <w:r>
              <w:rPr>
                <w:rFonts w:hint="eastAsia"/>
                <w:sz w:val="24"/>
              </w:rPr>
              <w:t>工程建成后，正常蓄水位为</w:t>
            </w:r>
            <w:r>
              <w:rPr>
                <w:sz w:val="24"/>
              </w:rPr>
              <w:t>1333.82</w:t>
            </w:r>
            <w:r>
              <w:rPr>
                <w:rFonts w:hint="eastAsia"/>
                <w:sz w:val="24"/>
              </w:rPr>
              <w:t>m，</w:t>
            </w:r>
            <w:r>
              <w:rPr>
                <w:sz w:val="24"/>
              </w:rPr>
              <w:t>死水位为1317.71m，</w:t>
            </w:r>
            <w:r>
              <w:rPr>
                <w:rFonts w:hint="eastAsia"/>
                <w:sz w:val="24"/>
              </w:rPr>
              <w:t>坝前最大水深为</w:t>
            </w:r>
            <w:r>
              <w:rPr>
                <w:sz w:val="24"/>
              </w:rPr>
              <w:t>16.11</w:t>
            </w:r>
            <w:r>
              <w:rPr>
                <w:rFonts w:hint="eastAsia"/>
                <w:sz w:val="24"/>
              </w:rPr>
              <w:t>m，水位变化区间较小，库区水体交换频繁，库表与库底水温温差较小，水温分层现象不明显。根据地表水环境专题评价结果，工程建设运行不会对河流水温产生明显不利影响。</w:t>
            </w:r>
          </w:p>
          <w:p>
            <w:pPr>
              <w:adjustRightInd w:val="0"/>
              <w:snapToGrid w:val="0"/>
              <w:spacing w:line="360" w:lineRule="auto"/>
              <w:rPr>
                <w:b/>
                <w:bCs/>
                <w:sz w:val="24"/>
              </w:rPr>
            </w:pPr>
            <w:r>
              <w:rPr>
                <w:rFonts w:hint="eastAsia"/>
                <w:b/>
                <w:bCs/>
                <w:sz w:val="24"/>
              </w:rPr>
              <w:t>四、</w:t>
            </w:r>
            <w:r>
              <w:rPr>
                <w:b/>
                <w:bCs/>
                <w:sz w:val="24"/>
              </w:rPr>
              <w:t>固体废物</w:t>
            </w:r>
          </w:p>
          <w:p>
            <w:pPr>
              <w:spacing w:line="360" w:lineRule="auto"/>
              <w:ind w:firstLine="480"/>
              <w:rPr>
                <w:sz w:val="24"/>
              </w:rPr>
            </w:pPr>
            <w:r>
              <w:rPr>
                <w:rFonts w:hint="eastAsia"/>
                <w:sz w:val="24"/>
              </w:rPr>
              <w:t>运行期产生的固体废弃物主要为水库运行管理区生活垃圾，生活垃圾产生量约为</w:t>
            </w:r>
            <w:r>
              <w:rPr>
                <w:sz w:val="24"/>
              </w:rPr>
              <w:t>9kg/d。根据管理区人员数量，在管理区设置生活垃圾收集站、垃圾桶等设施，定期清运，</w:t>
            </w:r>
            <w:r>
              <w:rPr>
                <w:rFonts w:hint="eastAsia"/>
                <w:sz w:val="24"/>
              </w:rPr>
              <w:t>定期</w:t>
            </w:r>
            <w:r>
              <w:rPr>
                <w:sz w:val="24"/>
              </w:rPr>
              <w:t>转运至当地环保部门指定场所进行处理，避免对管理站周围环境以及管理人员生活环境产生影响</w:t>
            </w:r>
            <w:r>
              <w:rPr>
                <w:rFonts w:hint="eastAsia"/>
                <w:sz w:val="24"/>
              </w:rPr>
              <w:t>。</w:t>
            </w:r>
          </w:p>
          <w:p>
            <w:pPr>
              <w:adjustRightInd w:val="0"/>
              <w:snapToGrid w:val="0"/>
              <w:spacing w:line="360" w:lineRule="auto"/>
              <w:rPr>
                <w:b/>
                <w:bCs/>
                <w:sz w:val="24"/>
              </w:rPr>
            </w:pPr>
            <w:r>
              <w:rPr>
                <w:rFonts w:hint="eastAsia"/>
                <w:b/>
                <w:bCs/>
                <w:sz w:val="24"/>
              </w:rPr>
              <w:t>五、陆生</w:t>
            </w:r>
            <w:r>
              <w:rPr>
                <w:b/>
                <w:bCs/>
                <w:sz w:val="24"/>
              </w:rPr>
              <w:t>生态环境</w:t>
            </w:r>
          </w:p>
          <w:p>
            <w:pPr>
              <w:spacing w:line="360" w:lineRule="auto"/>
              <w:ind w:firstLine="480"/>
              <w:rPr>
                <w:sz w:val="24"/>
              </w:rPr>
            </w:pPr>
            <w:r>
              <w:rPr>
                <w:rFonts w:hint="eastAsia"/>
                <w:sz w:val="24"/>
              </w:rPr>
              <w:t>本次工程建成运行后，建设区域的林地、</w:t>
            </w:r>
            <w:r>
              <w:rPr>
                <w:sz w:val="24"/>
              </w:rPr>
              <w:t>草地</w:t>
            </w:r>
            <w:r>
              <w:rPr>
                <w:rFonts w:hint="eastAsia"/>
                <w:sz w:val="24"/>
              </w:rPr>
              <w:t>等将被水库压占和淹没，土地利用方式发生改变，变为建设用地、</w:t>
            </w:r>
            <w:r>
              <w:rPr>
                <w:sz w:val="24"/>
              </w:rPr>
              <w:t>水域和水利设施用地</w:t>
            </w:r>
            <w:r>
              <w:rPr>
                <w:rFonts w:hint="eastAsia"/>
                <w:sz w:val="24"/>
              </w:rPr>
              <w:t>。</w:t>
            </w:r>
          </w:p>
          <w:p>
            <w:pPr>
              <w:spacing w:line="360" w:lineRule="auto"/>
              <w:ind w:firstLine="480"/>
              <w:rPr>
                <w:sz w:val="24"/>
              </w:rPr>
            </w:pPr>
            <w:r>
              <w:rPr>
                <w:rFonts w:hint="eastAsia"/>
                <w:sz w:val="24"/>
              </w:rPr>
              <w:t>（1）对区域植被影响</w:t>
            </w:r>
          </w:p>
          <w:p>
            <w:pPr>
              <w:spacing w:line="360" w:lineRule="auto"/>
              <w:ind w:firstLine="480"/>
              <w:rPr>
                <w:sz w:val="24"/>
              </w:rPr>
            </w:pPr>
            <w:r>
              <w:rPr>
                <w:rFonts w:hint="eastAsia"/>
                <w:sz w:val="24"/>
              </w:rPr>
              <w:t>现状工程建设区分布的植被以荒漠常见种伊犁绢蒿、针茅为主，植被总体覆盖度为</w:t>
            </w:r>
            <w:r>
              <w:rPr>
                <w:sz w:val="24"/>
              </w:rPr>
              <w:t>10%～</w:t>
            </w:r>
            <w:r>
              <w:rPr>
                <w:rFonts w:hint="eastAsia"/>
                <w:sz w:val="24"/>
              </w:rPr>
              <w:t>30</w:t>
            </w:r>
            <w:r>
              <w:rPr>
                <w:sz w:val="24"/>
              </w:rPr>
              <w:t>%</w:t>
            </w:r>
            <w:r>
              <w:rPr>
                <w:rFonts w:hint="eastAsia"/>
                <w:sz w:val="24"/>
              </w:rPr>
              <w:t>，长势一般，加之人类活动较为频繁，区域生态环境质量较差。工程永久占地及水库淹没将造成占地区植被生物量的一次性损失，</w:t>
            </w:r>
            <w:r>
              <w:rPr>
                <w:sz w:val="24"/>
              </w:rPr>
              <w:t>约为</w:t>
            </w:r>
            <w:r>
              <w:rPr>
                <w:rFonts w:hint="eastAsia"/>
                <w:sz w:val="24"/>
              </w:rPr>
              <w:t>479.86</w:t>
            </w:r>
            <w:r>
              <w:rPr>
                <w:sz w:val="24"/>
              </w:rPr>
              <w:t>t</w:t>
            </w:r>
            <w:r>
              <w:rPr>
                <w:rFonts w:hint="eastAsia"/>
                <w:sz w:val="24"/>
              </w:rPr>
              <w:t>，由于上述植被在该区域广泛分布，工程的建设不会造成其物种的消失，对区域内生态系统结构的影响不大。</w:t>
            </w:r>
          </w:p>
          <w:p>
            <w:pPr>
              <w:spacing w:line="360" w:lineRule="auto"/>
              <w:ind w:firstLine="480"/>
              <w:rPr>
                <w:sz w:val="24"/>
              </w:rPr>
            </w:pPr>
            <w:r>
              <w:rPr>
                <w:rFonts w:hint="eastAsia"/>
                <w:sz w:val="24"/>
              </w:rPr>
              <w:t>本次工程永久占地面积为</w:t>
            </w:r>
            <w:r>
              <w:rPr>
                <w:sz w:val="24"/>
              </w:rPr>
              <w:t>42.34</w:t>
            </w:r>
            <w:r>
              <w:rPr>
                <w:rFonts w:hint="eastAsia"/>
                <w:sz w:val="24"/>
              </w:rPr>
              <w:t>hm</w:t>
            </w:r>
            <w:r>
              <w:rPr>
                <w:sz w:val="24"/>
                <w:vertAlign w:val="superscript"/>
              </w:rPr>
              <w:t>2</w:t>
            </w:r>
            <w:r>
              <w:rPr>
                <w:rFonts w:hint="eastAsia"/>
                <w:sz w:val="24"/>
              </w:rPr>
              <w:t>，主要为草地</w:t>
            </w:r>
            <w:r>
              <w:rPr>
                <w:sz w:val="24"/>
              </w:rPr>
              <w:t>（</w:t>
            </w:r>
            <w:r>
              <w:rPr>
                <w:rFonts w:hint="eastAsia"/>
                <w:sz w:val="24"/>
              </w:rPr>
              <w:t>天然</w:t>
            </w:r>
            <w:r>
              <w:rPr>
                <w:sz w:val="24"/>
              </w:rPr>
              <w:t>牧草地：二等</w:t>
            </w:r>
            <w:r>
              <w:rPr>
                <w:rFonts w:hint="eastAsia"/>
                <w:sz w:val="24"/>
              </w:rPr>
              <w:t>1级</w:t>
            </w:r>
            <w:r>
              <w:rPr>
                <w:sz w:val="24"/>
              </w:rPr>
              <w:t>）</w:t>
            </w:r>
            <w:r>
              <w:rPr>
                <w:rFonts w:hint="eastAsia"/>
                <w:sz w:val="24"/>
              </w:rPr>
              <w:t>根据现场调查，永久占地区域植被长势一般，植被生产力总体较低，因此工程建设产生的植被生产力损失量较低。工程结束后，随着水土保持方案的实施，在水库运行管理站永久建筑物周边和永久道路两侧种植果树和草坪，将补偿部分植物生产力，对区域植物生产力总量影响较小。</w:t>
            </w:r>
          </w:p>
          <w:p>
            <w:pPr>
              <w:spacing w:line="360" w:lineRule="auto"/>
              <w:ind w:firstLine="480"/>
              <w:rPr>
                <w:sz w:val="24"/>
              </w:rPr>
            </w:pPr>
            <w:r>
              <w:rPr>
                <w:rFonts w:hint="eastAsia"/>
                <w:sz w:val="24"/>
              </w:rPr>
              <w:t>（2）对区域内动物的影响</w:t>
            </w:r>
          </w:p>
          <w:p>
            <w:pPr>
              <w:spacing w:line="360" w:lineRule="auto"/>
              <w:ind w:firstLine="480"/>
              <w:rPr>
                <w:sz w:val="24"/>
              </w:rPr>
            </w:pPr>
            <w:r>
              <w:rPr>
                <w:rFonts w:hint="eastAsia"/>
                <w:sz w:val="24"/>
              </w:rPr>
              <w:t>本次工程靠近村镇、道路，人类活动较为频繁，已对附近的野生动物产生了惊扰影响，区域内植被低矮且长势一般，因此工程建设区域罕见大型兽类，分布的动物以荒漠常见的爬行类动物和鸟类为主。工程建设运行破坏、占用了部分鸟类的觅食区域，由于鸟类的迁徙能力较强，周边类似生境广泛，工程建设运行对鸟类产生的影响有限；受水库淹没影响，区域内野生动物生境面积受到压缩，在蓄水初期爬行类动物在库周的种群密度有所上升，经过一段时间的调节后，其种群密度将达到生态平衡状态。综上所述，运行期工程建设区野生动物的分布及种群数量将发生一定变化，但不会改变库周动物的区系组成。</w:t>
            </w:r>
          </w:p>
          <w:p>
            <w:pPr>
              <w:adjustRightInd w:val="0"/>
              <w:snapToGrid w:val="0"/>
              <w:spacing w:line="360" w:lineRule="auto"/>
              <w:rPr>
                <w:b/>
                <w:bCs/>
                <w:sz w:val="24"/>
              </w:rPr>
            </w:pPr>
            <w:r>
              <w:rPr>
                <w:rFonts w:hint="eastAsia"/>
                <w:b/>
                <w:bCs/>
                <w:sz w:val="24"/>
              </w:rPr>
              <w:t>七、水生</w:t>
            </w:r>
            <w:r>
              <w:rPr>
                <w:b/>
                <w:bCs/>
                <w:sz w:val="24"/>
              </w:rPr>
              <w:t>生态环境</w:t>
            </w:r>
          </w:p>
          <w:p>
            <w:pPr>
              <w:adjustRightInd w:val="0"/>
              <w:snapToGrid w:val="0"/>
              <w:spacing w:line="360" w:lineRule="auto"/>
              <w:ind w:firstLine="480" w:firstLineChars="200"/>
              <w:rPr>
                <w:sz w:val="24"/>
              </w:rPr>
            </w:pPr>
            <w:r>
              <w:rPr>
                <w:rFonts w:hint="eastAsia"/>
                <w:sz w:val="24"/>
              </w:rPr>
              <w:t>（1）对</w:t>
            </w:r>
            <w:r>
              <w:rPr>
                <w:sz w:val="24"/>
              </w:rPr>
              <w:t>水生生物</w:t>
            </w:r>
            <w:r>
              <w:rPr>
                <w:rFonts w:hint="eastAsia"/>
                <w:sz w:val="24"/>
              </w:rPr>
              <w:t>的</w:t>
            </w:r>
            <w:r>
              <w:rPr>
                <w:sz w:val="24"/>
              </w:rPr>
              <w:t>影响</w:t>
            </w:r>
          </w:p>
          <w:p>
            <w:pPr>
              <w:adjustRightInd w:val="0"/>
              <w:snapToGrid w:val="0"/>
              <w:spacing w:line="360" w:lineRule="auto"/>
              <w:ind w:firstLine="480" w:firstLineChars="200"/>
              <w:rPr>
                <w:sz w:val="24"/>
              </w:rPr>
            </w:pPr>
            <w:r>
              <w:rPr>
                <w:rFonts w:hint="eastAsia"/>
                <w:sz w:val="24"/>
              </w:rPr>
              <w:t>①</w:t>
            </w:r>
            <w:r>
              <w:rPr>
                <w:sz w:val="24"/>
              </w:rPr>
              <w:t>对库</w:t>
            </w:r>
            <w:r>
              <w:rPr>
                <w:rFonts w:hint="eastAsia"/>
                <w:sz w:val="24"/>
              </w:rPr>
              <w:t>区</w:t>
            </w:r>
            <w:r>
              <w:rPr>
                <w:sz w:val="24"/>
              </w:rPr>
              <w:t>及上游河段水生生物</w:t>
            </w:r>
            <w:r>
              <w:rPr>
                <w:rFonts w:hint="eastAsia"/>
                <w:sz w:val="24"/>
              </w:rPr>
              <w:t>的</w:t>
            </w:r>
            <w:r>
              <w:rPr>
                <w:sz w:val="24"/>
              </w:rPr>
              <w:t>影响</w:t>
            </w:r>
          </w:p>
          <w:p>
            <w:pPr>
              <w:adjustRightInd w:val="0"/>
              <w:snapToGrid w:val="0"/>
              <w:spacing w:line="360" w:lineRule="auto"/>
              <w:ind w:firstLine="480" w:firstLineChars="200"/>
              <w:rPr>
                <w:sz w:val="24"/>
              </w:rPr>
            </w:pPr>
            <w:r>
              <w:rPr>
                <w:rFonts w:hint="eastAsia"/>
                <w:sz w:val="24"/>
              </w:rPr>
              <w:t>红山嘴</w:t>
            </w:r>
            <w:r>
              <w:rPr>
                <w:sz w:val="24"/>
              </w:rPr>
              <w:t>水库库尾及以上河段，</w:t>
            </w:r>
            <w:r>
              <w:rPr>
                <w:rFonts w:hint="eastAsia"/>
                <w:sz w:val="24"/>
              </w:rPr>
              <w:t>由于工程建设前后河流水文情势和河道形态等均未发生变化，因此，工程建设对该河段内水生生物等无影响。</w:t>
            </w:r>
          </w:p>
          <w:p>
            <w:pPr>
              <w:adjustRightInd w:val="0"/>
              <w:snapToGrid w:val="0"/>
              <w:spacing w:line="360" w:lineRule="auto"/>
              <w:ind w:firstLine="480" w:firstLineChars="200"/>
              <w:rPr>
                <w:sz w:val="24"/>
              </w:rPr>
            </w:pPr>
            <w:r>
              <w:rPr>
                <w:rFonts w:hint="eastAsia"/>
                <w:sz w:val="24"/>
              </w:rPr>
              <w:t>红山嘴水库建成后，库区河段水深增加、水面扩大、流速减缓，水体流速较原河道大大降低，使得库区透明度和营养盐浓度增加，为浮游植物的繁衍提供了较好的条件，利于浮游生物的繁衍，造成浮游生物的生物量与种群数量将高于原库区河道中的浮游生物量，</w:t>
            </w:r>
            <w:r>
              <w:rPr>
                <w:sz w:val="24"/>
              </w:rPr>
              <w:t>底栖动物种类也将增加。</w:t>
            </w:r>
          </w:p>
          <w:p>
            <w:pPr>
              <w:adjustRightInd w:val="0"/>
              <w:snapToGrid w:val="0"/>
              <w:spacing w:line="360" w:lineRule="auto"/>
              <w:ind w:firstLine="480" w:firstLineChars="200"/>
              <w:rPr>
                <w:sz w:val="24"/>
              </w:rPr>
            </w:pPr>
            <w:r>
              <w:rPr>
                <w:rFonts w:hint="eastAsia"/>
                <w:sz w:val="24"/>
              </w:rPr>
              <w:t>②对</w:t>
            </w:r>
            <w:r>
              <w:rPr>
                <w:sz w:val="24"/>
              </w:rPr>
              <w:t>工程下游河段水生生物的影响</w:t>
            </w:r>
          </w:p>
          <w:p>
            <w:pPr>
              <w:adjustRightInd w:val="0"/>
              <w:snapToGrid w:val="0"/>
              <w:spacing w:line="360" w:lineRule="auto"/>
              <w:ind w:firstLine="480" w:firstLineChars="200"/>
              <w:rPr>
                <w:sz w:val="24"/>
              </w:rPr>
            </w:pPr>
            <w:r>
              <w:rPr>
                <w:rFonts w:hint="eastAsia"/>
                <w:sz w:val="24"/>
              </w:rPr>
              <w:t>红山嘴水库以下河段，下泄水量总体</w:t>
            </w:r>
            <w:r>
              <w:rPr>
                <w:sz w:val="24"/>
              </w:rPr>
              <w:t>来说将减小</w:t>
            </w:r>
            <w:r>
              <w:rPr>
                <w:rFonts w:hint="eastAsia"/>
                <w:sz w:val="24"/>
              </w:rPr>
              <w:t>，导致河道宽度变化较大，并且总体上河道变窄，所以藻类的数量和生物量将会下降；且河道水量减少，使河道内底栖动物栖息空间减少，造成底栖动物种群和生物量均会出现下降。</w:t>
            </w:r>
            <w:r>
              <w:rPr>
                <w:sz w:val="24"/>
              </w:rPr>
              <w:t>但生态流量的下泄会保证河道内</w:t>
            </w:r>
            <w:r>
              <w:rPr>
                <w:rFonts w:hint="eastAsia"/>
                <w:sz w:val="24"/>
              </w:rPr>
              <w:t>的</w:t>
            </w:r>
            <w:r>
              <w:rPr>
                <w:sz w:val="24"/>
              </w:rPr>
              <w:t>水生生境，</w:t>
            </w:r>
            <w:r>
              <w:rPr>
                <w:rFonts w:hint="eastAsia"/>
                <w:sz w:val="24"/>
              </w:rPr>
              <w:t>从而会</w:t>
            </w:r>
            <w:r>
              <w:rPr>
                <w:sz w:val="24"/>
              </w:rPr>
              <w:t>减缓对</w:t>
            </w:r>
            <w:r>
              <w:rPr>
                <w:rFonts w:hint="eastAsia"/>
                <w:sz w:val="24"/>
              </w:rPr>
              <w:t>藻类</w:t>
            </w:r>
            <w:r>
              <w:rPr>
                <w:sz w:val="24"/>
              </w:rPr>
              <w:t>和底栖动物的影响，藻类和底栖动物的数量和生物量的下降程度有限</w:t>
            </w:r>
            <w:r>
              <w:rPr>
                <w:rFonts w:hint="eastAsia"/>
                <w:sz w:val="24"/>
              </w:rPr>
              <w:t>。</w:t>
            </w:r>
          </w:p>
          <w:p>
            <w:pPr>
              <w:adjustRightInd w:val="0"/>
              <w:snapToGrid w:val="0"/>
              <w:spacing w:line="360" w:lineRule="auto"/>
              <w:ind w:firstLine="480" w:firstLineChars="200"/>
              <w:rPr>
                <w:sz w:val="24"/>
              </w:rPr>
            </w:pPr>
            <w:r>
              <w:rPr>
                <w:rFonts w:hint="eastAsia"/>
                <w:sz w:val="24"/>
              </w:rPr>
              <w:t>（2）对</w:t>
            </w:r>
            <w:r>
              <w:rPr>
                <w:sz w:val="24"/>
              </w:rPr>
              <w:t>鱼类的影响</w:t>
            </w:r>
          </w:p>
          <w:p>
            <w:pPr>
              <w:adjustRightInd w:val="0"/>
              <w:snapToGrid w:val="0"/>
              <w:spacing w:line="360" w:lineRule="auto"/>
              <w:ind w:firstLine="480" w:firstLineChars="200"/>
              <w:rPr>
                <w:sz w:val="24"/>
              </w:rPr>
            </w:pPr>
            <w:r>
              <w:rPr>
                <w:rFonts w:hint="eastAsia"/>
                <w:sz w:val="24"/>
              </w:rPr>
              <w:t>①</w:t>
            </w:r>
            <w:r>
              <w:rPr>
                <w:sz w:val="24"/>
              </w:rPr>
              <w:t>阻隔影响</w:t>
            </w:r>
          </w:p>
          <w:p>
            <w:pPr>
              <w:adjustRightInd w:val="0"/>
              <w:snapToGrid w:val="0"/>
              <w:spacing w:line="360" w:lineRule="auto"/>
              <w:ind w:firstLine="480" w:firstLineChars="200"/>
              <w:rPr>
                <w:sz w:val="24"/>
              </w:rPr>
            </w:pPr>
            <w:r>
              <w:rPr>
                <w:rFonts w:hint="eastAsia"/>
                <w:sz w:val="24"/>
              </w:rPr>
              <w:t>水库拦河坝的建设，将对东城渠首上游河段鱼类产生阻隔影响，具体表现为缩小了鱼类适宜生境；同时，受阻隔影响，会对坝址上下游之间鱼类种质交流产生一定影响，加剧种群异质化，遗传多样性将下降。但考虑到原</w:t>
            </w:r>
            <w:r>
              <w:rPr>
                <w:sz w:val="24"/>
              </w:rPr>
              <w:t>东城</w:t>
            </w:r>
            <w:r>
              <w:rPr>
                <w:rFonts w:hint="eastAsia"/>
                <w:sz w:val="24"/>
              </w:rPr>
              <w:t>河</w:t>
            </w:r>
            <w:r>
              <w:rPr>
                <w:sz w:val="24"/>
              </w:rPr>
              <w:t>上已有东城渠首，</w:t>
            </w:r>
            <w:r>
              <w:rPr>
                <w:rFonts w:hint="eastAsia"/>
                <w:sz w:val="24"/>
              </w:rPr>
              <w:t>现状</w:t>
            </w:r>
            <w:r>
              <w:rPr>
                <w:sz w:val="24"/>
              </w:rPr>
              <w:t>已</w:t>
            </w:r>
            <w:r>
              <w:rPr>
                <w:rFonts w:hint="eastAsia"/>
                <w:sz w:val="24"/>
              </w:rPr>
              <w:t>产生</w:t>
            </w:r>
            <w:r>
              <w:rPr>
                <w:sz w:val="24"/>
              </w:rPr>
              <w:t>阻隔影响，红山嘴水库</w:t>
            </w:r>
            <w:r>
              <w:rPr>
                <w:rFonts w:hint="eastAsia"/>
                <w:sz w:val="24"/>
              </w:rPr>
              <w:t>建成后</w:t>
            </w:r>
            <w:r>
              <w:rPr>
                <w:sz w:val="24"/>
              </w:rPr>
              <w:t>，东城渠首计划拆除</w:t>
            </w:r>
            <w:r>
              <w:rPr>
                <w:rFonts w:hint="eastAsia"/>
                <w:sz w:val="24"/>
              </w:rPr>
              <w:t>，</w:t>
            </w:r>
            <w:r>
              <w:rPr>
                <w:sz w:val="24"/>
              </w:rPr>
              <w:t>河道拦河建筑物仍为</w:t>
            </w:r>
            <w:r>
              <w:rPr>
                <w:rFonts w:hint="eastAsia"/>
                <w:sz w:val="24"/>
              </w:rPr>
              <w:t>1处，且</w:t>
            </w:r>
            <w:r>
              <w:rPr>
                <w:sz w:val="24"/>
              </w:rPr>
              <w:t>东城渠首</w:t>
            </w:r>
            <w:r>
              <w:rPr>
                <w:rFonts w:hint="eastAsia"/>
                <w:sz w:val="24"/>
              </w:rPr>
              <w:t>与</w:t>
            </w:r>
            <w:r>
              <w:rPr>
                <w:sz w:val="24"/>
              </w:rPr>
              <w:t>拟建红山嘴水库相距较近，</w:t>
            </w:r>
            <w:r>
              <w:rPr>
                <w:rFonts w:hint="eastAsia"/>
                <w:sz w:val="24"/>
              </w:rPr>
              <w:t>另外鱼类分布种类、资源均较有限，因此，综合分析认为，红山嘴水库的修建，对东城河鱼类新增阻隔影响有限。</w:t>
            </w:r>
          </w:p>
          <w:p>
            <w:pPr>
              <w:spacing w:line="360" w:lineRule="auto"/>
              <w:ind w:firstLine="480" w:firstLineChars="200"/>
              <w:rPr>
                <w:sz w:val="24"/>
              </w:rPr>
            </w:pPr>
            <w:r>
              <w:rPr>
                <w:rFonts w:hint="eastAsia"/>
                <w:sz w:val="24"/>
              </w:rPr>
              <w:t>②水文</w:t>
            </w:r>
            <w:r>
              <w:rPr>
                <w:sz w:val="24"/>
              </w:rPr>
              <w:t>情势的</w:t>
            </w:r>
            <w:r>
              <w:rPr>
                <w:rFonts w:hint="eastAsia"/>
                <w:sz w:val="24"/>
              </w:rPr>
              <w:t>影响</w:t>
            </w:r>
          </w:p>
          <w:p>
            <w:pPr>
              <w:spacing w:line="360" w:lineRule="auto"/>
              <w:ind w:firstLine="480" w:firstLineChars="200"/>
              <w:rPr>
                <w:sz w:val="24"/>
              </w:rPr>
            </w:pPr>
            <w:r>
              <w:rPr>
                <w:rFonts w:hint="eastAsia"/>
                <w:sz w:val="24"/>
              </w:rPr>
              <w:t>水库建成</w:t>
            </w:r>
            <w:r>
              <w:rPr>
                <w:sz w:val="24"/>
              </w:rPr>
              <w:t>后，库区水流减缓，水深变大，水体透明度增大，无机盐</w:t>
            </w:r>
            <w:r>
              <w:rPr>
                <w:rFonts w:hint="eastAsia"/>
                <w:sz w:val="24"/>
              </w:rPr>
              <w:t>的</w:t>
            </w:r>
            <w:r>
              <w:rPr>
                <w:sz w:val="24"/>
              </w:rPr>
              <w:t>浓度</w:t>
            </w:r>
            <w:r>
              <w:rPr>
                <w:rFonts w:hint="eastAsia"/>
                <w:sz w:val="24"/>
              </w:rPr>
              <w:t>有所</w:t>
            </w:r>
            <w:r>
              <w:rPr>
                <w:sz w:val="24"/>
              </w:rPr>
              <w:t>增加，将有利于库区初级生产者的发展，从而有利于鱼类的生长，因此，库区将成为土著鱼类良好的栖息、索饵和越冬场所。综合</w:t>
            </w:r>
            <w:r>
              <w:rPr>
                <w:rFonts w:hint="eastAsia"/>
                <w:sz w:val="24"/>
              </w:rPr>
              <w:t>分析</w:t>
            </w:r>
            <w:r>
              <w:rPr>
                <w:sz w:val="24"/>
              </w:rPr>
              <w:t>认为，水库建成后，不会改变坝址上游河段鱼类</w:t>
            </w:r>
            <w:r>
              <w:rPr>
                <w:rFonts w:hint="eastAsia"/>
                <w:sz w:val="24"/>
              </w:rPr>
              <w:t>区系</w:t>
            </w:r>
            <w:r>
              <w:rPr>
                <w:sz w:val="24"/>
              </w:rPr>
              <w:t>组成，且会对</w:t>
            </w:r>
            <w:r>
              <w:rPr>
                <w:rFonts w:hint="eastAsia"/>
                <w:sz w:val="24"/>
              </w:rPr>
              <w:t>土著鱼类</w:t>
            </w:r>
            <w:r>
              <w:rPr>
                <w:sz w:val="24"/>
              </w:rPr>
              <w:t>种群扩大及个体生长产生有利影响</w:t>
            </w:r>
            <w:r>
              <w:rPr>
                <w:rFonts w:hint="eastAsia"/>
                <w:sz w:val="24"/>
              </w:rPr>
              <w:t>。</w:t>
            </w:r>
          </w:p>
          <w:p>
            <w:pPr>
              <w:adjustRightInd w:val="0"/>
              <w:snapToGrid w:val="0"/>
              <w:spacing w:line="360" w:lineRule="auto"/>
              <w:ind w:firstLine="480" w:firstLineChars="200"/>
              <w:rPr>
                <w:sz w:val="24"/>
              </w:rPr>
            </w:pPr>
            <w:r>
              <w:rPr>
                <w:rFonts w:hint="eastAsia"/>
                <w:sz w:val="24"/>
              </w:rPr>
              <w:t>红山嘴水库坝址以下河段水文情势主要受红山嘴水库调度运行影响，总体来说水库</w:t>
            </w:r>
            <w:r>
              <w:rPr>
                <w:sz w:val="24"/>
              </w:rPr>
              <w:t>下泄</w:t>
            </w:r>
            <w:r>
              <w:rPr>
                <w:rFonts w:hint="eastAsia"/>
                <w:sz w:val="24"/>
              </w:rPr>
              <w:t>总水量</w:t>
            </w:r>
            <w:r>
              <w:rPr>
                <w:sz w:val="24"/>
              </w:rPr>
              <w:t>有所减少</w:t>
            </w:r>
            <w:r>
              <w:rPr>
                <w:rFonts w:hint="eastAsia"/>
                <w:sz w:val="24"/>
              </w:rPr>
              <w:t>，</w:t>
            </w:r>
            <w:r>
              <w:rPr>
                <w:sz w:val="24"/>
              </w:rPr>
              <w:t>但生态</w:t>
            </w:r>
            <w:r>
              <w:rPr>
                <w:rFonts w:hint="eastAsia"/>
                <w:sz w:val="24"/>
              </w:rPr>
              <w:t>流量的</w:t>
            </w:r>
            <w:r>
              <w:rPr>
                <w:sz w:val="24"/>
              </w:rPr>
              <w:t>下泄保障了河道内</w:t>
            </w:r>
            <w:r>
              <w:rPr>
                <w:rFonts w:hint="eastAsia"/>
                <w:sz w:val="24"/>
              </w:rPr>
              <w:t>的</w:t>
            </w:r>
            <w:r>
              <w:rPr>
                <w:sz w:val="24"/>
              </w:rPr>
              <w:t>水生</w:t>
            </w:r>
            <w:r>
              <w:rPr>
                <w:rFonts w:hint="eastAsia"/>
                <w:sz w:val="24"/>
              </w:rPr>
              <w:t>生境</w:t>
            </w:r>
            <w:r>
              <w:rPr>
                <w:sz w:val="24"/>
              </w:rPr>
              <w:t>，</w:t>
            </w:r>
            <w:r>
              <w:rPr>
                <w:rFonts w:hint="eastAsia"/>
                <w:sz w:val="24"/>
              </w:rPr>
              <w:t>同时考虑到天然状况下河段鱼类资源量就非常少，因此，工程建成后，该河段鱼类资源不会发生明显变化。</w:t>
            </w:r>
          </w:p>
          <w:p>
            <w:pPr>
              <w:adjustRightInd w:val="0"/>
              <w:snapToGrid w:val="0"/>
              <w:spacing w:line="360" w:lineRule="auto"/>
              <w:ind w:firstLine="480" w:firstLineChars="200"/>
              <w:rPr>
                <w:sz w:val="24"/>
              </w:rPr>
            </w:pPr>
            <w:r>
              <w:rPr>
                <w:rFonts w:hint="eastAsia"/>
                <w:sz w:val="24"/>
              </w:rPr>
              <w:t>③水温变化</w:t>
            </w:r>
            <w:r>
              <w:rPr>
                <w:sz w:val="24"/>
              </w:rPr>
              <w:t>对鱼类的影响</w:t>
            </w:r>
          </w:p>
          <w:p>
            <w:pPr>
              <w:adjustRightInd w:val="0"/>
              <w:snapToGrid w:val="0"/>
              <w:spacing w:line="360" w:lineRule="auto"/>
              <w:ind w:firstLine="480" w:firstLineChars="200"/>
              <w:rPr>
                <w:sz w:val="24"/>
              </w:rPr>
            </w:pPr>
            <w:r>
              <w:rPr>
                <w:sz w:val="24"/>
              </w:rPr>
              <w:t>红山嘴水库</w:t>
            </w:r>
            <w:r>
              <w:rPr>
                <w:rFonts w:hint="eastAsia"/>
                <w:sz w:val="24"/>
              </w:rPr>
              <w:t>水温</w:t>
            </w:r>
            <w:r>
              <w:rPr>
                <w:sz w:val="24"/>
              </w:rPr>
              <w:t>结构为分层型。从</w:t>
            </w:r>
            <w:r>
              <w:rPr>
                <w:rFonts w:hint="eastAsia"/>
                <w:sz w:val="24"/>
              </w:rPr>
              <w:t>水温预测</w:t>
            </w:r>
            <w:r>
              <w:rPr>
                <w:sz w:val="24"/>
              </w:rPr>
              <w:t>结果来看，红山嘴水库</w:t>
            </w:r>
            <w:r>
              <w:rPr>
                <w:rFonts w:hint="eastAsia"/>
                <w:sz w:val="24"/>
              </w:rPr>
              <w:t>建成</w:t>
            </w:r>
            <w:r>
              <w:rPr>
                <w:sz w:val="24"/>
              </w:rPr>
              <w:t>后，东城河鱼类繁殖、索饵期间，河流水</w:t>
            </w:r>
            <w:r>
              <w:rPr>
                <w:rFonts w:hint="eastAsia"/>
                <w:sz w:val="24"/>
              </w:rPr>
              <w:t>温</w:t>
            </w:r>
            <w:r>
              <w:rPr>
                <w:sz w:val="24"/>
              </w:rPr>
              <w:t>较</w:t>
            </w:r>
            <w:r>
              <w:rPr>
                <w:rFonts w:hint="eastAsia"/>
                <w:sz w:val="24"/>
              </w:rPr>
              <w:t>天然</w:t>
            </w:r>
            <w:r>
              <w:rPr>
                <w:sz w:val="24"/>
              </w:rPr>
              <w:t>水温</w:t>
            </w:r>
            <w:r>
              <w:rPr>
                <w:rFonts w:hint="eastAsia"/>
                <w:sz w:val="24"/>
              </w:rPr>
              <w:t>有所升高</w:t>
            </w:r>
            <w:r>
              <w:rPr>
                <w:sz w:val="24"/>
              </w:rPr>
              <w:t>，越冬季节水温则有所</w:t>
            </w:r>
            <w:r>
              <w:rPr>
                <w:rFonts w:hint="eastAsia"/>
                <w:sz w:val="24"/>
              </w:rPr>
              <w:t>降低，</w:t>
            </w:r>
            <w:r>
              <w:rPr>
                <w:sz w:val="24"/>
              </w:rPr>
              <w:t>对鱼类资源将产生一定影响，考虑到水温变化</w:t>
            </w:r>
            <w:r>
              <w:rPr>
                <w:rFonts w:hint="eastAsia"/>
                <w:sz w:val="24"/>
              </w:rPr>
              <w:t>温差相对</w:t>
            </w:r>
            <w:r>
              <w:rPr>
                <w:sz w:val="24"/>
              </w:rPr>
              <w:t>较小，</w:t>
            </w:r>
            <w:r>
              <w:rPr>
                <w:rFonts w:hint="eastAsia"/>
                <w:sz w:val="24"/>
              </w:rPr>
              <w:t>最大升温2</w:t>
            </w:r>
            <w:r>
              <w:rPr>
                <w:sz w:val="24"/>
              </w:rPr>
              <w:t>.7</w:t>
            </w:r>
            <w:r>
              <w:rPr>
                <w:rFonts w:hint="eastAsia"/>
                <w:sz w:val="24"/>
              </w:rPr>
              <w:t>℃</w:t>
            </w:r>
            <w:r>
              <w:rPr>
                <w:sz w:val="24"/>
              </w:rPr>
              <w:t>，</w:t>
            </w:r>
            <w:r>
              <w:rPr>
                <w:rFonts w:hint="eastAsia"/>
                <w:sz w:val="24"/>
              </w:rPr>
              <w:t>最大降温1</w:t>
            </w:r>
            <w:r>
              <w:rPr>
                <w:sz w:val="24"/>
              </w:rPr>
              <w:t>.4</w:t>
            </w:r>
            <w:r>
              <w:rPr>
                <w:rFonts w:hint="eastAsia"/>
                <w:sz w:val="24"/>
              </w:rPr>
              <w:t>℃，</w:t>
            </w:r>
            <w:r>
              <w:rPr>
                <w:sz w:val="24"/>
              </w:rPr>
              <w:t>且</w:t>
            </w:r>
            <w:r>
              <w:rPr>
                <w:rFonts w:hint="eastAsia"/>
                <w:sz w:val="24"/>
              </w:rPr>
              <w:t>该河</w:t>
            </w:r>
            <w:r>
              <w:rPr>
                <w:sz w:val="24"/>
              </w:rPr>
              <w:t>分布的鱼类基本为</w:t>
            </w:r>
            <w:r>
              <w:rPr>
                <w:rFonts w:hint="eastAsia"/>
                <w:sz w:val="24"/>
              </w:rPr>
              <w:t>广温性</w:t>
            </w:r>
            <w:r>
              <w:rPr>
                <w:sz w:val="24"/>
              </w:rPr>
              <w:t>鱼类，资源量较少，因此，分析</w:t>
            </w:r>
            <w:r>
              <w:rPr>
                <w:rFonts w:hint="eastAsia"/>
                <w:sz w:val="24"/>
              </w:rPr>
              <w:t>认为红山嘴</w:t>
            </w:r>
            <w:r>
              <w:rPr>
                <w:sz w:val="24"/>
              </w:rPr>
              <w:t>水库下泄</w:t>
            </w:r>
            <w:r>
              <w:rPr>
                <w:rFonts w:hint="eastAsia"/>
                <w:sz w:val="24"/>
              </w:rPr>
              <w:t>水温变化</w:t>
            </w:r>
            <w:r>
              <w:rPr>
                <w:sz w:val="24"/>
              </w:rPr>
              <w:t>，对鱼类影响程度有限。</w:t>
            </w:r>
          </w:p>
          <w:p>
            <w:pPr>
              <w:adjustRightInd w:val="0"/>
              <w:snapToGrid w:val="0"/>
              <w:spacing w:line="360" w:lineRule="auto"/>
              <w:ind w:firstLine="480" w:firstLineChars="200"/>
              <w:rPr>
                <w:sz w:val="24"/>
              </w:rPr>
            </w:pPr>
            <w:r>
              <w:rPr>
                <w:rFonts w:hint="eastAsia"/>
                <w:sz w:val="24"/>
              </w:rPr>
              <w:t>④</w:t>
            </w:r>
            <w:r>
              <w:rPr>
                <w:sz w:val="24"/>
              </w:rPr>
              <w:t>对鱼类“</w:t>
            </w:r>
            <w:r>
              <w:rPr>
                <w:rFonts w:hint="eastAsia"/>
                <w:sz w:val="24"/>
              </w:rPr>
              <w:t>三场</w:t>
            </w:r>
            <w:r>
              <w:rPr>
                <w:sz w:val="24"/>
              </w:rPr>
              <w:t>”</w:t>
            </w:r>
            <w:r>
              <w:rPr>
                <w:rFonts w:hint="eastAsia"/>
                <w:sz w:val="24"/>
              </w:rPr>
              <w:t>的</w:t>
            </w:r>
            <w:r>
              <w:rPr>
                <w:sz w:val="24"/>
              </w:rPr>
              <w:t>影响</w:t>
            </w:r>
          </w:p>
          <w:p>
            <w:pPr>
              <w:adjustRightInd w:val="0"/>
              <w:snapToGrid w:val="0"/>
              <w:spacing w:line="360" w:lineRule="auto"/>
              <w:ind w:firstLine="480" w:firstLineChars="200"/>
              <w:rPr>
                <w:sz w:val="24"/>
              </w:rPr>
            </w:pPr>
            <w:r>
              <w:rPr>
                <w:rFonts w:hint="eastAsia"/>
                <w:sz w:val="24"/>
              </w:rPr>
              <w:t>考虑到东城河流域</w:t>
            </w:r>
            <w:r>
              <w:rPr>
                <w:sz w:val="24"/>
              </w:rPr>
              <w:t>无固定的鱼类“</w:t>
            </w:r>
            <w:r>
              <w:rPr>
                <w:rFonts w:hint="eastAsia"/>
                <w:sz w:val="24"/>
              </w:rPr>
              <w:t>三场</w:t>
            </w:r>
            <w:r>
              <w:rPr>
                <w:sz w:val="24"/>
              </w:rPr>
              <w:t>”</w:t>
            </w:r>
            <w:r>
              <w:rPr>
                <w:rFonts w:hint="eastAsia"/>
                <w:sz w:val="24"/>
              </w:rPr>
              <w:t>分布</w:t>
            </w:r>
            <w:r>
              <w:rPr>
                <w:sz w:val="24"/>
              </w:rPr>
              <w:t>，</w:t>
            </w:r>
            <w:r>
              <w:rPr>
                <w:rFonts w:hint="eastAsia"/>
                <w:sz w:val="24"/>
              </w:rPr>
              <w:t>且库区无土著鱼类典型产卵场分布，加之库区以上河段仍分布有适宜鱼类产卵的河段存在，同时，红山嘴水库蓄水后，水库库区将成为鱼类良好的越冬、索饵场，因此，水库淹没对库区上游河段鱼类“三场”不会产生明显的影响。</w:t>
            </w:r>
          </w:p>
          <w:p>
            <w:pPr>
              <w:adjustRightInd w:val="0"/>
              <w:snapToGrid w:val="0"/>
              <w:spacing w:line="360" w:lineRule="auto"/>
              <w:ind w:firstLine="480" w:firstLineChars="200"/>
              <w:rPr>
                <w:sz w:val="24"/>
              </w:rPr>
            </w:pPr>
            <w:r>
              <w:rPr>
                <w:rFonts w:hint="eastAsia"/>
                <w:sz w:val="24"/>
              </w:rPr>
              <w:t>对于红山嘴水库坝址下游河段来说，根据前文水文情势预测结果，相较于现状，红山嘴水库下泄水量变化幅度有限，加之土著鱼类以对水文条件变化适应能力较强的鳅类为主，</w:t>
            </w:r>
            <w:r>
              <w:rPr>
                <w:sz w:val="24"/>
              </w:rPr>
              <w:t>同时生态流量的稳定下泄</w:t>
            </w:r>
            <w:r>
              <w:rPr>
                <w:rFonts w:hint="eastAsia"/>
                <w:sz w:val="24"/>
              </w:rPr>
              <w:t>可以</w:t>
            </w:r>
            <w:r>
              <w:rPr>
                <w:sz w:val="24"/>
              </w:rPr>
              <w:t>保障河道水生生境</w:t>
            </w:r>
            <w:r>
              <w:rPr>
                <w:rFonts w:hint="eastAsia"/>
                <w:sz w:val="24"/>
              </w:rPr>
              <w:t>，因此，总体上工程建成后，不会对该河段鱼类“三场”产生明显不利影响。</w:t>
            </w:r>
          </w:p>
          <w:p>
            <w:pPr>
              <w:adjustRightInd w:val="0"/>
              <w:snapToGrid w:val="0"/>
              <w:spacing w:line="360" w:lineRule="auto"/>
              <w:ind w:firstLine="480" w:firstLineChars="200"/>
              <w:rPr>
                <w:sz w:val="24"/>
              </w:rPr>
            </w:pPr>
            <w:r>
              <w:rPr>
                <w:rFonts w:hint="eastAsia"/>
                <w:sz w:val="24"/>
              </w:rPr>
              <w:t>⑤</w:t>
            </w:r>
            <w:r>
              <w:rPr>
                <w:sz w:val="24"/>
              </w:rPr>
              <w:t>对鱼类资源的影响</w:t>
            </w:r>
          </w:p>
          <w:p>
            <w:pPr>
              <w:adjustRightInd w:val="0"/>
              <w:snapToGrid w:val="0"/>
              <w:spacing w:line="360" w:lineRule="auto"/>
              <w:ind w:firstLine="480" w:firstLineChars="200"/>
              <w:rPr>
                <w:sz w:val="24"/>
              </w:rPr>
            </w:pPr>
            <w:r>
              <w:rPr>
                <w:rFonts w:hint="eastAsia"/>
                <w:sz w:val="24"/>
              </w:rPr>
              <w:t>在水库开始蓄水时，由于生境发生迅速而剧烈的变化，鱼类的正常生活受到干扰，库区在短时间内可能造成聚集。蓄水淹没初期，由于饵料条件改善，土著鱼资源量可能会迅速增加。之后，随着营养物质的释放与沉积逐渐达到平衡，库区鱼类集合趋于稳定，鱼类资源亦随之下降并达到平衡，但其总量仍会高于建库前的水平。</w:t>
            </w:r>
          </w:p>
          <w:p>
            <w:pPr>
              <w:adjustRightInd w:val="0"/>
              <w:snapToGrid w:val="0"/>
              <w:spacing w:line="360" w:lineRule="auto"/>
              <w:ind w:firstLine="480" w:firstLineChars="200"/>
              <w:rPr>
                <w:sz w:val="24"/>
              </w:rPr>
            </w:pPr>
            <w:r>
              <w:rPr>
                <w:rFonts w:hint="eastAsia"/>
                <w:sz w:val="24"/>
              </w:rPr>
              <w:t>红山嘴</w:t>
            </w:r>
            <w:r>
              <w:rPr>
                <w:sz w:val="24"/>
              </w:rPr>
              <w:t>水库形成后，</w:t>
            </w:r>
            <w:r>
              <w:rPr>
                <w:rFonts w:hint="eastAsia"/>
                <w:sz w:val="24"/>
              </w:rPr>
              <w:t>库区水面积和库容均有大幅度增加，库区范围内原急流开放型生境向缓流生境转化，水流变缓、透明度升高、营养物质滞留等，水体生物生产力有所升高，增加了库区鱼类资源增长的潜力，</w:t>
            </w:r>
            <w:r>
              <w:rPr>
                <w:sz w:val="24"/>
              </w:rPr>
              <w:t>库区河段鱼类资源</w:t>
            </w:r>
            <w:r>
              <w:rPr>
                <w:rFonts w:hint="eastAsia"/>
                <w:sz w:val="24"/>
              </w:rPr>
              <w:t>会有</w:t>
            </w:r>
            <w:r>
              <w:rPr>
                <w:sz w:val="24"/>
              </w:rPr>
              <w:t>一定的提高。</w:t>
            </w:r>
          </w:p>
          <w:p>
            <w:pPr>
              <w:adjustRightInd w:val="0"/>
              <w:snapToGrid w:val="0"/>
              <w:spacing w:line="360" w:lineRule="auto"/>
              <w:ind w:firstLine="480" w:firstLineChars="200"/>
              <w:rPr>
                <w:sz w:val="24"/>
              </w:rPr>
            </w:pPr>
            <w:r>
              <w:rPr>
                <w:rFonts w:hint="eastAsia"/>
                <w:sz w:val="24"/>
              </w:rPr>
              <w:t>坝址</w:t>
            </w:r>
            <w:r>
              <w:rPr>
                <w:sz w:val="24"/>
              </w:rPr>
              <w:t>下游河段，</w:t>
            </w:r>
            <w:r>
              <w:rPr>
                <w:rFonts w:hint="eastAsia"/>
                <w:sz w:val="24"/>
              </w:rPr>
              <w:t>水文情势</w:t>
            </w:r>
            <w:r>
              <w:rPr>
                <w:sz w:val="24"/>
              </w:rPr>
              <w:t>及水</w:t>
            </w:r>
            <w:r>
              <w:rPr>
                <w:rFonts w:hint="eastAsia"/>
                <w:sz w:val="24"/>
              </w:rPr>
              <w:t>温</w:t>
            </w:r>
            <w:r>
              <w:rPr>
                <w:sz w:val="24"/>
              </w:rPr>
              <w:t>均有变化，但</w:t>
            </w:r>
            <w:r>
              <w:rPr>
                <w:rFonts w:hint="eastAsia"/>
                <w:sz w:val="24"/>
              </w:rPr>
              <w:t>考虑到天然状况下河段鱼类资源就非常少且</w:t>
            </w:r>
            <w:r>
              <w:rPr>
                <w:sz w:val="24"/>
              </w:rPr>
              <w:t>保障了生态流量的下泄</w:t>
            </w:r>
            <w:r>
              <w:rPr>
                <w:rFonts w:hint="eastAsia"/>
                <w:sz w:val="24"/>
              </w:rPr>
              <w:t>，因此，工程建成后，该河段鱼类资源不会发生明显变化。</w:t>
            </w:r>
          </w:p>
          <w:p>
            <w:pPr>
              <w:adjustRightInd w:val="0"/>
              <w:snapToGrid w:val="0"/>
              <w:spacing w:line="360" w:lineRule="auto"/>
              <w:rPr>
                <w:b/>
                <w:bCs/>
                <w:sz w:val="24"/>
              </w:rPr>
            </w:pPr>
            <w:r>
              <w:rPr>
                <w:rFonts w:hint="eastAsia"/>
                <w:b/>
                <w:bCs/>
                <w:sz w:val="24"/>
              </w:rPr>
              <w:t>七、</w:t>
            </w:r>
            <w:r>
              <w:rPr>
                <w:b/>
                <w:bCs/>
                <w:sz w:val="24"/>
              </w:rPr>
              <w:t>土壤环境</w:t>
            </w:r>
          </w:p>
          <w:p>
            <w:pPr>
              <w:spacing w:line="360" w:lineRule="auto"/>
              <w:ind w:firstLine="480"/>
              <w:rPr>
                <w:sz w:val="24"/>
              </w:rPr>
            </w:pPr>
            <w:r>
              <w:rPr>
                <w:rFonts w:hint="eastAsia"/>
                <w:sz w:val="24"/>
              </w:rPr>
              <w:t>（1）</w:t>
            </w:r>
            <w:r>
              <w:rPr>
                <w:sz w:val="24"/>
              </w:rPr>
              <w:t>水库淹没对土壤的影响分析</w:t>
            </w:r>
          </w:p>
          <w:p>
            <w:pPr>
              <w:spacing w:line="360" w:lineRule="auto"/>
              <w:ind w:firstLine="480"/>
              <w:rPr>
                <w:sz w:val="24"/>
              </w:rPr>
            </w:pPr>
            <w:r>
              <w:rPr>
                <w:rFonts w:hint="eastAsia"/>
                <w:sz w:val="24"/>
              </w:rPr>
              <w:t>本次工程永久占地面积为</w:t>
            </w:r>
            <w:r>
              <w:rPr>
                <w:sz w:val="24"/>
              </w:rPr>
              <w:t>42.34</w:t>
            </w:r>
            <w:r>
              <w:rPr>
                <w:rFonts w:hint="eastAsia"/>
                <w:sz w:val="24"/>
              </w:rPr>
              <w:t>hm</w:t>
            </w:r>
            <w:r>
              <w:rPr>
                <w:sz w:val="24"/>
                <w:vertAlign w:val="superscript"/>
              </w:rPr>
              <w:t>2</w:t>
            </w:r>
            <w:r>
              <w:rPr>
                <w:rFonts w:hint="eastAsia"/>
                <w:sz w:val="24"/>
              </w:rPr>
              <w:t>，</w:t>
            </w:r>
            <w:r>
              <w:rPr>
                <w:sz w:val="24"/>
              </w:rPr>
              <w:t>受水库淹没的影响，淹没范围内土壤环境彻底丧失，被水域所替代。</w:t>
            </w:r>
            <w:r>
              <w:rPr>
                <w:rFonts w:hint="eastAsia"/>
                <w:sz w:val="24"/>
              </w:rPr>
              <w:t>工程永久占地从根本上改变了地表覆盖物的类型和性质，改变了表层土壤的结构和物理性质，</w:t>
            </w:r>
            <w:r>
              <w:rPr>
                <w:sz w:val="24"/>
              </w:rPr>
              <w:t>土壤的生产能力完全丧失</w:t>
            </w:r>
            <w:r>
              <w:rPr>
                <w:rFonts w:hint="eastAsia"/>
                <w:sz w:val="24"/>
              </w:rPr>
              <w:t>。</w:t>
            </w:r>
          </w:p>
          <w:p>
            <w:pPr>
              <w:spacing w:line="360" w:lineRule="auto"/>
              <w:ind w:firstLine="480"/>
              <w:rPr>
                <w:sz w:val="24"/>
              </w:rPr>
            </w:pPr>
            <w:r>
              <w:rPr>
                <w:rFonts w:hint="eastAsia"/>
                <w:sz w:val="24"/>
              </w:rPr>
              <w:t>红山嘴水库工程库区两岸山体基岩出露高程大于库水位，邻区低于库水位的沟谷均在数公里以外，且分水岭宽厚，库区中分布的冲沟走向基本垂直于河床，沟底高程均高于河床高程，水库不会产生邻谷渗漏问题。库区内无大的活动断裂通过，新鲜基岩岩体较完整，透水性较小，不存在集中渗漏问题；库区两岸阶地不发育，河床为漂、卵砾石层，库区上游无农田耕地，在设计正常蓄水位下，库区出露岩性主要为坡积碎石土、砂卵砾石层及石炭系凝灰质砂岩，砂卵砾石层为强透水层，因此判定水库无浸没问题。因此，经分析认为，水库工程建设不会产生土壤沼泽化、盐渍化等问题，对土壤环境不会产生明显不利影响。</w:t>
            </w:r>
          </w:p>
          <w:p>
            <w:pPr>
              <w:spacing w:line="360" w:lineRule="auto"/>
              <w:ind w:firstLine="480"/>
              <w:rPr>
                <w:sz w:val="24"/>
              </w:rPr>
            </w:pPr>
            <w:r>
              <w:rPr>
                <w:rFonts w:hint="eastAsia"/>
                <w:sz w:val="24"/>
              </w:rPr>
              <w:t>（2）对</w:t>
            </w:r>
            <w:r>
              <w:rPr>
                <w:sz w:val="24"/>
              </w:rPr>
              <w:t>土壤</w:t>
            </w:r>
            <w:r>
              <w:rPr>
                <w:rFonts w:hint="eastAsia"/>
                <w:sz w:val="24"/>
              </w:rPr>
              <w:t>盐碱</w:t>
            </w:r>
            <w:r>
              <w:rPr>
                <w:sz w:val="24"/>
              </w:rPr>
              <w:t>化的影响</w:t>
            </w:r>
          </w:p>
          <w:p>
            <w:pPr>
              <w:spacing w:line="360" w:lineRule="auto"/>
              <w:ind w:firstLine="480"/>
              <w:rPr>
                <w:sz w:val="24"/>
              </w:rPr>
            </w:pPr>
            <w:r>
              <w:rPr>
                <w:rFonts w:hint="eastAsia"/>
                <w:sz w:val="24"/>
              </w:rPr>
              <w:t>地下水位高，地下水矿化度和盐分高及不利的地下水径流排泄条件是灌区形成盐碱化的主要原因，受地下水的顶托作用，地下水径流不畅，抬高了地下水位，地下水通过蒸发自土壤表层而散失排泄，地下水和土壤中的盐分留在土壤中；在地下水位上升和盐分积累到一定程度后，地下水浓缩而形成高矿化度水；地下水通过毛细作用上升地表，导致土壤盐碱化。东城</w:t>
            </w:r>
            <w:r>
              <w:rPr>
                <w:sz w:val="24"/>
              </w:rPr>
              <w:t>灌区地下水埋深</w:t>
            </w:r>
            <w:r>
              <w:rPr>
                <w:rFonts w:hint="eastAsia"/>
                <w:sz w:val="24"/>
              </w:rPr>
              <w:t>较浅，</w:t>
            </w:r>
            <w:r>
              <w:rPr>
                <w:sz w:val="24"/>
              </w:rPr>
              <w:t>部分区域存在土壤</w:t>
            </w:r>
            <w:r>
              <w:rPr>
                <w:rFonts w:hint="eastAsia"/>
                <w:sz w:val="24"/>
              </w:rPr>
              <w:t>盐碱化</w:t>
            </w:r>
            <w:r>
              <w:rPr>
                <w:sz w:val="24"/>
              </w:rPr>
              <w:t>问题</w:t>
            </w:r>
            <w:r>
              <w:rPr>
                <w:rFonts w:hint="eastAsia"/>
                <w:sz w:val="24"/>
              </w:rPr>
              <w:t>。受灌区防渗条件的改善，区内渠系入渗、田间灌溉入渗均会较现状年有所减少，灌区地下水补给量相应有所减少，但地下水开采量减少，有利于灌区地下水水位的提升，由于提升幅度较小，对局部区域土壤盐碱化的不利影响不大。</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31" w:hRule="atLeast"/>
          <w:jc w:val="center"/>
        </w:trPr>
        <w:tc>
          <w:tcPr>
            <w:tcW w:w="426" w:type="dxa"/>
            <w:vAlign w:val="center"/>
          </w:tcPr>
          <w:p>
            <w:pPr>
              <w:pStyle w:val="17"/>
              <w:adjustRightInd w:val="0"/>
              <w:snapToGrid w:val="0"/>
              <w:spacing w:before="0" w:beforeAutospacing="0" w:after="0" w:afterAutospacing="0"/>
              <w:jc w:val="center"/>
              <w:rPr>
                <w:rFonts w:cs="宋体"/>
                <w:bCs/>
                <w:kern w:val="2"/>
                <w:sz w:val="21"/>
                <w:szCs w:val="21"/>
              </w:rPr>
            </w:pPr>
            <w:r>
              <w:rPr>
                <w:rFonts w:hint="eastAsia" w:cs="宋体"/>
                <w:bCs/>
                <w:kern w:val="2"/>
                <w:sz w:val="21"/>
                <w:szCs w:val="21"/>
              </w:rPr>
              <w:t>选址选线环境合理性分析</w:t>
            </w:r>
          </w:p>
        </w:tc>
        <w:tc>
          <w:tcPr>
            <w:tcW w:w="8816" w:type="dxa"/>
            <w:vAlign w:val="center"/>
          </w:tcPr>
          <w:p>
            <w:pPr>
              <w:adjustRightInd w:val="0"/>
              <w:snapToGrid w:val="0"/>
              <w:spacing w:line="360" w:lineRule="auto"/>
              <w:rPr>
                <w:b/>
                <w:bCs/>
                <w:sz w:val="24"/>
              </w:rPr>
            </w:pPr>
            <w:r>
              <w:rPr>
                <w:rFonts w:hint="eastAsia"/>
                <w:b/>
                <w:bCs/>
                <w:sz w:val="24"/>
              </w:rPr>
              <w:t>一、坝址选址合理性分析</w:t>
            </w:r>
          </w:p>
          <w:p>
            <w:pPr>
              <w:spacing w:line="360" w:lineRule="auto"/>
              <w:ind w:firstLine="480"/>
              <w:rPr>
                <w:sz w:val="24"/>
              </w:rPr>
            </w:pPr>
            <w:r>
              <w:rPr>
                <w:rFonts w:hint="eastAsia"/>
                <w:sz w:val="24"/>
              </w:rPr>
              <w:t>本阶段主体工程在东城</w:t>
            </w:r>
            <w:r>
              <w:rPr>
                <w:sz w:val="24"/>
              </w:rPr>
              <w:t>渠首上游</w:t>
            </w:r>
            <w:r>
              <w:rPr>
                <w:rFonts w:hint="eastAsia"/>
                <w:sz w:val="24"/>
              </w:rPr>
              <w:t>选择两个坝址进行布置，上、下坝址</w:t>
            </w:r>
            <w:r>
              <w:rPr>
                <w:sz w:val="24"/>
              </w:rPr>
              <w:t>相距</w:t>
            </w:r>
            <w:r>
              <w:rPr>
                <w:rFonts w:hint="eastAsia"/>
                <w:sz w:val="24"/>
              </w:rPr>
              <w:t>3</w:t>
            </w:r>
            <w:r>
              <w:rPr>
                <w:sz w:val="24"/>
              </w:rPr>
              <w:t>3</w:t>
            </w:r>
            <w:r>
              <w:rPr>
                <w:rFonts w:hint="eastAsia"/>
                <w:sz w:val="24"/>
              </w:rPr>
              <w:t>0</w:t>
            </w:r>
            <w:r>
              <w:rPr>
                <w:sz w:val="24"/>
              </w:rPr>
              <w:t>m</w:t>
            </w:r>
            <w:r>
              <w:rPr>
                <w:rFonts w:hint="eastAsia"/>
                <w:sz w:val="24"/>
              </w:rPr>
              <w:t>。</w:t>
            </w:r>
            <w:r>
              <w:rPr>
                <w:sz w:val="24"/>
              </w:rPr>
              <w:t>本次</w:t>
            </w:r>
            <w:r>
              <w:rPr>
                <w:rFonts w:hint="eastAsia"/>
                <w:sz w:val="24"/>
              </w:rPr>
              <w:t>工作</w:t>
            </w:r>
            <w:r>
              <w:rPr>
                <w:sz w:val="24"/>
              </w:rPr>
              <w:t>从环境角度对不同坝址方案进行了比选，内容详见表9。</w:t>
            </w:r>
          </w:p>
          <w:p>
            <w:pPr>
              <w:jc w:val="left"/>
              <w:rPr>
                <w:rFonts w:ascii="黑体" w:hAnsi="黑体" w:eastAsia="黑体"/>
                <w:sz w:val="24"/>
              </w:rPr>
            </w:pPr>
            <w:r>
              <w:rPr>
                <w:rFonts w:ascii="黑体" w:hAnsi="黑体" w:eastAsia="黑体"/>
                <w:sz w:val="24"/>
              </w:rPr>
              <w:t>表</w:t>
            </w:r>
            <w:r>
              <w:rPr>
                <w:rFonts w:eastAsia="黑体"/>
                <w:sz w:val="24"/>
              </w:rPr>
              <w:t>9</w:t>
            </w:r>
            <w:r>
              <w:rPr>
                <w:rFonts w:ascii="黑体" w:hAnsi="黑体" w:eastAsia="黑体"/>
                <w:sz w:val="24"/>
              </w:rPr>
              <w:t xml:space="preserve">                         工程坝址环境比选表</w:t>
            </w:r>
          </w:p>
          <w:tbl>
            <w:tblPr>
              <w:tblStyle w:val="21"/>
              <w:tblW w:w="8600" w:type="dxa"/>
              <w:tblInd w:w="0" w:type="dxa"/>
              <w:tblLayout w:type="fixed"/>
              <w:tblCellMar>
                <w:top w:w="0" w:type="dxa"/>
                <w:left w:w="108" w:type="dxa"/>
                <w:bottom w:w="0" w:type="dxa"/>
                <w:right w:w="108" w:type="dxa"/>
              </w:tblCellMar>
            </w:tblPr>
            <w:tblGrid>
              <w:gridCol w:w="633"/>
              <w:gridCol w:w="700"/>
              <w:gridCol w:w="3848"/>
              <w:gridCol w:w="3419"/>
            </w:tblGrid>
            <w:tr>
              <w:tblPrEx>
                <w:tblLayout w:type="fixed"/>
                <w:tblCellMar>
                  <w:top w:w="0" w:type="dxa"/>
                  <w:left w:w="108" w:type="dxa"/>
                  <w:bottom w:w="0" w:type="dxa"/>
                  <w:right w:w="108" w:type="dxa"/>
                </w:tblCellMar>
              </w:tblPrEx>
              <w:trPr>
                <w:trHeight w:val="20" w:hRule="atLeast"/>
              </w:trPr>
              <w:tc>
                <w:tcPr>
                  <w:tcW w:w="13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项目</w:t>
                  </w:r>
                </w:p>
              </w:tc>
              <w:tc>
                <w:tcPr>
                  <w:tcW w:w="3848"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上坝址（主体推荐方案）</w:t>
                  </w:r>
                </w:p>
              </w:tc>
              <w:tc>
                <w:tcPr>
                  <w:tcW w:w="3419"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下坝址</w:t>
                  </w:r>
                </w:p>
              </w:tc>
            </w:tr>
            <w:tr>
              <w:tblPrEx>
                <w:tblLayout w:type="fixed"/>
                <w:tblCellMar>
                  <w:top w:w="0" w:type="dxa"/>
                  <w:left w:w="108" w:type="dxa"/>
                  <w:bottom w:w="0" w:type="dxa"/>
                  <w:right w:w="108" w:type="dxa"/>
                </w:tblCellMar>
              </w:tblPrEx>
              <w:trPr>
                <w:trHeight w:val="20" w:hRule="atLeast"/>
              </w:trPr>
              <w:tc>
                <w:tcPr>
                  <w:tcW w:w="13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工程概况</w:t>
                  </w:r>
                </w:p>
              </w:tc>
              <w:tc>
                <w:tcPr>
                  <w:tcW w:w="3848"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坝轴线总长</w:t>
                  </w:r>
                  <w:r>
                    <w:rPr>
                      <w:kern w:val="0"/>
                      <w:szCs w:val="21"/>
                    </w:rPr>
                    <w:t>187.50</w:t>
                  </w:r>
                  <w:r>
                    <w:rPr>
                      <w:rFonts w:hint="eastAsia"/>
                      <w:kern w:val="0"/>
                      <w:szCs w:val="21"/>
                    </w:rPr>
                    <w:t>m，最大坝高</w:t>
                  </w:r>
                  <w:r>
                    <w:rPr>
                      <w:kern w:val="0"/>
                      <w:szCs w:val="21"/>
                    </w:rPr>
                    <w:t>56.2</w:t>
                  </w:r>
                  <w:r>
                    <w:rPr>
                      <w:rFonts w:hint="eastAsia"/>
                      <w:kern w:val="0"/>
                      <w:szCs w:val="21"/>
                    </w:rPr>
                    <w:t>m，正常</w:t>
                  </w:r>
                  <w:r>
                    <w:rPr>
                      <w:kern w:val="0"/>
                      <w:szCs w:val="21"/>
                    </w:rPr>
                    <w:t>蓄水位1333.82m，</w:t>
                  </w:r>
                  <w:r>
                    <w:rPr>
                      <w:rFonts w:hint="eastAsia"/>
                      <w:kern w:val="0"/>
                      <w:szCs w:val="21"/>
                    </w:rPr>
                    <w:t>右岸导流泄洪冲沙涵洞、开敞式溢洪道。工程</w:t>
                  </w:r>
                  <w:r>
                    <w:t>建筑</w:t>
                  </w:r>
                  <w:r>
                    <w:rPr>
                      <w:rFonts w:hint="eastAsia"/>
                      <w:kern w:val="0"/>
                      <w:szCs w:val="21"/>
                    </w:rPr>
                    <w:t>投资</w:t>
                  </w:r>
                  <w:r>
                    <w:t>21100.18</w:t>
                  </w:r>
                  <w:r>
                    <w:rPr>
                      <w:rFonts w:hint="eastAsia"/>
                      <w:kern w:val="0"/>
                      <w:szCs w:val="21"/>
                    </w:rPr>
                    <w:t>万元。</w:t>
                  </w:r>
                </w:p>
              </w:tc>
              <w:tc>
                <w:tcPr>
                  <w:tcW w:w="3419"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坝轴线总长</w:t>
                  </w:r>
                  <w:r>
                    <w:rPr>
                      <w:kern w:val="0"/>
                      <w:szCs w:val="21"/>
                    </w:rPr>
                    <w:t>251.23</w:t>
                  </w:r>
                  <w:r>
                    <w:rPr>
                      <w:rFonts w:hint="eastAsia"/>
                      <w:kern w:val="0"/>
                      <w:szCs w:val="21"/>
                    </w:rPr>
                    <w:t>m，最大坝高</w:t>
                  </w:r>
                  <w:r>
                    <w:rPr>
                      <w:kern w:val="0"/>
                      <w:szCs w:val="21"/>
                    </w:rPr>
                    <w:t>56.3</w:t>
                  </w:r>
                  <w:r>
                    <w:rPr>
                      <w:rFonts w:hint="eastAsia"/>
                      <w:kern w:val="0"/>
                      <w:szCs w:val="21"/>
                    </w:rPr>
                    <w:t>m，正常</w:t>
                  </w:r>
                  <w:r>
                    <w:rPr>
                      <w:kern w:val="0"/>
                      <w:szCs w:val="21"/>
                    </w:rPr>
                    <w:t>蓄水位</w:t>
                  </w:r>
                  <w:r>
                    <w:rPr>
                      <w:rFonts w:hint="eastAsia"/>
                      <w:kern w:val="0"/>
                      <w:szCs w:val="21"/>
                    </w:rPr>
                    <w:t>1325.85</w:t>
                  </w:r>
                  <w:r>
                    <w:rPr>
                      <w:kern w:val="0"/>
                      <w:szCs w:val="21"/>
                    </w:rPr>
                    <w:t>m，</w:t>
                  </w:r>
                  <w:r>
                    <w:rPr>
                      <w:rFonts w:hint="eastAsia"/>
                      <w:kern w:val="0"/>
                      <w:szCs w:val="21"/>
                    </w:rPr>
                    <w:t>左岸导流泄洪冲沙涵洞、右岸开敞式溢洪道。工程</w:t>
                  </w:r>
                  <w:r>
                    <w:t>建筑</w:t>
                  </w:r>
                  <w:r>
                    <w:rPr>
                      <w:rFonts w:hint="eastAsia"/>
                      <w:kern w:val="0"/>
                      <w:szCs w:val="21"/>
                    </w:rPr>
                    <w:t>投资</w:t>
                  </w:r>
                  <w:r>
                    <w:t>24030.44</w:t>
                  </w:r>
                  <w:r>
                    <w:rPr>
                      <w:rFonts w:hint="eastAsia"/>
                      <w:kern w:val="0"/>
                      <w:szCs w:val="21"/>
                    </w:rPr>
                    <w:t>万元。</w:t>
                  </w:r>
                </w:p>
              </w:tc>
            </w:tr>
            <w:tr>
              <w:tblPrEx>
                <w:tblLayout w:type="fixed"/>
                <w:tblCellMar>
                  <w:top w:w="0" w:type="dxa"/>
                  <w:left w:w="108" w:type="dxa"/>
                  <w:bottom w:w="0" w:type="dxa"/>
                  <w:right w:w="108" w:type="dxa"/>
                </w:tblCellMar>
              </w:tblPrEx>
              <w:trPr>
                <w:trHeight w:val="20" w:hRule="atLeast"/>
              </w:trPr>
              <w:tc>
                <w:tcPr>
                  <w:tcW w:w="13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环境概况</w:t>
                  </w:r>
                </w:p>
              </w:tc>
              <w:tc>
                <w:tcPr>
                  <w:tcW w:w="3848" w:type="dxa"/>
                  <w:tcBorders>
                    <w:top w:val="single" w:color="auto" w:sz="4" w:space="0"/>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上坝址区河谷形态为“V”型谷，谷底宽约50m，左右两岸不对称，左岸较右岸陡。地表区域多荒漠植被，植被盖度1</w:t>
                  </w:r>
                  <w:r>
                    <w:rPr>
                      <w:kern w:val="0"/>
                      <w:szCs w:val="21"/>
                    </w:rPr>
                    <w:t>0%～</w:t>
                  </w:r>
                  <w:r>
                    <w:rPr>
                      <w:rFonts w:hint="eastAsia"/>
                      <w:kern w:val="0"/>
                      <w:szCs w:val="21"/>
                    </w:rPr>
                    <w:t>30</w:t>
                  </w:r>
                  <w:r>
                    <w:rPr>
                      <w:kern w:val="0"/>
                      <w:szCs w:val="21"/>
                    </w:rPr>
                    <w:t>%，</w:t>
                  </w:r>
                  <w:r>
                    <w:rPr>
                      <w:rFonts w:hint="eastAsia"/>
                      <w:kern w:val="0"/>
                      <w:szCs w:val="21"/>
                    </w:rPr>
                    <w:t>以伊犁绢蒿为建群种，杂以地肤、驼绒藜、假木贼、小蓬、猪毛菜等，灌木林地以针茅群系为主；区域以蒙古兔、灰旱獭、黑田鼠等多与人类伴生的小型啮齿类动物为主。</w:t>
                  </w:r>
                </w:p>
                <w:p>
                  <w:pPr>
                    <w:widowControl/>
                    <w:rPr>
                      <w:kern w:val="0"/>
                      <w:szCs w:val="21"/>
                    </w:rPr>
                  </w:pPr>
                  <w:r>
                    <w:rPr>
                      <w:rFonts w:hint="eastAsia"/>
                      <w:kern w:val="0"/>
                      <w:szCs w:val="21"/>
                    </w:rPr>
                    <w:t>工程涉及河段分布有新疆高原鳅、小眼须鳅2种土著鱼类，淹没范围无集中“三场”分布。</w:t>
                  </w:r>
                </w:p>
                <w:p>
                  <w:pPr>
                    <w:widowControl/>
                    <w:rPr>
                      <w:kern w:val="0"/>
                      <w:szCs w:val="21"/>
                    </w:rPr>
                  </w:pPr>
                  <w:r>
                    <w:rPr>
                      <w:rFonts w:hint="eastAsia"/>
                      <w:kern w:val="0"/>
                      <w:szCs w:val="21"/>
                    </w:rPr>
                    <w:t>区内无环境敏感区分布。</w:t>
                  </w:r>
                </w:p>
              </w:tc>
              <w:tc>
                <w:tcPr>
                  <w:tcW w:w="3419" w:type="dxa"/>
                  <w:tcBorders>
                    <w:top w:val="single" w:color="auto" w:sz="4" w:space="0"/>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该处河谷呈左右不对称“U”型，在坝顶高程1330.0m时，谷宽193.0m，其中主河床宽12m。</w:t>
                  </w:r>
                </w:p>
                <w:p>
                  <w:pPr>
                    <w:widowControl/>
                    <w:rPr>
                      <w:kern w:val="0"/>
                      <w:szCs w:val="21"/>
                    </w:rPr>
                  </w:pPr>
                </w:p>
                <w:p>
                  <w:pPr>
                    <w:widowControl/>
                    <w:rPr>
                      <w:kern w:val="0"/>
                      <w:szCs w:val="21"/>
                    </w:rPr>
                  </w:pPr>
                  <w:r>
                    <w:rPr>
                      <w:rFonts w:hint="eastAsia"/>
                      <w:kern w:val="0"/>
                      <w:szCs w:val="21"/>
                    </w:rPr>
                    <w:t>工程区分布植被与野生动物与上坝址相同。</w:t>
                  </w:r>
                </w:p>
                <w:p>
                  <w:pPr>
                    <w:widowControl/>
                    <w:rPr>
                      <w:kern w:val="0"/>
                      <w:szCs w:val="21"/>
                    </w:rPr>
                  </w:pPr>
                  <w:r>
                    <w:rPr>
                      <w:rFonts w:hint="eastAsia"/>
                      <w:kern w:val="0"/>
                      <w:szCs w:val="21"/>
                    </w:rPr>
                    <w:t>工程河段内分布鱼类与上坝址相同。</w:t>
                  </w:r>
                </w:p>
                <w:p>
                  <w:pPr>
                    <w:rPr>
                      <w:kern w:val="0"/>
                      <w:szCs w:val="21"/>
                    </w:rPr>
                  </w:pPr>
                  <w:r>
                    <w:rPr>
                      <w:rFonts w:hint="eastAsia"/>
                      <w:kern w:val="0"/>
                      <w:szCs w:val="21"/>
                    </w:rPr>
                    <w:t>区内无环境敏感区分布。</w:t>
                  </w:r>
                </w:p>
              </w:tc>
            </w:tr>
            <w:tr>
              <w:tblPrEx>
                <w:tblLayout w:type="fixed"/>
                <w:tblCellMar>
                  <w:top w:w="0" w:type="dxa"/>
                  <w:left w:w="108" w:type="dxa"/>
                  <w:bottom w:w="0" w:type="dxa"/>
                  <w:right w:w="108" w:type="dxa"/>
                </w:tblCellMar>
              </w:tblPrEx>
              <w:trPr>
                <w:trHeight w:val="20" w:hRule="atLeast"/>
              </w:trPr>
              <w:tc>
                <w:tcPr>
                  <w:tcW w:w="633" w:type="dxa"/>
                  <w:vMerge w:val="restart"/>
                  <w:tcBorders>
                    <w:top w:val="nil"/>
                    <w:left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环境比选</w:t>
                  </w:r>
                </w:p>
              </w:tc>
              <w:tc>
                <w:tcPr>
                  <w:tcW w:w="70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工程占地及淹没</w:t>
                  </w:r>
                </w:p>
              </w:tc>
              <w:tc>
                <w:tcPr>
                  <w:tcW w:w="3848" w:type="dxa"/>
                  <w:tcBorders>
                    <w:top w:val="single" w:color="auto" w:sz="4" w:space="0"/>
                    <w:left w:val="nil"/>
                    <w:bottom w:val="single" w:color="auto" w:sz="4" w:space="0"/>
                    <w:right w:val="single" w:color="auto" w:sz="4" w:space="0"/>
                  </w:tcBorders>
                  <w:shd w:val="clear" w:color="auto" w:fill="auto"/>
                  <w:vAlign w:val="center"/>
                </w:tcPr>
                <w:p>
                  <w:pPr>
                    <w:widowControl/>
                    <w:rPr>
                      <w:kern w:val="0"/>
                      <w:szCs w:val="21"/>
                    </w:rPr>
                  </w:pPr>
                  <w:r>
                    <w:rPr>
                      <w:kern w:val="0"/>
                      <w:szCs w:val="21"/>
                    </w:rPr>
                    <w:t>永久占地392.09亩</w:t>
                  </w:r>
                  <w:r>
                    <w:rPr>
                      <w:rFonts w:hint="eastAsia"/>
                      <w:kern w:val="0"/>
                      <w:szCs w:val="21"/>
                    </w:rPr>
                    <w:t>，</w:t>
                  </w:r>
                  <w:r>
                    <w:rPr>
                      <w:kern w:val="0"/>
                      <w:szCs w:val="21"/>
                    </w:rPr>
                    <w:t>其中耕地30.00亩</w:t>
                  </w:r>
                  <w:r>
                    <w:rPr>
                      <w:rFonts w:hint="eastAsia"/>
                      <w:kern w:val="0"/>
                      <w:szCs w:val="21"/>
                    </w:rPr>
                    <w:t>、</w:t>
                  </w:r>
                  <w:r>
                    <w:rPr>
                      <w:kern w:val="0"/>
                      <w:szCs w:val="21"/>
                    </w:rPr>
                    <w:t>林地21.36亩</w:t>
                  </w:r>
                  <w:r>
                    <w:rPr>
                      <w:rFonts w:hint="eastAsia"/>
                      <w:kern w:val="0"/>
                      <w:szCs w:val="21"/>
                    </w:rPr>
                    <w:t>、</w:t>
                  </w:r>
                  <w:r>
                    <w:rPr>
                      <w:kern w:val="0"/>
                      <w:szCs w:val="21"/>
                    </w:rPr>
                    <w:t>草地317.64亩（二等1级草场）</w:t>
                  </w:r>
                  <w:r>
                    <w:rPr>
                      <w:rFonts w:hint="eastAsia"/>
                      <w:kern w:val="0"/>
                      <w:szCs w:val="21"/>
                    </w:rPr>
                    <w:t>、</w:t>
                  </w:r>
                  <w:r>
                    <w:rPr>
                      <w:kern w:val="0"/>
                      <w:szCs w:val="21"/>
                    </w:rPr>
                    <w:t>其他土地19.41亩</w:t>
                  </w:r>
                  <w:r>
                    <w:rPr>
                      <w:rFonts w:hint="eastAsia"/>
                      <w:kern w:val="0"/>
                      <w:szCs w:val="21"/>
                    </w:rPr>
                    <w:t>。</w:t>
                  </w:r>
                  <w:r>
                    <w:rPr>
                      <w:kern w:val="0"/>
                      <w:szCs w:val="21"/>
                    </w:rPr>
                    <w:t>涉及生产安置及搬迁14户48人</w:t>
                  </w:r>
                  <w:r>
                    <w:rPr>
                      <w:rFonts w:hint="eastAsia"/>
                      <w:kern w:val="0"/>
                      <w:szCs w:val="21"/>
                    </w:rPr>
                    <w:t>，涉及</w:t>
                  </w:r>
                  <w:r>
                    <w:rPr>
                      <w:kern w:val="0"/>
                      <w:szCs w:val="21"/>
                    </w:rPr>
                    <w:t>专项设施改复建包括</w:t>
                  </w:r>
                  <w:r>
                    <w:rPr>
                      <w:rFonts w:hint="eastAsia"/>
                      <w:kern w:val="0"/>
                      <w:szCs w:val="21"/>
                    </w:rPr>
                    <w:t>交通</w:t>
                  </w:r>
                  <w:r>
                    <w:rPr>
                      <w:kern w:val="0"/>
                      <w:szCs w:val="21"/>
                    </w:rPr>
                    <w:t>设施</w:t>
                  </w:r>
                  <w:r>
                    <w:rPr>
                      <w:rFonts w:hint="eastAsia"/>
                      <w:kern w:val="0"/>
                      <w:szCs w:val="21"/>
                    </w:rPr>
                    <w:t>、</w:t>
                  </w:r>
                  <w:r>
                    <w:rPr>
                      <w:kern w:val="0"/>
                      <w:szCs w:val="21"/>
                    </w:rPr>
                    <w:t>输电线路、通信线路</w:t>
                  </w:r>
                  <w:r>
                    <w:rPr>
                      <w:rFonts w:hint="eastAsia"/>
                      <w:kern w:val="0"/>
                      <w:szCs w:val="21"/>
                    </w:rPr>
                    <w:t>、</w:t>
                  </w:r>
                  <w:r>
                    <w:rPr>
                      <w:kern w:val="0"/>
                      <w:szCs w:val="21"/>
                    </w:rPr>
                    <w:t>人饮供水工程。</w:t>
                  </w:r>
                </w:p>
              </w:tc>
              <w:tc>
                <w:tcPr>
                  <w:tcW w:w="3419" w:type="dxa"/>
                  <w:tcBorders>
                    <w:top w:val="single" w:color="auto" w:sz="4" w:space="0"/>
                    <w:left w:val="nil"/>
                    <w:bottom w:val="single" w:color="auto" w:sz="4" w:space="0"/>
                    <w:right w:val="single" w:color="auto" w:sz="4" w:space="0"/>
                  </w:tcBorders>
                  <w:shd w:val="clear" w:color="auto" w:fill="auto"/>
                  <w:vAlign w:val="center"/>
                </w:tcPr>
                <w:p>
                  <w:pPr>
                    <w:widowControl/>
                    <w:rPr>
                      <w:kern w:val="0"/>
                      <w:szCs w:val="21"/>
                    </w:rPr>
                  </w:pPr>
                  <w:r>
                    <w:rPr>
                      <w:kern w:val="0"/>
                      <w:szCs w:val="21"/>
                    </w:rPr>
                    <w:t>永久占地536.58亩</w:t>
                  </w:r>
                  <w:r>
                    <w:rPr>
                      <w:rFonts w:hint="eastAsia"/>
                      <w:kern w:val="0"/>
                      <w:szCs w:val="21"/>
                    </w:rPr>
                    <w:t>，</w:t>
                  </w:r>
                  <w:r>
                    <w:rPr>
                      <w:kern w:val="0"/>
                      <w:szCs w:val="21"/>
                    </w:rPr>
                    <w:t>其中耕地92.15亩</w:t>
                  </w:r>
                  <w:r>
                    <w:rPr>
                      <w:rFonts w:hint="eastAsia"/>
                      <w:kern w:val="0"/>
                      <w:szCs w:val="21"/>
                    </w:rPr>
                    <w:t>、</w:t>
                  </w:r>
                  <w:r>
                    <w:rPr>
                      <w:kern w:val="0"/>
                      <w:szCs w:val="21"/>
                    </w:rPr>
                    <w:t>林地67.6亩</w:t>
                  </w:r>
                  <w:r>
                    <w:rPr>
                      <w:rFonts w:hint="eastAsia"/>
                      <w:kern w:val="0"/>
                      <w:szCs w:val="21"/>
                    </w:rPr>
                    <w:t>、</w:t>
                  </w:r>
                  <w:r>
                    <w:rPr>
                      <w:kern w:val="0"/>
                      <w:szCs w:val="21"/>
                    </w:rPr>
                    <w:t>草地261.0亩（二等1级草场）</w:t>
                  </w:r>
                  <w:r>
                    <w:rPr>
                      <w:rFonts w:hint="eastAsia"/>
                      <w:kern w:val="0"/>
                      <w:szCs w:val="21"/>
                    </w:rPr>
                    <w:t>、</w:t>
                  </w:r>
                  <w:r>
                    <w:rPr>
                      <w:kern w:val="0"/>
                      <w:szCs w:val="21"/>
                    </w:rPr>
                    <w:t>其他土地115.83亩</w:t>
                  </w:r>
                  <w:r>
                    <w:rPr>
                      <w:rFonts w:hint="eastAsia"/>
                      <w:kern w:val="0"/>
                      <w:szCs w:val="21"/>
                    </w:rPr>
                    <w:t>。</w:t>
                  </w:r>
                  <w:r>
                    <w:rPr>
                      <w:kern w:val="0"/>
                      <w:szCs w:val="21"/>
                    </w:rPr>
                    <w:t>生产安置及搬迁2</w:t>
                  </w:r>
                  <w:r>
                    <w:rPr>
                      <w:rFonts w:hint="eastAsia"/>
                      <w:kern w:val="0"/>
                      <w:szCs w:val="21"/>
                    </w:rPr>
                    <w:t>6</w:t>
                  </w:r>
                  <w:r>
                    <w:rPr>
                      <w:kern w:val="0"/>
                      <w:szCs w:val="21"/>
                    </w:rPr>
                    <w:t>户</w:t>
                  </w:r>
                  <w:r>
                    <w:rPr>
                      <w:rFonts w:hint="eastAsia"/>
                      <w:kern w:val="0"/>
                      <w:szCs w:val="21"/>
                    </w:rPr>
                    <w:t>10</w:t>
                  </w:r>
                  <w:r>
                    <w:rPr>
                      <w:kern w:val="0"/>
                      <w:szCs w:val="21"/>
                    </w:rPr>
                    <w:t>1人，</w:t>
                  </w:r>
                  <w:r>
                    <w:rPr>
                      <w:rFonts w:hint="eastAsia"/>
                      <w:kern w:val="0"/>
                      <w:szCs w:val="21"/>
                    </w:rPr>
                    <w:t>涉及</w:t>
                  </w:r>
                  <w:r>
                    <w:rPr>
                      <w:kern w:val="0"/>
                      <w:szCs w:val="21"/>
                    </w:rPr>
                    <w:t>专项设施改复建包括</w:t>
                  </w:r>
                  <w:r>
                    <w:rPr>
                      <w:rFonts w:hint="eastAsia"/>
                      <w:kern w:val="0"/>
                      <w:szCs w:val="21"/>
                    </w:rPr>
                    <w:t>交通</w:t>
                  </w:r>
                  <w:r>
                    <w:rPr>
                      <w:kern w:val="0"/>
                      <w:szCs w:val="21"/>
                    </w:rPr>
                    <w:t>设施</w:t>
                  </w:r>
                  <w:r>
                    <w:rPr>
                      <w:rFonts w:hint="eastAsia"/>
                      <w:kern w:val="0"/>
                      <w:szCs w:val="21"/>
                    </w:rPr>
                    <w:t>、</w:t>
                  </w:r>
                  <w:r>
                    <w:rPr>
                      <w:kern w:val="0"/>
                      <w:szCs w:val="21"/>
                    </w:rPr>
                    <w:t>输电线路、通信线路</w:t>
                  </w:r>
                  <w:r>
                    <w:rPr>
                      <w:rFonts w:hint="eastAsia"/>
                      <w:kern w:val="0"/>
                      <w:szCs w:val="21"/>
                    </w:rPr>
                    <w:t>、</w:t>
                  </w:r>
                  <w:r>
                    <w:rPr>
                      <w:kern w:val="0"/>
                      <w:szCs w:val="21"/>
                    </w:rPr>
                    <w:t>人饮供水工程。</w:t>
                  </w:r>
                </w:p>
              </w:tc>
            </w:tr>
            <w:tr>
              <w:tblPrEx>
                <w:tblLayout w:type="fixed"/>
                <w:tblCellMar>
                  <w:top w:w="0" w:type="dxa"/>
                  <w:left w:w="108" w:type="dxa"/>
                  <w:bottom w:w="0" w:type="dxa"/>
                  <w:right w:w="108" w:type="dxa"/>
                </w:tblCellMar>
              </w:tblPrEx>
              <w:trPr>
                <w:trHeight w:val="20" w:hRule="atLeast"/>
              </w:trPr>
              <w:tc>
                <w:tcPr>
                  <w:tcW w:w="633" w:type="dxa"/>
                  <w:vMerge w:val="continue"/>
                  <w:tcBorders>
                    <w:left w:val="single" w:color="auto" w:sz="4" w:space="0"/>
                    <w:right w:val="single" w:color="auto" w:sz="4" w:space="0"/>
                  </w:tcBorders>
                  <w:vAlign w:val="center"/>
                </w:tcPr>
                <w:p>
                  <w:pPr>
                    <w:widowControl/>
                    <w:jc w:val="center"/>
                    <w:rPr>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敏感目标</w:t>
                  </w:r>
                </w:p>
              </w:tc>
              <w:tc>
                <w:tcPr>
                  <w:tcW w:w="3848"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距上游</w:t>
                  </w:r>
                  <w:r>
                    <w:rPr>
                      <w:kern w:val="0"/>
                      <w:szCs w:val="21"/>
                    </w:rPr>
                    <w:t>东城镇饮用水水源地距离约</w:t>
                  </w:r>
                  <w:r>
                    <w:rPr>
                      <w:rFonts w:hint="eastAsia"/>
                      <w:kern w:val="0"/>
                      <w:szCs w:val="21"/>
                    </w:rPr>
                    <w:t>1.5</w:t>
                  </w:r>
                  <w:r>
                    <w:rPr>
                      <w:kern w:val="0"/>
                      <w:szCs w:val="21"/>
                    </w:rPr>
                    <w:t>km</w:t>
                  </w:r>
                </w:p>
              </w:tc>
              <w:tc>
                <w:tcPr>
                  <w:tcW w:w="3419"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距上游</w:t>
                  </w:r>
                  <w:r>
                    <w:rPr>
                      <w:kern w:val="0"/>
                      <w:szCs w:val="21"/>
                    </w:rPr>
                    <w:t>东城镇饮用水水源地距离约</w:t>
                  </w:r>
                  <w:r>
                    <w:rPr>
                      <w:rFonts w:hint="eastAsia"/>
                      <w:kern w:val="0"/>
                      <w:szCs w:val="21"/>
                    </w:rPr>
                    <w:t>1.</w:t>
                  </w:r>
                  <w:r>
                    <w:rPr>
                      <w:kern w:val="0"/>
                      <w:szCs w:val="21"/>
                    </w:rPr>
                    <w:t>8km</w:t>
                  </w:r>
                </w:p>
              </w:tc>
            </w:tr>
            <w:tr>
              <w:tblPrEx>
                <w:tblLayout w:type="fixed"/>
                <w:tblCellMar>
                  <w:top w:w="0" w:type="dxa"/>
                  <w:left w:w="108" w:type="dxa"/>
                  <w:bottom w:w="0" w:type="dxa"/>
                  <w:right w:w="108" w:type="dxa"/>
                </w:tblCellMar>
              </w:tblPrEx>
              <w:trPr>
                <w:trHeight w:val="20" w:hRule="atLeast"/>
              </w:trPr>
              <w:tc>
                <w:tcPr>
                  <w:tcW w:w="633" w:type="dxa"/>
                  <w:vMerge w:val="continue"/>
                  <w:tcBorders>
                    <w:left w:val="single" w:color="auto" w:sz="4" w:space="0"/>
                    <w:right w:val="single" w:color="auto" w:sz="4" w:space="0"/>
                  </w:tcBorders>
                  <w:vAlign w:val="center"/>
                </w:tcPr>
                <w:p>
                  <w:pPr>
                    <w:widowControl/>
                    <w:jc w:val="center"/>
                    <w:rPr>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水文情势与水环境</w:t>
                  </w:r>
                </w:p>
              </w:tc>
              <w:tc>
                <w:tcPr>
                  <w:tcW w:w="3848"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本次工程建成后水库</w:t>
                  </w:r>
                  <w:r>
                    <w:rPr>
                      <w:kern w:val="0"/>
                      <w:szCs w:val="21"/>
                    </w:rPr>
                    <w:t>下泄水量</w:t>
                  </w:r>
                  <w:r>
                    <w:rPr>
                      <w:rFonts w:hint="eastAsia"/>
                      <w:kern w:val="0"/>
                      <w:szCs w:val="21"/>
                    </w:rPr>
                    <w:t>较</w:t>
                  </w:r>
                  <w:r>
                    <w:rPr>
                      <w:kern w:val="0"/>
                      <w:szCs w:val="21"/>
                    </w:rPr>
                    <w:t>现状年有所减少，</w:t>
                  </w:r>
                  <w:r>
                    <w:rPr>
                      <w:rFonts w:hint="eastAsia"/>
                      <w:kern w:val="0"/>
                      <w:szCs w:val="21"/>
                    </w:rPr>
                    <w:t>经</w:t>
                  </w:r>
                  <w:r>
                    <w:rPr>
                      <w:kern w:val="0"/>
                      <w:szCs w:val="21"/>
                    </w:rPr>
                    <w:t>水库</w:t>
                  </w:r>
                  <w:r>
                    <w:rPr>
                      <w:rFonts w:hint="eastAsia"/>
                      <w:kern w:val="0"/>
                      <w:szCs w:val="21"/>
                    </w:rPr>
                    <w:t>调蓄</w:t>
                  </w:r>
                  <w:r>
                    <w:rPr>
                      <w:kern w:val="0"/>
                      <w:szCs w:val="21"/>
                    </w:rPr>
                    <w:t>改善了水量年内分配不均的情况，</w:t>
                  </w:r>
                  <w:r>
                    <w:rPr>
                      <w:rFonts w:hint="eastAsia"/>
                      <w:kern w:val="0"/>
                      <w:szCs w:val="21"/>
                    </w:rPr>
                    <w:t>保证</w:t>
                  </w:r>
                  <w:r>
                    <w:rPr>
                      <w:kern w:val="0"/>
                      <w:szCs w:val="21"/>
                    </w:rPr>
                    <w:t>了生态水量的下泄</w:t>
                  </w:r>
                  <w:r>
                    <w:rPr>
                      <w:rFonts w:hint="eastAsia"/>
                      <w:kern w:val="0"/>
                      <w:szCs w:val="21"/>
                    </w:rPr>
                    <w:t>；水库水温</w:t>
                  </w:r>
                  <w:r>
                    <w:rPr>
                      <w:kern w:val="0"/>
                      <w:szCs w:val="21"/>
                    </w:rPr>
                    <w:t>为稳定分层型，</w:t>
                  </w:r>
                  <w:r>
                    <w:rPr>
                      <w:rFonts w:hint="eastAsia"/>
                      <w:kern w:val="0"/>
                      <w:szCs w:val="21"/>
                    </w:rPr>
                    <w:t>建成后对水温</w:t>
                  </w:r>
                  <w:r>
                    <w:rPr>
                      <w:kern w:val="0"/>
                      <w:szCs w:val="21"/>
                    </w:rPr>
                    <w:t>有一定影响但不会形成低温水下泄</w:t>
                  </w:r>
                  <w:r>
                    <w:rPr>
                      <w:rFonts w:hint="eastAsia"/>
                      <w:kern w:val="0"/>
                      <w:szCs w:val="21"/>
                    </w:rPr>
                    <w:t>，对水质影响较小。</w:t>
                  </w:r>
                </w:p>
              </w:tc>
              <w:tc>
                <w:tcPr>
                  <w:tcW w:w="3419"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与上坝址相同</w:t>
                  </w:r>
                </w:p>
              </w:tc>
            </w:tr>
            <w:tr>
              <w:tblPrEx>
                <w:tblLayout w:type="fixed"/>
                <w:tblCellMar>
                  <w:top w:w="0" w:type="dxa"/>
                  <w:left w:w="108" w:type="dxa"/>
                  <w:bottom w:w="0" w:type="dxa"/>
                  <w:right w:w="108" w:type="dxa"/>
                </w:tblCellMar>
              </w:tblPrEx>
              <w:trPr>
                <w:trHeight w:val="20" w:hRule="atLeast"/>
              </w:trPr>
              <w:tc>
                <w:tcPr>
                  <w:tcW w:w="633" w:type="dxa"/>
                  <w:vMerge w:val="continue"/>
                  <w:tcBorders>
                    <w:left w:val="single" w:color="auto" w:sz="4" w:space="0"/>
                    <w:right w:val="single" w:color="auto" w:sz="4" w:space="0"/>
                  </w:tcBorders>
                  <w:vAlign w:val="center"/>
                </w:tcPr>
                <w:p>
                  <w:pPr>
                    <w:widowControl/>
                    <w:jc w:val="center"/>
                    <w:rPr>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陆生生态影响</w:t>
                  </w:r>
                </w:p>
              </w:tc>
              <w:tc>
                <w:tcPr>
                  <w:tcW w:w="3848"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陆生生态影响主要表现为占地扰动造成的植被损失，区域地表植被分布稀疏，以荒漠植被为主，盖度1</w:t>
                  </w:r>
                  <w:r>
                    <w:rPr>
                      <w:kern w:val="0"/>
                      <w:szCs w:val="21"/>
                    </w:rPr>
                    <w:t>0</w:t>
                  </w:r>
                  <w:r>
                    <w:rPr>
                      <w:rFonts w:hint="eastAsia"/>
                      <w:kern w:val="0"/>
                      <w:szCs w:val="21"/>
                    </w:rPr>
                    <w:t>%～30</w:t>
                  </w:r>
                  <w:r>
                    <w:rPr>
                      <w:kern w:val="0"/>
                      <w:szCs w:val="21"/>
                    </w:rPr>
                    <w:t>%</w:t>
                  </w:r>
                  <w:r>
                    <w:rPr>
                      <w:rFonts w:hint="eastAsia"/>
                      <w:kern w:val="0"/>
                      <w:szCs w:val="21"/>
                    </w:rPr>
                    <w:t>，无保护植物分布，临时占地通过水土保持措施等恢复，总体影响不大，周边类似生境分布广泛，不会对野生动物栖息产生明显不利影响。</w:t>
                  </w:r>
                </w:p>
              </w:tc>
              <w:tc>
                <w:tcPr>
                  <w:tcW w:w="3419"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基本同上坝址。</w:t>
                  </w:r>
                </w:p>
              </w:tc>
            </w:tr>
            <w:tr>
              <w:tblPrEx>
                <w:tblLayout w:type="fixed"/>
                <w:tblCellMar>
                  <w:top w:w="0" w:type="dxa"/>
                  <w:left w:w="108" w:type="dxa"/>
                  <w:bottom w:w="0" w:type="dxa"/>
                  <w:right w:w="108" w:type="dxa"/>
                </w:tblCellMar>
              </w:tblPrEx>
              <w:trPr>
                <w:trHeight w:val="20" w:hRule="atLeast"/>
              </w:trPr>
              <w:tc>
                <w:tcPr>
                  <w:tcW w:w="633" w:type="dxa"/>
                  <w:vMerge w:val="continue"/>
                  <w:tcBorders>
                    <w:left w:val="single" w:color="auto" w:sz="4" w:space="0"/>
                    <w:right w:val="single" w:color="auto" w:sz="4" w:space="0"/>
                  </w:tcBorders>
                  <w:vAlign w:val="center"/>
                </w:tcPr>
                <w:p>
                  <w:pPr>
                    <w:widowControl/>
                    <w:jc w:val="center"/>
                    <w:rPr>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水生生态</w:t>
                  </w:r>
                </w:p>
              </w:tc>
              <w:tc>
                <w:tcPr>
                  <w:tcW w:w="3848"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水生生态影响主要表现为大坝阻隔造成的上下游鱼类种质交流受阻、库区和坝下水文情势变化引起的鱼类种类分布及资源量变化。</w:t>
                  </w:r>
                </w:p>
              </w:tc>
              <w:tc>
                <w:tcPr>
                  <w:tcW w:w="3419"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基本同上坝址。</w:t>
                  </w:r>
                </w:p>
              </w:tc>
            </w:tr>
            <w:tr>
              <w:tblPrEx>
                <w:tblLayout w:type="fixed"/>
                <w:tblCellMar>
                  <w:top w:w="0" w:type="dxa"/>
                  <w:left w:w="108" w:type="dxa"/>
                  <w:bottom w:w="0" w:type="dxa"/>
                  <w:right w:w="108" w:type="dxa"/>
                </w:tblCellMar>
              </w:tblPrEx>
              <w:trPr>
                <w:trHeight w:val="20" w:hRule="atLeast"/>
              </w:trPr>
              <w:tc>
                <w:tcPr>
                  <w:tcW w:w="633" w:type="dxa"/>
                  <w:vMerge w:val="continue"/>
                  <w:tcBorders>
                    <w:left w:val="single" w:color="auto" w:sz="4" w:space="0"/>
                    <w:bottom w:val="single" w:color="auto" w:sz="4" w:space="0"/>
                    <w:right w:val="single" w:color="auto" w:sz="4" w:space="0"/>
                  </w:tcBorders>
                  <w:vAlign w:val="center"/>
                </w:tcPr>
                <w:p>
                  <w:pPr>
                    <w:widowControl/>
                    <w:jc w:val="center"/>
                    <w:rPr>
                      <w:kern w:val="0"/>
                      <w:szCs w:val="21"/>
                    </w:rPr>
                  </w:pPr>
                </w:p>
              </w:tc>
              <w:tc>
                <w:tcPr>
                  <w:tcW w:w="700"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水土保持</w:t>
                  </w:r>
                </w:p>
              </w:tc>
              <w:tc>
                <w:tcPr>
                  <w:tcW w:w="3848"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扰动地表面积</w:t>
                  </w:r>
                  <w:r>
                    <w:rPr>
                      <w:kern w:val="0"/>
                      <w:szCs w:val="21"/>
                    </w:rPr>
                    <w:t>61.92</w:t>
                  </w:r>
                  <w:r>
                    <w:rPr>
                      <w:rFonts w:hint="eastAsia"/>
                      <w:kern w:val="0"/>
                      <w:szCs w:val="21"/>
                    </w:rPr>
                    <w:t>hm</w:t>
                  </w:r>
                  <w:r>
                    <w:rPr>
                      <w:rFonts w:hint="eastAsia"/>
                      <w:kern w:val="0"/>
                      <w:szCs w:val="21"/>
                      <w:vertAlign w:val="superscript"/>
                    </w:rPr>
                    <w:t>2</w:t>
                  </w:r>
                  <w:r>
                    <w:rPr>
                      <w:rFonts w:hint="eastAsia"/>
                      <w:kern w:val="0"/>
                      <w:szCs w:val="21"/>
                    </w:rPr>
                    <w:t>，挖方</w:t>
                  </w:r>
                  <w:r>
                    <w:rPr>
                      <w:kern w:val="0"/>
                      <w:szCs w:val="21"/>
                    </w:rPr>
                    <w:t>88.12</w:t>
                  </w:r>
                  <w:r>
                    <w:rPr>
                      <w:rFonts w:hint="eastAsia"/>
                      <w:kern w:val="0"/>
                      <w:szCs w:val="21"/>
                    </w:rPr>
                    <w:t>万m</w:t>
                  </w:r>
                  <w:r>
                    <w:rPr>
                      <w:rFonts w:hint="eastAsia"/>
                      <w:kern w:val="0"/>
                      <w:szCs w:val="21"/>
                      <w:vertAlign w:val="superscript"/>
                    </w:rPr>
                    <w:t>3</w:t>
                  </w:r>
                  <w:r>
                    <w:rPr>
                      <w:rFonts w:hint="eastAsia"/>
                      <w:kern w:val="0"/>
                      <w:szCs w:val="21"/>
                    </w:rPr>
                    <w:t>，弃渣</w:t>
                  </w:r>
                  <w:r>
                    <w:rPr>
                      <w:kern w:val="0"/>
                      <w:szCs w:val="21"/>
                    </w:rPr>
                    <w:t>71.47</w:t>
                  </w:r>
                  <w:r>
                    <w:rPr>
                      <w:rFonts w:hint="eastAsia"/>
                      <w:kern w:val="0"/>
                      <w:szCs w:val="21"/>
                    </w:rPr>
                    <w:t>万m</w:t>
                  </w:r>
                  <w:r>
                    <w:rPr>
                      <w:rFonts w:hint="eastAsia"/>
                      <w:kern w:val="0"/>
                      <w:szCs w:val="21"/>
                      <w:vertAlign w:val="superscript"/>
                    </w:rPr>
                    <w:t>3</w:t>
                  </w:r>
                  <w:r>
                    <w:rPr>
                      <w:rFonts w:hint="eastAsia"/>
                      <w:kern w:val="0"/>
                      <w:szCs w:val="21"/>
                    </w:rPr>
                    <w:t>，可能造成的水土流失量</w:t>
                  </w:r>
                  <w:r>
                    <w:rPr>
                      <w:kern w:val="0"/>
                      <w:szCs w:val="21"/>
                    </w:rPr>
                    <w:t>4773.02</w:t>
                  </w:r>
                  <w:r>
                    <w:rPr>
                      <w:rFonts w:hint="eastAsia"/>
                      <w:kern w:val="0"/>
                      <w:szCs w:val="21"/>
                    </w:rPr>
                    <w:t>t。</w:t>
                  </w:r>
                </w:p>
              </w:tc>
              <w:tc>
                <w:tcPr>
                  <w:tcW w:w="3419" w:type="dxa"/>
                  <w:tcBorders>
                    <w:top w:val="nil"/>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扰动地表面积</w:t>
                  </w:r>
                  <w:r>
                    <w:rPr>
                      <w:kern w:val="0"/>
                      <w:szCs w:val="21"/>
                    </w:rPr>
                    <w:t>65.82</w:t>
                  </w:r>
                  <w:r>
                    <w:rPr>
                      <w:rFonts w:hint="eastAsia"/>
                      <w:kern w:val="0"/>
                      <w:szCs w:val="21"/>
                    </w:rPr>
                    <w:t>hm</w:t>
                  </w:r>
                  <w:r>
                    <w:rPr>
                      <w:rFonts w:hint="eastAsia"/>
                      <w:kern w:val="0"/>
                      <w:szCs w:val="21"/>
                      <w:vertAlign w:val="superscript"/>
                    </w:rPr>
                    <w:t>2</w:t>
                  </w:r>
                  <w:r>
                    <w:rPr>
                      <w:rFonts w:hint="eastAsia"/>
                      <w:kern w:val="0"/>
                      <w:szCs w:val="21"/>
                    </w:rPr>
                    <w:t>，挖方</w:t>
                  </w:r>
                  <w:r>
                    <w:rPr>
                      <w:kern w:val="0"/>
                      <w:szCs w:val="21"/>
                    </w:rPr>
                    <w:t>90.55</w:t>
                  </w:r>
                  <w:r>
                    <w:rPr>
                      <w:rFonts w:hint="eastAsia"/>
                      <w:kern w:val="0"/>
                      <w:szCs w:val="21"/>
                    </w:rPr>
                    <w:t>万m</w:t>
                  </w:r>
                  <w:r>
                    <w:rPr>
                      <w:rFonts w:hint="eastAsia"/>
                      <w:kern w:val="0"/>
                      <w:szCs w:val="21"/>
                      <w:vertAlign w:val="superscript"/>
                    </w:rPr>
                    <w:t>3</w:t>
                  </w:r>
                  <w:r>
                    <w:rPr>
                      <w:rFonts w:hint="eastAsia"/>
                      <w:kern w:val="0"/>
                      <w:szCs w:val="21"/>
                    </w:rPr>
                    <w:t>，弃渣</w:t>
                  </w:r>
                  <w:r>
                    <w:rPr>
                      <w:kern w:val="0"/>
                      <w:szCs w:val="21"/>
                    </w:rPr>
                    <w:t>78.34</w:t>
                  </w:r>
                  <w:r>
                    <w:rPr>
                      <w:rFonts w:hint="eastAsia"/>
                      <w:kern w:val="0"/>
                      <w:szCs w:val="21"/>
                    </w:rPr>
                    <w:t>万m</w:t>
                  </w:r>
                  <w:r>
                    <w:rPr>
                      <w:rFonts w:hint="eastAsia"/>
                      <w:kern w:val="0"/>
                      <w:szCs w:val="21"/>
                      <w:vertAlign w:val="superscript"/>
                    </w:rPr>
                    <w:t>3</w:t>
                  </w:r>
                  <w:r>
                    <w:rPr>
                      <w:rFonts w:hint="eastAsia"/>
                      <w:kern w:val="0"/>
                      <w:szCs w:val="21"/>
                    </w:rPr>
                    <w:t>，可能造成的水土流失量</w:t>
                  </w:r>
                  <w:r>
                    <w:rPr>
                      <w:kern w:val="0"/>
                      <w:szCs w:val="21"/>
                    </w:rPr>
                    <w:t>5280</w:t>
                  </w:r>
                  <w:r>
                    <w:rPr>
                      <w:rFonts w:hint="eastAsia"/>
                      <w:kern w:val="0"/>
                      <w:szCs w:val="21"/>
                    </w:rPr>
                    <w:t>t。</w:t>
                  </w:r>
                </w:p>
              </w:tc>
            </w:tr>
            <w:tr>
              <w:tblPrEx>
                <w:tblLayout w:type="fixed"/>
                <w:tblCellMar>
                  <w:top w:w="0" w:type="dxa"/>
                  <w:left w:w="108" w:type="dxa"/>
                  <w:bottom w:w="0" w:type="dxa"/>
                  <w:right w:w="108" w:type="dxa"/>
                </w:tblCellMar>
              </w:tblPrEx>
              <w:trPr>
                <w:trHeight w:val="20" w:hRule="atLeast"/>
              </w:trPr>
              <w:tc>
                <w:tcPr>
                  <w:tcW w:w="1333"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环境影响比选结果</w:t>
                  </w:r>
                </w:p>
              </w:tc>
              <w:tc>
                <w:tcPr>
                  <w:tcW w:w="7267" w:type="dxa"/>
                  <w:gridSpan w:val="2"/>
                  <w:tcBorders>
                    <w:top w:val="single" w:color="auto" w:sz="4" w:space="0"/>
                    <w:left w:val="nil"/>
                    <w:bottom w:val="single" w:color="auto" w:sz="4" w:space="0"/>
                    <w:right w:val="single" w:color="auto" w:sz="4" w:space="0"/>
                  </w:tcBorders>
                  <w:shd w:val="clear" w:color="auto" w:fill="auto"/>
                  <w:vAlign w:val="center"/>
                </w:tcPr>
                <w:p>
                  <w:pPr>
                    <w:widowControl/>
                    <w:rPr>
                      <w:kern w:val="0"/>
                      <w:szCs w:val="21"/>
                    </w:rPr>
                  </w:pPr>
                  <w:r>
                    <w:rPr>
                      <w:rFonts w:hint="eastAsia"/>
                      <w:kern w:val="0"/>
                      <w:szCs w:val="21"/>
                    </w:rPr>
                    <w:t>从环境角度分析，两个坝址方案对河流水文情势、水环境和生态环境的影响特征及性质相似，主要表现为水库淹没和工程占地对植物造成的一次性破坏、生物量损失，以及对陆生动物栖息地的占用、新增水土流失等。各方案均可通过采取临时占地恢复、水土保持措施等环境保护措施缓解不利影响。综上，两个方案环境影响差异不明显，</w:t>
                  </w:r>
                  <w:r>
                    <w:rPr>
                      <w:kern w:val="0"/>
                      <w:szCs w:val="21"/>
                    </w:rPr>
                    <w:t>均无环境制约因素</w:t>
                  </w:r>
                  <w:r>
                    <w:rPr>
                      <w:rFonts w:hint="eastAsia"/>
                      <w:kern w:val="0"/>
                      <w:szCs w:val="21"/>
                    </w:rPr>
                    <w:t>，但上坝址方案涉及</w:t>
                  </w:r>
                  <w:r>
                    <w:rPr>
                      <w:kern w:val="0"/>
                      <w:szCs w:val="21"/>
                    </w:rPr>
                    <w:t>生产安置及搬迁人数较少</w:t>
                  </w:r>
                  <w:r>
                    <w:rPr>
                      <w:rFonts w:hint="eastAsia"/>
                      <w:kern w:val="0"/>
                      <w:szCs w:val="21"/>
                    </w:rPr>
                    <w:t>，</w:t>
                  </w:r>
                  <w:r>
                    <w:rPr>
                      <w:kern w:val="0"/>
                      <w:szCs w:val="21"/>
                    </w:rPr>
                    <w:t>永久占地面积较小</w:t>
                  </w:r>
                  <w:r>
                    <w:rPr>
                      <w:rFonts w:hint="eastAsia"/>
                      <w:kern w:val="0"/>
                      <w:szCs w:val="21"/>
                    </w:rPr>
                    <w:t>，对环境造成的不利影响相对较小，故同意主体设计推荐上坝址方案。</w:t>
                  </w:r>
                </w:p>
              </w:tc>
            </w:tr>
          </w:tbl>
          <w:p>
            <w:pPr>
              <w:spacing w:line="360" w:lineRule="auto"/>
              <w:rPr>
                <w:sz w:val="18"/>
                <w:szCs w:val="18"/>
              </w:rPr>
            </w:pPr>
          </w:p>
          <w:p>
            <w:pPr>
              <w:adjustRightInd w:val="0"/>
              <w:snapToGrid w:val="0"/>
              <w:spacing w:line="360" w:lineRule="auto"/>
              <w:rPr>
                <w:b/>
                <w:bCs/>
                <w:sz w:val="24"/>
              </w:rPr>
            </w:pPr>
            <w:r>
              <w:rPr>
                <w:rFonts w:hint="eastAsia"/>
                <w:b/>
                <w:bCs/>
                <w:sz w:val="24"/>
              </w:rPr>
              <w:t>二、施工总布置环境合理性分析</w:t>
            </w:r>
          </w:p>
          <w:p>
            <w:pPr>
              <w:pStyle w:val="60"/>
              <w:ind w:firstLine="480"/>
              <w:rPr>
                <w:color w:val="auto"/>
              </w:rPr>
            </w:pPr>
            <w:r>
              <w:rPr>
                <w:rFonts w:hint="eastAsia"/>
                <w:color w:val="auto"/>
              </w:rPr>
              <w:t>工程区位于东城河中游</w:t>
            </w:r>
            <w:r>
              <w:rPr>
                <w:color w:val="auto"/>
              </w:rPr>
              <w:t>低山区，</w:t>
            </w:r>
            <w:r>
              <w:rPr>
                <w:rFonts w:hint="eastAsia"/>
                <w:color w:val="auto"/>
              </w:rPr>
              <w:t>库区范围内河谷两岸呈不对称的“U”型河谷，自南向北库区河谷逐渐变宽，谷底宽40</w:t>
            </w:r>
            <w:r>
              <w:rPr>
                <w:color w:val="auto"/>
              </w:rPr>
              <w:t>m</w:t>
            </w:r>
            <w:r>
              <w:rPr>
                <w:rFonts w:hint="eastAsia"/>
                <w:color w:val="auto"/>
              </w:rPr>
              <w:t>～110m</w:t>
            </w:r>
            <w:r>
              <w:rPr>
                <w:color w:val="auto"/>
              </w:rPr>
              <w:t>。根据工程总体布置和所处区</w:t>
            </w:r>
            <w:r>
              <w:rPr>
                <w:rFonts w:hint="eastAsia"/>
                <w:color w:val="auto"/>
              </w:rPr>
              <w:t>域</w:t>
            </w:r>
            <w:r>
              <w:rPr>
                <w:color w:val="auto"/>
              </w:rPr>
              <w:t>环境特点，从便于生产生活、易于管理、减少施工工程量的角度出发，工程施工生产生活设施采取分散与集中</w:t>
            </w:r>
            <w:r>
              <w:rPr>
                <w:rFonts w:hint="eastAsia"/>
                <w:color w:val="auto"/>
              </w:rPr>
              <w:t>相结合</w:t>
            </w:r>
            <w:r>
              <w:rPr>
                <w:color w:val="auto"/>
              </w:rPr>
              <w:t>的布置形式。根据工程所处地形条件、交通条件和料场分布及工程条件，结合各工作面分布，将工程划分为</w:t>
            </w:r>
            <w:r>
              <w:rPr>
                <w:rFonts w:hint="eastAsia"/>
                <w:color w:val="auto"/>
              </w:rPr>
              <w:t>枢纽主体</w:t>
            </w:r>
            <w:r>
              <w:rPr>
                <w:color w:val="auto"/>
              </w:rPr>
              <w:t>工程施工区、施工生</w:t>
            </w:r>
            <w:r>
              <w:rPr>
                <w:rFonts w:hint="eastAsia"/>
                <w:color w:val="auto"/>
              </w:rPr>
              <w:t>活</w:t>
            </w:r>
            <w:r>
              <w:rPr>
                <w:color w:val="auto"/>
              </w:rPr>
              <w:t>生产区、天然建筑料场开采区、</w:t>
            </w:r>
            <w:r>
              <w:rPr>
                <w:rFonts w:hint="eastAsia"/>
                <w:color w:val="auto"/>
              </w:rPr>
              <w:t>弃渣</w:t>
            </w:r>
            <w:r>
              <w:rPr>
                <w:color w:val="auto"/>
              </w:rPr>
              <w:t>区等。施工风、水、电供应</w:t>
            </w:r>
            <w:r>
              <w:rPr>
                <w:rFonts w:hint="eastAsia"/>
                <w:color w:val="auto"/>
              </w:rPr>
              <w:t>系统</w:t>
            </w:r>
            <w:r>
              <w:rPr>
                <w:color w:val="auto"/>
              </w:rPr>
              <w:t>，交通道路围绕上述分区布置。</w:t>
            </w:r>
          </w:p>
          <w:p>
            <w:pPr>
              <w:spacing w:line="360" w:lineRule="auto"/>
              <w:ind w:firstLine="480" w:firstLineChars="200"/>
              <w:rPr>
                <w:kern w:val="0"/>
                <w:sz w:val="24"/>
              </w:rPr>
            </w:pPr>
            <w:r>
              <w:rPr>
                <w:sz w:val="24"/>
              </w:rPr>
              <w:t>工程施工生产生活设施临时占地33.17hm</w:t>
            </w:r>
            <w:r>
              <w:rPr>
                <w:sz w:val="24"/>
                <w:vertAlign w:val="superscript"/>
              </w:rPr>
              <w:t>2</w:t>
            </w:r>
            <w:r>
              <w:rPr>
                <w:sz w:val="24"/>
              </w:rPr>
              <w:t>，占地范围</w:t>
            </w:r>
            <w:r>
              <w:rPr>
                <w:rFonts w:hint="eastAsia"/>
                <w:sz w:val="24"/>
              </w:rPr>
              <w:t>内</w:t>
            </w:r>
            <w:r>
              <w:rPr>
                <w:sz w:val="24"/>
              </w:rPr>
              <w:t>有</w:t>
            </w:r>
            <w:r>
              <w:rPr>
                <w:rFonts w:hint="eastAsia"/>
                <w:sz w:val="24"/>
              </w:rPr>
              <w:t>草地（天然</w:t>
            </w:r>
            <w:r>
              <w:rPr>
                <w:sz w:val="24"/>
              </w:rPr>
              <w:t>牧草地：二等1级</w:t>
            </w:r>
            <w:r>
              <w:rPr>
                <w:rFonts w:hint="eastAsia"/>
                <w:sz w:val="24"/>
              </w:rPr>
              <w:t>）、</w:t>
            </w:r>
            <w:r>
              <w:rPr>
                <w:sz w:val="24"/>
              </w:rPr>
              <w:t>耕地（</w:t>
            </w:r>
            <w:r>
              <w:rPr>
                <w:rFonts w:hint="eastAsia"/>
                <w:sz w:val="24"/>
              </w:rPr>
              <w:t>非</w:t>
            </w:r>
            <w:r>
              <w:rPr>
                <w:sz w:val="24"/>
              </w:rPr>
              <w:t>基本农田）</w:t>
            </w:r>
            <w:r>
              <w:rPr>
                <w:rFonts w:hint="eastAsia"/>
                <w:sz w:val="24"/>
              </w:rPr>
              <w:t>、</w:t>
            </w:r>
            <w:r>
              <w:rPr>
                <w:sz w:val="24"/>
              </w:rPr>
              <w:t>林地（</w:t>
            </w:r>
            <w:r>
              <w:rPr>
                <w:rFonts w:hint="eastAsia"/>
                <w:sz w:val="24"/>
              </w:rPr>
              <w:t>灌木林地</w:t>
            </w:r>
            <w:r>
              <w:rPr>
                <w:sz w:val="24"/>
              </w:rPr>
              <w:t>），</w:t>
            </w:r>
            <w:r>
              <w:rPr>
                <w:rFonts w:hint="eastAsia"/>
                <w:sz w:val="24"/>
              </w:rPr>
              <w:t>覆盖度约</w:t>
            </w:r>
            <w:r>
              <w:rPr>
                <w:sz w:val="24"/>
              </w:rPr>
              <w:t>20%</w:t>
            </w:r>
            <w:r>
              <w:rPr>
                <w:rFonts w:hint="eastAsia"/>
                <w:sz w:val="24"/>
              </w:rPr>
              <w:t>，</w:t>
            </w:r>
            <w:r>
              <w:rPr>
                <w:sz w:val="24"/>
              </w:rPr>
              <w:t>占地造成的生物量损失较小；占地区未发现保护动植物分布，未见鸟类营巢，未见大型兽类栖息活动，仅偶见小型爬行类活动，由于此类动物适生生境分布广泛，施工活动不会对其生存栖息产生明显不利影响。</w:t>
            </w:r>
          </w:p>
          <w:p>
            <w:pPr>
              <w:autoSpaceDE w:val="0"/>
              <w:autoSpaceDN w:val="0"/>
              <w:adjustRightInd w:val="0"/>
              <w:spacing w:line="360" w:lineRule="auto"/>
              <w:ind w:firstLine="480" w:firstLineChars="200"/>
              <w:rPr>
                <w:kern w:val="0"/>
                <w:sz w:val="24"/>
              </w:rPr>
            </w:pPr>
            <w:r>
              <w:rPr>
                <w:sz w:val="24"/>
              </w:rPr>
              <w:t>根据施工需要，本工程共布设1处砂石料加工系统、1座</w:t>
            </w:r>
            <w:r>
              <w:rPr>
                <w:rFonts w:hint="eastAsia"/>
                <w:sz w:val="24"/>
              </w:rPr>
              <w:t>普通</w:t>
            </w:r>
            <w:r>
              <w:rPr>
                <w:sz w:val="24"/>
              </w:rPr>
              <w:t>混凝土拌和系统</w:t>
            </w:r>
            <w:r>
              <w:rPr>
                <w:rFonts w:hint="eastAsia"/>
                <w:sz w:val="24"/>
              </w:rPr>
              <w:t>、1座</w:t>
            </w:r>
            <w:r>
              <w:rPr>
                <w:sz w:val="24"/>
              </w:rPr>
              <w:t>沥青混凝土拌和系统、1座机械</w:t>
            </w:r>
            <w:r>
              <w:rPr>
                <w:rFonts w:hint="eastAsia"/>
                <w:sz w:val="24"/>
              </w:rPr>
              <w:t>修配</w:t>
            </w:r>
            <w:r>
              <w:rPr>
                <w:sz w:val="24"/>
              </w:rPr>
              <w:t>保养站、1处临时生活区。工程施工高峰期全员人数高达337人，</w:t>
            </w:r>
            <w:r>
              <w:rPr>
                <w:rFonts w:hint="eastAsia"/>
                <w:sz w:val="24"/>
              </w:rPr>
              <w:t>临时生活区</w:t>
            </w:r>
            <w:r>
              <w:rPr>
                <w:sz w:val="24"/>
              </w:rPr>
              <w:t>集中布置于1处，位于</w:t>
            </w:r>
            <w:r>
              <w:rPr>
                <w:rFonts w:hint="eastAsia"/>
                <w:sz w:val="24"/>
              </w:rPr>
              <w:t>坝址</w:t>
            </w:r>
            <w:r>
              <w:rPr>
                <w:sz w:val="24"/>
              </w:rPr>
              <w:t>下游左岸台地上。</w:t>
            </w:r>
            <w:r>
              <w:rPr>
                <w:rFonts w:hint="eastAsia"/>
                <w:sz w:val="24"/>
              </w:rPr>
              <w:t>各项施工布置无制约因素，</w:t>
            </w:r>
            <w:r>
              <w:rPr>
                <w:kern w:val="0"/>
                <w:sz w:val="24"/>
              </w:rPr>
              <w:t>集中布置可减少施工临时占地面积，便于后期迹地恢复，又可方便废水及固体废物的集中收集和处理。</w:t>
            </w:r>
          </w:p>
          <w:p>
            <w:pPr>
              <w:autoSpaceDE w:val="0"/>
              <w:autoSpaceDN w:val="0"/>
              <w:adjustRightInd w:val="0"/>
              <w:spacing w:line="360" w:lineRule="auto"/>
              <w:ind w:firstLine="480" w:firstLineChars="200"/>
              <w:rPr>
                <w:sz w:val="24"/>
              </w:rPr>
            </w:pPr>
            <w:r>
              <w:rPr>
                <w:sz w:val="24"/>
              </w:rPr>
              <w:t>综上分析，本工程施工布置尽可能考虑了环境保护的需要，</w:t>
            </w:r>
            <w:r>
              <w:rPr>
                <w:rFonts w:hint="eastAsia"/>
                <w:sz w:val="24"/>
              </w:rPr>
              <w:t>不存在环境制约因素，</w:t>
            </w:r>
            <w:r>
              <w:rPr>
                <w:sz w:val="24"/>
              </w:rPr>
              <w:t>本次评价提出砂石料加工</w:t>
            </w:r>
            <w:r>
              <w:rPr>
                <w:rFonts w:hint="eastAsia"/>
                <w:sz w:val="24"/>
              </w:rPr>
              <w:t>系统</w:t>
            </w:r>
            <w:r>
              <w:rPr>
                <w:sz w:val="24"/>
              </w:rPr>
              <w:t>废水、混凝土拌和站系统废水</w:t>
            </w:r>
            <w:r>
              <w:rPr>
                <w:rFonts w:hint="eastAsia"/>
                <w:sz w:val="24"/>
              </w:rPr>
              <w:t>、含油废水</w:t>
            </w:r>
            <w:r>
              <w:rPr>
                <w:sz w:val="24"/>
              </w:rPr>
              <w:t>达标处理后回用于生产，生活污水达标处理后用于工程区绿化、施工道路洒水降尘，均不得入</w:t>
            </w:r>
            <w:r>
              <w:rPr>
                <w:rFonts w:hint="eastAsia"/>
                <w:sz w:val="24"/>
              </w:rPr>
              <w:t>地表水体</w:t>
            </w:r>
            <w:r>
              <w:rPr>
                <w:sz w:val="24"/>
              </w:rPr>
              <w:t>；并要加强施工人员教育、严格管理、建立惩罚制度，确保不对工程附近水体产生不良影响。在采取相应保护措施的前提下，本工程施工布置基本合理。</w:t>
            </w:r>
          </w:p>
          <w:p>
            <w:pPr>
              <w:adjustRightInd w:val="0"/>
              <w:snapToGrid w:val="0"/>
              <w:spacing w:line="360" w:lineRule="auto"/>
              <w:rPr>
                <w:b/>
                <w:bCs/>
                <w:sz w:val="24"/>
              </w:rPr>
            </w:pPr>
            <w:r>
              <w:rPr>
                <w:rFonts w:hint="eastAsia"/>
                <w:b/>
                <w:bCs/>
                <w:sz w:val="24"/>
              </w:rPr>
              <w:t>三、料场选址合理性分析</w:t>
            </w:r>
          </w:p>
          <w:p>
            <w:pPr>
              <w:autoSpaceDE w:val="0"/>
              <w:autoSpaceDN w:val="0"/>
              <w:adjustRightInd w:val="0"/>
              <w:spacing w:line="360" w:lineRule="auto"/>
              <w:ind w:firstLine="480" w:firstLineChars="200"/>
              <w:rPr>
                <w:sz w:val="24"/>
              </w:rPr>
            </w:pPr>
            <w:r>
              <w:rPr>
                <w:rFonts w:hint="eastAsia"/>
                <w:sz w:val="24"/>
              </w:rPr>
              <w:t>本工程天然建筑料场开采区主要为C1-1、C3砂砾石料场和T1土料场等。根据勘探料场分布和主要特性，本工程砂砾石填筑料由C1-1及C3砂砾石料场提供，全部工程普通砼骨料及垫层过度料由C3砂砾石料场筛分获得。其中C1-1料场位于上游河道中，其储量</w:t>
            </w:r>
            <w:r>
              <w:rPr>
                <w:sz w:val="24"/>
              </w:rPr>
              <w:t>24.3</w:t>
            </w:r>
            <w:r>
              <w:rPr>
                <w:rFonts w:hint="eastAsia"/>
                <w:sz w:val="24"/>
              </w:rPr>
              <w:t>万m</w:t>
            </w:r>
            <w:r>
              <w:rPr>
                <w:rFonts w:hint="eastAsia"/>
                <w:sz w:val="24"/>
                <w:vertAlign w:val="superscript"/>
              </w:rPr>
              <w:t>3</w:t>
            </w:r>
            <w:r>
              <w:rPr>
                <w:rFonts w:hint="eastAsia"/>
                <w:sz w:val="24"/>
              </w:rPr>
              <w:t>，运距</w:t>
            </w:r>
            <w:r>
              <w:rPr>
                <w:sz w:val="24"/>
              </w:rPr>
              <w:t>0.8</w:t>
            </w:r>
            <w:r>
              <w:rPr>
                <w:rFonts w:hint="eastAsia"/>
                <w:sz w:val="24"/>
              </w:rPr>
              <w:t>km；C3砂砾料位于水库下游东城口加油站东北侧咬牙沟岸坡，其储量</w:t>
            </w:r>
            <w:r>
              <w:rPr>
                <w:sz w:val="24"/>
              </w:rPr>
              <w:t>100</w:t>
            </w:r>
            <w:r>
              <w:rPr>
                <w:rFonts w:hint="eastAsia"/>
                <w:sz w:val="24"/>
              </w:rPr>
              <w:t>万m</w:t>
            </w:r>
            <w:r>
              <w:rPr>
                <w:rFonts w:hint="eastAsia"/>
                <w:sz w:val="24"/>
                <w:vertAlign w:val="superscript"/>
              </w:rPr>
              <w:t>3</w:t>
            </w:r>
            <w:r>
              <w:rPr>
                <w:rFonts w:hint="eastAsia"/>
                <w:sz w:val="24"/>
              </w:rPr>
              <w:t>，运距12.0km；T1土料场位于坝址左岸山坡之上，需修筑到料场的道路进行开采，其储量</w:t>
            </w:r>
            <w:r>
              <w:rPr>
                <w:sz w:val="24"/>
              </w:rPr>
              <w:t>54</w:t>
            </w:r>
            <w:r>
              <w:rPr>
                <w:rFonts w:hint="eastAsia"/>
                <w:sz w:val="24"/>
              </w:rPr>
              <w:t>万m</w:t>
            </w:r>
            <w:r>
              <w:rPr>
                <w:rFonts w:hint="eastAsia"/>
                <w:sz w:val="24"/>
                <w:vertAlign w:val="superscript"/>
              </w:rPr>
              <w:t>3</w:t>
            </w:r>
            <w:r>
              <w:rPr>
                <w:rFonts w:hint="eastAsia"/>
                <w:sz w:val="24"/>
              </w:rPr>
              <w:t>，运距1.0km。</w:t>
            </w:r>
          </w:p>
          <w:p>
            <w:pPr>
              <w:autoSpaceDE w:val="0"/>
              <w:autoSpaceDN w:val="0"/>
              <w:adjustRightInd w:val="0"/>
              <w:spacing w:line="360" w:lineRule="auto"/>
              <w:ind w:firstLine="480" w:firstLineChars="200"/>
              <w:rPr>
                <w:sz w:val="24"/>
              </w:rPr>
            </w:pPr>
            <w:r>
              <w:rPr>
                <w:rFonts w:hint="eastAsia"/>
                <w:sz w:val="24"/>
              </w:rPr>
              <w:t>料场</w:t>
            </w:r>
            <w:r>
              <w:rPr>
                <w:sz w:val="24"/>
              </w:rPr>
              <w:t>环境合理性分析见表10。</w:t>
            </w:r>
          </w:p>
          <w:p>
            <w:pPr>
              <w:jc w:val="left"/>
              <w:rPr>
                <w:rFonts w:ascii="黑体" w:hAnsi="黑体" w:eastAsia="黑体"/>
                <w:sz w:val="24"/>
              </w:rPr>
            </w:pPr>
            <w:r>
              <w:rPr>
                <w:rFonts w:ascii="黑体" w:hAnsi="黑体" w:eastAsia="黑体"/>
                <w:sz w:val="24"/>
              </w:rPr>
              <w:t>表</w:t>
            </w:r>
            <w:r>
              <w:rPr>
                <w:rFonts w:eastAsia="黑体"/>
                <w:sz w:val="24"/>
              </w:rPr>
              <w:t>10</w:t>
            </w:r>
            <w:r>
              <w:rPr>
                <w:rFonts w:ascii="黑体" w:hAnsi="黑体" w:eastAsia="黑体"/>
                <w:sz w:val="24"/>
              </w:rPr>
              <w:t xml:space="preserve">           工程</w:t>
            </w:r>
            <w:r>
              <w:rPr>
                <w:rFonts w:hint="eastAsia" w:ascii="黑体" w:hAnsi="黑体" w:eastAsia="黑体"/>
                <w:sz w:val="24"/>
              </w:rPr>
              <w:t>料场</w:t>
            </w:r>
            <w:r>
              <w:rPr>
                <w:rFonts w:ascii="黑体" w:hAnsi="黑体" w:eastAsia="黑体"/>
                <w:sz w:val="24"/>
              </w:rPr>
              <w:t>合理性分析表</w:t>
            </w:r>
          </w:p>
          <w:tbl>
            <w:tblPr>
              <w:tblStyle w:val="21"/>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088"/>
              <w:gridCol w:w="1476"/>
              <w:gridCol w:w="1195"/>
              <w:gridCol w:w="2102"/>
              <w:gridCol w:w="2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16" w:type="dxa"/>
                  <w:shd w:val="clear" w:color="auto" w:fill="auto"/>
                  <w:vAlign w:val="center"/>
                </w:tcPr>
                <w:p>
                  <w:pPr>
                    <w:autoSpaceDE w:val="0"/>
                    <w:autoSpaceDN w:val="0"/>
                    <w:adjustRightInd w:val="0"/>
                    <w:jc w:val="center"/>
                    <w:rPr>
                      <w:kern w:val="0"/>
                      <w:szCs w:val="21"/>
                    </w:rPr>
                  </w:pPr>
                  <w:r>
                    <w:rPr>
                      <w:rFonts w:hint="eastAsia"/>
                      <w:kern w:val="0"/>
                      <w:szCs w:val="21"/>
                    </w:rPr>
                    <w:t>类型</w:t>
                  </w:r>
                </w:p>
              </w:tc>
              <w:tc>
                <w:tcPr>
                  <w:tcW w:w="2564" w:type="dxa"/>
                  <w:gridSpan w:val="2"/>
                  <w:shd w:val="clear" w:color="auto" w:fill="auto"/>
                  <w:vAlign w:val="center"/>
                </w:tcPr>
                <w:p>
                  <w:pPr>
                    <w:widowControl/>
                    <w:jc w:val="center"/>
                    <w:rPr>
                      <w:kern w:val="0"/>
                      <w:szCs w:val="21"/>
                    </w:rPr>
                  </w:pPr>
                  <w:r>
                    <w:rPr>
                      <w:rFonts w:hint="eastAsia"/>
                      <w:kern w:val="0"/>
                      <w:szCs w:val="21"/>
                    </w:rPr>
                    <w:t>渣场及位置</w:t>
                  </w:r>
                </w:p>
              </w:tc>
              <w:tc>
                <w:tcPr>
                  <w:tcW w:w="1195" w:type="dxa"/>
                  <w:shd w:val="clear" w:color="auto" w:fill="auto"/>
                  <w:vAlign w:val="center"/>
                </w:tcPr>
                <w:p>
                  <w:pPr>
                    <w:widowControl/>
                    <w:jc w:val="center"/>
                    <w:rPr>
                      <w:kern w:val="0"/>
                      <w:szCs w:val="21"/>
                    </w:rPr>
                  </w:pPr>
                  <w:r>
                    <w:rPr>
                      <w:rFonts w:hint="eastAsia"/>
                      <w:kern w:val="0"/>
                      <w:szCs w:val="21"/>
                    </w:rPr>
                    <w:t>环境概况</w:t>
                  </w:r>
                </w:p>
              </w:tc>
              <w:tc>
                <w:tcPr>
                  <w:tcW w:w="2102" w:type="dxa"/>
                  <w:shd w:val="clear" w:color="auto" w:fill="auto"/>
                  <w:vAlign w:val="center"/>
                </w:tcPr>
                <w:p>
                  <w:pPr>
                    <w:widowControl/>
                    <w:jc w:val="center"/>
                    <w:rPr>
                      <w:kern w:val="0"/>
                      <w:szCs w:val="21"/>
                    </w:rPr>
                  </w:pPr>
                  <w:r>
                    <w:rPr>
                      <w:rFonts w:hint="eastAsia"/>
                      <w:kern w:val="0"/>
                      <w:szCs w:val="21"/>
                    </w:rPr>
                    <w:t>综合分析</w:t>
                  </w:r>
                </w:p>
              </w:tc>
              <w:tc>
                <w:tcPr>
                  <w:tcW w:w="2113"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16" w:type="dxa"/>
                  <w:vMerge w:val="restart"/>
                  <w:shd w:val="clear" w:color="auto" w:fill="auto"/>
                  <w:vAlign w:val="center"/>
                </w:tcPr>
                <w:p>
                  <w:pPr>
                    <w:autoSpaceDE w:val="0"/>
                    <w:autoSpaceDN w:val="0"/>
                    <w:adjustRightInd w:val="0"/>
                    <w:jc w:val="center"/>
                    <w:rPr>
                      <w:kern w:val="0"/>
                      <w:szCs w:val="21"/>
                    </w:rPr>
                  </w:pPr>
                  <w:r>
                    <w:rPr>
                      <w:rFonts w:hint="eastAsia"/>
                      <w:kern w:val="0"/>
                      <w:szCs w:val="21"/>
                    </w:rPr>
                    <w:t>料场</w:t>
                  </w:r>
                </w:p>
              </w:tc>
              <w:tc>
                <w:tcPr>
                  <w:tcW w:w="1088" w:type="dxa"/>
                  <w:shd w:val="clear" w:color="auto" w:fill="auto"/>
                  <w:vAlign w:val="center"/>
                </w:tcPr>
                <w:p>
                  <w:pPr>
                    <w:widowControl/>
                    <w:jc w:val="center"/>
                    <w:rPr>
                      <w:kern w:val="0"/>
                      <w:szCs w:val="21"/>
                    </w:rPr>
                  </w:pPr>
                  <w:r>
                    <w:rPr>
                      <w:rFonts w:hint="eastAsia"/>
                      <w:kern w:val="0"/>
                      <w:szCs w:val="21"/>
                    </w:rPr>
                    <w:t>C1-1砂砾石</w:t>
                  </w:r>
                  <w:r>
                    <w:rPr>
                      <w:kern w:val="0"/>
                      <w:szCs w:val="21"/>
                    </w:rPr>
                    <w:t>料场</w:t>
                  </w:r>
                </w:p>
              </w:tc>
              <w:tc>
                <w:tcPr>
                  <w:tcW w:w="1476" w:type="dxa"/>
                </w:tcPr>
                <w:p>
                  <w:pPr>
                    <w:widowControl/>
                    <w:jc w:val="center"/>
                    <w:rPr>
                      <w:kern w:val="0"/>
                      <w:szCs w:val="21"/>
                    </w:rPr>
                  </w:pPr>
                  <w:r>
                    <w:rPr>
                      <w:rFonts w:hint="eastAsia"/>
                      <w:kern w:val="0"/>
                      <w:szCs w:val="21"/>
                    </w:rPr>
                    <w:t>上游河道中</w:t>
                  </w:r>
                </w:p>
              </w:tc>
              <w:tc>
                <w:tcPr>
                  <w:tcW w:w="1195" w:type="dxa"/>
                  <w:shd w:val="clear" w:color="auto" w:fill="auto"/>
                  <w:vAlign w:val="center"/>
                </w:tcPr>
                <w:p>
                  <w:pPr>
                    <w:widowControl/>
                    <w:jc w:val="center"/>
                    <w:rPr>
                      <w:kern w:val="0"/>
                      <w:szCs w:val="21"/>
                    </w:rPr>
                  </w:pPr>
                  <w:r>
                    <w:rPr>
                      <w:rFonts w:hint="eastAsia"/>
                      <w:kern w:val="0"/>
                      <w:szCs w:val="21"/>
                    </w:rPr>
                    <w:t>占地区位于河道内，地表多砾石覆盖；区域上植被较稀少，草本植物有羊茅、针茅、芨芨草、早熟禾、篙属类等植被，植被盖度不足5%。</w:t>
                  </w:r>
                </w:p>
              </w:tc>
              <w:tc>
                <w:tcPr>
                  <w:tcW w:w="2102" w:type="dxa"/>
                  <w:vMerge w:val="restart"/>
                  <w:shd w:val="clear" w:color="auto" w:fill="auto"/>
                  <w:vAlign w:val="center"/>
                </w:tcPr>
                <w:p>
                  <w:pPr>
                    <w:widowControl/>
                    <w:jc w:val="center"/>
                    <w:rPr>
                      <w:kern w:val="0"/>
                      <w:szCs w:val="21"/>
                    </w:rPr>
                  </w:pPr>
                  <w:r>
                    <w:rPr>
                      <w:rFonts w:hint="eastAsia"/>
                      <w:kern w:val="0"/>
                      <w:szCs w:val="21"/>
                    </w:rPr>
                    <w:t>①占地范围内无保护植物分布，未见保护鸟类营巢和大型野生动物活动；</w:t>
                  </w:r>
                </w:p>
                <w:p>
                  <w:pPr>
                    <w:widowControl/>
                    <w:jc w:val="center"/>
                    <w:rPr>
                      <w:rFonts w:ascii="宋体" w:hAnsi="宋体" w:eastAsia="MS Mincho" w:cs="宋体"/>
                      <w:kern w:val="0"/>
                      <w:szCs w:val="21"/>
                      <w:lang w:eastAsia="ja-JP"/>
                    </w:rPr>
                  </w:pPr>
                  <w:r>
                    <w:rPr>
                      <w:rFonts w:hint="eastAsia" w:ascii="宋体" w:hAnsi="宋体" w:cs="宋体"/>
                      <w:kern w:val="0"/>
                      <w:szCs w:val="21"/>
                      <w:lang w:eastAsia="ja-JP"/>
                    </w:rPr>
                    <w:t>②</w:t>
                  </w:r>
                  <w:r>
                    <w:rPr>
                      <w:rFonts w:hint="eastAsia" w:ascii="宋体" w:hAnsi="宋体" w:cs="宋体"/>
                      <w:kern w:val="0"/>
                      <w:szCs w:val="21"/>
                    </w:rPr>
                    <w:t>C1-1料场</w:t>
                  </w:r>
                  <w:r>
                    <w:rPr>
                      <w:rFonts w:ascii="宋体" w:hAnsi="宋体" w:cs="宋体"/>
                      <w:kern w:val="0"/>
                      <w:szCs w:val="21"/>
                    </w:rPr>
                    <w:t>位于上游河道中，</w:t>
                  </w:r>
                  <w:r>
                    <w:rPr>
                      <w:rFonts w:hint="eastAsia" w:ascii="宋体" w:hAnsi="宋体" w:cs="宋体"/>
                      <w:kern w:val="0"/>
                      <w:szCs w:val="21"/>
                      <w:lang w:eastAsia="ja-JP"/>
                    </w:rPr>
                    <w:t>须经当地河道管理部门同意；</w:t>
                  </w:r>
                </w:p>
                <w:p>
                  <w:pPr>
                    <w:adjustRightInd w:val="0"/>
                    <w:rPr>
                      <w:szCs w:val="21"/>
                    </w:rPr>
                  </w:pPr>
                  <w:r>
                    <w:rPr>
                      <w:rFonts w:hint="eastAsia"/>
                      <w:szCs w:val="21"/>
                    </w:rPr>
                    <w:t>②</w:t>
                  </w:r>
                  <w:r>
                    <w:rPr>
                      <w:szCs w:val="21"/>
                    </w:rPr>
                    <w:t>各料场选址远离当地主要交通干线，不会对沿线景观造成影响；</w:t>
                  </w:r>
                </w:p>
                <w:p>
                  <w:pPr>
                    <w:autoSpaceDE w:val="0"/>
                    <w:autoSpaceDN w:val="0"/>
                    <w:adjustRightInd w:val="0"/>
                    <w:rPr>
                      <w:szCs w:val="21"/>
                    </w:rPr>
                  </w:pPr>
                  <w:r>
                    <w:rPr>
                      <w:rFonts w:hint="eastAsia"/>
                      <w:szCs w:val="21"/>
                    </w:rPr>
                    <w:t>③</w:t>
                  </w:r>
                  <w:r>
                    <w:rPr>
                      <w:szCs w:val="21"/>
                    </w:rPr>
                    <w:t>施工期应严格控制各工区至料场道路行驶范围，禁止运输车辆随意碾压和扰动周边地表植被和土壤；</w:t>
                  </w:r>
                </w:p>
                <w:p>
                  <w:pPr>
                    <w:widowControl/>
                    <w:jc w:val="center"/>
                    <w:rPr>
                      <w:kern w:val="0"/>
                      <w:szCs w:val="21"/>
                    </w:rPr>
                  </w:pPr>
                  <w:r>
                    <w:rPr>
                      <w:rFonts w:hint="eastAsia"/>
                      <w:szCs w:val="21"/>
                    </w:rPr>
                    <w:t>④</w:t>
                  </w:r>
                  <w:r>
                    <w:rPr>
                      <w:szCs w:val="21"/>
                    </w:rPr>
                    <w:t>开采活动环境影响主要为地表植被破坏、对区域景观影响以及施工期水土流失；应严格控制开采范围，严禁乱挖、乱堆、随意扰动周边区域。在采取相应保护措施的前提下，料场选址基本合理。</w:t>
                  </w:r>
                </w:p>
              </w:tc>
              <w:tc>
                <w:tcPr>
                  <w:tcW w:w="2113"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①应严格划定施工作业及运输区，严禁乱挖、乱堆，随意扰动周边区域；</w:t>
                  </w:r>
                </w:p>
                <w:p>
                  <w:pPr>
                    <w:widowControl/>
                    <w:jc w:val="center"/>
                    <w:rPr>
                      <w:rFonts w:ascii="宋体" w:hAnsi="宋体" w:cs="宋体"/>
                      <w:kern w:val="0"/>
                      <w:szCs w:val="21"/>
                    </w:rPr>
                  </w:pPr>
                  <w:r>
                    <w:rPr>
                      <w:rFonts w:hint="eastAsia" w:ascii="宋体" w:hAnsi="宋体" w:cs="宋体"/>
                      <w:kern w:val="0"/>
                      <w:szCs w:val="21"/>
                    </w:rPr>
                    <w:t>②河滩取料，须经当地水行政主管部门同意；</w:t>
                  </w:r>
                </w:p>
                <w:p>
                  <w:pPr>
                    <w:widowControl/>
                    <w:jc w:val="center"/>
                    <w:rPr>
                      <w:rFonts w:ascii="宋体" w:hAnsi="宋体" w:cs="宋体"/>
                      <w:kern w:val="0"/>
                      <w:szCs w:val="21"/>
                    </w:rPr>
                  </w:pPr>
                  <w:r>
                    <w:rPr>
                      <w:rFonts w:hint="eastAsia" w:ascii="宋体" w:hAnsi="宋体" w:cs="宋体"/>
                      <w:kern w:val="0"/>
                      <w:szCs w:val="21"/>
                    </w:rPr>
                    <w:t>③施工期间进行洒水，施工结束后，将部分表层无用层及筛分弃料及时回填取料坑，恢复料场开挖对区域地形地貌的影响；</w:t>
                  </w:r>
                </w:p>
                <w:p>
                  <w:pPr>
                    <w:widowControl/>
                    <w:jc w:val="center"/>
                    <w:rPr>
                      <w:rFonts w:ascii="宋体" w:hAnsi="宋体" w:cs="宋体"/>
                      <w:kern w:val="0"/>
                      <w:szCs w:val="21"/>
                    </w:rPr>
                  </w:pPr>
                  <w:r>
                    <w:rPr>
                      <w:rFonts w:hint="eastAsia" w:ascii="宋体" w:hAnsi="宋体" w:cs="宋体"/>
                      <w:kern w:val="0"/>
                      <w:szCs w:val="21"/>
                    </w:rPr>
                    <w:t>④施工结束后，对料场进行土地平整，使开采区域与周围环境协调一致。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16" w:type="dxa"/>
                  <w:vMerge w:val="continue"/>
                  <w:shd w:val="clear" w:color="auto" w:fill="auto"/>
                  <w:vAlign w:val="center"/>
                </w:tcPr>
                <w:p>
                  <w:pPr>
                    <w:autoSpaceDE w:val="0"/>
                    <w:autoSpaceDN w:val="0"/>
                    <w:adjustRightInd w:val="0"/>
                    <w:jc w:val="center"/>
                    <w:rPr>
                      <w:kern w:val="0"/>
                      <w:szCs w:val="21"/>
                      <w:highlight w:val="cyan"/>
                    </w:rPr>
                  </w:pPr>
                </w:p>
              </w:tc>
              <w:tc>
                <w:tcPr>
                  <w:tcW w:w="1088" w:type="dxa"/>
                  <w:shd w:val="clear" w:color="auto" w:fill="auto"/>
                  <w:vAlign w:val="center"/>
                </w:tcPr>
                <w:p>
                  <w:pPr>
                    <w:widowControl/>
                    <w:jc w:val="center"/>
                    <w:rPr>
                      <w:kern w:val="0"/>
                      <w:szCs w:val="21"/>
                    </w:rPr>
                  </w:pPr>
                  <w:r>
                    <w:rPr>
                      <w:rFonts w:hint="eastAsia"/>
                      <w:kern w:val="0"/>
                      <w:szCs w:val="21"/>
                    </w:rPr>
                    <w:t>T1土料场</w:t>
                  </w:r>
                </w:p>
              </w:tc>
              <w:tc>
                <w:tcPr>
                  <w:tcW w:w="1476" w:type="dxa"/>
                </w:tcPr>
                <w:p>
                  <w:pPr>
                    <w:widowControl/>
                    <w:jc w:val="center"/>
                    <w:rPr>
                      <w:kern w:val="0"/>
                      <w:szCs w:val="21"/>
                    </w:rPr>
                  </w:pPr>
                  <w:r>
                    <w:rPr>
                      <w:rFonts w:hint="eastAsia"/>
                      <w:kern w:val="0"/>
                      <w:szCs w:val="21"/>
                    </w:rPr>
                    <w:t>坝址左岸山坡之上</w:t>
                  </w:r>
                </w:p>
              </w:tc>
              <w:tc>
                <w:tcPr>
                  <w:tcW w:w="1195" w:type="dxa"/>
                  <w:vMerge w:val="restart"/>
                  <w:shd w:val="clear" w:color="auto" w:fill="auto"/>
                  <w:vAlign w:val="center"/>
                </w:tcPr>
                <w:p>
                  <w:pPr>
                    <w:widowControl/>
                    <w:jc w:val="center"/>
                    <w:rPr>
                      <w:kern w:val="0"/>
                      <w:szCs w:val="21"/>
                    </w:rPr>
                  </w:pPr>
                  <w:r>
                    <w:rPr>
                      <w:rFonts w:hint="eastAsia"/>
                      <w:kern w:val="0"/>
                      <w:szCs w:val="21"/>
                    </w:rPr>
                    <w:t>植被类型以荒漠常见类植被为主，主要为锦鸡儿、</w:t>
                  </w:r>
                  <w:r>
                    <w:rPr>
                      <w:kern w:val="0"/>
                      <w:szCs w:val="21"/>
                    </w:rPr>
                    <w:t>小蓬</w:t>
                  </w:r>
                  <w:r>
                    <w:rPr>
                      <w:rFonts w:hint="eastAsia"/>
                      <w:kern w:val="0"/>
                      <w:szCs w:val="21"/>
                    </w:rPr>
                    <w:t>、</w:t>
                  </w:r>
                  <w:r>
                    <w:rPr>
                      <w:kern w:val="0"/>
                      <w:szCs w:val="21"/>
                    </w:rPr>
                    <w:t>假木贼</w:t>
                  </w:r>
                  <w:r>
                    <w:rPr>
                      <w:rFonts w:hint="eastAsia"/>
                      <w:kern w:val="0"/>
                      <w:szCs w:val="21"/>
                    </w:rPr>
                    <w:t>等，盖度1</w:t>
                  </w:r>
                  <w:r>
                    <w:rPr>
                      <w:kern w:val="0"/>
                      <w:szCs w:val="21"/>
                    </w:rPr>
                    <w:t>5%</w:t>
                  </w:r>
                </w:p>
              </w:tc>
              <w:tc>
                <w:tcPr>
                  <w:tcW w:w="2102" w:type="dxa"/>
                  <w:vMerge w:val="continue"/>
                  <w:shd w:val="clear" w:color="auto" w:fill="auto"/>
                  <w:vAlign w:val="center"/>
                </w:tcPr>
                <w:p>
                  <w:pPr>
                    <w:widowControl/>
                    <w:jc w:val="center"/>
                    <w:rPr>
                      <w:kern w:val="0"/>
                      <w:szCs w:val="21"/>
                    </w:rPr>
                  </w:pPr>
                </w:p>
              </w:tc>
              <w:tc>
                <w:tcPr>
                  <w:tcW w:w="2113" w:type="dxa"/>
                  <w:vMerge w:val="continue"/>
                  <w:shd w:val="clear" w:color="auto" w:fill="auto"/>
                  <w:vAlign w:val="center"/>
                </w:tcPr>
                <w:p>
                  <w:pPr>
                    <w:widowControl/>
                    <w:jc w:val="center"/>
                    <w:rPr>
                      <w:rFonts w:ascii="宋体" w:hAnsi="宋体" w:cs="宋体"/>
                      <w:kern w:val="0"/>
                      <w:szCs w:val="21"/>
                      <w:highlight w:val="cy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616" w:type="dxa"/>
                  <w:vMerge w:val="continue"/>
                  <w:shd w:val="clear" w:color="auto" w:fill="auto"/>
                  <w:vAlign w:val="center"/>
                </w:tcPr>
                <w:p>
                  <w:pPr>
                    <w:autoSpaceDE w:val="0"/>
                    <w:autoSpaceDN w:val="0"/>
                    <w:adjustRightInd w:val="0"/>
                    <w:jc w:val="center"/>
                    <w:rPr>
                      <w:kern w:val="0"/>
                      <w:szCs w:val="21"/>
                      <w:highlight w:val="cyan"/>
                    </w:rPr>
                  </w:pPr>
                </w:p>
              </w:tc>
              <w:tc>
                <w:tcPr>
                  <w:tcW w:w="1088" w:type="dxa"/>
                  <w:shd w:val="clear" w:color="auto" w:fill="auto"/>
                  <w:vAlign w:val="center"/>
                </w:tcPr>
                <w:p>
                  <w:pPr>
                    <w:widowControl/>
                    <w:jc w:val="center"/>
                    <w:rPr>
                      <w:kern w:val="0"/>
                      <w:szCs w:val="21"/>
                    </w:rPr>
                  </w:pPr>
                  <w:r>
                    <w:rPr>
                      <w:rFonts w:hint="eastAsia"/>
                      <w:kern w:val="0"/>
                      <w:szCs w:val="21"/>
                    </w:rPr>
                    <w:t>C3砂砾石</w:t>
                  </w:r>
                  <w:r>
                    <w:rPr>
                      <w:kern w:val="0"/>
                      <w:szCs w:val="21"/>
                    </w:rPr>
                    <w:t>料场</w:t>
                  </w:r>
                </w:p>
              </w:tc>
              <w:tc>
                <w:tcPr>
                  <w:tcW w:w="1476" w:type="dxa"/>
                  <w:vAlign w:val="center"/>
                </w:tcPr>
                <w:p>
                  <w:pPr>
                    <w:widowControl/>
                    <w:jc w:val="center"/>
                    <w:rPr>
                      <w:kern w:val="0"/>
                      <w:szCs w:val="21"/>
                    </w:rPr>
                  </w:pPr>
                  <w:r>
                    <w:rPr>
                      <w:rFonts w:hint="eastAsia"/>
                      <w:kern w:val="0"/>
                      <w:szCs w:val="21"/>
                    </w:rPr>
                    <w:t>红山嘴水库下游东城口加油站东北侧咬牙沟岸坡</w:t>
                  </w:r>
                </w:p>
              </w:tc>
              <w:tc>
                <w:tcPr>
                  <w:tcW w:w="1195" w:type="dxa"/>
                  <w:vMerge w:val="continue"/>
                  <w:shd w:val="clear" w:color="auto" w:fill="auto"/>
                  <w:vAlign w:val="center"/>
                </w:tcPr>
                <w:p>
                  <w:pPr>
                    <w:widowControl/>
                    <w:jc w:val="center"/>
                    <w:rPr>
                      <w:kern w:val="0"/>
                      <w:szCs w:val="21"/>
                    </w:rPr>
                  </w:pPr>
                </w:p>
              </w:tc>
              <w:tc>
                <w:tcPr>
                  <w:tcW w:w="2102" w:type="dxa"/>
                  <w:vMerge w:val="continue"/>
                  <w:shd w:val="clear" w:color="auto" w:fill="auto"/>
                  <w:vAlign w:val="center"/>
                </w:tcPr>
                <w:p>
                  <w:pPr>
                    <w:widowControl/>
                    <w:jc w:val="center"/>
                    <w:rPr>
                      <w:kern w:val="0"/>
                      <w:szCs w:val="21"/>
                    </w:rPr>
                  </w:pPr>
                </w:p>
              </w:tc>
              <w:tc>
                <w:tcPr>
                  <w:tcW w:w="2113" w:type="dxa"/>
                  <w:vMerge w:val="continue"/>
                  <w:shd w:val="clear" w:color="auto" w:fill="auto"/>
                  <w:vAlign w:val="center"/>
                </w:tcPr>
                <w:p>
                  <w:pPr>
                    <w:widowControl/>
                    <w:jc w:val="center"/>
                    <w:rPr>
                      <w:rFonts w:ascii="宋体" w:hAnsi="宋体" w:cs="宋体"/>
                      <w:kern w:val="0"/>
                      <w:szCs w:val="21"/>
                    </w:rPr>
                  </w:pPr>
                </w:p>
              </w:tc>
            </w:tr>
          </w:tbl>
          <w:p>
            <w:pPr>
              <w:autoSpaceDE w:val="0"/>
              <w:autoSpaceDN w:val="0"/>
              <w:adjustRightInd w:val="0"/>
              <w:spacing w:line="360" w:lineRule="auto"/>
              <w:jc w:val="left"/>
              <w:rPr>
                <w:kern w:val="0"/>
                <w:sz w:val="24"/>
              </w:rPr>
            </w:pPr>
          </w:p>
          <w:p>
            <w:pPr>
              <w:autoSpaceDE w:val="0"/>
              <w:autoSpaceDN w:val="0"/>
              <w:adjustRightInd w:val="0"/>
              <w:spacing w:line="360" w:lineRule="auto"/>
              <w:ind w:firstLine="480" w:firstLineChars="200"/>
              <w:rPr>
                <w:kern w:val="0"/>
                <w:sz w:val="24"/>
              </w:rPr>
            </w:pPr>
            <w:r>
              <w:rPr>
                <w:rFonts w:hint="eastAsia"/>
                <w:kern w:val="0"/>
                <w:sz w:val="24"/>
              </w:rPr>
              <w:t>各料场布置无环境制约性因素。各料场开采期间应严格划定施工作业及运输区，严禁乱挖、乱堆，随意扰动周边区域，做好洒水降尘，施工结束后将部分表层无用层及筛分弃料及时回填取料坑，做好清理平整工作；C1-1料场开采须经当地水行政主管部门同意，并合理安排开采时间，</w:t>
            </w:r>
            <w:r>
              <w:rPr>
                <w:kern w:val="0"/>
                <w:sz w:val="24"/>
              </w:rPr>
              <w:t>开挖取料时避开汛期</w:t>
            </w:r>
            <w:r>
              <w:rPr>
                <w:rFonts w:hint="eastAsia"/>
                <w:kern w:val="0"/>
                <w:sz w:val="24"/>
              </w:rPr>
              <w:t>，采取相应排水、拦渣等措施，不得影响河道行洪；</w:t>
            </w:r>
            <w:r>
              <w:rPr>
                <w:kern w:val="0"/>
                <w:sz w:val="24"/>
              </w:rPr>
              <w:t>C3</w:t>
            </w:r>
            <w:r>
              <w:rPr>
                <w:rFonts w:hint="eastAsia"/>
                <w:kern w:val="0"/>
                <w:sz w:val="24"/>
              </w:rPr>
              <w:t>料场和T1料场分别位于左岸山坡之上、水库下游东城口加油站东北侧咬牙沟岸坡，施工结束后结合水土保持方案进行施工迹地平整、地表植被恢复等，各料场占地区内无保护动植物分布，开采过程中将表土剥离，做好堆存期间防护，后期进行料场地表恢复使其尽快恢复原貌，与周边环境协调一致，以减缓工程施工造成的生态环境和视觉景观影响。综上，工程料场在取得许可，做好施工期防护、后期清理平整、</w:t>
            </w:r>
            <w:r>
              <w:rPr>
                <w:kern w:val="0"/>
                <w:sz w:val="24"/>
              </w:rPr>
              <w:t>植被恢复</w:t>
            </w:r>
            <w:r>
              <w:rPr>
                <w:rFonts w:hint="eastAsia"/>
                <w:kern w:val="0"/>
                <w:sz w:val="24"/>
              </w:rPr>
              <w:t>等措施后，符合环保要求。</w:t>
            </w:r>
          </w:p>
          <w:p>
            <w:pPr>
              <w:adjustRightInd w:val="0"/>
              <w:snapToGrid w:val="0"/>
              <w:spacing w:line="360" w:lineRule="auto"/>
              <w:rPr>
                <w:b/>
                <w:bCs/>
                <w:sz w:val="24"/>
              </w:rPr>
            </w:pPr>
            <w:r>
              <w:rPr>
                <w:rFonts w:hint="eastAsia"/>
                <w:b/>
                <w:bCs/>
                <w:sz w:val="24"/>
              </w:rPr>
              <w:t>四、弃渣场选址合理性分析</w:t>
            </w:r>
          </w:p>
          <w:p>
            <w:pPr>
              <w:autoSpaceDE w:val="0"/>
              <w:autoSpaceDN w:val="0"/>
              <w:adjustRightInd w:val="0"/>
              <w:spacing w:line="360" w:lineRule="auto"/>
              <w:ind w:firstLine="480" w:firstLineChars="200"/>
              <w:rPr>
                <w:sz w:val="24"/>
              </w:rPr>
            </w:pPr>
            <w:r>
              <w:rPr>
                <w:sz w:val="24"/>
              </w:rPr>
              <w:t>工程共设3处</w:t>
            </w:r>
            <w:r>
              <w:rPr>
                <w:rFonts w:hint="eastAsia"/>
                <w:sz w:val="24"/>
              </w:rPr>
              <w:t>弃渣场</w:t>
            </w:r>
            <w:r>
              <w:rPr>
                <w:sz w:val="24"/>
              </w:rPr>
              <w:t>，</w:t>
            </w:r>
            <w:r>
              <w:rPr>
                <w:rFonts w:hint="eastAsia"/>
                <w:sz w:val="24"/>
              </w:rPr>
              <w:t>其中</w:t>
            </w:r>
            <w:r>
              <w:rPr>
                <w:sz w:val="24"/>
              </w:rPr>
              <w:t>永久弃渣场地设置2处，为1#和3#弃渣场，临时弃渣场地设置1处，为2#弃渣场。1#弃渣场布置在坝后坡脚处</w:t>
            </w:r>
            <w:r>
              <w:rPr>
                <w:rFonts w:hint="eastAsia"/>
                <w:sz w:val="24"/>
              </w:rPr>
              <w:t>空地，</w:t>
            </w:r>
            <w:r>
              <w:rPr>
                <w:sz w:val="24"/>
              </w:rPr>
              <w:t>紧挨水库坝体</w:t>
            </w:r>
            <w:r>
              <w:rPr>
                <w:rFonts w:hint="eastAsia"/>
                <w:sz w:val="24"/>
              </w:rPr>
              <w:t>，</w:t>
            </w:r>
            <w:r>
              <w:rPr>
                <w:sz w:val="24"/>
              </w:rPr>
              <w:t>属于水库征地范围，主要堆砌开挖的土料及砂砾石料，宽90m，</w:t>
            </w:r>
            <w:r>
              <w:rPr>
                <w:rFonts w:hint="eastAsia"/>
                <w:sz w:val="24"/>
              </w:rPr>
              <w:t>顶部水平</w:t>
            </w:r>
            <w:r>
              <w:rPr>
                <w:sz w:val="24"/>
              </w:rPr>
              <w:t>长</w:t>
            </w:r>
            <w:r>
              <w:rPr>
                <w:rFonts w:hint="eastAsia"/>
                <w:sz w:val="24"/>
              </w:rPr>
              <w:t>50</w:t>
            </w:r>
            <w:r>
              <w:rPr>
                <w:sz w:val="24"/>
              </w:rPr>
              <w:t>m，占地面积约0.72</w:t>
            </w:r>
            <w:r>
              <w:rPr>
                <w:rFonts w:hint="eastAsia"/>
                <w:sz w:val="24"/>
              </w:rPr>
              <w:t>h</w:t>
            </w:r>
            <w:r>
              <w:rPr>
                <w:sz w:val="24"/>
              </w:rPr>
              <w:t>m</w:t>
            </w:r>
            <w:r>
              <w:rPr>
                <w:sz w:val="24"/>
                <w:vertAlign w:val="superscript"/>
              </w:rPr>
              <w:t>2</w:t>
            </w:r>
            <w:r>
              <w:rPr>
                <w:sz w:val="24"/>
              </w:rPr>
              <w:t>；2#临时弃渣布置在坝址下游右岸阶地约0.2km处，主要临时堆弃大坝左、右坝肩及溢洪道和涵洞开挖的石料，占地面积约1.0</w:t>
            </w:r>
            <w:r>
              <w:rPr>
                <w:rFonts w:hint="eastAsia"/>
                <w:sz w:val="24"/>
              </w:rPr>
              <w:t>h</w:t>
            </w:r>
            <w:r>
              <w:rPr>
                <w:sz w:val="24"/>
              </w:rPr>
              <w:t>m</w:t>
            </w:r>
            <w:r>
              <w:rPr>
                <w:sz w:val="24"/>
                <w:vertAlign w:val="superscript"/>
              </w:rPr>
              <w:t>2</w:t>
            </w:r>
            <w:r>
              <w:rPr>
                <w:sz w:val="24"/>
              </w:rPr>
              <w:t>；3#弃渣场位于水库下游报废的东城水库左侧库盘内</w:t>
            </w:r>
            <w:r>
              <w:rPr>
                <w:rFonts w:hint="eastAsia"/>
                <w:sz w:val="24"/>
              </w:rPr>
              <w:t>，不在河道的主河道内，位于岸边阶地上</w:t>
            </w:r>
            <w:r>
              <w:rPr>
                <w:sz w:val="24"/>
              </w:rPr>
              <w:t>，运距13.0km，</w:t>
            </w:r>
            <w:r>
              <w:rPr>
                <w:rFonts w:hint="eastAsia"/>
                <w:sz w:val="24"/>
              </w:rPr>
              <w:t>主要堆砌水库大部分弃渣料，</w:t>
            </w:r>
            <w:r>
              <w:rPr>
                <w:sz w:val="24"/>
              </w:rPr>
              <w:t>占地面积约18.44</w:t>
            </w:r>
            <w:r>
              <w:rPr>
                <w:rFonts w:hint="eastAsia"/>
                <w:sz w:val="24"/>
              </w:rPr>
              <w:t>h</w:t>
            </w:r>
            <w:r>
              <w:rPr>
                <w:sz w:val="24"/>
              </w:rPr>
              <w:t>m</w:t>
            </w:r>
            <w:r>
              <w:rPr>
                <w:sz w:val="24"/>
                <w:vertAlign w:val="superscript"/>
              </w:rPr>
              <w:t>2</w:t>
            </w:r>
            <w:r>
              <w:rPr>
                <w:rFonts w:hint="eastAsia"/>
                <w:sz w:val="24"/>
              </w:rPr>
              <w:t>。</w:t>
            </w:r>
          </w:p>
          <w:p>
            <w:pPr>
              <w:autoSpaceDE w:val="0"/>
              <w:autoSpaceDN w:val="0"/>
              <w:adjustRightInd w:val="0"/>
              <w:spacing w:line="360" w:lineRule="auto"/>
              <w:ind w:firstLine="480" w:firstLineChars="200"/>
              <w:rPr>
                <w:sz w:val="24"/>
              </w:rPr>
            </w:pPr>
            <w:r>
              <w:rPr>
                <w:sz w:val="24"/>
              </w:rPr>
              <w:t>弃渣场环境合理性分析见表11。</w:t>
            </w:r>
          </w:p>
          <w:p>
            <w:pPr>
              <w:jc w:val="left"/>
              <w:rPr>
                <w:rFonts w:ascii="黑体" w:hAnsi="黑体" w:eastAsia="黑体"/>
                <w:sz w:val="24"/>
              </w:rPr>
            </w:pPr>
            <w:r>
              <w:rPr>
                <w:rFonts w:ascii="黑体" w:hAnsi="黑体" w:eastAsia="黑体"/>
                <w:sz w:val="24"/>
              </w:rPr>
              <w:t>表</w:t>
            </w:r>
            <w:r>
              <w:rPr>
                <w:rFonts w:eastAsia="黑体"/>
                <w:sz w:val="24"/>
              </w:rPr>
              <w:t>11</w:t>
            </w:r>
            <w:r>
              <w:rPr>
                <w:rFonts w:ascii="黑体" w:hAnsi="黑体" w:eastAsia="黑体"/>
                <w:sz w:val="24"/>
              </w:rPr>
              <w:t xml:space="preserve">           工程</w:t>
            </w:r>
            <w:r>
              <w:rPr>
                <w:rFonts w:hint="eastAsia" w:ascii="黑体" w:hAnsi="黑体" w:eastAsia="黑体"/>
                <w:sz w:val="24"/>
              </w:rPr>
              <w:t>弃渣场</w:t>
            </w:r>
            <w:r>
              <w:rPr>
                <w:rFonts w:ascii="黑体" w:hAnsi="黑体" w:eastAsia="黑体"/>
                <w:sz w:val="24"/>
              </w:rPr>
              <w:t>合理性分析表</w:t>
            </w:r>
          </w:p>
          <w:tbl>
            <w:tblPr>
              <w:tblStyle w:val="21"/>
              <w:tblW w:w="85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426"/>
              <w:gridCol w:w="2315"/>
              <w:gridCol w:w="1186"/>
              <w:gridCol w:w="1925"/>
              <w:gridCol w:w="2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6" w:type="dxa"/>
                  <w:shd w:val="clear" w:color="auto" w:fill="auto"/>
                  <w:vAlign w:val="center"/>
                </w:tcPr>
                <w:p>
                  <w:pPr>
                    <w:autoSpaceDE w:val="0"/>
                    <w:autoSpaceDN w:val="0"/>
                    <w:adjustRightInd w:val="0"/>
                    <w:jc w:val="center"/>
                    <w:rPr>
                      <w:kern w:val="0"/>
                      <w:szCs w:val="21"/>
                    </w:rPr>
                  </w:pPr>
                  <w:r>
                    <w:rPr>
                      <w:rFonts w:hint="eastAsia"/>
                      <w:kern w:val="0"/>
                      <w:szCs w:val="21"/>
                    </w:rPr>
                    <w:t>类型</w:t>
                  </w:r>
                </w:p>
              </w:tc>
              <w:tc>
                <w:tcPr>
                  <w:tcW w:w="2741" w:type="dxa"/>
                  <w:gridSpan w:val="2"/>
                  <w:shd w:val="clear" w:color="auto" w:fill="auto"/>
                  <w:vAlign w:val="center"/>
                </w:tcPr>
                <w:p>
                  <w:pPr>
                    <w:widowControl/>
                    <w:jc w:val="center"/>
                    <w:rPr>
                      <w:kern w:val="0"/>
                      <w:szCs w:val="21"/>
                    </w:rPr>
                  </w:pPr>
                  <w:r>
                    <w:rPr>
                      <w:rFonts w:hint="eastAsia"/>
                      <w:kern w:val="0"/>
                      <w:szCs w:val="21"/>
                    </w:rPr>
                    <w:t>渣场及位置</w:t>
                  </w:r>
                </w:p>
              </w:tc>
              <w:tc>
                <w:tcPr>
                  <w:tcW w:w="1186" w:type="dxa"/>
                  <w:shd w:val="clear" w:color="auto" w:fill="auto"/>
                  <w:vAlign w:val="center"/>
                </w:tcPr>
                <w:p>
                  <w:pPr>
                    <w:widowControl/>
                    <w:jc w:val="center"/>
                    <w:rPr>
                      <w:kern w:val="0"/>
                      <w:szCs w:val="21"/>
                    </w:rPr>
                  </w:pPr>
                  <w:r>
                    <w:rPr>
                      <w:rFonts w:hint="eastAsia"/>
                      <w:kern w:val="0"/>
                      <w:szCs w:val="21"/>
                    </w:rPr>
                    <w:t>环境概况</w:t>
                  </w:r>
                </w:p>
              </w:tc>
              <w:tc>
                <w:tcPr>
                  <w:tcW w:w="1925" w:type="dxa"/>
                  <w:shd w:val="clear" w:color="auto" w:fill="auto"/>
                  <w:vAlign w:val="center"/>
                </w:tcPr>
                <w:p>
                  <w:pPr>
                    <w:widowControl/>
                    <w:jc w:val="center"/>
                    <w:rPr>
                      <w:kern w:val="0"/>
                      <w:szCs w:val="21"/>
                    </w:rPr>
                  </w:pPr>
                  <w:r>
                    <w:rPr>
                      <w:rFonts w:hint="eastAsia"/>
                      <w:kern w:val="0"/>
                      <w:szCs w:val="21"/>
                    </w:rPr>
                    <w:t>综合分析</w:t>
                  </w:r>
                </w:p>
              </w:tc>
              <w:tc>
                <w:tcPr>
                  <w:tcW w:w="2132"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环保要求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6" w:type="dxa"/>
                  <w:shd w:val="clear" w:color="auto" w:fill="auto"/>
                  <w:vAlign w:val="center"/>
                </w:tcPr>
                <w:p>
                  <w:pPr>
                    <w:autoSpaceDE w:val="0"/>
                    <w:autoSpaceDN w:val="0"/>
                    <w:adjustRightInd w:val="0"/>
                    <w:jc w:val="center"/>
                    <w:rPr>
                      <w:kern w:val="0"/>
                      <w:szCs w:val="21"/>
                    </w:rPr>
                  </w:pPr>
                  <w:r>
                    <w:rPr>
                      <w:rFonts w:hint="eastAsia" w:hAnsi="宋体"/>
                      <w:kern w:val="0"/>
                      <w:szCs w:val="21"/>
                    </w:rPr>
                    <w:t>临时弃渣</w:t>
                  </w:r>
                  <w:r>
                    <w:rPr>
                      <w:rFonts w:hAnsi="宋体"/>
                      <w:kern w:val="0"/>
                      <w:szCs w:val="21"/>
                    </w:rPr>
                    <w:t>场</w:t>
                  </w:r>
                </w:p>
              </w:tc>
              <w:tc>
                <w:tcPr>
                  <w:tcW w:w="426" w:type="dxa"/>
                  <w:shd w:val="clear" w:color="auto" w:fill="auto"/>
                  <w:vAlign w:val="center"/>
                </w:tcPr>
                <w:p>
                  <w:pPr>
                    <w:autoSpaceDE w:val="0"/>
                    <w:autoSpaceDN w:val="0"/>
                    <w:adjustRightInd w:val="0"/>
                    <w:jc w:val="center"/>
                    <w:rPr>
                      <w:kern w:val="0"/>
                      <w:szCs w:val="21"/>
                    </w:rPr>
                  </w:pPr>
                  <w:r>
                    <w:rPr>
                      <w:kern w:val="0"/>
                      <w:szCs w:val="21"/>
                    </w:rPr>
                    <w:t>2#</w:t>
                  </w:r>
                </w:p>
              </w:tc>
              <w:tc>
                <w:tcPr>
                  <w:tcW w:w="2315" w:type="dxa"/>
                  <w:shd w:val="clear" w:color="auto" w:fill="auto"/>
                  <w:vAlign w:val="center"/>
                </w:tcPr>
                <w:p>
                  <w:pPr>
                    <w:autoSpaceDE w:val="0"/>
                    <w:autoSpaceDN w:val="0"/>
                    <w:adjustRightInd w:val="0"/>
                    <w:jc w:val="center"/>
                    <w:rPr>
                      <w:kern w:val="0"/>
                      <w:szCs w:val="21"/>
                    </w:rPr>
                  </w:pPr>
                  <w:r>
                    <w:rPr>
                      <w:rFonts w:hint="eastAsia"/>
                      <w:kern w:val="0"/>
                      <w:szCs w:val="21"/>
                    </w:rPr>
                    <w:t>坝址下游右岸阶地约0.2km处</w:t>
                  </w:r>
                </w:p>
              </w:tc>
              <w:tc>
                <w:tcPr>
                  <w:tcW w:w="1186" w:type="dxa"/>
                  <w:shd w:val="clear" w:color="auto" w:fill="auto"/>
                  <w:vAlign w:val="center"/>
                </w:tcPr>
                <w:p>
                  <w:pPr>
                    <w:autoSpaceDE w:val="0"/>
                    <w:autoSpaceDN w:val="0"/>
                    <w:adjustRightInd w:val="0"/>
                    <w:jc w:val="center"/>
                    <w:rPr>
                      <w:kern w:val="0"/>
                      <w:szCs w:val="21"/>
                    </w:rPr>
                  </w:pPr>
                  <w:r>
                    <w:rPr>
                      <w:rFonts w:hint="eastAsia"/>
                      <w:kern w:val="0"/>
                      <w:szCs w:val="21"/>
                    </w:rPr>
                    <w:t>植被类型以荒漠常见类植被为主，主要为驼绒藜、假木贼、小蓬等，盖度约</w:t>
                  </w:r>
                  <w:r>
                    <w:rPr>
                      <w:kern w:val="0"/>
                      <w:szCs w:val="21"/>
                    </w:rPr>
                    <w:t>10%</w:t>
                  </w:r>
                  <w:r>
                    <w:rPr>
                      <w:rFonts w:hint="eastAsia"/>
                      <w:kern w:val="0"/>
                      <w:szCs w:val="21"/>
                    </w:rPr>
                    <w:t>。</w:t>
                  </w:r>
                </w:p>
              </w:tc>
              <w:tc>
                <w:tcPr>
                  <w:tcW w:w="1925" w:type="dxa"/>
                  <w:vMerge w:val="restart"/>
                  <w:shd w:val="clear" w:color="auto" w:fill="auto"/>
                  <w:vAlign w:val="center"/>
                </w:tcPr>
                <w:p>
                  <w:pPr>
                    <w:autoSpaceDE w:val="0"/>
                    <w:autoSpaceDN w:val="0"/>
                    <w:adjustRightInd w:val="0"/>
                    <w:jc w:val="center"/>
                    <w:rPr>
                      <w:kern w:val="0"/>
                      <w:szCs w:val="21"/>
                    </w:rPr>
                  </w:pPr>
                  <w:r>
                    <w:rPr>
                      <w:rFonts w:hint="eastAsia"/>
                      <w:kern w:val="0"/>
                      <w:szCs w:val="21"/>
                    </w:rPr>
                    <w:t>①占地范围内无保护植物，未见保护鸟类营巢和大型野生动物栖息活动；</w:t>
                  </w:r>
                  <w:r>
                    <w:rPr>
                      <w:rFonts w:hint="eastAsia" w:ascii="宋体" w:hAnsi="宋体" w:cs="宋体"/>
                      <w:kern w:val="0"/>
                      <w:szCs w:val="21"/>
                    </w:rPr>
                    <w:t>②</w:t>
                  </w:r>
                  <w:r>
                    <w:rPr>
                      <w:rFonts w:hint="eastAsia"/>
                      <w:kern w:val="0"/>
                      <w:szCs w:val="21"/>
                    </w:rPr>
                    <w:t>附近无交通干道，远离周边公共设施和居民点；③弃渣</w:t>
                  </w:r>
                  <w:r>
                    <w:rPr>
                      <w:kern w:val="0"/>
                      <w:szCs w:val="21"/>
                    </w:rPr>
                    <w:t>堆放</w:t>
                  </w:r>
                  <w:r>
                    <w:rPr>
                      <w:rFonts w:hint="eastAsia"/>
                      <w:kern w:val="0"/>
                      <w:szCs w:val="21"/>
                    </w:rPr>
                    <w:t>应严格按照要求，做好拦挡及截排水措施，防止雨水冲刷。</w:t>
                  </w:r>
                </w:p>
              </w:tc>
              <w:tc>
                <w:tcPr>
                  <w:tcW w:w="2132" w:type="dxa"/>
                  <w:vMerge w:val="restart"/>
                  <w:shd w:val="clear" w:color="auto" w:fill="auto"/>
                  <w:vAlign w:val="center"/>
                </w:tcPr>
                <w:p>
                  <w:pPr>
                    <w:autoSpaceDE w:val="0"/>
                    <w:autoSpaceDN w:val="0"/>
                    <w:adjustRightInd w:val="0"/>
                    <w:jc w:val="center"/>
                    <w:rPr>
                      <w:kern w:val="0"/>
                      <w:szCs w:val="21"/>
                    </w:rPr>
                  </w:pPr>
                  <w:r>
                    <w:rPr>
                      <w:rFonts w:hint="eastAsia"/>
                      <w:kern w:val="0"/>
                      <w:szCs w:val="21"/>
                    </w:rPr>
                    <w:t>①</w:t>
                  </w:r>
                  <w:r>
                    <w:rPr>
                      <w:kern w:val="0"/>
                      <w:szCs w:val="21"/>
                    </w:rPr>
                    <w:t>“</w:t>
                  </w:r>
                  <w:r>
                    <w:rPr>
                      <w:rFonts w:hint="eastAsia"/>
                      <w:kern w:val="0"/>
                      <w:szCs w:val="21"/>
                    </w:rPr>
                    <w:t>先拦后弃</w:t>
                  </w:r>
                  <w:r>
                    <w:rPr>
                      <w:kern w:val="0"/>
                      <w:szCs w:val="21"/>
                    </w:rPr>
                    <w:t>”</w:t>
                  </w:r>
                  <w:r>
                    <w:rPr>
                      <w:rFonts w:hint="eastAsia"/>
                      <w:kern w:val="0"/>
                      <w:szCs w:val="21"/>
                    </w:rPr>
                    <w:t>，严禁随意堆置，避免弃渣坍塌滑落入河道，污染下游用水；②施工期间做好临时弃渣防护，避免引发严重水土流失；③做好拦挡及截排水措施，减少雨季坡面汇水影响；④堆渣结束后进行土地平整，同时结合水保方案中的措施进行恢复，使其与周围景观协调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6" w:type="dxa"/>
                  <w:vMerge w:val="restart"/>
                  <w:tcBorders>
                    <w:bottom w:val="single" w:color="auto" w:sz="4" w:space="0"/>
                  </w:tcBorders>
                  <w:shd w:val="clear" w:color="auto" w:fill="auto"/>
                  <w:vAlign w:val="center"/>
                </w:tcPr>
                <w:p>
                  <w:pPr>
                    <w:autoSpaceDE w:val="0"/>
                    <w:autoSpaceDN w:val="0"/>
                    <w:adjustRightInd w:val="0"/>
                    <w:jc w:val="center"/>
                    <w:rPr>
                      <w:kern w:val="0"/>
                      <w:szCs w:val="21"/>
                    </w:rPr>
                  </w:pPr>
                  <w:r>
                    <w:rPr>
                      <w:rFonts w:hint="eastAsia"/>
                      <w:kern w:val="0"/>
                      <w:szCs w:val="21"/>
                    </w:rPr>
                    <w:t>永久</w:t>
                  </w:r>
                  <w:r>
                    <w:rPr>
                      <w:kern w:val="0"/>
                      <w:szCs w:val="21"/>
                    </w:rPr>
                    <w:t>弃渣场</w:t>
                  </w:r>
                </w:p>
              </w:tc>
              <w:tc>
                <w:tcPr>
                  <w:tcW w:w="426" w:type="dxa"/>
                  <w:tcBorders>
                    <w:bottom w:val="single" w:color="auto" w:sz="4" w:space="0"/>
                  </w:tcBorders>
                  <w:shd w:val="clear" w:color="auto" w:fill="auto"/>
                  <w:vAlign w:val="center"/>
                </w:tcPr>
                <w:p>
                  <w:pPr>
                    <w:autoSpaceDE w:val="0"/>
                    <w:autoSpaceDN w:val="0"/>
                    <w:adjustRightInd w:val="0"/>
                    <w:jc w:val="center"/>
                    <w:rPr>
                      <w:kern w:val="0"/>
                      <w:szCs w:val="21"/>
                    </w:rPr>
                  </w:pPr>
                  <w:r>
                    <w:rPr>
                      <w:kern w:val="0"/>
                      <w:szCs w:val="21"/>
                    </w:rPr>
                    <w:t>1#</w:t>
                  </w:r>
                </w:p>
              </w:tc>
              <w:tc>
                <w:tcPr>
                  <w:tcW w:w="2315" w:type="dxa"/>
                  <w:tcBorders>
                    <w:bottom w:val="single" w:color="auto" w:sz="4" w:space="0"/>
                  </w:tcBorders>
                  <w:shd w:val="clear" w:color="auto" w:fill="auto"/>
                  <w:vAlign w:val="center"/>
                </w:tcPr>
                <w:p>
                  <w:pPr>
                    <w:autoSpaceDE w:val="0"/>
                    <w:autoSpaceDN w:val="0"/>
                    <w:adjustRightInd w:val="0"/>
                    <w:jc w:val="left"/>
                    <w:rPr>
                      <w:kern w:val="0"/>
                      <w:szCs w:val="21"/>
                    </w:rPr>
                  </w:pPr>
                  <w:r>
                    <w:rPr>
                      <w:rFonts w:hint="eastAsia"/>
                      <w:kern w:val="0"/>
                      <w:szCs w:val="21"/>
                    </w:rPr>
                    <w:t>布置</w:t>
                  </w:r>
                  <w:r>
                    <w:rPr>
                      <w:kern w:val="0"/>
                      <w:szCs w:val="21"/>
                    </w:rPr>
                    <w:t>在坝后坡脚处</w:t>
                  </w:r>
                  <w:r>
                    <w:rPr>
                      <w:rFonts w:hint="eastAsia"/>
                      <w:kern w:val="0"/>
                      <w:szCs w:val="21"/>
                    </w:rPr>
                    <w:t>空地，</w:t>
                  </w:r>
                  <w:r>
                    <w:rPr>
                      <w:kern w:val="0"/>
                      <w:szCs w:val="21"/>
                    </w:rPr>
                    <w:t>上游无来水</w:t>
                  </w:r>
                </w:p>
              </w:tc>
              <w:tc>
                <w:tcPr>
                  <w:tcW w:w="1186" w:type="dxa"/>
                  <w:tcBorders>
                    <w:bottom w:val="single" w:color="auto" w:sz="4" w:space="0"/>
                  </w:tcBorders>
                  <w:shd w:val="clear" w:color="auto" w:fill="auto"/>
                  <w:vAlign w:val="center"/>
                </w:tcPr>
                <w:p>
                  <w:pPr>
                    <w:autoSpaceDE w:val="0"/>
                    <w:autoSpaceDN w:val="0"/>
                    <w:adjustRightInd w:val="0"/>
                    <w:jc w:val="center"/>
                    <w:rPr>
                      <w:kern w:val="0"/>
                      <w:szCs w:val="21"/>
                    </w:rPr>
                  </w:pPr>
                  <w:r>
                    <w:rPr>
                      <w:rFonts w:hint="eastAsia"/>
                      <w:kern w:val="0"/>
                      <w:szCs w:val="21"/>
                    </w:rPr>
                    <w:t>现状</w:t>
                  </w:r>
                  <w:r>
                    <w:rPr>
                      <w:kern w:val="0"/>
                      <w:szCs w:val="21"/>
                    </w:rPr>
                    <w:t>为</w:t>
                  </w:r>
                  <w:r>
                    <w:rPr>
                      <w:rFonts w:hint="eastAsia"/>
                      <w:kern w:val="0"/>
                      <w:szCs w:val="21"/>
                    </w:rPr>
                    <w:t>砾石土，在河</w:t>
                  </w:r>
                </w:p>
                <w:p>
                  <w:pPr>
                    <w:autoSpaceDE w:val="0"/>
                    <w:autoSpaceDN w:val="0"/>
                    <w:adjustRightInd w:val="0"/>
                    <w:jc w:val="center"/>
                    <w:rPr>
                      <w:kern w:val="0"/>
                      <w:szCs w:val="21"/>
                    </w:rPr>
                  </w:pPr>
                  <w:r>
                    <w:rPr>
                      <w:rFonts w:hint="eastAsia"/>
                      <w:kern w:val="0"/>
                      <w:szCs w:val="21"/>
                    </w:rPr>
                    <w:t>床内基本无植被分布，在河岸边现状有 狗尾巴草和早熟禾等，</w:t>
                  </w:r>
                  <w:r>
                    <w:rPr>
                      <w:kern w:val="0"/>
                      <w:szCs w:val="21"/>
                    </w:rPr>
                    <w:t>植被盖度约</w:t>
                  </w:r>
                  <w:r>
                    <w:rPr>
                      <w:rFonts w:hint="eastAsia"/>
                      <w:kern w:val="0"/>
                      <w:szCs w:val="21"/>
                    </w:rPr>
                    <w:t>20</w:t>
                  </w:r>
                  <w:r>
                    <w:rPr>
                      <w:kern w:val="0"/>
                      <w:szCs w:val="21"/>
                    </w:rPr>
                    <w:t>%</w:t>
                  </w:r>
                </w:p>
              </w:tc>
              <w:tc>
                <w:tcPr>
                  <w:tcW w:w="1925" w:type="dxa"/>
                  <w:vMerge w:val="continue"/>
                  <w:shd w:val="clear" w:color="auto" w:fill="auto"/>
                  <w:vAlign w:val="center"/>
                </w:tcPr>
                <w:p>
                  <w:pPr>
                    <w:autoSpaceDE w:val="0"/>
                    <w:autoSpaceDN w:val="0"/>
                    <w:adjustRightInd w:val="0"/>
                    <w:jc w:val="center"/>
                    <w:rPr>
                      <w:kern w:val="0"/>
                      <w:szCs w:val="21"/>
                    </w:rPr>
                  </w:pPr>
                </w:p>
              </w:tc>
              <w:tc>
                <w:tcPr>
                  <w:tcW w:w="2132" w:type="dxa"/>
                  <w:vMerge w:val="continue"/>
                  <w:tcBorders>
                    <w:bottom w:val="single" w:color="auto" w:sz="4" w:space="0"/>
                  </w:tcBorders>
                  <w:vAlign w:val="center"/>
                </w:tcPr>
                <w:p>
                  <w:pPr>
                    <w:widowControl/>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606" w:type="dxa"/>
                  <w:vMerge w:val="continue"/>
                  <w:vAlign w:val="center"/>
                </w:tcPr>
                <w:p>
                  <w:pPr>
                    <w:widowControl/>
                    <w:jc w:val="left"/>
                    <w:rPr>
                      <w:rFonts w:ascii="宋体" w:hAnsi="宋体" w:cs="宋体"/>
                      <w:kern w:val="0"/>
                      <w:szCs w:val="21"/>
                    </w:rPr>
                  </w:pPr>
                </w:p>
              </w:tc>
              <w:tc>
                <w:tcPr>
                  <w:tcW w:w="426" w:type="dxa"/>
                  <w:shd w:val="clear" w:color="auto" w:fill="auto"/>
                  <w:noWrap/>
                  <w:vAlign w:val="center"/>
                </w:tcPr>
                <w:p>
                  <w:pPr>
                    <w:autoSpaceDE w:val="0"/>
                    <w:autoSpaceDN w:val="0"/>
                    <w:adjustRightInd w:val="0"/>
                    <w:jc w:val="center"/>
                    <w:rPr>
                      <w:kern w:val="0"/>
                      <w:szCs w:val="21"/>
                    </w:rPr>
                  </w:pPr>
                  <w:r>
                    <w:rPr>
                      <w:kern w:val="0"/>
                      <w:szCs w:val="21"/>
                    </w:rPr>
                    <w:t>3</w:t>
                  </w:r>
                  <w:r>
                    <w:rPr>
                      <w:rFonts w:hint="eastAsia"/>
                      <w:kern w:val="0"/>
                      <w:szCs w:val="21"/>
                    </w:rPr>
                    <w:t>#</w:t>
                  </w:r>
                </w:p>
              </w:tc>
              <w:tc>
                <w:tcPr>
                  <w:tcW w:w="2315" w:type="dxa"/>
                  <w:shd w:val="clear" w:color="auto" w:fill="auto"/>
                  <w:noWrap/>
                  <w:vAlign w:val="center"/>
                </w:tcPr>
                <w:p>
                  <w:pPr>
                    <w:widowControl/>
                    <w:jc w:val="left"/>
                    <w:rPr>
                      <w:rFonts w:ascii="宋体" w:hAnsi="宋体" w:cs="宋体"/>
                      <w:kern w:val="0"/>
                      <w:szCs w:val="21"/>
                    </w:rPr>
                  </w:pPr>
                  <w:r>
                    <w:rPr>
                      <w:rFonts w:hint="eastAsia"/>
                      <w:kern w:val="0"/>
                      <w:szCs w:val="21"/>
                    </w:rPr>
                    <w:t>报废的东城</w:t>
                  </w:r>
                  <w:r>
                    <w:rPr>
                      <w:kern w:val="0"/>
                      <w:szCs w:val="21"/>
                    </w:rPr>
                    <w:t>水库左侧</w:t>
                  </w:r>
                  <w:r>
                    <w:rPr>
                      <w:rFonts w:hint="eastAsia"/>
                      <w:kern w:val="0"/>
                      <w:szCs w:val="21"/>
                    </w:rPr>
                    <w:t>库</w:t>
                  </w:r>
                  <w:r>
                    <w:rPr>
                      <w:kern w:val="0"/>
                      <w:szCs w:val="21"/>
                    </w:rPr>
                    <w:t>盘内</w:t>
                  </w:r>
                  <w:r>
                    <w:rPr>
                      <w:rFonts w:hint="eastAsia"/>
                      <w:kern w:val="0"/>
                      <w:szCs w:val="21"/>
                    </w:rPr>
                    <w:t>，不在河道</w:t>
                  </w:r>
                  <w:r>
                    <w:rPr>
                      <w:kern w:val="0"/>
                      <w:szCs w:val="21"/>
                    </w:rPr>
                    <w:t>的主河道内，位于岸边阶地上</w:t>
                  </w:r>
                </w:p>
              </w:tc>
              <w:tc>
                <w:tcPr>
                  <w:tcW w:w="1186" w:type="dxa"/>
                  <w:shd w:val="clear" w:color="auto" w:fill="auto"/>
                  <w:vAlign w:val="center"/>
                </w:tcPr>
                <w:p>
                  <w:pPr>
                    <w:widowControl/>
                    <w:jc w:val="left"/>
                    <w:rPr>
                      <w:rFonts w:ascii="宋体" w:hAnsi="宋体" w:cs="宋体"/>
                      <w:kern w:val="0"/>
                      <w:szCs w:val="21"/>
                    </w:rPr>
                  </w:pPr>
                  <w:r>
                    <w:rPr>
                      <w:rFonts w:hint="eastAsia" w:ascii="宋体" w:hAnsi="宋体" w:cs="宋体"/>
                      <w:kern w:val="0"/>
                      <w:szCs w:val="21"/>
                    </w:rPr>
                    <w:t>地表为砾石土，在</w:t>
                  </w:r>
                </w:p>
                <w:p>
                  <w:pPr>
                    <w:widowControl/>
                    <w:jc w:val="left"/>
                    <w:rPr>
                      <w:rFonts w:ascii="宋体" w:hAnsi="宋体" w:cs="宋体"/>
                      <w:kern w:val="0"/>
                      <w:szCs w:val="21"/>
                    </w:rPr>
                  </w:pPr>
                  <w:r>
                    <w:rPr>
                      <w:rFonts w:hint="eastAsia" w:ascii="宋体" w:hAnsi="宋体" w:cs="宋体"/>
                      <w:kern w:val="0"/>
                      <w:szCs w:val="21"/>
                    </w:rPr>
                    <w:t>河岸边现状有芦苇、狗尾巴草和早熟禾等 植被</w:t>
                  </w:r>
                  <w:r>
                    <w:rPr>
                      <w:rFonts w:ascii="宋体" w:hAnsi="宋体" w:cs="宋体"/>
                      <w:kern w:val="0"/>
                      <w:szCs w:val="21"/>
                    </w:rPr>
                    <w:t>盖度约</w:t>
                  </w:r>
                  <w:r>
                    <w:rPr>
                      <w:rFonts w:hint="eastAsia" w:ascii="宋体" w:hAnsi="宋体" w:cs="宋体"/>
                      <w:kern w:val="0"/>
                      <w:szCs w:val="21"/>
                    </w:rPr>
                    <w:t>15</w:t>
                  </w:r>
                  <w:r>
                    <w:rPr>
                      <w:rFonts w:ascii="宋体" w:hAnsi="宋体" w:cs="宋体"/>
                      <w:kern w:val="0"/>
                      <w:szCs w:val="21"/>
                    </w:rPr>
                    <w:t>%。</w:t>
                  </w:r>
                </w:p>
              </w:tc>
              <w:tc>
                <w:tcPr>
                  <w:tcW w:w="1925" w:type="dxa"/>
                  <w:vMerge w:val="continue"/>
                  <w:vAlign w:val="center"/>
                </w:tcPr>
                <w:p>
                  <w:pPr>
                    <w:widowControl/>
                    <w:jc w:val="left"/>
                    <w:rPr>
                      <w:rFonts w:ascii="宋体" w:hAnsi="宋体" w:cs="宋体"/>
                      <w:kern w:val="0"/>
                      <w:szCs w:val="21"/>
                    </w:rPr>
                  </w:pPr>
                </w:p>
              </w:tc>
              <w:tc>
                <w:tcPr>
                  <w:tcW w:w="2132" w:type="dxa"/>
                  <w:vMerge w:val="continue"/>
                  <w:vAlign w:val="center"/>
                </w:tcPr>
                <w:p>
                  <w:pPr>
                    <w:widowControl/>
                    <w:jc w:val="left"/>
                    <w:rPr>
                      <w:rFonts w:ascii="宋体" w:hAnsi="宋体" w:cs="宋体"/>
                      <w:kern w:val="0"/>
                      <w:szCs w:val="21"/>
                    </w:rPr>
                  </w:pPr>
                </w:p>
              </w:tc>
            </w:tr>
          </w:tbl>
          <w:p>
            <w:pPr>
              <w:autoSpaceDE w:val="0"/>
              <w:autoSpaceDN w:val="0"/>
              <w:adjustRightInd w:val="0"/>
              <w:spacing w:line="360" w:lineRule="auto"/>
              <w:jc w:val="left"/>
              <w:rPr>
                <w:kern w:val="0"/>
                <w:sz w:val="24"/>
              </w:rPr>
            </w:pPr>
          </w:p>
          <w:p>
            <w:pPr>
              <w:autoSpaceDE w:val="0"/>
              <w:autoSpaceDN w:val="0"/>
              <w:adjustRightInd w:val="0"/>
              <w:spacing w:line="360" w:lineRule="auto"/>
              <w:ind w:firstLine="480" w:firstLineChars="200"/>
              <w:rPr>
                <w:kern w:val="0"/>
                <w:sz w:val="24"/>
              </w:rPr>
            </w:pPr>
            <w:r>
              <w:rPr>
                <w:kern w:val="0"/>
                <w:sz w:val="24"/>
              </w:rPr>
              <w:t>工程施工设计在对土石方开挖料的堆放与利用上，尽量多的利用开挖石渣填筑坝体和各建筑物的土石方回填，有效减少了工程弃渣总量</w:t>
            </w:r>
            <w:r>
              <w:rPr>
                <w:rFonts w:hint="eastAsia"/>
                <w:kern w:val="0"/>
                <w:sz w:val="24"/>
              </w:rPr>
              <w:t>。</w:t>
            </w:r>
            <w:r>
              <w:rPr>
                <w:kern w:val="0"/>
                <w:sz w:val="24"/>
              </w:rPr>
              <w:t>根据水土保持方案，在</w:t>
            </w:r>
            <w:r>
              <w:rPr>
                <w:rFonts w:hint="eastAsia"/>
                <w:kern w:val="0"/>
                <w:sz w:val="24"/>
              </w:rPr>
              <w:t>弃渣场外侧修建</w:t>
            </w:r>
            <w:r>
              <w:rPr>
                <w:kern w:val="0"/>
                <w:sz w:val="24"/>
              </w:rPr>
              <w:t>挡墙，防止施工期间降雨引起的水土流失，总体符合环境保护要求。弃渣场</w:t>
            </w:r>
            <w:r>
              <w:rPr>
                <w:rFonts w:hint="eastAsia"/>
                <w:kern w:val="0"/>
                <w:sz w:val="24"/>
              </w:rPr>
              <w:t>以</w:t>
            </w:r>
            <w:r>
              <w:rPr>
                <w:kern w:val="0"/>
                <w:sz w:val="24"/>
              </w:rPr>
              <w:t>荒漠常见植被为主，</w:t>
            </w:r>
            <w:r>
              <w:rPr>
                <w:rFonts w:hint="eastAsia"/>
                <w:kern w:val="0"/>
                <w:sz w:val="24"/>
              </w:rPr>
              <w:t>弃渣场整体地势平坦，四周无汇水区域，弃渣场下游无重要设施及居民点，</w:t>
            </w:r>
            <w:r>
              <w:rPr>
                <w:kern w:val="0"/>
                <w:sz w:val="24"/>
              </w:rPr>
              <w:t>不会对当地居民的生活造成影响。</w:t>
            </w:r>
            <w:r>
              <w:rPr>
                <w:rFonts w:hint="eastAsia"/>
                <w:kern w:val="0"/>
                <w:sz w:val="24"/>
              </w:rPr>
              <w:t>1</w:t>
            </w:r>
            <w:r>
              <w:rPr>
                <w:kern w:val="0"/>
                <w:sz w:val="24"/>
              </w:rPr>
              <w:t>#</w:t>
            </w:r>
            <w:r>
              <w:rPr>
                <w:rFonts w:hint="eastAsia"/>
                <w:kern w:val="0"/>
                <w:sz w:val="24"/>
              </w:rPr>
              <w:t>弃渣场</w:t>
            </w:r>
            <w:r>
              <w:rPr>
                <w:kern w:val="0"/>
                <w:sz w:val="24"/>
              </w:rPr>
              <w:t>和</w:t>
            </w:r>
            <w:r>
              <w:rPr>
                <w:rFonts w:hint="eastAsia"/>
                <w:kern w:val="0"/>
                <w:sz w:val="24"/>
              </w:rPr>
              <w:t>3</w:t>
            </w:r>
            <w:r>
              <w:rPr>
                <w:kern w:val="0"/>
                <w:sz w:val="24"/>
              </w:rPr>
              <w:t>#弃渣场虽然位于河道</w:t>
            </w:r>
            <w:r>
              <w:rPr>
                <w:rFonts w:hint="eastAsia"/>
                <w:kern w:val="0"/>
                <w:sz w:val="24"/>
              </w:rPr>
              <w:t>管理范围</w:t>
            </w:r>
            <w:r>
              <w:rPr>
                <w:kern w:val="0"/>
                <w:sz w:val="24"/>
              </w:rPr>
              <w:t>内，但不在河道行洪通道范围</w:t>
            </w:r>
            <w:r>
              <w:rPr>
                <w:rFonts w:hint="eastAsia"/>
                <w:kern w:val="0"/>
                <w:sz w:val="24"/>
              </w:rPr>
              <w:t>内</w:t>
            </w:r>
            <w:r>
              <w:rPr>
                <w:kern w:val="0"/>
                <w:sz w:val="24"/>
              </w:rPr>
              <w:t>，均位于河道阶地上，弃渣后补影响行洪，</w:t>
            </w:r>
            <w:r>
              <w:rPr>
                <w:rFonts w:hint="eastAsia"/>
                <w:kern w:val="0"/>
                <w:sz w:val="24"/>
              </w:rPr>
              <w:t>现</w:t>
            </w:r>
            <w:r>
              <w:rPr>
                <w:kern w:val="0"/>
                <w:sz w:val="24"/>
              </w:rPr>
              <w:t>已</w:t>
            </w:r>
            <w:r>
              <w:rPr>
                <w:rFonts w:hint="eastAsia"/>
                <w:kern w:val="0"/>
                <w:sz w:val="24"/>
              </w:rPr>
              <w:t>征得</w:t>
            </w:r>
            <w:r>
              <w:rPr>
                <w:kern w:val="0"/>
                <w:sz w:val="24"/>
              </w:rPr>
              <w:t>河道管理部门同意。弃渣场占地范围内无保护植物分布，未见保护鸟类营巢，未见大型兽类栖息活动，仅偶见啮齿目等小型动物活动觅食，由于此类动物适生生境分布广泛，</w:t>
            </w:r>
            <w:r>
              <w:rPr>
                <w:rFonts w:hint="eastAsia"/>
                <w:kern w:val="0"/>
                <w:sz w:val="24"/>
              </w:rPr>
              <w:t>堆渣</w:t>
            </w:r>
            <w:r>
              <w:rPr>
                <w:kern w:val="0"/>
                <w:sz w:val="24"/>
              </w:rPr>
              <w:t>不会对其生存栖息产生明显不利影响。综上所述，弃渣场在做好施工期防护等措施后，符合环保要求。</w:t>
            </w:r>
          </w:p>
          <w:p>
            <w:pPr>
              <w:autoSpaceDE w:val="0"/>
              <w:autoSpaceDN w:val="0"/>
              <w:adjustRightInd w:val="0"/>
              <w:spacing w:line="360" w:lineRule="auto"/>
              <w:ind w:firstLine="480" w:firstLineChars="200"/>
              <w:rPr>
                <w:kern w:val="0"/>
                <w:sz w:val="24"/>
              </w:rPr>
            </w:pPr>
          </w:p>
          <w:p>
            <w:pPr>
              <w:adjustRightInd w:val="0"/>
              <w:snapToGrid w:val="0"/>
              <w:spacing w:line="360" w:lineRule="auto"/>
              <w:rPr>
                <w:b/>
                <w:bCs/>
                <w:sz w:val="24"/>
              </w:rPr>
            </w:pPr>
            <w:r>
              <w:rPr>
                <w:rFonts w:hint="eastAsia"/>
                <w:b/>
                <w:bCs/>
                <w:sz w:val="24"/>
              </w:rPr>
              <w:t>五、施工道路规划合理性分析</w:t>
            </w:r>
          </w:p>
          <w:p>
            <w:pPr>
              <w:autoSpaceDE w:val="0"/>
              <w:autoSpaceDN w:val="0"/>
              <w:adjustRightInd w:val="0"/>
              <w:spacing w:line="360" w:lineRule="auto"/>
              <w:ind w:firstLine="480" w:firstLineChars="200"/>
              <w:rPr>
                <w:kern w:val="0"/>
                <w:sz w:val="24"/>
              </w:rPr>
            </w:pPr>
            <w:r>
              <w:rPr>
                <w:kern w:val="0"/>
                <w:sz w:val="24"/>
              </w:rPr>
              <w:t>为满足工程施工需要，本工程共布设5条施工道路，</w:t>
            </w:r>
            <w:r>
              <w:rPr>
                <w:rFonts w:hint="eastAsia"/>
                <w:kern w:val="0"/>
                <w:sz w:val="24"/>
              </w:rPr>
              <w:t>总长</w:t>
            </w:r>
            <w:r>
              <w:rPr>
                <w:kern w:val="0"/>
                <w:sz w:val="24"/>
              </w:rPr>
              <w:t>14.93</w:t>
            </w:r>
            <w:r>
              <w:rPr>
                <w:rFonts w:hint="eastAsia"/>
                <w:kern w:val="0"/>
                <w:sz w:val="24"/>
              </w:rPr>
              <w:t>km，</w:t>
            </w:r>
            <w:r>
              <w:rPr>
                <w:rFonts w:hint="eastAsia"/>
                <w:bCs/>
                <w:sz w:val="24"/>
              </w:rPr>
              <w:t>均为场内交通临时</w:t>
            </w:r>
            <w:r>
              <w:rPr>
                <w:bCs/>
                <w:sz w:val="24"/>
              </w:rPr>
              <w:t>道路</w:t>
            </w:r>
            <w:r>
              <w:rPr>
                <w:rFonts w:hint="eastAsia"/>
                <w:bCs/>
                <w:sz w:val="24"/>
              </w:rPr>
              <w:t>，</w:t>
            </w:r>
            <w:r>
              <w:rPr>
                <w:bCs/>
                <w:sz w:val="24"/>
              </w:rPr>
              <w:t>均采用砂砾石路面</w:t>
            </w:r>
            <w:r>
              <w:rPr>
                <w:kern w:val="0"/>
                <w:sz w:val="24"/>
              </w:rPr>
              <w:t>。</w:t>
            </w:r>
            <w:r>
              <w:rPr>
                <w:rFonts w:hint="eastAsia"/>
                <w:kern w:val="0"/>
                <w:sz w:val="24"/>
              </w:rPr>
              <w:t>其中1</w:t>
            </w:r>
            <w:r>
              <w:rPr>
                <w:kern w:val="0"/>
                <w:sz w:val="24"/>
              </w:rPr>
              <w:t>#道路、</w:t>
            </w:r>
            <w:r>
              <w:rPr>
                <w:rFonts w:hint="eastAsia"/>
                <w:kern w:val="0"/>
                <w:sz w:val="24"/>
              </w:rPr>
              <w:t>3</w:t>
            </w:r>
            <w:r>
              <w:rPr>
                <w:kern w:val="0"/>
                <w:sz w:val="24"/>
              </w:rPr>
              <w:t>#道路、</w:t>
            </w:r>
            <w:r>
              <w:rPr>
                <w:rFonts w:hint="eastAsia"/>
                <w:kern w:val="0"/>
                <w:sz w:val="24"/>
              </w:rPr>
              <w:t>C3料场</w:t>
            </w:r>
            <w:r>
              <w:rPr>
                <w:kern w:val="0"/>
                <w:sz w:val="24"/>
              </w:rPr>
              <w:t>道路路面宽</w:t>
            </w:r>
            <w:r>
              <w:rPr>
                <w:rFonts w:hint="eastAsia"/>
                <w:kern w:val="0"/>
                <w:sz w:val="24"/>
              </w:rPr>
              <w:t>4.0</w:t>
            </w:r>
            <w:r>
              <w:rPr>
                <w:kern w:val="0"/>
                <w:sz w:val="24"/>
              </w:rPr>
              <w:t>m；</w:t>
            </w:r>
            <w:r>
              <w:rPr>
                <w:rFonts w:hint="eastAsia"/>
                <w:kern w:val="0"/>
                <w:sz w:val="24"/>
              </w:rPr>
              <w:t>2</w:t>
            </w:r>
            <w:r>
              <w:rPr>
                <w:kern w:val="0"/>
                <w:sz w:val="24"/>
              </w:rPr>
              <w:t>#道路</w:t>
            </w:r>
            <w:r>
              <w:rPr>
                <w:rFonts w:hint="eastAsia"/>
                <w:kern w:val="0"/>
                <w:sz w:val="24"/>
              </w:rPr>
              <w:t>、</w:t>
            </w:r>
            <w:r>
              <w:rPr>
                <w:kern w:val="0"/>
                <w:sz w:val="24"/>
              </w:rPr>
              <w:t>其他临时道路路面宽</w:t>
            </w:r>
            <w:r>
              <w:rPr>
                <w:rFonts w:hint="eastAsia"/>
                <w:kern w:val="0"/>
                <w:sz w:val="24"/>
              </w:rPr>
              <w:t>6.0</w:t>
            </w:r>
            <w:r>
              <w:rPr>
                <w:kern w:val="0"/>
                <w:sz w:val="24"/>
              </w:rPr>
              <w:t>m。</w:t>
            </w:r>
          </w:p>
          <w:p>
            <w:pPr>
              <w:autoSpaceDE w:val="0"/>
              <w:autoSpaceDN w:val="0"/>
              <w:adjustRightInd w:val="0"/>
              <w:spacing w:line="360" w:lineRule="auto"/>
              <w:ind w:firstLine="480" w:firstLineChars="200"/>
              <w:rPr>
                <w:kern w:val="0"/>
                <w:sz w:val="24"/>
              </w:rPr>
            </w:pPr>
            <w:r>
              <w:rPr>
                <w:kern w:val="0"/>
                <w:sz w:val="24"/>
              </w:rPr>
              <w:t>经现场调查，新建施工道路占地区</w:t>
            </w:r>
            <w:r>
              <w:rPr>
                <w:sz w:val="24"/>
              </w:rPr>
              <w:t>以</w:t>
            </w:r>
            <w:r>
              <w:rPr>
                <w:rFonts w:hint="eastAsia"/>
                <w:sz w:val="24"/>
              </w:rPr>
              <w:t>荒漠植被</w:t>
            </w:r>
            <w:r>
              <w:rPr>
                <w:sz w:val="24"/>
              </w:rPr>
              <w:t>为主，</w:t>
            </w:r>
            <w:r>
              <w:rPr>
                <w:kern w:val="0"/>
                <w:sz w:val="24"/>
              </w:rPr>
              <w:t>道路沿线无环境敏感目标分布，不存在施工道路选线的制约性因素。</w:t>
            </w:r>
            <w:r>
              <w:rPr>
                <w:rFonts w:hint="eastAsia"/>
                <w:kern w:val="0"/>
                <w:sz w:val="24"/>
              </w:rPr>
              <w:t>同时</w:t>
            </w:r>
            <w:r>
              <w:rPr>
                <w:kern w:val="0"/>
                <w:sz w:val="24"/>
              </w:rPr>
              <w:t>，施工道路占地区未见保护植物分布，亦不是大型野生动物栖息地，未见鸟类营巢，无保护动物栖息，偶见小型啮齿目兽类觅食活动，由于工程</w:t>
            </w:r>
            <w:r>
              <w:rPr>
                <w:rFonts w:hint="eastAsia"/>
                <w:kern w:val="0"/>
                <w:sz w:val="24"/>
              </w:rPr>
              <w:t>施工</w:t>
            </w:r>
            <w:r>
              <w:rPr>
                <w:kern w:val="0"/>
                <w:sz w:val="24"/>
              </w:rPr>
              <w:t>区域周边人类活动较为频繁，且</w:t>
            </w:r>
            <w:r>
              <w:rPr>
                <w:rFonts w:hint="eastAsia"/>
                <w:kern w:val="0"/>
                <w:sz w:val="24"/>
              </w:rPr>
              <w:t>分布于该区域的</w:t>
            </w:r>
            <w:r>
              <w:rPr>
                <w:kern w:val="0"/>
                <w:sz w:val="24"/>
              </w:rPr>
              <w:t>动物适生生境分布广泛，多具较强的适应及迁徙能力，故施工道路修建不会对其栖息生存产生明显不利影响。此外，对于临时施工道路，施工期间还应结合水土保持方案进行临时防护，施工结束后做好迹地恢复。</w:t>
            </w:r>
          </w:p>
          <w:p>
            <w:pPr>
              <w:spacing w:line="360" w:lineRule="auto"/>
              <w:ind w:firstLine="480" w:firstLineChars="200"/>
              <w:rPr>
                <w:kern w:val="0"/>
                <w:sz w:val="24"/>
              </w:rPr>
            </w:pPr>
            <w:r>
              <w:rPr>
                <w:kern w:val="0"/>
                <w:sz w:val="24"/>
              </w:rPr>
              <w:t>综合分析，本工程施工道路的选线和布置符合环境保护要求。</w:t>
            </w:r>
          </w:p>
        </w:tc>
      </w:tr>
    </w:tbl>
    <w:p>
      <w:pPr>
        <w:pStyle w:val="17"/>
        <w:jc w:val="center"/>
        <w:rPr>
          <w:rFonts w:ascii="黑体" w:hAnsi="黑体" w:eastAsia="黑体"/>
          <w:snapToGrid w:val="0"/>
          <w:sz w:val="36"/>
          <w:szCs w:val="36"/>
        </w:rPr>
        <w:sectPr>
          <w:pgSz w:w="11906" w:h="16838"/>
          <w:pgMar w:top="1440" w:right="1800" w:bottom="1440" w:left="1800" w:header="851" w:footer="1077" w:gutter="0"/>
          <w:cols w:space="720" w:num="1"/>
          <w:docGrid w:linePitch="312" w:charSpace="0"/>
        </w:sectPr>
      </w:pPr>
    </w:p>
    <w:p/>
    <w:p>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五、主要生态环境保护措施</w:t>
      </w:r>
    </w:p>
    <w:tbl>
      <w:tblPr>
        <w:tblStyle w:val="21"/>
        <w:tblW w:w="996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6"/>
        <w:gridCol w:w="95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782" w:hRule="atLeast"/>
          <w:jc w:val="center"/>
        </w:trPr>
        <w:tc>
          <w:tcPr>
            <w:tcW w:w="426" w:type="dxa"/>
            <w:tcMar>
              <w:left w:w="28" w:type="dxa"/>
              <w:right w:w="28" w:type="dxa"/>
            </w:tcMar>
            <w:vAlign w:val="center"/>
          </w:tcPr>
          <w:p>
            <w:pPr>
              <w:adjustRightInd w:val="0"/>
              <w:snapToGrid w:val="0"/>
              <w:jc w:val="center"/>
              <w:rPr>
                <w:rFonts w:ascii="宋体" w:hAnsi="宋体"/>
                <w:bCs/>
                <w:szCs w:val="21"/>
              </w:rPr>
            </w:pPr>
            <w:r>
              <w:rPr>
                <w:rFonts w:hint="eastAsia" w:ascii="宋体" w:hAnsi="宋体" w:cs="宋体"/>
                <w:bCs/>
                <w:spacing w:val="10"/>
                <w:szCs w:val="21"/>
              </w:rPr>
              <w:t>施工期生态环境保护措施</w:t>
            </w:r>
          </w:p>
        </w:tc>
        <w:tc>
          <w:tcPr>
            <w:tcW w:w="9542" w:type="dxa"/>
          </w:tcPr>
          <w:p>
            <w:pPr>
              <w:pStyle w:val="60"/>
              <w:spacing w:before="120" w:beforeLines="50"/>
              <w:ind w:firstLine="480"/>
              <w:rPr>
                <w:color w:val="auto"/>
              </w:rPr>
            </w:pPr>
            <w:r>
              <w:rPr>
                <w:color w:val="auto"/>
              </w:rPr>
              <w:t>本工程施工期环境保护措施包括“三废”处理措施、声环境保护措施、陆生生态保护措施</w:t>
            </w:r>
            <w:r>
              <w:rPr>
                <w:rFonts w:hint="eastAsia"/>
                <w:color w:val="auto"/>
              </w:rPr>
              <w:t>、</w:t>
            </w:r>
            <w:r>
              <w:rPr>
                <w:color w:val="auto"/>
              </w:rPr>
              <w:t>水生生态保护措施、土壤环境保护措施、人群健康保护措施</w:t>
            </w:r>
            <w:r>
              <w:rPr>
                <w:rFonts w:hint="eastAsia"/>
                <w:color w:val="auto"/>
              </w:rPr>
              <w:t>和</w:t>
            </w:r>
            <w:r>
              <w:rPr>
                <w:color w:val="auto"/>
              </w:rPr>
              <w:t>环境风险防范措施。</w:t>
            </w:r>
          </w:p>
          <w:p>
            <w:pPr>
              <w:pStyle w:val="18"/>
              <w:jc w:val="both"/>
            </w:pPr>
            <w:r>
              <w:rPr>
                <w:rFonts w:hint="eastAsia"/>
              </w:rPr>
              <w:t>一、水环境保护措施</w:t>
            </w:r>
          </w:p>
          <w:p>
            <w:pPr>
              <w:spacing w:line="360" w:lineRule="auto"/>
              <w:ind w:firstLine="480"/>
              <w:rPr>
                <w:sz w:val="24"/>
              </w:rPr>
            </w:pPr>
            <w:r>
              <w:rPr>
                <w:rFonts w:hint="eastAsia"/>
                <w:sz w:val="24"/>
              </w:rPr>
              <w:t>（1）砂石料加工废水</w:t>
            </w:r>
          </w:p>
          <w:p>
            <w:pPr>
              <w:spacing w:line="360" w:lineRule="auto"/>
              <w:ind w:firstLine="480"/>
              <w:rPr>
                <w:sz w:val="24"/>
              </w:rPr>
            </w:pPr>
            <w:r>
              <w:rPr>
                <w:rFonts w:hint="eastAsia" w:ascii="宋体" w:hAnsi="宋体" w:cs="宋体"/>
                <w:sz w:val="24"/>
              </w:rPr>
              <w:t>①</w:t>
            </w:r>
            <w:r>
              <w:rPr>
                <w:rFonts w:hint="eastAsia"/>
                <w:sz w:val="24"/>
              </w:rPr>
              <w:t>废水排放情况</w:t>
            </w:r>
          </w:p>
          <w:p>
            <w:pPr>
              <w:spacing w:line="360" w:lineRule="auto"/>
              <w:ind w:firstLine="480"/>
              <w:rPr>
                <w:sz w:val="24"/>
              </w:rPr>
            </w:pPr>
            <w:r>
              <w:rPr>
                <w:rFonts w:hint="eastAsia"/>
                <w:sz w:val="24"/>
              </w:rPr>
              <w:t>根据施工主体布置，共设置</w:t>
            </w:r>
            <w:r>
              <w:rPr>
                <w:sz w:val="24"/>
              </w:rPr>
              <w:t>1</w:t>
            </w:r>
            <w:r>
              <w:rPr>
                <w:rFonts w:hint="eastAsia"/>
                <w:sz w:val="24"/>
              </w:rPr>
              <w:t>处砂石料加工系统，以废水排放率80%计，废水高峰期产生量为</w:t>
            </w:r>
            <w:r>
              <w:rPr>
                <w:sz w:val="24"/>
              </w:rPr>
              <w:t>104.0</w:t>
            </w:r>
            <w:r>
              <w:rPr>
                <w:rFonts w:hint="eastAsia"/>
                <w:sz w:val="24"/>
              </w:rPr>
              <w:t>m</w:t>
            </w:r>
            <w:r>
              <w:rPr>
                <w:sz w:val="24"/>
                <w:vertAlign w:val="superscript"/>
              </w:rPr>
              <w:t>3</w:t>
            </w:r>
            <w:r>
              <w:rPr>
                <w:rFonts w:hint="eastAsia"/>
                <w:sz w:val="24"/>
              </w:rPr>
              <w:t>/</w:t>
            </w:r>
            <w:r>
              <w:rPr>
                <w:sz w:val="24"/>
              </w:rPr>
              <w:t>h</w:t>
            </w:r>
            <w:r>
              <w:rPr>
                <w:rFonts w:hint="eastAsia"/>
                <w:sz w:val="24"/>
              </w:rPr>
              <w:t>，废水污染物主要是SS，浓度约50000mg/L。</w:t>
            </w:r>
          </w:p>
          <w:p>
            <w:pPr>
              <w:spacing w:line="360" w:lineRule="auto"/>
              <w:ind w:firstLine="480"/>
              <w:rPr>
                <w:sz w:val="24"/>
              </w:rPr>
            </w:pPr>
            <w:r>
              <w:rPr>
                <w:rFonts w:hint="eastAsia" w:ascii="宋体" w:hAnsi="宋体" w:cs="宋体"/>
                <w:sz w:val="24"/>
              </w:rPr>
              <w:t>②</w:t>
            </w:r>
            <w:r>
              <w:rPr>
                <w:rFonts w:hint="eastAsia"/>
                <w:sz w:val="24"/>
              </w:rPr>
              <w:t>处理目标</w:t>
            </w:r>
          </w:p>
          <w:p>
            <w:pPr>
              <w:spacing w:line="360" w:lineRule="auto"/>
              <w:ind w:firstLine="480"/>
              <w:rPr>
                <w:sz w:val="24"/>
              </w:rPr>
            </w:pPr>
            <w:r>
              <w:rPr>
                <w:rFonts w:hint="eastAsia"/>
                <w:sz w:val="24"/>
              </w:rPr>
              <w:t>废水处理后全部回用于砂石料加工系统，处理标准按《水电工程砂石加工系统设计规范》（DL/T5098-2010）执行，确定回用于本系统的水处理目标为SS≤100mg/L。</w:t>
            </w:r>
          </w:p>
          <w:p>
            <w:pPr>
              <w:spacing w:line="360" w:lineRule="auto"/>
              <w:ind w:firstLine="480"/>
              <w:rPr>
                <w:sz w:val="24"/>
              </w:rPr>
            </w:pPr>
            <w:r>
              <w:rPr>
                <w:rFonts w:hint="eastAsia" w:ascii="宋体" w:hAnsi="宋体" w:cs="宋体"/>
                <w:sz w:val="24"/>
              </w:rPr>
              <w:t>③</w:t>
            </w:r>
            <w:r>
              <w:rPr>
                <w:rFonts w:hint="eastAsia"/>
                <w:sz w:val="24"/>
              </w:rPr>
              <w:t>处理方案</w:t>
            </w:r>
          </w:p>
          <w:p>
            <w:pPr>
              <w:spacing w:line="360" w:lineRule="auto"/>
              <w:ind w:firstLine="480"/>
              <w:rPr>
                <w:sz w:val="24"/>
              </w:rPr>
            </w:pPr>
            <w:r>
              <w:rPr>
                <w:rFonts w:hint="eastAsia"/>
                <w:sz w:val="24"/>
              </w:rPr>
              <w:t>采用絮凝沉淀法。砂石加工废水进入初沉池，由泵将高悬浮物废水供给细砂回收处理器，将大于0.035mm的细砂80%回收，筛滤水经管道混合器与投加的混凝剂充分混合反应后流入絮凝池，经絮凝沉淀后上清液流入清水池。沉淀池泥渣用扫描式泵吸泥机吸出，经过自然干化脱水后，用挖掘机挖出外运至弃渣场。处理工艺流程见图1。</w:t>
            </w:r>
          </w:p>
          <w:p>
            <w:pPr>
              <w:spacing w:line="360" w:lineRule="auto"/>
              <w:ind w:firstLine="480"/>
              <w:rPr>
                <w:sz w:val="24"/>
              </w:rPr>
            </w:pPr>
            <w:r>
              <w:rPr>
                <w:rFonts w:hint="eastAsia" w:ascii="宋体" w:hAnsi="宋体" w:cs="宋体"/>
                <w:sz w:val="24"/>
              </w:rPr>
              <w:t>④</w:t>
            </w:r>
            <w:r>
              <w:rPr>
                <w:rFonts w:hint="eastAsia"/>
                <w:sz w:val="24"/>
              </w:rPr>
              <w:t>设计参数</w:t>
            </w:r>
          </w:p>
          <w:p>
            <w:pPr>
              <w:spacing w:line="360" w:lineRule="auto"/>
              <w:ind w:firstLine="480"/>
              <w:rPr>
                <w:sz w:val="24"/>
              </w:rPr>
            </w:pPr>
            <w:r>
              <w:rPr>
                <w:rFonts w:hint="eastAsia"/>
                <w:sz w:val="24"/>
              </w:rPr>
              <w:t>a.工艺设计参数</w:t>
            </w:r>
          </w:p>
          <w:p>
            <w:pPr>
              <w:autoSpaceDE w:val="0"/>
              <w:autoSpaceDN w:val="0"/>
              <w:adjustRightInd w:val="0"/>
              <w:spacing w:line="360" w:lineRule="auto"/>
              <w:ind w:firstLine="480" w:firstLineChars="200"/>
              <w:rPr>
                <w:sz w:val="24"/>
              </w:rPr>
            </w:pPr>
            <w:r>
              <w:rPr>
                <w:rFonts w:hint="eastAsia"/>
                <w:sz w:val="24"/>
              </w:rPr>
              <w:t>日处理时间取14h(2班制，每班7h)，初始SS浓度50000mg/L，出水SS浓度小于100mg/L。</w:t>
            </w:r>
          </w:p>
          <w:p>
            <w:pPr>
              <w:spacing w:line="360" w:lineRule="auto"/>
              <w:ind w:firstLine="480"/>
              <w:rPr>
                <w:sz w:val="24"/>
              </w:rPr>
            </w:pPr>
            <w:r>
              <w:rPr>
                <w:rFonts w:hint="eastAsia"/>
                <w:sz w:val="24"/>
              </w:rPr>
              <w:t>b.</w:t>
            </w:r>
            <w:r>
              <w:rPr>
                <w:sz w:val="24"/>
              </w:rPr>
              <w:t>主要构筑物及设计</w:t>
            </w:r>
          </w:p>
          <w:p>
            <w:pPr>
              <w:spacing w:line="360" w:lineRule="auto"/>
              <w:ind w:firstLine="480"/>
              <w:rPr>
                <w:sz w:val="24"/>
              </w:rPr>
            </w:pPr>
            <w:r>
              <w:rPr>
                <w:sz w:val="24"/>
              </w:rPr>
              <w:t>初沉池：初沉池用于沉淀粒径大于0.2mm以上的颗粒物。停留时间按1h考虑，池体超高0.3m。</w:t>
            </w:r>
          </w:p>
          <w:p>
            <w:pPr>
              <w:spacing w:line="360" w:lineRule="auto"/>
              <w:ind w:firstLine="480"/>
              <w:rPr>
                <w:sz w:val="24"/>
              </w:rPr>
            </w:pPr>
            <w:r>
              <w:rPr>
                <w:sz w:val="24"/>
              </w:rPr>
              <w:t>平流式絮凝沉淀池：设计反应时间30min～35min，停留时间2h，池体超高0.3m。絮凝剂和助凝剂采用聚合氯化铝（PAC）和聚丙烯酰胺（PAM）。排泥采取刮泥机机械排泥。</w:t>
            </w:r>
          </w:p>
          <w:p>
            <w:pPr>
              <w:spacing w:line="360" w:lineRule="auto"/>
              <w:ind w:firstLine="480"/>
              <w:rPr>
                <w:sz w:val="24"/>
              </w:rPr>
            </w:pPr>
            <w:r>
              <w:rPr>
                <w:sz w:val="24"/>
              </w:rPr>
              <w:t>清水池：设置高低位的1个清水池，停留时间按1h设计，池体超高0.3m。清水池中污泥量较少，采用定期人工清理。</w:t>
            </w:r>
          </w:p>
          <w:p>
            <w:pPr>
              <w:spacing w:line="360" w:lineRule="auto"/>
              <w:ind w:firstLine="480"/>
              <w:rPr>
                <w:sz w:val="24"/>
              </w:rPr>
            </w:pPr>
            <w:r>
              <w:rPr>
                <w:sz w:val="24"/>
              </w:rPr>
              <w:t>加药间：布置JY型加药装置以及一天药剂量的储备场地。加药间四周采用砖砌围墙，顶采用C25混凝土薄板，其净尺寸(长×宽×高)5.0m×4.0m×4.0m。</w:t>
            </w:r>
          </w:p>
          <w:p>
            <w:pPr>
              <w:spacing w:line="360" w:lineRule="auto"/>
              <w:ind w:firstLine="480"/>
              <w:rPr>
                <w:sz w:val="24"/>
              </w:rPr>
            </w:pPr>
            <w:r>
              <w:rPr>
                <w:sz w:val="24"/>
              </w:rPr>
              <w:t>砂石料加工系统废水处理设施构筑物尺寸、主要工程量见表1、</w:t>
            </w:r>
            <w:r>
              <w:rPr>
                <w:rFonts w:hint="eastAsia"/>
                <w:sz w:val="24"/>
              </w:rPr>
              <w:t>表2</w:t>
            </w:r>
            <w:r>
              <w:rPr>
                <w:sz w:val="24"/>
              </w:rPr>
              <w:t>。</w:t>
            </w:r>
          </w:p>
          <w:p>
            <w:pPr>
              <w:autoSpaceDE w:val="0"/>
              <w:autoSpaceDN w:val="0"/>
              <w:adjustRightInd w:val="0"/>
              <w:spacing w:line="360" w:lineRule="auto"/>
              <w:jc w:val="center"/>
              <w:rPr>
                <w:rFonts w:eastAsia="黑体"/>
              </w:rPr>
            </w:pPr>
            <w:r>
              <w:drawing>
                <wp:inline distT="0" distB="0" distL="0" distR="0">
                  <wp:extent cx="4591050" cy="2019300"/>
                  <wp:effectExtent l="0" t="0" r="0" b="0"/>
                  <wp:docPr id="2" name="图片 2" descr="流程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流程图1.jpg"/>
                          <pic:cNvPicPr>
                            <a:picLocks noChangeAspect="1" noChangeArrowheads="1"/>
                          </pic:cNvPicPr>
                        </pic:nvPicPr>
                        <pic:blipFill>
                          <a:blip r:embed="rId17" cstate="print">
                            <a:extLst>
                              <a:ext uri="{28A0092B-C50C-407E-A947-70E740481C1C}">
                                <a14:useLocalDpi xmlns:a14="http://schemas.microsoft.com/office/drawing/2010/main" val="0"/>
                              </a:ext>
                            </a:extLst>
                          </a:blip>
                          <a:srcRect l="1675" t="4030" r="2345" b="3664"/>
                          <a:stretch>
                            <a:fillRect/>
                          </a:stretch>
                        </pic:blipFill>
                        <pic:spPr>
                          <a:xfrm>
                            <a:off x="0" y="0"/>
                            <a:ext cx="4616375" cy="2030238"/>
                          </a:xfrm>
                          <a:prstGeom prst="rect">
                            <a:avLst/>
                          </a:prstGeom>
                          <a:noFill/>
                          <a:ln>
                            <a:noFill/>
                          </a:ln>
                        </pic:spPr>
                      </pic:pic>
                    </a:graphicData>
                  </a:graphic>
                </wp:inline>
              </w:drawing>
            </w:r>
          </w:p>
          <w:p>
            <w:pPr>
              <w:jc w:val="center"/>
              <w:rPr>
                <w:rFonts w:ascii="黑体" w:hAnsi="黑体" w:eastAsia="黑体"/>
                <w:sz w:val="24"/>
              </w:rPr>
            </w:pPr>
            <w:r>
              <w:rPr>
                <w:rFonts w:ascii="黑体" w:hAnsi="黑体" w:eastAsia="黑体"/>
                <w:sz w:val="24"/>
              </w:rPr>
              <w:t>图</w:t>
            </w:r>
            <w:r>
              <w:rPr>
                <w:rFonts w:eastAsia="黑体"/>
                <w:sz w:val="24"/>
              </w:rPr>
              <w:t>1</w:t>
            </w:r>
            <w:r>
              <w:rPr>
                <w:rFonts w:ascii="黑体" w:hAnsi="黑体" w:eastAsia="黑体"/>
                <w:sz w:val="24"/>
              </w:rPr>
              <w:t xml:space="preserve"> 砂石料加工系统废水处理工艺流程图</w:t>
            </w:r>
          </w:p>
          <w:p>
            <w:pPr>
              <w:autoSpaceDE w:val="0"/>
              <w:autoSpaceDN w:val="0"/>
              <w:adjustRightInd w:val="0"/>
              <w:spacing w:line="360" w:lineRule="auto"/>
              <w:jc w:val="center"/>
              <w:rPr>
                <w:rFonts w:eastAsia="黑体"/>
              </w:rPr>
            </w:pPr>
          </w:p>
          <w:p>
            <w:pPr>
              <w:jc w:val="left"/>
              <w:rPr>
                <w:rFonts w:ascii="黑体" w:hAnsi="黑体" w:eastAsia="黑体"/>
                <w:sz w:val="24"/>
              </w:rPr>
            </w:pPr>
            <w:r>
              <w:rPr>
                <w:rFonts w:hint="eastAsia" w:ascii="黑体" w:hAnsi="黑体" w:eastAsia="黑体"/>
                <w:sz w:val="24"/>
              </w:rPr>
              <w:t>表</w:t>
            </w:r>
            <w:r>
              <w:rPr>
                <w:rFonts w:eastAsia="黑体"/>
                <w:sz w:val="24"/>
              </w:rPr>
              <w:t>1</w:t>
            </w:r>
            <w:r>
              <w:rPr>
                <w:rFonts w:ascii="黑体" w:hAnsi="黑体" w:eastAsia="黑体"/>
                <w:sz w:val="24"/>
              </w:rPr>
              <w:t xml:space="preserve">                      砂石料加工系统废水处理设施构筑物尺寸</w:t>
            </w:r>
          </w:p>
          <w:tbl>
            <w:tblPr>
              <w:tblStyle w:val="21"/>
              <w:tblW w:w="9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2"/>
              <w:gridCol w:w="1928"/>
              <w:gridCol w:w="1442"/>
              <w:gridCol w:w="1448"/>
              <w:gridCol w:w="1606"/>
              <w:gridCol w:w="1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2"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处理系统</w:t>
                  </w:r>
                </w:p>
              </w:tc>
              <w:tc>
                <w:tcPr>
                  <w:tcW w:w="1928"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构筑物名称</w:t>
                  </w:r>
                </w:p>
              </w:tc>
              <w:tc>
                <w:tcPr>
                  <w:tcW w:w="1442"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数量</w:t>
                  </w:r>
                  <w:r>
                    <w:rPr>
                      <w:kern w:val="0"/>
                      <w:szCs w:val="21"/>
                    </w:rPr>
                    <w:t>(</w:t>
                  </w:r>
                  <w:r>
                    <w:rPr>
                      <w:rFonts w:hint="eastAsia" w:ascii="宋体" w:hAnsi="宋体" w:cs="宋体"/>
                      <w:kern w:val="0"/>
                      <w:szCs w:val="21"/>
                    </w:rPr>
                    <w:t>座</w:t>
                  </w:r>
                  <w:r>
                    <w:rPr>
                      <w:kern w:val="0"/>
                      <w:szCs w:val="21"/>
                    </w:rPr>
                    <w:t>)</w:t>
                  </w:r>
                </w:p>
              </w:tc>
              <w:tc>
                <w:tcPr>
                  <w:tcW w:w="4534" w:type="dxa"/>
                  <w:gridSpan w:val="3"/>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单池尺寸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2" w:type="dxa"/>
                  <w:vMerge w:val="continue"/>
                  <w:vAlign w:val="center"/>
                </w:tcPr>
                <w:p>
                  <w:pPr>
                    <w:widowControl/>
                    <w:jc w:val="left"/>
                    <w:rPr>
                      <w:rFonts w:ascii="宋体" w:hAnsi="宋体" w:cs="宋体"/>
                      <w:kern w:val="0"/>
                      <w:szCs w:val="21"/>
                    </w:rPr>
                  </w:pPr>
                </w:p>
              </w:tc>
              <w:tc>
                <w:tcPr>
                  <w:tcW w:w="1928" w:type="dxa"/>
                  <w:vMerge w:val="continue"/>
                  <w:vAlign w:val="center"/>
                </w:tcPr>
                <w:p>
                  <w:pPr>
                    <w:widowControl/>
                    <w:jc w:val="left"/>
                    <w:rPr>
                      <w:rFonts w:ascii="宋体" w:hAnsi="宋体" w:cs="宋体"/>
                      <w:kern w:val="0"/>
                      <w:szCs w:val="21"/>
                    </w:rPr>
                  </w:pPr>
                </w:p>
              </w:tc>
              <w:tc>
                <w:tcPr>
                  <w:tcW w:w="1442" w:type="dxa"/>
                  <w:vMerge w:val="continue"/>
                  <w:vAlign w:val="center"/>
                </w:tcPr>
                <w:p>
                  <w:pPr>
                    <w:widowControl/>
                    <w:jc w:val="left"/>
                    <w:rPr>
                      <w:rFonts w:ascii="宋体" w:hAnsi="宋体" w:cs="宋体"/>
                      <w:kern w:val="0"/>
                      <w:szCs w:val="21"/>
                    </w:rPr>
                  </w:pPr>
                </w:p>
              </w:tc>
              <w:tc>
                <w:tcPr>
                  <w:tcW w:w="144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长</w:t>
                  </w:r>
                  <w:r>
                    <w:rPr>
                      <w:kern w:val="0"/>
                      <w:szCs w:val="21"/>
                    </w:rPr>
                    <w:t>(m)</w:t>
                  </w:r>
                </w:p>
              </w:tc>
              <w:tc>
                <w:tcPr>
                  <w:tcW w:w="1606"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宽</w:t>
                  </w:r>
                  <w:r>
                    <w:rPr>
                      <w:kern w:val="0"/>
                      <w:szCs w:val="21"/>
                    </w:rPr>
                    <w:t>(m)</w:t>
                  </w:r>
                </w:p>
              </w:tc>
              <w:tc>
                <w:tcPr>
                  <w:tcW w:w="1480"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深</w:t>
                  </w:r>
                  <w:r>
                    <w:rPr>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2" w:type="dxa"/>
                  <w:vMerge w:val="restart"/>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砂石料加工系统</w:t>
                  </w:r>
                </w:p>
              </w:tc>
              <w:tc>
                <w:tcPr>
                  <w:tcW w:w="192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初沉池</w:t>
                  </w:r>
                </w:p>
              </w:tc>
              <w:tc>
                <w:tcPr>
                  <w:tcW w:w="1442" w:type="dxa"/>
                  <w:shd w:val="clear" w:color="auto" w:fill="auto"/>
                  <w:vAlign w:val="center"/>
                </w:tcPr>
                <w:p>
                  <w:pPr>
                    <w:widowControl/>
                    <w:jc w:val="center"/>
                    <w:rPr>
                      <w:rFonts w:eastAsia="等线"/>
                      <w:kern w:val="0"/>
                      <w:szCs w:val="21"/>
                    </w:rPr>
                  </w:pPr>
                  <w:r>
                    <w:rPr>
                      <w:rFonts w:eastAsia="等线"/>
                      <w:kern w:val="0"/>
                      <w:szCs w:val="21"/>
                    </w:rPr>
                    <w:t>1</w:t>
                  </w:r>
                </w:p>
              </w:tc>
              <w:tc>
                <w:tcPr>
                  <w:tcW w:w="1448" w:type="dxa"/>
                  <w:shd w:val="clear" w:color="auto" w:fill="auto"/>
                  <w:vAlign w:val="center"/>
                </w:tcPr>
                <w:p>
                  <w:pPr>
                    <w:widowControl/>
                    <w:jc w:val="center"/>
                    <w:rPr>
                      <w:rFonts w:eastAsia="等线"/>
                      <w:kern w:val="0"/>
                      <w:szCs w:val="21"/>
                    </w:rPr>
                  </w:pPr>
                  <w:r>
                    <w:rPr>
                      <w:rFonts w:eastAsia="等线"/>
                      <w:kern w:val="0"/>
                      <w:szCs w:val="21"/>
                    </w:rPr>
                    <w:t>9</w:t>
                  </w:r>
                </w:p>
              </w:tc>
              <w:tc>
                <w:tcPr>
                  <w:tcW w:w="1606" w:type="dxa"/>
                  <w:shd w:val="clear" w:color="auto" w:fill="auto"/>
                  <w:vAlign w:val="center"/>
                </w:tcPr>
                <w:p>
                  <w:pPr>
                    <w:widowControl/>
                    <w:jc w:val="center"/>
                    <w:rPr>
                      <w:rFonts w:eastAsia="等线"/>
                      <w:kern w:val="0"/>
                      <w:szCs w:val="21"/>
                    </w:rPr>
                  </w:pPr>
                  <w:r>
                    <w:rPr>
                      <w:rFonts w:eastAsia="等线"/>
                      <w:kern w:val="0"/>
                      <w:szCs w:val="21"/>
                    </w:rPr>
                    <w:t>4</w:t>
                  </w:r>
                </w:p>
              </w:tc>
              <w:tc>
                <w:tcPr>
                  <w:tcW w:w="1480" w:type="dxa"/>
                  <w:shd w:val="clear" w:color="auto" w:fill="auto"/>
                  <w:vAlign w:val="center"/>
                </w:tcPr>
                <w:p>
                  <w:pPr>
                    <w:widowControl/>
                    <w:jc w:val="center"/>
                    <w:rPr>
                      <w:rFonts w:eastAsia="等线"/>
                      <w:kern w:val="0"/>
                      <w:szCs w:val="21"/>
                    </w:rPr>
                  </w:pPr>
                  <w:r>
                    <w:rPr>
                      <w:rFonts w:eastAsia="等线"/>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2" w:type="dxa"/>
                  <w:vMerge w:val="continue"/>
                  <w:vAlign w:val="center"/>
                </w:tcPr>
                <w:p>
                  <w:pPr>
                    <w:widowControl/>
                    <w:jc w:val="left"/>
                    <w:rPr>
                      <w:rFonts w:ascii="宋体" w:hAnsi="宋体" w:cs="宋体"/>
                      <w:kern w:val="0"/>
                      <w:szCs w:val="21"/>
                    </w:rPr>
                  </w:pPr>
                </w:p>
              </w:tc>
              <w:tc>
                <w:tcPr>
                  <w:tcW w:w="192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絮凝沉淀池</w:t>
                  </w:r>
                </w:p>
              </w:tc>
              <w:tc>
                <w:tcPr>
                  <w:tcW w:w="1442" w:type="dxa"/>
                  <w:shd w:val="clear" w:color="auto" w:fill="auto"/>
                  <w:vAlign w:val="center"/>
                </w:tcPr>
                <w:p>
                  <w:pPr>
                    <w:widowControl/>
                    <w:jc w:val="center"/>
                    <w:rPr>
                      <w:rFonts w:eastAsia="等线"/>
                      <w:kern w:val="0"/>
                      <w:szCs w:val="21"/>
                    </w:rPr>
                  </w:pPr>
                  <w:r>
                    <w:rPr>
                      <w:rFonts w:eastAsia="等线"/>
                      <w:kern w:val="0"/>
                      <w:szCs w:val="21"/>
                    </w:rPr>
                    <w:t>1</w:t>
                  </w:r>
                </w:p>
              </w:tc>
              <w:tc>
                <w:tcPr>
                  <w:tcW w:w="1448" w:type="dxa"/>
                  <w:shd w:val="clear" w:color="auto" w:fill="auto"/>
                  <w:vAlign w:val="center"/>
                </w:tcPr>
                <w:p>
                  <w:pPr>
                    <w:widowControl/>
                    <w:jc w:val="center"/>
                    <w:rPr>
                      <w:rFonts w:eastAsia="等线"/>
                      <w:kern w:val="0"/>
                      <w:szCs w:val="21"/>
                    </w:rPr>
                  </w:pPr>
                  <w:r>
                    <w:rPr>
                      <w:rFonts w:hint="eastAsia" w:eastAsia="等线"/>
                      <w:kern w:val="0"/>
                      <w:szCs w:val="21"/>
                    </w:rPr>
                    <w:t>9</w:t>
                  </w:r>
                </w:p>
              </w:tc>
              <w:tc>
                <w:tcPr>
                  <w:tcW w:w="1606" w:type="dxa"/>
                  <w:shd w:val="clear" w:color="auto" w:fill="auto"/>
                  <w:vAlign w:val="center"/>
                </w:tcPr>
                <w:p>
                  <w:pPr>
                    <w:widowControl/>
                    <w:jc w:val="center"/>
                    <w:rPr>
                      <w:rFonts w:eastAsia="等线"/>
                      <w:kern w:val="0"/>
                      <w:szCs w:val="21"/>
                    </w:rPr>
                  </w:pPr>
                  <w:r>
                    <w:rPr>
                      <w:rFonts w:hint="eastAsia" w:eastAsia="等线"/>
                      <w:kern w:val="0"/>
                      <w:szCs w:val="21"/>
                    </w:rPr>
                    <w:t>8</w:t>
                  </w:r>
                </w:p>
              </w:tc>
              <w:tc>
                <w:tcPr>
                  <w:tcW w:w="1480" w:type="dxa"/>
                  <w:shd w:val="clear" w:color="auto" w:fill="auto"/>
                  <w:vAlign w:val="center"/>
                </w:tcPr>
                <w:p>
                  <w:pPr>
                    <w:widowControl/>
                    <w:jc w:val="center"/>
                    <w:rPr>
                      <w:rFonts w:eastAsia="等线"/>
                      <w:kern w:val="0"/>
                      <w:szCs w:val="21"/>
                    </w:rPr>
                  </w:pPr>
                  <w:r>
                    <w:rPr>
                      <w:rFonts w:eastAsia="等线"/>
                      <w:kern w:val="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1412" w:type="dxa"/>
                  <w:vMerge w:val="continue"/>
                  <w:vAlign w:val="center"/>
                </w:tcPr>
                <w:p>
                  <w:pPr>
                    <w:widowControl/>
                    <w:jc w:val="left"/>
                    <w:rPr>
                      <w:rFonts w:ascii="宋体" w:hAnsi="宋体" w:cs="宋体"/>
                      <w:kern w:val="0"/>
                      <w:szCs w:val="21"/>
                    </w:rPr>
                  </w:pPr>
                </w:p>
              </w:tc>
              <w:tc>
                <w:tcPr>
                  <w:tcW w:w="1928" w:type="dxa"/>
                  <w:shd w:val="clear" w:color="auto" w:fill="auto"/>
                  <w:vAlign w:val="center"/>
                </w:tcPr>
                <w:p>
                  <w:pPr>
                    <w:widowControl/>
                    <w:jc w:val="center"/>
                    <w:rPr>
                      <w:rFonts w:ascii="宋体" w:hAnsi="宋体" w:cs="宋体"/>
                      <w:kern w:val="0"/>
                      <w:szCs w:val="21"/>
                    </w:rPr>
                  </w:pPr>
                  <w:r>
                    <w:rPr>
                      <w:rFonts w:hint="eastAsia" w:ascii="宋体" w:hAnsi="宋体" w:cs="宋体"/>
                      <w:kern w:val="0"/>
                      <w:szCs w:val="21"/>
                    </w:rPr>
                    <w:t>回用水池</w:t>
                  </w:r>
                </w:p>
              </w:tc>
              <w:tc>
                <w:tcPr>
                  <w:tcW w:w="1442" w:type="dxa"/>
                  <w:shd w:val="clear" w:color="auto" w:fill="auto"/>
                  <w:vAlign w:val="center"/>
                </w:tcPr>
                <w:p>
                  <w:pPr>
                    <w:widowControl/>
                    <w:jc w:val="center"/>
                    <w:rPr>
                      <w:rFonts w:eastAsia="等线"/>
                      <w:kern w:val="0"/>
                      <w:szCs w:val="21"/>
                    </w:rPr>
                  </w:pPr>
                  <w:r>
                    <w:rPr>
                      <w:rFonts w:eastAsia="等线"/>
                      <w:kern w:val="0"/>
                      <w:szCs w:val="21"/>
                    </w:rPr>
                    <w:t>1</w:t>
                  </w:r>
                </w:p>
              </w:tc>
              <w:tc>
                <w:tcPr>
                  <w:tcW w:w="1448" w:type="dxa"/>
                  <w:shd w:val="clear" w:color="auto" w:fill="auto"/>
                  <w:vAlign w:val="center"/>
                </w:tcPr>
                <w:p>
                  <w:pPr>
                    <w:widowControl/>
                    <w:jc w:val="center"/>
                    <w:rPr>
                      <w:rFonts w:eastAsia="等线"/>
                      <w:kern w:val="0"/>
                      <w:szCs w:val="21"/>
                    </w:rPr>
                  </w:pPr>
                  <w:r>
                    <w:rPr>
                      <w:rFonts w:eastAsia="等线"/>
                      <w:kern w:val="0"/>
                      <w:szCs w:val="21"/>
                    </w:rPr>
                    <w:t>9</w:t>
                  </w:r>
                </w:p>
              </w:tc>
              <w:tc>
                <w:tcPr>
                  <w:tcW w:w="1606" w:type="dxa"/>
                  <w:shd w:val="clear" w:color="auto" w:fill="auto"/>
                  <w:vAlign w:val="center"/>
                </w:tcPr>
                <w:p>
                  <w:pPr>
                    <w:widowControl/>
                    <w:jc w:val="center"/>
                    <w:rPr>
                      <w:rFonts w:eastAsia="等线"/>
                      <w:kern w:val="0"/>
                      <w:szCs w:val="21"/>
                    </w:rPr>
                  </w:pPr>
                  <w:r>
                    <w:rPr>
                      <w:rFonts w:eastAsia="等线"/>
                      <w:kern w:val="0"/>
                      <w:szCs w:val="21"/>
                    </w:rPr>
                    <w:t>4</w:t>
                  </w:r>
                </w:p>
              </w:tc>
              <w:tc>
                <w:tcPr>
                  <w:tcW w:w="1480" w:type="dxa"/>
                  <w:shd w:val="clear" w:color="auto" w:fill="auto"/>
                  <w:vAlign w:val="center"/>
                </w:tcPr>
                <w:p>
                  <w:pPr>
                    <w:widowControl/>
                    <w:jc w:val="center"/>
                    <w:rPr>
                      <w:rFonts w:eastAsia="等线"/>
                      <w:kern w:val="0"/>
                      <w:szCs w:val="21"/>
                    </w:rPr>
                  </w:pPr>
                  <w:r>
                    <w:rPr>
                      <w:rFonts w:eastAsia="等线"/>
                      <w:kern w:val="0"/>
                      <w:szCs w:val="21"/>
                    </w:rPr>
                    <w:t>3</w:t>
                  </w:r>
                </w:p>
              </w:tc>
            </w:tr>
          </w:tbl>
          <w:p>
            <w:pPr>
              <w:spacing w:line="360" w:lineRule="auto"/>
              <w:ind w:firstLine="480"/>
            </w:pPr>
          </w:p>
          <w:p>
            <w:pPr>
              <w:jc w:val="left"/>
              <w:rPr>
                <w:rFonts w:ascii="黑体" w:hAnsi="黑体" w:eastAsia="黑体"/>
                <w:sz w:val="24"/>
              </w:rPr>
            </w:pPr>
            <w:r>
              <w:rPr>
                <w:rFonts w:hint="eastAsia" w:ascii="黑体" w:hAnsi="黑体" w:eastAsia="黑体"/>
                <w:sz w:val="24"/>
              </w:rPr>
              <w:t>表</w:t>
            </w:r>
            <w:r>
              <w:rPr>
                <w:rFonts w:eastAsia="黑体"/>
                <w:sz w:val="24"/>
              </w:rPr>
              <w:t>2</w:t>
            </w:r>
            <w:r>
              <w:rPr>
                <w:rFonts w:ascii="黑体" w:hAnsi="黑体" w:eastAsia="黑体"/>
                <w:sz w:val="24"/>
              </w:rPr>
              <w:t xml:space="preserve">                     砂石料加工系统废水处理设施主要工程量</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3"/>
              <w:gridCol w:w="2663"/>
              <w:gridCol w:w="1014"/>
              <w:gridCol w:w="1099"/>
              <w:gridCol w:w="3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013" w:type="dxa"/>
                  <w:shd w:val="clear" w:color="auto" w:fill="auto"/>
                  <w:noWrap/>
                  <w:vAlign w:val="center"/>
                </w:tcPr>
                <w:p>
                  <w:pPr>
                    <w:jc w:val="center"/>
                    <w:rPr>
                      <w:szCs w:val="21"/>
                    </w:rPr>
                  </w:pPr>
                  <w:r>
                    <w:rPr>
                      <w:szCs w:val="21"/>
                    </w:rPr>
                    <w:t>序号</w:t>
                  </w:r>
                </w:p>
              </w:tc>
              <w:tc>
                <w:tcPr>
                  <w:tcW w:w="2663" w:type="dxa"/>
                  <w:shd w:val="clear" w:color="auto" w:fill="auto"/>
                  <w:noWrap/>
                  <w:vAlign w:val="center"/>
                </w:tcPr>
                <w:p>
                  <w:pPr>
                    <w:jc w:val="center"/>
                    <w:rPr>
                      <w:szCs w:val="21"/>
                    </w:rPr>
                  </w:pPr>
                  <w:r>
                    <w:rPr>
                      <w:szCs w:val="21"/>
                    </w:rPr>
                    <w:t>项目</w:t>
                  </w:r>
                </w:p>
              </w:tc>
              <w:tc>
                <w:tcPr>
                  <w:tcW w:w="1014" w:type="dxa"/>
                  <w:shd w:val="clear" w:color="auto" w:fill="auto"/>
                  <w:vAlign w:val="center"/>
                </w:tcPr>
                <w:p>
                  <w:pPr>
                    <w:jc w:val="center"/>
                    <w:rPr>
                      <w:szCs w:val="21"/>
                    </w:rPr>
                  </w:pPr>
                  <w:r>
                    <w:rPr>
                      <w:szCs w:val="21"/>
                    </w:rPr>
                    <w:t>单位</w:t>
                  </w:r>
                </w:p>
              </w:tc>
              <w:tc>
                <w:tcPr>
                  <w:tcW w:w="1099" w:type="dxa"/>
                  <w:shd w:val="clear" w:color="auto" w:fill="auto"/>
                  <w:noWrap/>
                  <w:vAlign w:val="center"/>
                </w:tcPr>
                <w:p>
                  <w:pPr>
                    <w:jc w:val="center"/>
                    <w:rPr>
                      <w:szCs w:val="21"/>
                    </w:rPr>
                  </w:pPr>
                  <w:r>
                    <w:rPr>
                      <w:szCs w:val="21"/>
                    </w:rPr>
                    <w:t>数量</w:t>
                  </w:r>
                </w:p>
              </w:tc>
              <w:tc>
                <w:tcPr>
                  <w:tcW w:w="3527" w:type="dxa"/>
                  <w:shd w:val="clear" w:color="auto" w:fill="auto"/>
                  <w:noWrap/>
                  <w:vAlign w:val="center"/>
                </w:tcPr>
                <w:p>
                  <w:pPr>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13" w:type="dxa"/>
                  <w:shd w:val="clear" w:color="auto" w:fill="auto"/>
                  <w:noWrap/>
                  <w:vAlign w:val="center"/>
                </w:tcPr>
                <w:p>
                  <w:pPr>
                    <w:jc w:val="center"/>
                    <w:rPr>
                      <w:szCs w:val="21"/>
                    </w:rPr>
                  </w:pPr>
                  <w:r>
                    <w:rPr>
                      <w:szCs w:val="21"/>
                    </w:rPr>
                    <w:t>一</w:t>
                  </w:r>
                </w:p>
              </w:tc>
              <w:tc>
                <w:tcPr>
                  <w:tcW w:w="2663" w:type="dxa"/>
                  <w:shd w:val="clear" w:color="auto" w:fill="auto"/>
                  <w:noWrap/>
                  <w:vAlign w:val="center"/>
                </w:tcPr>
                <w:p>
                  <w:pPr>
                    <w:jc w:val="center"/>
                    <w:rPr>
                      <w:szCs w:val="21"/>
                    </w:rPr>
                  </w:pPr>
                  <w:r>
                    <w:rPr>
                      <w:szCs w:val="21"/>
                    </w:rPr>
                    <w:t>砂石料各池合计</w:t>
                  </w:r>
                </w:p>
              </w:tc>
              <w:tc>
                <w:tcPr>
                  <w:tcW w:w="1014" w:type="dxa"/>
                  <w:shd w:val="clear" w:color="auto" w:fill="auto"/>
                  <w:vAlign w:val="center"/>
                </w:tcPr>
                <w:p>
                  <w:pPr>
                    <w:jc w:val="center"/>
                    <w:rPr>
                      <w:szCs w:val="21"/>
                    </w:rPr>
                  </w:pPr>
                </w:p>
              </w:tc>
              <w:tc>
                <w:tcPr>
                  <w:tcW w:w="1099" w:type="dxa"/>
                  <w:shd w:val="clear" w:color="auto" w:fill="auto"/>
                  <w:noWrap/>
                  <w:vAlign w:val="center"/>
                </w:tcPr>
                <w:p>
                  <w:pPr>
                    <w:jc w:val="center"/>
                    <w:rPr>
                      <w:szCs w:val="21"/>
                    </w:rPr>
                  </w:pPr>
                </w:p>
              </w:tc>
              <w:tc>
                <w:tcPr>
                  <w:tcW w:w="3527"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13" w:type="dxa"/>
                  <w:shd w:val="clear" w:color="auto" w:fill="auto"/>
                  <w:noWrap/>
                  <w:vAlign w:val="center"/>
                </w:tcPr>
                <w:p>
                  <w:pPr>
                    <w:jc w:val="center"/>
                    <w:rPr>
                      <w:szCs w:val="21"/>
                    </w:rPr>
                  </w:pPr>
                  <w:r>
                    <w:rPr>
                      <w:szCs w:val="21"/>
                    </w:rPr>
                    <w:t>1</w:t>
                  </w:r>
                </w:p>
              </w:tc>
              <w:tc>
                <w:tcPr>
                  <w:tcW w:w="2663" w:type="dxa"/>
                  <w:shd w:val="clear" w:color="auto" w:fill="auto"/>
                  <w:noWrap/>
                  <w:vAlign w:val="center"/>
                </w:tcPr>
                <w:p>
                  <w:pPr>
                    <w:jc w:val="center"/>
                    <w:rPr>
                      <w:szCs w:val="21"/>
                    </w:rPr>
                  </w:pPr>
                  <w:r>
                    <w:rPr>
                      <w:szCs w:val="21"/>
                    </w:rPr>
                    <w:t>土方开挖</w:t>
                  </w:r>
                </w:p>
              </w:tc>
              <w:tc>
                <w:tcPr>
                  <w:tcW w:w="1014" w:type="dxa"/>
                  <w:shd w:val="clear" w:color="auto" w:fill="auto"/>
                  <w:vAlign w:val="center"/>
                </w:tcPr>
                <w:p>
                  <w:pPr>
                    <w:jc w:val="center"/>
                    <w:rPr>
                      <w:szCs w:val="21"/>
                    </w:rPr>
                  </w:pPr>
                  <w:r>
                    <w:rPr>
                      <w:szCs w:val="21"/>
                    </w:rPr>
                    <w:t>m</w:t>
                  </w:r>
                  <w:r>
                    <w:rPr>
                      <w:szCs w:val="21"/>
                      <w:vertAlign w:val="superscript"/>
                    </w:rPr>
                    <w:t>3</w:t>
                  </w:r>
                </w:p>
              </w:tc>
              <w:tc>
                <w:tcPr>
                  <w:tcW w:w="1099" w:type="dxa"/>
                  <w:shd w:val="clear" w:color="auto" w:fill="auto"/>
                  <w:noWrap/>
                </w:tcPr>
                <w:p>
                  <w:pPr>
                    <w:jc w:val="center"/>
                  </w:pPr>
                  <w:r>
                    <w:t xml:space="preserve">2075.05 </w:t>
                  </w:r>
                </w:p>
              </w:tc>
              <w:tc>
                <w:tcPr>
                  <w:tcW w:w="3527"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13" w:type="dxa"/>
                  <w:shd w:val="clear" w:color="auto" w:fill="auto"/>
                  <w:noWrap/>
                  <w:vAlign w:val="center"/>
                </w:tcPr>
                <w:p>
                  <w:pPr>
                    <w:jc w:val="center"/>
                    <w:rPr>
                      <w:szCs w:val="21"/>
                    </w:rPr>
                  </w:pPr>
                  <w:r>
                    <w:rPr>
                      <w:szCs w:val="21"/>
                    </w:rPr>
                    <w:t>2</w:t>
                  </w:r>
                </w:p>
              </w:tc>
              <w:tc>
                <w:tcPr>
                  <w:tcW w:w="2663" w:type="dxa"/>
                  <w:shd w:val="clear" w:color="auto" w:fill="auto"/>
                  <w:noWrap/>
                  <w:vAlign w:val="center"/>
                </w:tcPr>
                <w:p>
                  <w:pPr>
                    <w:jc w:val="center"/>
                    <w:rPr>
                      <w:szCs w:val="21"/>
                    </w:rPr>
                  </w:pPr>
                  <w:r>
                    <w:rPr>
                      <w:szCs w:val="21"/>
                    </w:rPr>
                    <w:t>土方回填</w:t>
                  </w:r>
                </w:p>
              </w:tc>
              <w:tc>
                <w:tcPr>
                  <w:tcW w:w="1014" w:type="dxa"/>
                  <w:shd w:val="clear" w:color="auto" w:fill="auto"/>
                  <w:vAlign w:val="center"/>
                </w:tcPr>
                <w:p>
                  <w:pPr>
                    <w:jc w:val="center"/>
                    <w:rPr>
                      <w:szCs w:val="21"/>
                    </w:rPr>
                  </w:pPr>
                  <w:r>
                    <w:rPr>
                      <w:szCs w:val="21"/>
                    </w:rPr>
                    <w:t>m</w:t>
                  </w:r>
                  <w:r>
                    <w:rPr>
                      <w:szCs w:val="21"/>
                      <w:vertAlign w:val="superscript"/>
                    </w:rPr>
                    <w:t>3</w:t>
                  </w:r>
                </w:p>
              </w:tc>
              <w:tc>
                <w:tcPr>
                  <w:tcW w:w="1099" w:type="dxa"/>
                  <w:shd w:val="clear" w:color="auto" w:fill="auto"/>
                  <w:noWrap/>
                </w:tcPr>
                <w:p>
                  <w:pPr>
                    <w:jc w:val="center"/>
                  </w:pPr>
                  <w:r>
                    <w:t xml:space="preserve">1599.85 </w:t>
                  </w:r>
                </w:p>
              </w:tc>
              <w:tc>
                <w:tcPr>
                  <w:tcW w:w="3527"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13" w:type="dxa"/>
                  <w:shd w:val="clear" w:color="auto" w:fill="auto"/>
                  <w:noWrap/>
                  <w:vAlign w:val="center"/>
                </w:tcPr>
                <w:p>
                  <w:pPr>
                    <w:jc w:val="center"/>
                    <w:rPr>
                      <w:szCs w:val="21"/>
                    </w:rPr>
                  </w:pPr>
                  <w:r>
                    <w:rPr>
                      <w:szCs w:val="21"/>
                    </w:rPr>
                    <w:t>3</w:t>
                  </w:r>
                </w:p>
              </w:tc>
              <w:tc>
                <w:tcPr>
                  <w:tcW w:w="2663" w:type="dxa"/>
                  <w:shd w:val="clear" w:color="auto" w:fill="auto"/>
                  <w:noWrap/>
                  <w:vAlign w:val="center"/>
                </w:tcPr>
                <w:p>
                  <w:pPr>
                    <w:jc w:val="center"/>
                    <w:rPr>
                      <w:szCs w:val="21"/>
                    </w:rPr>
                  </w:pPr>
                  <w:r>
                    <w:rPr>
                      <w:szCs w:val="21"/>
                    </w:rPr>
                    <w:t>C25钢筋混凝土</w:t>
                  </w:r>
                </w:p>
              </w:tc>
              <w:tc>
                <w:tcPr>
                  <w:tcW w:w="1014" w:type="dxa"/>
                  <w:shd w:val="clear" w:color="auto" w:fill="auto"/>
                  <w:vAlign w:val="center"/>
                </w:tcPr>
                <w:p>
                  <w:pPr>
                    <w:jc w:val="center"/>
                    <w:rPr>
                      <w:szCs w:val="21"/>
                    </w:rPr>
                  </w:pPr>
                  <w:r>
                    <w:rPr>
                      <w:szCs w:val="21"/>
                    </w:rPr>
                    <w:t>m</w:t>
                  </w:r>
                  <w:r>
                    <w:rPr>
                      <w:szCs w:val="21"/>
                      <w:vertAlign w:val="superscript"/>
                    </w:rPr>
                    <w:t>3</w:t>
                  </w:r>
                </w:p>
              </w:tc>
              <w:tc>
                <w:tcPr>
                  <w:tcW w:w="1099" w:type="dxa"/>
                  <w:shd w:val="clear" w:color="auto" w:fill="auto"/>
                  <w:noWrap/>
                </w:tcPr>
                <w:p>
                  <w:pPr>
                    <w:jc w:val="center"/>
                  </w:pPr>
                  <w:r>
                    <w:t xml:space="preserve">136.28 </w:t>
                  </w:r>
                </w:p>
              </w:tc>
              <w:tc>
                <w:tcPr>
                  <w:tcW w:w="3527" w:type="dxa"/>
                  <w:shd w:val="clear" w:color="auto" w:fill="auto"/>
                  <w:noWrap/>
                  <w:vAlign w:val="center"/>
                </w:tcPr>
                <w:p>
                  <w:pPr>
                    <w:jc w:val="center"/>
                    <w:rPr>
                      <w:szCs w:val="21"/>
                    </w:rPr>
                  </w:pPr>
                  <w:r>
                    <w:rPr>
                      <w:szCs w:val="21"/>
                    </w:rPr>
                    <w:t>二级配，F200、W6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13" w:type="dxa"/>
                  <w:shd w:val="clear" w:color="auto" w:fill="auto"/>
                  <w:noWrap/>
                  <w:vAlign w:val="center"/>
                </w:tcPr>
                <w:p>
                  <w:pPr>
                    <w:jc w:val="center"/>
                    <w:rPr>
                      <w:szCs w:val="21"/>
                    </w:rPr>
                  </w:pPr>
                  <w:r>
                    <w:rPr>
                      <w:rFonts w:hint="eastAsia"/>
                      <w:szCs w:val="21"/>
                    </w:rPr>
                    <w:t>4</w:t>
                  </w:r>
                </w:p>
              </w:tc>
              <w:tc>
                <w:tcPr>
                  <w:tcW w:w="2663" w:type="dxa"/>
                  <w:shd w:val="clear" w:color="auto" w:fill="auto"/>
                  <w:vAlign w:val="center"/>
                </w:tcPr>
                <w:p>
                  <w:pPr>
                    <w:jc w:val="center"/>
                    <w:rPr>
                      <w:szCs w:val="21"/>
                    </w:rPr>
                  </w:pPr>
                  <w:r>
                    <w:rPr>
                      <w:szCs w:val="21"/>
                    </w:rPr>
                    <w:t>钢筋制安</w:t>
                  </w:r>
                </w:p>
              </w:tc>
              <w:tc>
                <w:tcPr>
                  <w:tcW w:w="1014" w:type="dxa"/>
                  <w:shd w:val="clear" w:color="auto" w:fill="auto"/>
                  <w:vAlign w:val="center"/>
                </w:tcPr>
                <w:p>
                  <w:pPr>
                    <w:jc w:val="center"/>
                    <w:rPr>
                      <w:szCs w:val="21"/>
                    </w:rPr>
                  </w:pPr>
                  <w:r>
                    <w:rPr>
                      <w:szCs w:val="21"/>
                    </w:rPr>
                    <w:t>t</w:t>
                  </w:r>
                </w:p>
              </w:tc>
              <w:tc>
                <w:tcPr>
                  <w:tcW w:w="1099" w:type="dxa"/>
                  <w:shd w:val="clear" w:color="auto" w:fill="auto"/>
                  <w:noWrap/>
                </w:tcPr>
                <w:p>
                  <w:pPr>
                    <w:jc w:val="center"/>
                  </w:pPr>
                  <w:r>
                    <w:t xml:space="preserve">81.77 </w:t>
                  </w:r>
                </w:p>
              </w:tc>
              <w:tc>
                <w:tcPr>
                  <w:tcW w:w="3527"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013" w:type="dxa"/>
                  <w:shd w:val="clear" w:color="auto" w:fill="auto"/>
                  <w:noWrap/>
                  <w:vAlign w:val="center"/>
                </w:tcPr>
                <w:p>
                  <w:pPr>
                    <w:jc w:val="center"/>
                    <w:rPr>
                      <w:szCs w:val="21"/>
                    </w:rPr>
                  </w:pPr>
                  <w:r>
                    <w:rPr>
                      <w:rFonts w:hint="eastAsia"/>
                      <w:szCs w:val="21"/>
                    </w:rPr>
                    <w:t>5</w:t>
                  </w:r>
                </w:p>
              </w:tc>
              <w:tc>
                <w:tcPr>
                  <w:tcW w:w="2663" w:type="dxa"/>
                  <w:shd w:val="clear" w:color="auto" w:fill="auto"/>
                  <w:vAlign w:val="center"/>
                </w:tcPr>
                <w:p>
                  <w:pPr>
                    <w:jc w:val="center"/>
                    <w:rPr>
                      <w:szCs w:val="21"/>
                    </w:rPr>
                  </w:pPr>
                  <w:r>
                    <w:rPr>
                      <w:szCs w:val="21"/>
                    </w:rPr>
                    <w:t>C10混凝土垫层</w:t>
                  </w:r>
                </w:p>
              </w:tc>
              <w:tc>
                <w:tcPr>
                  <w:tcW w:w="1014" w:type="dxa"/>
                  <w:shd w:val="clear" w:color="auto" w:fill="auto"/>
                  <w:vAlign w:val="center"/>
                </w:tcPr>
                <w:p>
                  <w:pPr>
                    <w:jc w:val="center"/>
                    <w:rPr>
                      <w:szCs w:val="21"/>
                    </w:rPr>
                  </w:pPr>
                  <w:r>
                    <w:rPr>
                      <w:szCs w:val="21"/>
                    </w:rPr>
                    <w:t>m</w:t>
                  </w:r>
                  <w:r>
                    <w:rPr>
                      <w:szCs w:val="21"/>
                      <w:vertAlign w:val="superscript"/>
                    </w:rPr>
                    <w:t>3</w:t>
                  </w:r>
                </w:p>
              </w:tc>
              <w:tc>
                <w:tcPr>
                  <w:tcW w:w="1099" w:type="dxa"/>
                  <w:shd w:val="clear" w:color="auto" w:fill="auto"/>
                  <w:noWrap/>
                </w:tcPr>
                <w:p>
                  <w:pPr>
                    <w:jc w:val="center"/>
                  </w:pPr>
                  <w:r>
                    <w:t>16.75</w:t>
                  </w:r>
                </w:p>
              </w:tc>
              <w:tc>
                <w:tcPr>
                  <w:tcW w:w="3527" w:type="dxa"/>
                  <w:shd w:val="clear" w:color="auto" w:fill="auto"/>
                  <w:noWrap/>
                  <w:vAlign w:val="center"/>
                </w:tcPr>
                <w:p>
                  <w:pPr>
                    <w:jc w:val="center"/>
                    <w:rPr>
                      <w:szCs w:val="21"/>
                    </w:rPr>
                  </w:pPr>
                  <w:r>
                    <w:rPr>
                      <w:szCs w:val="21"/>
                    </w:rPr>
                    <w:t>二级配</w:t>
                  </w:r>
                </w:p>
              </w:tc>
            </w:tr>
          </w:tbl>
          <w:p/>
          <w:p>
            <w:pPr>
              <w:spacing w:line="360" w:lineRule="auto"/>
              <w:ind w:firstLine="480"/>
              <w:rPr>
                <w:sz w:val="24"/>
              </w:rPr>
            </w:pPr>
            <w:r>
              <w:rPr>
                <w:rFonts w:hint="eastAsia" w:ascii="宋体" w:hAnsi="宋体" w:cs="宋体"/>
                <w:sz w:val="24"/>
              </w:rPr>
              <w:t>⑤</w:t>
            </w:r>
            <w:r>
              <w:rPr>
                <w:sz w:val="24"/>
              </w:rPr>
              <w:t>主要设备</w:t>
            </w:r>
          </w:p>
          <w:p>
            <w:pPr>
              <w:autoSpaceDE w:val="0"/>
              <w:autoSpaceDN w:val="0"/>
              <w:adjustRightInd w:val="0"/>
              <w:spacing w:line="360" w:lineRule="auto"/>
              <w:ind w:firstLine="480" w:firstLineChars="200"/>
              <w:rPr>
                <w:sz w:val="24"/>
              </w:rPr>
            </w:pPr>
            <w:r>
              <w:rPr>
                <w:rFonts w:hint="eastAsia"/>
                <w:sz w:val="24"/>
              </w:rPr>
              <w:t>砂石加工废水处理系统主要设备见表</w:t>
            </w:r>
            <w:r>
              <w:rPr>
                <w:sz w:val="24"/>
              </w:rPr>
              <w:t>3</w:t>
            </w:r>
            <w:r>
              <w:rPr>
                <w:rFonts w:hint="eastAsia"/>
                <w:sz w:val="24"/>
              </w:rPr>
              <w:t>。</w:t>
            </w:r>
          </w:p>
          <w:p>
            <w:pPr>
              <w:jc w:val="left"/>
              <w:rPr>
                <w:rFonts w:ascii="黑体" w:hAnsi="黑体" w:eastAsia="黑体"/>
                <w:sz w:val="24"/>
              </w:rPr>
            </w:pPr>
            <w:r>
              <w:rPr>
                <w:rFonts w:ascii="黑体" w:hAnsi="黑体" w:eastAsia="黑体"/>
                <w:sz w:val="24"/>
              </w:rPr>
              <w:t>表</w:t>
            </w:r>
            <w:r>
              <w:rPr>
                <w:rFonts w:eastAsia="黑体"/>
                <w:sz w:val="24"/>
              </w:rPr>
              <w:t>3</w:t>
            </w:r>
            <w:r>
              <w:rPr>
                <w:rFonts w:ascii="黑体" w:hAnsi="黑体" w:eastAsia="黑体"/>
                <w:sz w:val="24"/>
              </w:rPr>
              <w:t xml:space="preserve">                       砂石</w:t>
            </w:r>
            <w:r>
              <w:rPr>
                <w:rFonts w:hint="eastAsia" w:ascii="黑体" w:hAnsi="黑体" w:eastAsia="黑体"/>
                <w:sz w:val="24"/>
              </w:rPr>
              <w:t>料</w:t>
            </w:r>
            <w:r>
              <w:rPr>
                <w:rFonts w:ascii="黑体" w:hAnsi="黑体" w:eastAsia="黑体"/>
                <w:sz w:val="24"/>
              </w:rPr>
              <w:t>加工</w:t>
            </w:r>
            <w:r>
              <w:rPr>
                <w:rFonts w:hint="eastAsia" w:ascii="黑体" w:hAnsi="黑体" w:eastAsia="黑体"/>
                <w:sz w:val="24"/>
              </w:rPr>
              <w:t>系统</w:t>
            </w:r>
            <w:r>
              <w:rPr>
                <w:rFonts w:ascii="黑体" w:hAnsi="黑体" w:eastAsia="黑体"/>
                <w:sz w:val="24"/>
              </w:rPr>
              <w:t>废水处理系统主要设备</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4645"/>
              <w:gridCol w:w="194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8" w:type="dxa"/>
                  <w:shd w:val="clear" w:color="auto" w:fill="auto"/>
                  <w:vAlign w:val="center"/>
                </w:tcPr>
                <w:p>
                  <w:pPr>
                    <w:pStyle w:val="13"/>
                    <w:jc w:val="center"/>
                    <w:rPr>
                      <w:sz w:val="21"/>
                      <w:szCs w:val="21"/>
                    </w:rPr>
                  </w:pPr>
                  <w:r>
                    <w:rPr>
                      <w:sz w:val="21"/>
                      <w:szCs w:val="21"/>
                    </w:rPr>
                    <w:t>处理系统</w:t>
                  </w:r>
                </w:p>
              </w:tc>
              <w:tc>
                <w:tcPr>
                  <w:tcW w:w="4645" w:type="dxa"/>
                  <w:shd w:val="clear" w:color="auto" w:fill="auto"/>
                  <w:vAlign w:val="center"/>
                </w:tcPr>
                <w:p>
                  <w:pPr>
                    <w:pStyle w:val="13"/>
                    <w:jc w:val="center"/>
                    <w:rPr>
                      <w:sz w:val="21"/>
                      <w:szCs w:val="21"/>
                    </w:rPr>
                  </w:pPr>
                  <w:r>
                    <w:rPr>
                      <w:sz w:val="21"/>
                      <w:szCs w:val="21"/>
                    </w:rPr>
                    <w:t>主要设备名称</w:t>
                  </w:r>
                </w:p>
              </w:tc>
              <w:tc>
                <w:tcPr>
                  <w:tcW w:w="1943" w:type="dxa"/>
                  <w:shd w:val="clear" w:color="auto" w:fill="auto"/>
                  <w:vAlign w:val="center"/>
                </w:tcPr>
                <w:p>
                  <w:pPr>
                    <w:pStyle w:val="13"/>
                    <w:jc w:val="center"/>
                    <w:rPr>
                      <w:sz w:val="21"/>
                      <w:szCs w:val="21"/>
                    </w:rPr>
                  </w:pPr>
                  <w:r>
                    <w:rPr>
                      <w:sz w:val="21"/>
                      <w:szCs w:val="21"/>
                    </w:rPr>
                    <w:t>数量(台/套)</w:t>
                  </w:r>
                </w:p>
              </w:tc>
              <w:tc>
                <w:tcPr>
                  <w:tcW w:w="1590" w:type="dxa"/>
                  <w:shd w:val="clear" w:color="auto" w:fill="auto"/>
                  <w:vAlign w:val="center"/>
                </w:tcPr>
                <w:p>
                  <w:pPr>
                    <w:pStyle w:val="13"/>
                    <w:jc w:val="center"/>
                    <w:rPr>
                      <w:sz w:val="21"/>
                      <w:szCs w:val="21"/>
                    </w:rPr>
                  </w:pPr>
                  <w:r>
                    <w:rPr>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8" w:type="dxa"/>
                  <w:vMerge w:val="restart"/>
                  <w:vAlign w:val="center"/>
                </w:tcPr>
                <w:p>
                  <w:pPr>
                    <w:pStyle w:val="13"/>
                    <w:jc w:val="center"/>
                    <w:rPr>
                      <w:sz w:val="21"/>
                      <w:szCs w:val="21"/>
                    </w:rPr>
                  </w:pPr>
                  <w:r>
                    <w:rPr>
                      <w:sz w:val="21"/>
                      <w:szCs w:val="21"/>
                    </w:rPr>
                    <w:t>砂石加工系统</w:t>
                  </w:r>
                </w:p>
              </w:tc>
              <w:tc>
                <w:tcPr>
                  <w:tcW w:w="4645" w:type="dxa"/>
                  <w:shd w:val="clear" w:color="auto" w:fill="auto"/>
                  <w:vAlign w:val="center"/>
                </w:tcPr>
                <w:p>
                  <w:pPr>
                    <w:pStyle w:val="13"/>
                    <w:jc w:val="center"/>
                    <w:rPr>
                      <w:sz w:val="21"/>
                      <w:szCs w:val="21"/>
                    </w:rPr>
                  </w:pPr>
                  <w:r>
                    <w:rPr>
                      <w:sz w:val="21"/>
                      <w:szCs w:val="21"/>
                    </w:rPr>
                    <w:t>螺旋式砂水分离器</w:t>
                  </w:r>
                </w:p>
              </w:tc>
              <w:tc>
                <w:tcPr>
                  <w:tcW w:w="1943" w:type="dxa"/>
                  <w:shd w:val="clear" w:color="auto" w:fill="auto"/>
                  <w:vAlign w:val="center"/>
                </w:tcPr>
                <w:p>
                  <w:pPr>
                    <w:pStyle w:val="13"/>
                    <w:jc w:val="center"/>
                    <w:rPr>
                      <w:sz w:val="21"/>
                      <w:szCs w:val="21"/>
                    </w:rPr>
                  </w:pPr>
                  <w:r>
                    <w:rPr>
                      <w:sz w:val="21"/>
                      <w:szCs w:val="21"/>
                    </w:rPr>
                    <w:t>1</w:t>
                  </w:r>
                </w:p>
              </w:tc>
              <w:tc>
                <w:tcPr>
                  <w:tcW w:w="1590" w:type="dxa"/>
                  <w:shd w:val="clear" w:color="auto" w:fill="auto"/>
                  <w:vAlign w:val="center"/>
                </w:tcPr>
                <w:p>
                  <w:pPr>
                    <w:pStyle w:val="13"/>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8" w:type="dxa"/>
                  <w:vMerge w:val="continue"/>
                  <w:vAlign w:val="center"/>
                </w:tcPr>
                <w:p>
                  <w:pPr>
                    <w:pStyle w:val="13"/>
                    <w:jc w:val="center"/>
                    <w:rPr>
                      <w:sz w:val="21"/>
                      <w:szCs w:val="21"/>
                    </w:rPr>
                  </w:pPr>
                </w:p>
              </w:tc>
              <w:tc>
                <w:tcPr>
                  <w:tcW w:w="4645" w:type="dxa"/>
                  <w:shd w:val="clear" w:color="auto" w:fill="auto"/>
                  <w:vAlign w:val="center"/>
                </w:tcPr>
                <w:p>
                  <w:pPr>
                    <w:pStyle w:val="13"/>
                    <w:jc w:val="center"/>
                    <w:rPr>
                      <w:sz w:val="21"/>
                      <w:szCs w:val="21"/>
                    </w:rPr>
                  </w:pPr>
                  <w:r>
                    <w:rPr>
                      <w:sz w:val="21"/>
                      <w:szCs w:val="21"/>
                    </w:rPr>
                    <w:t>JY-</w:t>
                  </w:r>
                  <w:r>
                    <w:rPr>
                      <w:rFonts w:hint="eastAsia"/>
                      <w:sz w:val="21"/>
                      <w:szCs w:val="21"/>
                    </w:rPr>
                    <w:t>Ⅱ</w:t>
                  </w:r>
                  <w:r>
                    <w:rPr>
                      <w:sz w:val="21"/>
                      <w:szCs w:val="21"/>
                    </w:rPr>
                    <w:t>型加药机</w:t>
                  </w:r>
                </w:p>
              </w:tc>
              <w:tc>
                <w:tcPr>
                  <w:tcW w:w="1943" w:type="dxa"/>
                  <w:shd w:val="clear" w:color="auto" w:fill="auto"/>
                  <w:vAlign w:val="center"/>
                </w:tcPr>
                <w:p>
                  <w:pPr>
                    <w:pStyle w:val="13"/>
                    <w:jc w:val="center"/>
                    <w:rPr>
                      <w:sz w:val="21"/>
                      <w:szCs w:val="21"/>
                    </w:rPr>
                  </w:pPr>
                  <w:r>
                    <w:rPr>
                      <w:sz w:val="21"/>
                      <w:szCs w:val="21"/>
                    </w:rPr>
                    <w:t>1</w:t>
                  </w:r>
                </w:p>
              </w:tc>
              <w:tc>
                <w:tcPr>
                  <w:tcW w:w="1590" w:type="dxa"/>
                  <w:shd w:val="clear" w:color="auto" w:fill="auto"/>
                  <w:vAlign w:val="center"/>
                </w:tcPr>
                <w:p>
                  <w:pPr>
                    <w:pStyle w:val="13"/>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8" w:type="dxa"/>
                  <w:vMerge w:val="continue"/>
                  <w:vAlign w:val="center"/>
                </w:tcPr>
                <w:p>
                  <w:pPr>
                    <w:pStyle w:val="13"/>
                    <w:jc w:val="center"/>
                    <w:rPr>
                      <w:sz w:val="21"/>
                      <w:szCs w:val="21"/>
                    </w:rPr>
                  </w:pPr>
                </w:p>
              </w:tc>
              <w:tc>
                <w:tcPr>
                  <w:tcW w:w="4645" w:type="dxa"/>
                  <w:shd w:val="clear" w:color="auto" w:fill="auto"/>
                  <w:vAlign w:val="center"/>
                </w:tcPr>
                <w:p>
                  <w:pPr>
                    <w:pStyle w:val="13"/>
                    <w:jc w:val="center"/>
                    <w:rPr>
                      <w:sz w:val="21"/>
                      <w:szCs w:val="21"/>
                    </w:rPr>
                  </w:pPr>
                  <w:r>
                    <w:rPr>
                      <w:sz w:val="21"/>
                      <w:szCs w:val="21"/>
                    </w:rPr>
                    <w:t>GW-450型管式静态混合器</w:t>
                  </w:r>
                </w:p>
              </w:tc>
              <w:tc>
                <w:tcPr>
                  <w:tcW w:w="1943" w:type="dxa"/>
                  <w:shd w:val="clear" w:color="auto" w:fill="auto"/>
                  <w:vAlign w:val="center"/>
                </w:tcPr>
                <w:p>
                  <w:pPr>
                    <w:pStyle w:val="13"/>
                    <w:jc w:val="center"/>
                    <w:rPr>
                      <w:sz w:val="21"/>
                      <w:szCs w:val="21"/>
                    </w:rPr>
                  </w:pPr>
                  <w:r>
                    <w:rPr>
                      <w:sz w:val="21"/>
                      <w:szCs w:val="21"/>
                    </w:rPr>
                    <w:t>1</w:t>
                  </w:r>
                </w:p>
              </w:tc>
              <w:tc>
                <w:tcPr>
                  <w:tcW w:w="1590" w:type="dxa"/>
                  <w:shd w:val="clear" w:color="auto" w:fill="auto"/>
                  <w:vAlign w:val="center"/>
                </w:tcPr>
                <w:p>
                  <w:pPr>
                    <w:pStyle w:val="13"/>
                    <w:jc w:val="center"/>
                    <w:rPr>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8" w:type="dxa"/>
                  <w:vMerge w:val="continue"/>
                  <w:vAlign w:val="center"/>
                </w:tcPr>
                <w:p>
                  <w:pPr>
                    <w:pStyle w:val="13"/>
                    <w:jc w:val="center"/>
                    <w:rPr>
                      <w:sz w:val="21"/>
                      <w:szCs w:val="21"/>
                    </w:rPr>
                  </w:pPr>
                </w:p>
              </w:tc>
              <w:tc>
                <w:tcPr>
                  <w:tcW w:w="4645" w:type="dxa"/>
                  <w:shd w:val="clear" w:color="auto" w:fill="auto"/>
                  <w:vAlign w:val="center"/>
                </w:tcPr>
                <w:p>
                  <w:pPr>
                    <w:pStyle w:val="13"/>
                    <w:jc w:val="center"/>
                    <w:rPr>
                      <w:sz w:val="21"/>
                      <w:szCs w:val="21"/>
                    </w:rPr>
                  </w:pPr>
                  <w:r>
                    <w:rPr>
                      <w:sz w:val="21"/>
                      <w:szCs w:val="21"/>
                    </w:rPr>
                    <w:t>污泥提升泵</w:t>
                  </w:r>
                </w:p>
              </w:tc>
              <w:tc>
                <w:tcPr>
                  <w:tcW w:w="1943" w:type="dxa"/>
                  <w:shd w:val="clear" w:color="auto" w:fill="auto"/>
                  <w:vAlign w:val="center"/>
                </w:tcPr>
                <w:p>
                  <w:pPr>
                    <w:pStyle w:val="13"/>
                    <w:jc w:val="center"/>
                    <w:rPr>
                      <w:sz w:val="21"/>
                      <w:szCs w:val="21"/>
                    </w:rPr>
                  </w:pPr>
                  <w:r>
                    <w:rPr>
                      <w:sz w:val="21"/>
                      <w:szCs w:val="21"/>
                    </w:rPr>
                    <w:t>4</w:t>
                  </w:r>
                </w:p>
              </w:tc>
              <w:tc>
                <w:tcPr>
                  <w:tcW w:w="1590" w:type="dxa"/>
                  <w:shd w:val="clear" w:color="auto" w:fill="auto"/>
                  <w:vAlign w:val="center"/>
                </w:tcPr>
                <w:p>
                  <w:pPr>
                    <w:pStyle w:val="13"/>
                    <w:jc w:val="center"/>
                    <w:rPr>
                      <w:sz w:val="21"/>
                      <w:szCs w:val="21"/>
                    </w:rPr>
                  </w:pPr>
                  <w:r>
                    <w:rPr>
                      <w:sz w:val="21"/>
                      <w:szCs w:val="21"/>
                    </w:rPr>
                    <w:t>2用2备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8" w:type="dxa"/>
                  <w:vMerge w:val="continue"/>
                  <w:vAlign w:val="center"/>
                </w:tcPr>
                <w:p>
                  <w:pPr>
                    <w:pStyle w:val="13"/>
                    <w:jc w:val="center"/>
                    <w:rPr>
                      <w:sz w:val="21"/>
                      <w:szCs w:val="21"/>
                    </w:rPr>
                  </w:pPr>
                </w:p>
              </w:tc>
              <w:tc>
                <w:tcPr>
                  <w:tcW w:w="4645" w:type="dxa"/>
                  <w:shd w:val="clear" w:color="auto" w:fill="auto"/>
                  <w:noWrap/>
                  <w:vAlign w:val="center"/>
                </w:tcPr>
                <w:p>
                  <w:pPr>
                    <w:pStyle w:val="13"/>
                    <w:jc w:val="center"/>
                    <w:rPr>
                      <w:sz w:val="21"/>
                      <w:szCs w:val="21"/>
                    </w:rPr>
                  </w:pPr>
                  <w:r>
                    <w:rPr>
                      <w:sz w:val="21"/>
                      <w:szCs w:val="21"/>
                    </w:rPr>
                    <w:t>回用水泵</w:t>
                  </w:r>
                </w:p>
              </w:tc>
              <w:tc>
                <w:tcPr>
                  <w:tcW w:w="1943" w:type="dxa"/>
                  <w:shd w:val="clear" w:color="auto" w:fill="auto"/>
                  <w:vAlign w:val="center"/>
                </w:tcPr>
                <w:p>
                  <w:pPr>
                    <w:pStyle w:val="13"/>
                    <w:jc w:val="center"/>
                    <w:rPr>
                      <w:sz w:val="21"/>
                      <w:szCs w:val="21"/>
                    </w:rPr>
                  </w:pPr>
                  <w:r>
                    <w:rPr>
                      <w:sz w:val="21"/>
                      <w:szCs w:val="21"/>
                    </w:rPr>
                    <w:t>2</w:t>
                  </w:r>
                </w:p>
              </w:tc>
              <w:tc>
                <w:tcPr>
                  <w:tcW w:w="1590" w:type="dxa"/>
                  <w:shd w:val="clear" w:color="auto" w:fill="auto"/>
                  <w:vAlign w:val="center"/>
                </w:tcPr>
                <w:p>
                  <w:pPr>
                    <w:pStyle w:val="13"/>
                    <w:jc w:val="center"/>
                    <w:rPr>
                      <w:sz w:val="21"/>
                      <w:szCs w:val="21"/>
                    </w:rPr>
                  </w:pPr>
                  <w:r>
                    <w:rPr>
                      <w:sz w:val="21"/>
                      <w:szCs w:val="21"/>
                    </w:rPr>
                    <w:t>1用1备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38" w:type="dxa"/>
                  <w:vMerge w:val="continue"/>
                  <w:vAlign w:val="center"/>
                </w:tcPr>
                <w:p>
                  <w:pPr>
                    <w:pStyle w:val="13"/>
                    <w:jc w:val="center"/>
                    <w:rPr>
                      <w:sz w:val="21"/>
                      <w:szCs w:val="21"/>
                    </w:rPr>
                  </w:pPr>
                </w:p>
              </w:tc>
              <w:tc>
                <w:tcPr>
                  <w:tcW w:w="4645" w:type="dxa"/>
                  <w:shd w:val="clear" w:color="auto" w:fill="auto"/>
                  <w:noWrap/>
                  <w:vAlign w:val="center"/>
                </w:tcPr>
                <w:p>
                  <w:pPr>
                    <w:pStyle w:val="13"/>
                    <w:jc w:val="center"/>
                    <w:rPr>
                      <w:sz w:val="21"/>
                      <w:szCs w:val="21"/>
                    </w:rPr>
                  </w:pPr>
                  <w:r>
                    <w:rPr>
                      <w:rFonts w:hint="eastAsia"/>
                      <w:sz w:val="21"/>
                      <w:szCs w:val="21"/>
                    </w:rPr>
                    <w:t>刮泥机</w:t>
                  </w:r>
                </w:p>
              </w:tc>
              <w:tc>
                <w:tcPr>
                  <w:tcW w:w="1943" w:type="dxa"/>
                  <w:shd w:val="clear" w:color="auto" w:fill="auto"/>
                  <w:vAlign w:val="center"/>
                </w:tcPr>
                <w:p>
                  <w:pPr>
                    <w:pStyle w:val="13"/>
                    <w:jc w:val="center"/>
                    <w:rPr>
                      <w:sz w:val="21"/>
                      <w:szCs w:val="21"/>
                    </w:rPr>
                  </w:pPr>
                  <w:r>
                    <w:rPr>
                      <w:sz w:val="21"/>
                      <w:szCs w:val="21"/>
                    </w:rPr>
                    <w:t>1</w:t>
                  </w:r>
                </w:p>
              </w:tc>
              <w:tc>
                <w:tcPr>
                  <w:tcW w:w="1590" w:type="dxa"/>
                  <w:shd w:val="clear" w:color="auto" w:fill="auto"/>
                  <w:vAlign w:val="center"/>
                </w:tcPr>
                <w:p>
                  <w:pPr>
                    <w:pStyle w:val="13"/>
                    <w:jc w:val="center"/>
                    <w:rPr>
                      <w:sz w:val="21"/>
                      <w:szCs w:val="21"/>
                    </w:rPr>
                  </w:pPr>
                </w:p>
              </w:tc>
            </w:tr>
          </w:tbl>
          <w:p>
            <w:pPr>
              <w:spacing w:line="360" w:lineRule="auto"/>
              <w:ind w:firstLine="493"/>
            </w:pPr>
          </w:p>
          <w:p>
            <w:pPr>
              <w:spacing w:line="360" w:lineRule="auto"/>
              <w:ind w:firstLine="480"/>
              <w:rPr>
                <w:sz w:val="24"/>
              </w:rPr>
            </w:pPr>
            <w:r>
              <w:rPr>
                <w:rFonts w:hint="eastAsia" w:ascii="宋体" w:hAnsi="宋体" w:cs="宋体"/>
                <w:sz w:val="24"/>
              </w:rPr>
              <w:t>⑥</w:t>
            </w:r>
            <w:r>
              <w:rPr>
                <w:sz w:val="24"/>
              </w:rPr>
              <w:t>运行管理与维护</w:t>
            </w:r>
          </w:p>
          <w:p>
            <w:pPr>
              <w:spacing w:line="360" w:lineRule="auto"/>
              <w:ind w:firstLine="480"/>
              <w:rPr>
                <w:sz w:val="24"/>
              </w:rPr>
            </w:pPr>
            <w:r>
              <w:rPr>
                <w:rFonts w:hint="eastAsia"/>
                <w:sz w:val="24"/>
              </w:rPr>
              <w:t>a.按照“三同时”要求，为了保证废水处理系统有效运行，建设单位应把废水处理站的建设与有效运行作为合同的条款之一纳入工程承包合同，进行达标验收</w:t>
            </w:r>
            <w:r>
              <w:rPr>
                <w:sz w:val="24"/>
              </w:rPr>
              <w:t>。</w:t>
            </w:r>
          </w:p>
          <w:p>
            <w:pPr>
              <w:spacing w:line="360" w:lineRule="auto"/>
              <w:ind w:firstLine="480"/>
              <w:rPr>
                <w:sz w:val="24"/>
              </w:rPr>
            </w:pPr>
            <w:r>
              <w:rPr>
                <w:rFonts w:hint="eastAsia"/>
                <w:sz w:val="24"/>
              </w:rPr>
              <w:t>b.工程环境管理部门应定期对处理站的管理运行进行监督检查，掌握废水处理站运行情况，对不良情况提出口头和书面的整改意见</w:t>
            </w:r>
            <w:r>
              <w:rPr>
                <w:sz w:val="24"/>
              </w:rPr>
              <w:t>。</w:t>
            </w:r>
          </w:p>
          <w:p>
            <w:pPr>
              <w:spacing w:line="360" w:lineRule="auto"/>
              <w:ind w:firstLine="480"/>
              <w:rPr>
                <w:sz w:val="24"/>
              </w:rPr>
            </w:pPr>
            <w:r>
              <w:rPr>
                <w:rFonts w:hint="eastAsia"/>
                <w:sz w:val="24"/>
              </w:rPr>
              <w:t>c.运行管理费应专款专用，特别是运渣费和管理费，以保证废水处理站的正常运行</w:t>
            </w:r>
            <w:r>
              <w:rPr>
                <w:sz w:val="24"/>
              </w:rPr>
              <w:t>。</w:t>
            </w:r>
          </w:p>
          <w:p>
            <w:pPr>
              <w:spacing w:line="360" w:lineRule="auto"/>
              <w:ind w:firstLine="480"/>
              <w:rPr>
                <w:sz w:val="24"/>
              </w:rPr>
            </w:pPr>
            <w:r>
              <w:rPr>
                <w:rFonts w:hint="eastAsia"/>
                <w:sz w:val="24"/>
              </w:rPr>
              <w:t>d.由于废水处理工艺的絮凝沉淀部分机械化和自动化程度较高，对管理人员有一定技术要求，所以应组织废水处理站的管理维护人员在上岗前接受专项技术操作培训，并严格制订操作规程，以保证废水处理站的良好运行。</w:t>
            </w:r>
          </w:p>
          <w:p>
            <w:pPr>
              <w:spacing w:line="360" w:lineRule="auto"/>
              <w:ind w:firstLine="480"/>
              <w:rPr>
                <w:sz w:val="24"/>
              </w:rPr>
            </w:pPr>
            <w:r>
              <w:rPr>
                <w:rFonts w:hint="eastAsia"/>
                <w:sz w:val="24"/>
              </w:rPr>
              <w:t>（2）混凝土拌和系统废水</w:t>
            </w:r>
          </w:p>
          <w:p>
            <w:pPr>
              <w:spacing w:line="360" w:lineRule="auto"/>
              <w:ind w:firstLine="480"/>
              <w:rPr>
                <w:sz w:val="24"/>
              </w:rPr>
            </w:pPr>
            <w:r>
              <w:rPr>
                <w:rFonts w:hint="eastAsia" w:ascii="宋体" w:hAnsi="宋体" w:cs="宋体"/>
                <w:sz w:val="24"/>
              </w:rPr>
              <w:t>①</w:t>
            </w:r>
            <w:r>
              <w:rPr>
                <w:sz w:val="24"/>
              </w:rPr>
              <w:t>废水排放情况</w:t>
            </w:r>
          </w:p>
          <w:p>
            <w:pPr>
              <w:spacing w:line="360" w:lineRule="auto"/>
              <w:ind w:firstLine="480"/>
              <w:rPr>
                <w:sz w:val="24"/>
              </w:rPr>
            </w:pPr>
            <w:r>
              <w:rPr>
                <w:rFonts w:hint="eastAsia"/>
                <w:sz w:val="24"/>
              </w:rPr>
              <w:t>本工程共设置2处混凝土拌和系统，其中1座为沥青混凝土拌和，不产生冲洗废水，本次针对另一座产生废水的水泥混凝土拌和系统进行设计。混凝土</w:t>
            </w:r>
            <w:r>
              <w:rPr>
                <w:sz w:val="24"/>
              </w:rPr>
              <w:t>拌和站高峰期废水排放量为0.9m</w:t>
            </w:r>
            <w:r>
              <w:rPr>
                <w:sz w:val="24"/>
                <w:vertAlign w:val="superscript"/>
              </w:rPr>
              <w:t>3</w:t>
            </w:r>
            <w:r>
              <w:rPr>
                <w:sz w:val="24"/>
              </w:rPr>
              <w:t>/h，废水污染物主要是SS，浓度约为5000mg/L，pH值11～12，呈碱性。</w:t>
            </w:r>
          </w:p>
          <w:p>
            <w:pPr>
              <w:spacing w:line="360" w:lineRule="auto"/>
              <w:ind w:firstLine="480"/>
              <w:rPr>
                <w:sz w:val="24"/>
              </w:rPr>
            </w:pPr>
            <w:r>
              <w:rPr>
                <w:rFonts w:hint="eastAsia" w:ascii="宋体" w:hAnsi="宋体" w:cs="宋体"/>
                <w:sz w:val="24"/>
              </w:rPr>
              <w:t>②</w:t>
            </w:r>
            <w:r>
              <w:rPr>
                <w:sz w:val="24"/>
              </w:rPr>
              <w:t>处理目标</w:t>
            </w:r>
          </w:p>
          <w:p>
            <w:pPr>
              <w:spacing w:line="360" w:lineRule="auto"/>
              <w:ind w:firstLine="480"/>
              <w:rPr>
                <w:sz w:val="24"/>
              </w:rPr>
            </w:pPr>
            <w:r>
              <w:rPr>
                <w:sz w:val="24"/>
              </w:rPr>
              <w:t>按照环境保护和节约水资源的要求，混凝土拌和</w:t>
            </w:r>
            <w:r>
              <w:rPr>
                <w:rFonts w:hint="eastAsia"/>
                <w:sz w:val="24"/>
              </w:rPr>
              <w:t>系统</w:t>
            </w:r>
            <w:r>
              <w:rPr>
                <w:sz w:val="24"/>
              </w:rPr>
              <w:t>废水处理后全部回用，不外排。根据《水工混凝土施工规范》（SL677-2014）对混凝土养护用水水质要求，处理后的混凝土拌和废水SS＜2000mg/L即可满足混凝土拌和要求</w:t>
            </w:r>
            <w:r>
              <w:rPr>
                <w:rFonts w:hint="eastAsia"/>
                <w:sz w:val="24"/>
              </w:rPr>
              <w:t>。</w:t>
            </w:r>
          </w:p>
          <w:p>
            <w:pPr>
              <w:spacing w:line="360" w:lineRule="auto"/>
              <w:ind w:firstLine="480"/>
              <w:rPr>
                <w:sz w:val="24"/>
              </w:rPr>
            </w:pPr>
            <w:r>
              <w:rPr>
                <w:rFonts w:hint="eastAsia" w:ascii="宋体" w:hAnsi="宋体" w:cs="宋体"/>
                <w:sz w:val="24"/>
              </w:rPr>
              <w:t>③</w:t>
            </w:r>
            <w:r>
              <w:rPr>
                <w:sz w:val="24"/>
              </w:rPr>
              <w:t>处理工艺</w:t>
            </w:r>
          </w:p>
          <w:p>
            <w:pPr>
              <w:spacing w:line="360" w:lineRule="auto"/>
              <w:ind w:firstLine="480"/>
              <w:rPr>
                <w:sz w:val="24"/>
              </w:rPr>
            </w:pPr>
            <w:r>
              <w:rPr>
                <w:sz w:val="24"/>
              </w:rPr>
              <w:t>混凝土拌和废水采用</w:t>
            </w:r>
            <w:r>
              <w:rPr>
                <w:rFonts w:hint="eastAsia"/>
                <w:sz w:val="24"/>
              </w:rPr>
              <w:t>中和</w:t>
            </w:r>
            <w:r>
              <w:rPr>
                <w:sz w:val="24"/>
              </w:rPr>
              <w:t>沉淀法处理工艺。废水先进入调节池，去除大部分悬浮物，再进入沉淀池进一步处理，出水回用。流程见图2。废水先进入调节预沉池，去除大部分悬浮物，再进入絮凝沉淀池进一步处理，沉淀池出水进入清水池，处理后的水回用混凝土拌和。</w:t>
            </w:r>
          </w:p>
          <w:p>
            <w:pPr>
              <w:autoSpaceDE w:val="0"/>
              <w:autoSpaceDN w:val="0"/>
              <w:adjustRightInd w:val="0"/>
              <w:spacing w:line="360" w:lineRule="auto"/>
            </w:pPr>
            <w:r>
              <w:drawing>
                <wp:inline distT="0" distB="0" distL="0" distR="0">
                  <wp:extent cx="5534025" cy="1266825"/>
                  <wp:effectExtent l="0" t="0" r="9525" b="9525"/>
                  <wp:docPr id="3" name="图片 3" descr="混凝土处理流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混凝土处理流程.jpg"/>
                          <pic:cNvPicPr>
                            <a:picLocks noChangeAspect="1" noChangeArrowheads="1"/>
                          </pic:cNvPicPr>
                        </pic:nvPicPr>
                        <pic:blipFill>
                          <a:blip r:embed="rId18" cstate="print">
                            <a:extLst>
                              <a:ext uri="{28A0092B-C50C-407E-A947-70E740481C1C}">
                                <a14:useLocalDpi xmlns:a14="http://schemas.microsoft.com/office/drawing/2010/main" val="0"/>
                              </a:ext>
                            </a:extLst>
                          </a:blip>
                          <a:srcRect l="1273" t="5405" r="1508" b="4730"/>
                          <a:stretch>
                            <a:fillRect/>
                          </a:stretch>
                        </pic:blipFill>
                        <pic:spPr>
                          <a:xfrm>
                            <a:off x="0" y="0"/>
                            <a:ext cx="5534025" cy="1266825"/>
                          </a:xfrm>
                          <a:prstGeom prst="rect">
                            <a:avLst/>
                          </a:prstGeom>
                          <a:noFill/>
                          <a:ln>
                            <a:noFill/>
                          </a:ln>
                        </pic:spPr>
                      </pic:pic>
                    </a:graphicData>
                  </a:graphic>
                </wp:inline>
              </w:drawing>
            </w:r>
          </w:p>
          <w:p>
            <w:pPr>
              <w:jc w:val="center"/>
              <w:rPr>
                <w:rFonts w:ascii="黑体" w:hAnsi="黑体" w:eastAsia="黑体"/>
                <w:sz w:val="24"/>
              </w:rPr>
            </w:pPr>
            <w:r>
              <w:rPr>
                <w:rFonts w:ascii="黑体" w:hAnsi="黑体" w:eastAsia="黑体"/>
                <w:sz w:val="24"/>
              </w:rPr>
              <w:t>图</w:t>
            </w:r>
            <w:r>
              <w:rPr>
                <w:rFonts w:eastAsia="黑体"/>
                <w:sz w:val="24"/>
              </w:rPr>
              <w:t>2</w:t>
            </w:r>
            <w:r>
              <w:rPr>
                <w:rFonts w:ascii="黑体" w:hAnsi="黑体" w:eastAsia="黑体"/>
                <w:sz w:val="24"/>
              </w:rPr>
              <w:t xml:space="preserve"> 混凝土拌和系统废水处理工艺流程示意图</w:t>
            </w:r>
          </w:p>
          <w:p>
            <w:pPr>
              <w:spacing w:line="360" w:lineRule="auto"/>
              <w:ind w:firstLine="480"/>
              <w:rPr>
                <w:sz w:val="24"/>
              </w:rPr>
            </w:pPr>
            <w:r>
              <w:rPr>
                <w:rFonts w:hint="eastAsia" w:ascii="宋体" w:hAnsi="宋体" w:cs="宋体"/>
                <w:sz w:val="24"/>
              </w:rPr>
              <w:t>④</w:t>
            </w:r>
            <w:r>
              <w:rPr>
                <w:sz w:val="24"/>
              </w:rPr>
              <w:t>处理工艺设计</w:t>
            </w:r>
          </w:p>
          <w:p>
            <w:pPr>
              <w:spacing w:line="360" w:lineRule="auto"/>
              <w:ind w:firstLine="480"/>
              <w:rPr>
                <w:sz w:val="24"/>
              </w:rPr>
            </w:pPr>
            <w:r>
              <w:rPr>
                <w:sz w:val="24"/>
              </w:rPr>
              <w:t>在混凝土拌和系统修建预沉池、沉淀池和清水池各1座，配回用水泵2台（1用1备）。</w:t>
            </w:r>
          </w:p>
          <w:p>
            <w:pPr>
              <w:spacing w:line="360" w:lineRule="auto"/>
              <w:ind w:firstLine="480"/>
              <w:rPr>
                <w:sz w:val="24"/>
              </w:rPr>
            </w:pPr>
            <w:r>
              <w:rPr>
                <w:sz w:val="24"/>
              </w:rPr>
              <w:t>混凝土拌和废水按每2h排放一次进行设计；预沉池设计停留时间1d，清泥周期3d；沉淀池设计停留时间1d，清泥周期7d；清水池设计停留时间1d。沉淀池、清水池的设计容积还需考虑一定的水量变动系数。混凝土拌和废水处理设施主要构筑物见表4，工程量及设备见表5。</w:t>
            </w:r>
          </w:p>
          <w:p>
            <w:pPr>
              <w:jc w:val="left"/>
              <w:rPr>
                <w:rFonts w:ascii="黑体" w:hAnsi="黑体" w:eastAsia="黑体"/>
                <w:sz w:val="24"/>
              </w:rPr>
            </w:pPr>
            <w:r>
              <w:rPr>
                <w:rFonts w:ascii="黑体" w:hAnsi="黑体" w:eastAsia="黑体"/>
                <w:sz w:val="24"/>
              </w:rPr>
              <w:t>表</w:t>
            </w:r>
            <w:r>
              <w:rPr>
                <w:rFonts w:eastAsia="黑体"/>
                <w:sz w:val="24"/>
              </w:rPr>
              <w:t>4</w:t>
            </w:r>
            <w:r>
              <w:rPr>
                <w:rFonts w:ascii="黑体" w:hAnsi="黑体" w:eastAsia="黑体"/>
                <w:sz w:val="24"/>
              </w:rPr>
              <w:t xml:space="preserve">                        混凝土冲洗废水处理设施主要构筑物</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6"/>
              <w:gridCol w:w="1846"/>
              <w:gridCol w:w="1364"/>
              <w:gridCol w:w="1612"/>
              <w:gridCol w:w="1612"/>
              <w:gridCol w:w="13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486" w:type="dxa"/>
                  <w:vMerge w:val="restart"/>
                  <w:vAlign w:val="center"/>
                </w:tcPr>
                <w:p>
                  <w:pPr>
                    <w:jc w:val="center"/>
                    <w:rPr>
                      <w:szCs w:val="21"/>
                    </w:rPr>
                  </w:pPr>
                  <w:r>
                    <w:rPr>
                      <w:szCs w:val="21"/>
                    </w:rPr>
                    <w:t>处理系统</w:t>
                  </w:r>
                </w:p>
              </w:tc>
              <w:tc>
                <w:tcPr>
                  <w:tcW w:w="1846" w:type="dxa"/>
                  <w:vMerge w:val="restart"/>
                  <w:vAlign w:val="center"/>
                </w:tcPr>
                <w:p>
                  <w:pPr>
                    <w:jc w:val="center"/>
                    <w:rPr>
                      <w:szCs w:val="21"/>
                    </w:rPr>
                  </w:pPr>
                  <w:r>
                    <w:rPr>
                      <w:szCs w:val="21"/>
                    </w:rPr>
                    <w:t>构筑物名称</w:t>
                  </w:r>
                </w:p>
              </w:tc>
              <w:tc>
                <w:tcPr>
                  <w:tcW w:w="1364" w:type="dxa"/>
                  <w:vMerge w:val="restart"/>
                  <w:vAlign w:val="center"/>
                </w:tcPr>
                <w:p>
                  <w:pPr>
                    <w:jc w:val="center"/>
                    <w:rPr>
                      <w:szCs w:val="21"/>
                    </w:rPr>
                  </w:pPr>
                  <w:r>
                    <w:rPr>
                      <w:szCs w:val="21"/>
                    </w:rPr>
                    <w:t>数量(座)</w:t>
                  </w:r>
                </w:p>
              </w:tc>
              <w:tc>
                <w:tcPr>
                  <w:tcW w:w="4620" w:type="dxa"/>
                  <w:gridSpan w:val="3"/>
                  <w:vAlign w:val="center"/>
                </w:tcPr>
                <w:p>
                  <w:pPr>
                    <w:jc w:val="center"/>
                    <w:rPr>
                      <w:szCs w:val="21"/>
                    </w:rPr>
                  </w:pPr>
                  <w:r>
                    <w:rPr>
                      <w:szCs w:val="21"/>
                    </w:rPr>
                    <w:t>单池净尺寸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486" w:type="dxa"/>
                  <w:vMerge w:val="continue"/>
                  <w:vAlign w:val="center"/>
                </w:tcPr>
                <w:p>
                  <w:pPr>
                    <w:jc w:val="center"/>
                    <w:rPr>
                      <w:szCs w:val="21"/>
                    </w:rPr>
                  </w:pPr>
                </w:p>
              </w:tc>
              <w:tc>
                <w:tcPr>
                  <w:tcW w:w="1846" w:type="dxa"/>
                  <w:vMerge w:val="continue"/>
                  <w:vAlign w:val="center"/>
                </w:tcPr>
                <w:p>
                  <w:pPr>
                    <w:jc w:val="center"/>
                    <w:rPr>
                      <w:szCs w:val="21"/>
                    </w:rPr>
                  </w:pPr>
                </w:p>
              </w:tc>
              <w:tc>
                <w:tcPr>
                  <w:tcW w:w="1364" w:type="dxa"/>
                  <w:vMerge w:val="continue"/>
                  <w:vAlign w:val="center"/>
                </w:tcPr>
                <w:p>
                  <w:pPr>
                    <w:jc w:val="center"/>
                    <w:rPr>
                      <w:szCs w:val="21"/>
                    </w:rPr>
                  </w:pPr>
                </w:p>
              </w:tc>
              <w:tc>
                <w:tcPr>
                  <w:tcW w:w="1612" w:type="dxa"/>
                  <w:vAlign w:val="center"/>
                </w:tcPr>
                <w:p>
                  <w:pPr>
                    <w:jc w:val="center"/>
                    <w:rPr>
                      <w:szCs w:val="21"/>
                    </w:rPr>
                  </w:pPr>
                  <w:r>
                    <w:rPr>
                      <w:szCs w:val="21"/>
                    </w:rPr>
                    <w:t>长(m)</w:t>
                  </w:r>
                </w:p>
              </w:tc>
              <w:tc>
                <w:tcPr>
                  <w:tcW w:w="1612" w:type="dxa"/>
                  <w:vAlign w:val="center"/>
                </w:tcPr>
                <w:p>
                  <w:pPr>
                    <w:jc w:val="center"/>
                    <w:rPr>
                      <w:szCs w:val="21"/>
                    </w:rPr>
                  </w:pPr>
                  <w:r>
                    <w:rPr>
                      <w:szCs w:val="21"/>
                    </w:rPr>
                    <w:t>宽(m)</w:t>
                  </w:r>
                </w:p>
              </w:tc>
              <w:tc>
                <w:tcPr>
                  <w:tcW w:w="1396" w:type="dxa"/>
                  <w:vAlign w:val="center"/>
                </w:tcPr>
                <w:p>
                  <w:pPr>
                    <w:jc w:val="center"/>
                    <w:rPr>
                      <w:szCs w:val="21"/>
                    </w:rPr>
                  </w:pPr>
                  <w:r>
                    <w:rPr>
                      <w:szCs w:val="21"/>
                    </w:rPr>
                    <w:t>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486" w:type="dxa"/>
                  <w:vMerge w:val="restart"/>
                  <w:vAlign w:val="center"/>
                </w:tcPr>
                <w:p>
                  <w:pPr>
                    <w:jc w:val="center"/>
                    <w:rPr>
                      <w:szCs w:val="21"/>
                    </w:rPr>
                  </w:pPr>
                  <w:r>
                    <w:rPr>
                      <w:szCs w:val="21"/>
                    </w:rPr>
                    <w:t>混凝土拌和废水处理系统</w:t>
                  </w:r>
                </w:p>
              </w:tc>
              <w:tc>
                <w:tcPr>
                  <w:tcW w:w="1846" w:type="dxa"/>
                  <w:vAlign w:val="center"/>
                </w:tcPr>
                <w:p>
                  <w:pPr>
                    <w:jc w:val="center"/>
                    <w:rPr>
                      <w:szCs w:val="21"/>
                    </w:rPr>
                  </w:pPr>
                  <w:r>
                    <w:rPr>
                      <w:szCs w:val="21"/>
                    </w:rPr>
                    <w:t>调节预沉池</w:t>
                  </w:r>
                </w:p>
              </w:tc>
              <w:tc>
                <w:tcPr>
                  <w:tcW w:w="1364" w:type="dxa"/>
                  <w:vAlign w:val="center"/>
                </w:tcPr>
                <w:p>
                  <w:pPr>
                    <w:jc w:val="center"/>
                    <w:rPr>
                      <w:szCs w:val="21"/>
                    </w:rPr>
                  </w:pPr>
                  <w:r>
                    <w:rPr>
                      <w:szCs w:val="21"/>
                    </w:rPr>
                    <w:t>1</w:t>
                  </w:r>
                </w:p>
              </w:tc>
              <w:tc>
                <w:tcPr>
                  <w:tcW w:w="1612" w:type="dxa"/>
                  <w:vAlign w:val="center"/>
                </w:tcPr>
                <w:p>
                  <w:pPr>
                    <w:jc w:val="center"/>
                    <w:rPr>
                      <w:szCs w:val="21"/>
                    </w:rPr>
                  </w:pPr>
                  <w:r>
                    <w:rPr>
                      <w:szCs w:val="21"/>
                    </w:rPr>
                    <w:t>4</w:t>
                  </w:r>
                </w:p>
              </w:tc>
              <w:tc>
                <w:tcPr>
                  <w:tcW w:w="1612" w:type="dxa"/>
                  <w:vAlign w:val="center"/>
                </w:tcPr>
                <w:p>
                  <w:pPr>
                    <w:jc w:val="center"/>
                    <w:rPr>
                      <w:szCs w:val="21"/>
                    </w:rPr>
                  </w:pPr>
                  <w:r>
                    <w:rPr>
                      <w:szCs w:val="21"/>
                    </w:rPr>
                    <w:t>2</w:t>
                  </w:r>
                </w:p>
              </w:tc>
              <w:tc>
                <w:tcPr>
                  <w:tcW w:w="1396" w:type="dxa"/>
                  <w:vAlign w:val="center"/>
                </w:tcPr>
                <w:p>
                  <w:pPr>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86" w:type="dxa"/>
                  <w:vMerge w:val="continue"/>
                  <w:vAlign w:val="center"/>
                </w:tcPr>
                <w:p>
                  <w:pPr>
                    <w:jc w:val="center"/>
                    <w:rPr>
                      <w:szCs w:val="21"/>
                    </w:rPr>
                  </w:pPr>
                </w:p>
              </w:tc>
              <w:tc>
                <w:tcPr>
                  <w:tcW w:w="1846" w:type="dxa"/>
                  <w:vAlign w:val="center"/>
                </w:tcPr>
                <w:p>
                  <w:pPr>
                    <w:jc w:val="center"/>
                    <w:rPr>
                      <w:szCs w:val="21"/>
                    </w:rPr>
                  </w:pPr>
                  <w:r>
                    <w:rPr>
                      <w:szCs w:val="21"/>
                    </w:rPr>
                    <w:t>沉淀池</w:t>
                  </w:r>
                </w:p>
              </w:tc>
              <w:tc>
                <w:tcPr>
                  <w:tcW w:w="1364" w:type="dxa"/>
                  <w:vAlign w:val="center"/>
                </w:tcPr>
                <w:p>
                  <w:pPr>
                    <w:jc w:val="center"/>
                    <w:rPr>
                      <w:szCs w:val="21"/>
                    </w:rPr>
                  </w:pPr>
                  <w:r>
                    <w:rPr>
                      <w:szCs w:val="21"/>
                    </w:rPr>
                    <w:t>1</w:t>
                  </w:r>
                </w:p>
              </w:tc>
              <w:tc>
                <w:tcPr>
                  <w:tcW w:w="1612" w:type="dxa"/>
                  <w:vAlign w:val="center"/>
                </w:tcPr>
                <w:p>
                  <w:pPr>
                    <w:jc w:val="center"/>
                    <w:rPr>
                      <w:szCs w:val="21"/>
                    </w:rPr>
                  </w:pPr>
                  <w:r>
                    <w:rPr>
                      <w:szCs w:val="21"/>
                    </w:rPr>
                    <w:t>4</w:t>
                  </w:r>
                </w:p>
              </w:tc>
              <w:tc>
                <w:tcPr>
                  <w:tcW w:w="1612" w:type="dxa"/>
                  <w:vAlign w:val="center"/>
                </w:tcPr>
                <w:p>
                  <w:pPr>
                    <w:jc w:val="center"/>
                    <w:rPr>
                      <w:szCs w:val="21"/>
                    </w:rPr>
                  </w:pPr>
                  <w:r>
                    <w:rPr>
                      <w:szCs w:val="21"/>
                    </w:rPr>
                    <w:t>2</w:t>
                  </w:r>
                </w:p>
              </w:tc>
              <w:tc>
                <w:tcPr>
                  <w:tcW w:w="1396" w:type="dxa"/>
                  <w:vAlign w:val="center"/>
                </w:tcPr>
                <w:p>
                  <w:pPr>
                    <w:jc w:val="center"/>
                    <w:rPr>
                      <w:szCs w:val="21"/>
                    </w:rPr>
                  </w:pPr>
                  <w:r>
                    <w:rPr>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486" w:type="dxa"/>
                  <w:vMerge w:val="continue"/>
                  <w:vAlign w:val="center"/>
                </w:tcPr>
                <w:p>
                  <w:pPr>
                    <w:jc w:val="center"/>
                    <w:rPr>
                      <w:szCs w:val="21"/>
                    </w:rPr>
                  </w:pPr>
                </w:p>
              </w:tc>
              <w:tc>
                <w:tcPr>
                  <w:tcW w:w="1846" w:type="dxa"/>
                  <w:vAlign w:val="center"/>
                </w:tcPr>
                <w:p>
                  <w:pPr>
                    <w:jc w:val="center"/>
                    <w:rPr>
                      <w:szCs w:val="21"/>
                    </w:rPr>
                  </w:pPr>
                  <w:r>
                    <w:rPr>
                      <w:szCs w:val="21"/>
                    </w:rPr>
                    <w:t>回用水池</w:t>
                  </w:r>
                </w:p>
              </w:tc>
              <w:tc>
                <w:tcPr>
                  <w:tcW w:w="1364" w:type="dxa"/>
                  <w:vAlign w:val="center"/>
                </w:tcPr>
                <w:p>
                  <w:pPr>
                    <w:jc w:val="center"/>
                    <w:rPr>
                      <w:szCs w:val="21"/>
                    </w:rPr>
                  </w:pPr>
                  <w:r>
                    <w:rPr>
                      <w:szCs w:val="21"/>
                    </w:rPr>
                    <w:t>1</w:t>
                  </w:r>
                </w:p>
              </w:tc>
              <w:tc>
                <w:tcPr>
                  <w:tcW w:w="1612" w:type="dxa"/>
                  <w:vAlign w:val="center"/>
                </w:tcPr>
                <w:p>
                  <w:pPr>
                    <w:jc w:val="center"/>
                    <w:rPr>
                      <w:szCs w:val="21"/>
                    </w:rPr>
                  </w:pPr>
                  <w:r>
                    <w:rPr>
                      <w:szCs w:val="21"/>
                    </w:rPr>
                    <w:t>4</w:t>
                  </w:r>
                </w:p>
              </w:tc>
              <w:tc>
                <w:tcPr>
                  <w:tcW w:w="1612" w:type="dxa"/>
                  <w:vAlign w:val="center"/>
                </w:tcPr>
                <w:p>
                  <w:pPr>
                    <w:jc w:val="center"/>
                    <w:rPr>
                      <w:szCs w:val="21"/>
                    </w:rPr>
                  </w:pPr>
                  <w:r>
                    <w:rPr>
                      <w:szCs w:val="21"/>
                    </w:rPr>
                    <w:t>2</w:t>
                  </w:r>
                </w:p>
              </w:tc>
              <w:tc>
                <w:tcPr>
                  <w:tcW w:w="1396" w:type="dxa"/>
                  <w:vAlign w:val="center"/>
                </w:tcPr>
                <w:p>
                  <w:pPr>
                    <w:jc w:val="center"/>
                    <w:rPr>
                      <w:szCs w:val="21"/>
                    </w:rPr>
                  </w:pPr>
                  <w:r>
                    <w:rPr>
                      <w:szCs w:val="21"/>
                    </w:rPr>
                    <w:t>2</w:t>
                  </w:r>
                </w:p>
              </w:tc>
            </w:tr>
          </w:tbl>
          <w:p>
            <w:pPr>
              <w:spacing w:line="360" w:lineRule="auto"/>
              <w:ind w:firstLine="480"/>
              <w:rPr>
                <w:sz w:val="24"/>
              </w:rPr>
            </w:pPr>
          </w:p>
          <w:p>
            <w:pPr>
              <w:jc w:val="left"/>
              <w:rPr>
                <w:rFonts w:ascii="黑体" w:hAnsi="黑体" w:eastAsia="黑体"/>
                <w:sz w:val="24"/>
              </w:rPr>
            </w:pPr>
            <w:r>
              <w:rPr>
                <w:rFonts w:ascii="黑体" w:hAnsi="黑体" w:eastAsia="黑体"/>
                <w:sz w:val="24"/>
              </w:rPr>
              <w:t>表</w:t>
            </w:r>
            <w:r>
              <w:rPr>
                <w:rFonts w:eastAsia="黑体"/>
                <w:sz w:val="24"/>
              </w:rPr>
              <w:t>5</w:t>
            </w:r>
            <w:r>
              <w:rPr>
                <w:rFonts w:ascii="黑体" w:hAnsi="黑体" w:eastAsia="黑体"/>
                <w:sz w:val="24"/>
              </w:rPr>
              <w:t xml:space="preserve">                           混凝土冲洗废水处理工程量及设备表</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8"/>
              <w:gridCol w:w="3123"/>
              <w:gridCol w:w="708"/>
              <w:gridCol w:w="827"/>
              <w:gridCol w:w="39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9316" w:type="dxa"/>
                  <w:gridSpan w:val="5"/>
                  <w:shd w:val="clear" w:color="auto" w:fill="auto"/>
                  <w:noWrap/>
                  <w:vAlign w:val="center"/>
                </w:tcPr>
                <w:p>
                  <w:pPr>
                    <w:jc w:val="center"/>
                    <w:rPr>
                      <w:szCs w:val="21"/>
                    </w:rPr>
                  </w:pPr>
                  <w:r>
                    <w:rPr>
                      <w:bCs/>
                      <w:szCs w:val="21"/>
                    </w:rPr>
                    <w:t>混凝土拌和站废水处理设施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708" w:type="dxa"/>
                  <w:shd w:val="clear" w:color="auto" w:fill="auto"/>
                  <w:noWrap/>
                  <w:vAlign w:val="center"/>
                </w:tcPr>
                <w:p>
                  <w:pPr>
                    <w:jc w:val="center"/>
                    <w:rPr>
                      <w:szCs w:val="21"/>
                    </w:rPr>
                  </w:pPr>
                  <w:r>
                    <w:rPr>
                      <w:szCs w:val="21"/>
                    </w:rPr>
                    <w:t>序号</w:t>
                  </w:r>
                </w:p>
              </w:tc>
              <w:tc>
                <w:tcPr>
                  <w:tcW w:w="3123" w:type="dxa"/>
                  <w:shd w:val="clear" w:color="auto" w:fill="auto"/>
                  <w:noWrap/>
                  <w:vAlign w:val="center"/>
                </w:tcPr>
                <w:p>
                  <w:pPr>
                    <w:jc w:val="center"/>
                    <w:rPr>
                      <w:szCs w:val="21"/>
                    </w:rPr>
                  </w:pPr>
                  <w:r>
                    <w:rPr>
                      <w:szCs w:val="21"/>
                    </w:rPr>
                    <w:t>项目</w:t>
                  </w:r>
                </w:p>
              </w:tc>
              <w:tc>
                <w:tcPr>
                  <w:tcW w:w="708" w:type="dxa"/>
                  <w:shd w:val="clear" w:color="auto" w:fill="auto"/>
                  <w:vAlign w:val="center"/>
                </w:tcPr>
                <w:p>
                  <w:pPr>
                    <w:jc w:val="center"/>
                    <w:rPr>
                      <w:szCs w:val="21"/>
                    </w:rPr>
                  </w:pPr>
                  <w:r>
                    <w:rPr>
                      <w:szCs w:val="21"/>
                    </w:rPr>
                    <w:t>单位</w:t>
                  </w:r>
                </w:p>
              </w:tc>
              <w:tc>
                <w:tcPr>
                  <w:tcW w:w="827" w:type="dxa"/>
                  <w:shd w:val="clear" w:color="auto" w:fill="auto"/>
                  <w:noWrap/>
                  <w:vAlign w:val="center"/>
                </w:tcPr>
                <w:p>
                  <w:pPr>
                    <w:jc w:val="center"/>
                    <w:rPr>
                      <w:szCs w:val="21"/>
                    </w:rPr>
                  </w:pPr>
                  <w:r>
                    <w:rPr>
                      <w:szCs w:val="21"/>
                    </w:rPr>
                    <w:t>数量</w:t>
                  </w:r>
                </w:p>
              </w:tc>
              <w:tc>
                <w:tcPr>
                  <w:tcW w:w="3950" w:type="dxa"/>
                  <w:shd w:val="clear" w:color="auto" w:fill="auto"/>
                  <w:noWrap/>
                  <w:vAlign w:val="center"/>
                </w:tcPr>
                <w:p>
                  <w:pPr>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8" w:type="dxa"/>
                  <w:shd w:val="clear" w:color="auto" w:fill="auto"/>
                  <w:noWrap/>
                  <w:vAlign w:val="center"/>
                </w:tcPr>
                <w:p>
                  <w:pPr>
                    <w:jc w:val="center"/>
                    <w:rPr>
                      <w:szCs w:val="21"/>
                    </w:rPr>
                  </w:pPr>
                  <w:r>
                    <w:rPr>
                      <w:szCs w:val="21"/>
                    </w:rPr>
                    <w:t>一</w:t>
                  </w:r>
                </w:p>
              </w:tc>
              <w:tc>
                <w:tcPr>
                  <w:tcW w:w="8608" w:type="dxa"/>
                  <w:gridSpan w:val="4"/>
                  <w:shd w:val="clear" w:color="auto" w:fill="auto"/>
                  <w:noWrap/>
                  <w:vAlign w:val="center"/>
                </w:tcPr>
                <w:p>
                  <w:pPr>
                    <w:jc w:val="center"/>
                    <w:rPr>
                      <w:szCs w:val="21"/>
                    </w:rPr>
                  </w:pPr>
                  <w:r>
                    <w:rPr>
                      <w:szCs w:val="21"/>
                    </w:rPr>
                    <w:t>土建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8" w:type="dxa"/>
                  <w:shd w:val="clear" w:color="auto" w:fill="auto"/>
                  <w:noWrap/>
                  <w:vAlign w:val="center"/>
                </w:tcPr>
                <w:p>
                  <w:pPr>
                    <w:jc w:val="center"/>
                    <w:rPr>
                      <w:szCs w:val="21"/>
                    </w:rPr>
                  </w:pPr>
                  <w:r>
                    <w:rPr>
                      <w:szCs w:val="21"/>
                    </w:rPr>
                    <w:t>1</w:t>
                  </w:r>
                </w:p>
              </w:tc>
              <w:tc>
                <w:tcPr>
                  <w:tcW w:w="3123" w:type="dxa"/>
                  <w:shd w:val="clear" w:color="auto" w:fill="auto"/>
                  <w:noWrap/>
                  <w:vAlign w:val="center"/>
                </w:tcPr>
                <w:p>
                  <w:pPr>
                    <w:jc w:val="center"/>
                    <w:rPr>
                      <w:szCs w:val="21"/>
                    </w:rPr>
                  </w:pPr>
                  <w:r>
                    <w:rPr>
                      <w:szCs w:val="21"/>
                    </w:rPr>
                    <w:t>土方开挖</w:t>
                  </w:r>
                </w:p>
              </w:tc>
              <w:tc>
                <w:tcPr>
                  <w:tcW w:w="708" w:type="dxa"/>
                  <w:shd w:val="clear" w:color="auto" w:fill="auto"/>
                  <w:vAlign w:val="center"/>
                </w:tcPr>
                <w:p>
                  <w:pPr>
                    <w:jc w:val="center"/>
                    <w:rPr>
                      <w:szCs w:val="21"/>
                    </w:rPr>
                  </w:pPr>
                  <w:r>
                    <w:rPr>
                      <w:szCs w:val="21"/>
                    </w:rPr>
                    <w:t>m</w:t>
                  </w:r>
                  <w:r>
                    <w:rPr>
                      <w:szCs w:val="21"/>
                      <w:vertAlign w:val="superscript"/>
                    </w:rPr>
                    <w:t>3</w:t>
                  </w:r>
                </w:p>
              </w:tc>
              <w:tc>
                <w:tcPr>
                  <w:tcW w:w="827" w:type="dxa"/>
                  <w:shd w:val="clear" w:color="auto" w:fill="auto"/>
                  <w:noWrap/>
                </w:tcPr>
                <w:p>
                  <w:pPr>
                    <w:jc w:val="center"/>
                    <w:rPr>
                      <w:szCs w:val="21"/>
                    </w:rPr>
                  </w:pPr>
                  <w:r>
                    <w:t xml:space="preserve">451.45 </w:t>
                  </w:r>
                </w:p>
              </w:tc>
              <w:tc>
                <w:tcPr>
                  <w:tcW w:w="3950"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8" w:type="dxa"/>
                  <w:shd w:val="clear" w:color="auto" w:fill="auto"/>
                  <w:noWrap/>
                  <w:vAlign w:val="center"/>
                </w:tcPr>
                <w:p>
                  <w:pPr>
                    <w:jc w:val="center"/>
                    <w:rPr>
                      <w:szCs w:val="21"/>
                    </w:rPr>
                  </w:pPr>
                  <w:r>
                    <w:rPr>
                      <w:szCs w:val="21"/>
                    </w:rPr>
                    <w:t>2</w:t>
                  </w:r>
                </w:p>
              </w:tc>
              <w:tc>
                <w:tcPr>
                  <w:tcW w:w="3123" w:type="dxa"/>
                  <w:shd w:val="clear" w:color="auto" w:fill="auto"/>
                  <w:noWrap/>
                  <w:vAlign w:val="center"/>
                </w:tcPr>
                <w:p>
                  <w:pPr>
                    <w:jc w:val="center"/>
                    <w:rPr>
                      <w:szCs w:val="21"/>
                    </w:rPr>
                  </w:pPr>
                  <w:r>
                    <w:rPr>
                      <w:szCs w:val="21"/>
                    </w:rPr>
                    <w:t>土方回填</w:t>
                  </w:r>
                </w:p>
              </w:tc>
              <w:tc>
                <w:tcPr>
                  <w:tcW w:w="708" w:type="dxa"/>
                  <w:shd w:val="clear" w:color="auto" w:fill="auto"/>
                  <w:vAlign w:val="center"/>
                </w:tcPr>
                <w:p>
                  <w:pPr>
                    <w:jc w:val="center"/>
                    <w:rPr>
                      <w:szCs w:val="21"/>
                    </w:rPr>
                  </w:pPr>
                  <w:r>
                    <w:rPr>
                      <w:szCs w:val="21"/>
                    </w:rPr>
                    <w:t>m</w:t>
                  </w:r>
                  <w:r>
                    <w:rPr>
                      <w:szCs w:val="21"/>
                      <w:vertAlign w:val="superscript"/>
                    </w:rPr>
                    <w:t>3</w:t>
                  </w:r>
                </w:p>
              </w:tc>
              <w:tc>
                <w:tcPr>
                  <w:tcW w:w="827" w:type="dxa"/>
                  <w:shd w:val="clear" w:color="auto" w:fill="auto"/>
                  <w:noWrap/>
                </w:tcPr>
                <w:p>
                  <w:pPr>
                    <w:jc w:val="center"/>
                    <w:rPr>
                      <w:szCs w:val="21"/>
                    </w:rPr>
                  </w:pPr>
                  <w:r>
                    <w:t xml:space="preserve">398.65 </w:t>
                  </w:r>
                </w:p>
              </w:tc>
              <w:tc>
                <w:tcPr>
                  <w:tcW w:w="3950"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8" w:type="dxa"/>
                  <w:shd w:val="clear" w:color="auto" w:fill="auto"/>
                  <w:noWrap/>
                  <w:vAlign w:val="center"/>
                </w:tcPr>
                <w:p>
                  <w:pPr>
                    <w:jc w:val="center"/>
                    <w:rPr>
                      <w:szCs w:val="21"/>
                    </w:rPr>
                  </w:pPr>
                  <w:r>
                    <w:rPr>
                      <w:szCs w:val="21"/>
                    </w:rPr>
                    <w:t>3</w:t>
                  </w:r>
                </w:p>
              </w:tc>
              <w:tc>
                <w:tcPr>
                  <w:tcW w:w="3123" w:type="dxa"/>
                  <w:shd w:val="clear" w:color="auto" w:fill="auto"/>
                  <w:noWrap/>
                  <w:vAlign w:val="center"/>
                </w:tcPr>
                <w:p>
                  <w:pPr>
                    <w:jc w:val="center"/>
                    <w:rPr>
                      <w:szCs w:val="21"/>
                    </w:rPr>
                  </w:pPr>
                  <w:r>
                    <w:rPr>
                      <w:szCs w:val="21"/>
                    </w:rPr>
                    <w:t>C10垫层混凝土</w:t>
                  </w:r>
                </w:p>
              </w:tc>
              <w:tc>
                <w:tcPr>
                  <w:tcW w:w="708" w:type="dxa"/>
                  <w:shd w:val="clear" w:color="auto" w:fill="auto"/>
                  <w:vAlign w:val="center"/>
                </w:tcPr>
                <w:p>
                  <w:pPr>
                    <w:jc w:val="center"/>
                    <w:rPr>
                      <w:szCs w:val="21"/>
                    </w:rPr>
                  </w:pPr>
                  <w:r>
                    <w:rPr>
                      <w:szCs w:val="21"/>
                    </w:rPr>
                    <w:t>m</w:t>
                  </w:r>
                  <w:r>
                    <w:rPr>
                      <w:szCs w:val="21"/>
                      <w:vertAlign w:val="superscript"/>
                    </w:rPr>
                    <w:t>3</w:t>
                  </w:r>
                </w:p>
              </w:tc>
              <w:tc>
                <w:tcPr>
                  <w:tcW w:w="827" w:type="dxa"/>
                  <w:shd w:val="clear" w:color="auto" w:fill="auto"/>
                  <w:noWrap/>
                </w:tcPr>
                <w:p>
                  <w:pPr>
                    <w:jc w:val="center"/>
                    <w:rPr>
                      <w:szCs w:val="21"/>
                    </w:rPr>
                  </w:pPr>
                  <w:r>
                    <w:t>3.95</w:t>
                  </w:r>
                </w:p>
              </w:tc>
              <w:tc>
                <w:tcPr>
                  <w:tcW w:w="3950" w:type="dxa"/>
                  <w:shd w:val="clear" w:color="auto" w:fill="auto"/>
                  <w:noWrap/>
                  <w:vAlign w:val="center"/>
                </w:tcPr>
                <w:p>
                  <w:pPr>
                    <w:jc w:val="center"/>
                    <w:rPr>
                      <w:szCs w:val="21"/>
                    </w:rPr>
                  </w:pPr>
                  <w:r>
                    <w:rPr>
                      <w:szCs w:val="21"/>
                    </w:rPr>
                    <w:t>二级配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8" w:type="dxa"/>
                  <w:shd w:val="clear" w:color="auto" w:fill="auto"/>
                  <w:noWrap/>
                  <w:vAlign w:val="center"/>
                </w:tcPr>
                <w:p>
                  <w:pPr>
                    <w:jc w:val="center"/>
                    <w:rPr>
                      <w:szCs w:val="21"/>
                    </w:rPr>
                  </w:pPr>
                  <w:r>
                    <w:rPr>
                      <w:szCs w:val="21"/>
                    </w:rPr>
                    <w:t>4</w:t>
                  </w:r>
                </w:p>
              </w:tc>
              <w:tc>
                <w:tcPr>
                  <w:tcW w:w="3123" w:type="dxa"/>
                  <w:shd w:val="clear" w:color="auto" w:fill="auto"/>
                  <w:noWrap/>
                  <w:vAlign w:val="center"/>
                </w:tcPr>
                <w:p>
                  <w:pPr>
                    <w:jc w:val="center"/>
                    <w:rPr>
                      <w:szCs w:val="21"/>
                    </w:rPr>
                  </w:pPr>
                  <w:r>
                    <w:rPr>
                      <w:szCs w:val="21"/>
                    </w:rPr>
                    <w:t>C25钢筋混凝土</w:t>
                  </w:r>
                </w:p>
              </w:tc>
              <w:tc>
                <w:tcPr>
                  <w:tcW w:w="708" w:type="dxa"/>
                  <w:shd w:val="clear" w:color="auto" w:fill="auto"/>
                  <w:vAlign w:val="center"/>
                </w:tcPr>
                <w:p>
                  <w:pPr>
                    <w:jc w:val="center"/>
                    <w:rPr>
                      <w:szCs w:val="21"/>
                    </w:rPr>
                  </w:pPr>
                  <w:r>
                    <w:rPr>
                      <w:szCs w:val="21"/>
                    </w:rPr>
                    <w:t>m</w:t>
                  </w:r>
                  <w:r>
                    <w:rPr>
                      <w:szCs w:val="21"/>
                      <w:vertAlign w:val="superscript"/>
                    </w:rPr>
                    <w:t>3</w:t>
                  </w:r>
                </w:p>
              </w:tc>
              <w:tc>
                <w:tcPr>
                  <w:tcW w:w="827" w:type="dxa"/>
                  <w:shd w:val="clear" w:color="auto" w:fill="auto"/>
                  <w:noWrap/>
                </w:tcPr>
                <w:p>
                  <w:pPr>
                    <w:jc w:val="center"/>
                    <w:rPr>
                      <w:szCs w:val="21"/>
                    </w:rPr>
                  </w:pPr>
                  <w:r>
                    <w:t xml:space="preserve">37.98 </w:t>
                  </w:r>
                </w:p>
              </w:tc>
              <w:tc>
                <w:tcPr>
                  <w:tcW w:w="3950" w:type="dxa"/>
                  <w:shd w:val="clear" w:color="auto" w:fill="auto"/>
                  <w:noWrap/>
                  <w:vAlign w:val="center"/>
                </w:tcPr>
                <w:p>
                  <w:pPr>
                    <w:jc w:val="center"/>
                    <w:rPr>
                      <w:szCs w:val="21"/>
                    </w:rPr>
                  </w:pPr>
                  <w:r>
                    <w:rPr>
                      <w:szCs w:val="21"/>
                    </w:rPr>
                    <w:t>二级配，F200、W6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8" w:type="dxa"/>
                  <w:shd w:val="clear" w:color="auto" w:fill="auto"/>
                  <w:noWrap/>
                  <w:vAlign w:val="center"/>
                </w:tcPr>
                <w:p>
                  <w:pPr>
                    <w:jc w:val="center"/>
                    <w:rPr>
                      <w:szCs w:val="21"/>
                    </w:rPr>
                  </w:pPr>
                  <w:r>
                    <w:rPr>
                      <w:szCs w:val="21"/>
                    </w:rPr>
                    <w:t>5</w:t>
                  </w:r>
                </w:p>
              </w:tc>
              <w:tc>
                <w:tcPr>
                  <w:tcW w:w="3123" w:type="dxa"/>
                  <w:shd w:val="clear" w:color="auto" w:fill="auto"/>
                  <w:noWrap/>
                  <w:vAlign w:val="center"/>
                </w:tcPr>
                <w:p>
                  <w:pPr>
                    <w:jc w:val="center"/>
                    <w:rPr>
                      <w:szCs w:val="21"/>
                    </w:rPr>
                  </w:pPr>
                  <w:r>
                    <w:rPr>
                      <w:szCs w:val="21"/>
                    </w:rPr>
                    <w:t>钢筋制安</w:t>
                  </w:r>
                </w:p>
              </w:tc>
              <w:tc>
                <w:tcPr>
                  <w:tcW w:w="708" w:type="dxa"/>
                  <w:shd w:val="clear" w:color="auto" w:fill="auto"/>
                  <w:vAlign w:val="center"/>
                </w:tcPr>
                <w:p>
                  <w:pPr>
                    <w:jc w:val="center"/>
                    <w:rPr>
                      <w:szCs w:val="21"/>
                    </w:rPr>
                  </w:pPr>
                  <w:r>
                    <w:rPr>
                      <w:szCs w:val="21"/>
                    </w:rPr>
                    <w:t>t</w:t>
                  </w:r>
                </w:p>
              </w:tc>
              <w:tc>
                <w:tcPr>
                  <w:tcW w:w="827" w:type="dxa"/>
                  <w:shd w:val="clear" w:color="auto" w:fill="auto"/>
                  <w:noWrap/>
                </w:tcPr>
                <w:p>
                  <w:pPr>
                    <w:jc w:val="center"/>
                    <w:rPr>
                      <w:szCs w:val="21"/>
                    </w:rPr>
                  </w:pPr>
                  <w:r>
                    <w:t>4.56</w:t>
                  </w:r>
                </w:p>
              </w:tc>
              <w:tc>
                <w:tcPr>
                  <w:tcW w:w="3950"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8" w:type="dxa"/>
                  <w:shd w:val="clear" w:color="auto" w:fill="auto"/>
                  <w:noWrap/>
                  <w:vAlign w:val="center"/>
                </w:tcPr>
                <w:p>
                  <w:pPr>
                    <w:jc w:val="center"/>
                    <w:rPr>
                      <w:szCs w:val="21"/>
                    </w:rPr>
                  </w:pPr>
                  <w:r>
                    <w:rPr>
                      <w:szCs w:val="21"/>
                    </w:rPr>
                    <w:t>二</w:t>
                  </w:r>
                </w:p>
              </w:tc>
              <w:tc>
                <w:tcPr>
                  <w:tcW w:w="8608" w:type="dxa"/>
                  <w:gridSpan w:val="4"/>
                  <w:shd w:val="clear" w:color="auto" w:fill="auto"/>
                  <w:noWrap/>
                  <w:vAlign w:val="center"/>
                </w:tcPr>
                <w:p>
                  <w:pPr>
                    <w:jc w:val="center"/>
                    <w:rPr>
                      <w:szCs w:val="21"/>
                    </w:rPr>
                  </w:pPr>
                  <w:r>
                    <w:rPr>
                      <w:szCs w:val="21"/>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708" w:type="dxa"/>
                  <w:shd w:val="clear" w:color="auto" w:fill="auto"/>
                  <w:noWrap/>
                  <w:vAlign w:val="center"/>
                </w:tcPr>
                <w:p>
                  <w:pPr>
                    <w:jc w:val="center"/>
                    <w:rPr>
                      <w:szCs w:val="21"/>
                    </w:rPr>
                  </w:pPr>
                  <w:r>
                    <w:rPr>
                      <w:szCs w:val="21"/>
                    </w:rPr>
                    <w:t>1</w:t>
                  </w:r>
                </w:p>
              </w:tc>
              <w:tc>
                <w:tcPr>
                  <w:tcW w:w="3123" w:type="dxa"/>
                  <w:shd w:val="clear" w:color="auto" w:fill="auto"/>
                  <w:noWrap/>
                  <w:vAlign w:val="center"/>
                </w:tcPr>
                <w:p>
                  <w:pPr>
                    <w:jc w:val="center"/>
                    <w:rPr>
                      <w:szCs w:val="21"/>
                    </w:rPr>
                  </w:pPr>
                  <w:r>
                    <w:rPr>
                      <w:szCs w:val="21"/>
                    </w:rPr>
                    <w:t>50WQ10-10-0.7潜水排污泵</w:t>
                  </w:r>
                </w:p>
              </w:tc>
              <w:tc>
                <w:tcPr>
                  <w:tcW w:w="708" w:type="dxa"/>
                  <w:shd w:val="clear" w:color="auto" w:fill="auto"/>
                  <w:vAlign w:val="center"/>
                </w:tcPr>
                <w:p>
                  <w:pPr>
                    <w:jc w:val="center"/>
                    <w:rPr>
                      <w:szCs w:val="21"/>
                    </w:rPr>
                  </w:pPr>
                  <w:r>
                    <w:rPr>
                      <w:szCs w:val="21"/>
                    </w:rPr>
                    <w:t>台</w:t>
                  </w:r>
                </w:p>
              </w:tc>
              <w:tc>
                <w:tcPr>
                  <w:tcW w:w="827" w:type="dxa"/>
                  <w:shd w:val="clear" w:color="auto" w:fill="auto"/>
                  <w:noWrap/>
                  <w:vAlign w:val="center"/>
                </w:tcPr>
                <w:p>
                  <w:pPr>
                    <w:jc w:val="center"/>
                    <w:rPr>
                      <w:szCs w:val="21"/>
                    </w:rPr>
                  </w:pPr>
                  <w:r>
                    <w:rPr>
                      <w:szCs w:val="21"/>
                    </w:rPr>
                    <w:t>2</w:t>
                  </w:r>
                </w:p>
              </w:tc>
              <w:tc>
                <w:tcPr>
                  <w:tcW w:w="3950" w:type="dxa"/>
                  <w:shd w:val="clear" w:color="auto" w:fill="auto"/>
                  <w:noWrap/>
                  <w:vAlign w:val="center"/>
                </w:tcPr>
                <w:p>
                  <w:pPr>
                    <w:jc w:val="center"/>
                    <w:rPr>
                      <w:szCs w:val="21"/>
                    </w:rPr>
                  </w:pPr>
                  <w:r>
                    <w:rPr>
                      <w:szCs w:val="21"/>
                    </w:rPr>
                    <w:t>单台功率0.75kW，一用一备</w:t>
                  </w:r>
                </w:p>
              </w:tc>
            </w:tr>
          </w:tbl>
          <w:p>
            <w:pPr>
              <w:pStyle w:val="53"/>
              <w:rPr>
                <w:sz w:val="13"/>
                <w:lang w:eastAsia="zh-CN"/>
              </w:rPr>
            </w:pPr>
          </w:p>
          <w:p>
            <w:pPr>
              <w:autoSpaceDE w:val="0"/>
              <w:autoSpaceDN w:val="0"/>
              <w:adjustRightInd w:val="0"/>
              <w:ind w:firstLine="420" w:firstLineChars="200"/>
            </w:pPr>
          </w:p>
          <w:p>
            <w:pPr>
              <w:spacing w:line="360" w:lineRule="auto"/>
              <w:ind w:firstLine="480"/>
              <w:rPr>
                <w:sz w:val="24"/>
              </w:rPr>
            </w:pPr>
            <w:r>
              <w:rPr>
                <w:rFonts w:hint="eastAsia" w:ascii="宋体" w:hAnsi="宋体" w:cs="宋体"/>
                <w:sz w:val="24"/>
              </w:rPr>
              <w:t>⑤</w:t>
            </w:r>
            <w:r>
              <w:rPr>
                <w:sz w:val="24"/>
              </w:rPr>
              <w:t>运行管理与维护</w:t>
            </w:r>
          </w:p>
          <w:p>
            <w:pPr>
              <w:spacing w:line="360" w:lineRule="auto"/>
              <w:ind w:firstLine="480"/>
              <w:rPr>
                <w:sz w:val="24"/>
              </w:rPr>
            </w:pPr>
            <w:r>
              <w:rPr>
                <w:rFonts w:hint="eastAsia"/>
                <w:sz w:val="24"/>
              </w:rPr>
              <w:t>a.</w:t>
            </w:r>
            <w:r>
              <w:rPr>
                <w:sz w:val="24"/>
              </w:rPr>
              <w:t>根据混凝土拌和对水质pH的要求，确定是否需要投加酸性中和剂加以中和。</w:t>
            </w:r>
          </w:p>
          <w:p>
            <w:pPr>
              <w:spacing w:line="360" w:lineRule="auto"/>
              <w:ind w:firstLine="480"/>
              <w:rPr>
                <w:sz w:val="24"/>
              </w:rPr>
            </w:pPr>
            <w:r>
              <w:rPr>
                <w:rFonts w:hint="eastAsia"/>
                <w:sz w:val="24"/>
              </w:rPr>
              <w:t>b.</w:t>
            </w:r>
            <w:r>
              <w:rPr>
                <w:sz w:val="24"/>
              </w:rPr>
              <w:t>在运行过程中主要注意定时清理</w:t>
            </w:r>
            <w:r>
              <w:rPr>
                <w:rFonts w:hint="eastAsia"/>
                <w:sz w:val="24"/>
              </w:rPr>
              <w:t>污泥，采用</w:t>
            </w:r>
            <w:r>
              <w:rPr>
                <w:sz w:val="24"/>
              </w:rPr>
              <w:t>人工定期清理</w:t>
            </w:r>
            <w:r>
              <w:rPr>
                <w:rFonts w:hint="eastAsia"/>
                <w:sz w:val="24"/>
              </w:rPr>
              <w:t>污泥</w:t>
            </w:r>
            <w:r>
              <w:rPr>
                <w:sz w:val="24"/>
              </w:rPr>
              <w:t>至场地附近空地，</w:t>
            </w:r>
            <w:r>
              <w:rPr>
                <w:rFonts w:hint="eastAsia"/>
                <w:sz w:val="24"/>
              </w:rPr>
              <w:t>待污泥</w:t>
            </w:r>
            <w:r>
              <w:rPr>
                <w:sz w:val="24"/>
              </w:rPr>
              <w:t>自然干化</w:t>
            </w:r>
            <w:r>
              <w:rPr>
                <w:rFonts w:hint="eastAsia"/>
                <w:sz w:val="24"/>
              </w:rPr>
              <w:t>后，</w:t>
            </w:r>
            <w:r>
              <w:rPr>
                <w:sz w:val="24"/>
              </w:rPr>
              <w:t>用抓斗机抓取装运载斗车运输至</w:t>
            </w:r>
            <w:r>
              <w:rPr>
                <w:rFonts w:hint="eastAsia"/>
                <w:sz w:val="24"/>
              </w:rPr>
              <w:t>弃渣场</w:t>
            </w:r>
            <w:r>
              <w:rPr>
                <w:sz w:val="24"/>
              </w:rPr>
              <w:t>。</w:t>
            </w:r>
          </w:p>
          <w:p>
            <w:pPr>
              <w:spacing w:line="360" w:lineRule="auto"/>
              <w:ind w:firstLine="480"/>
            </w:pPr>
            <w:r>
              <w:rPr>
                <w:rFonts w:hint="eastAsia"/>
                <w:sz w:val="24"/>
              </w:rPr>
              <w:t>c.</w:t>
            </w:r>
            <w:r>
              <w:rPr>
                <w:sz w:val="24"/>
              </w:rPr>
              <w:t>由于混凝土拌和废水处理设施简单，将管理和维护工作纳入混凝土拌和系统统一安排，不另设机构和人员。</w:t>
            </w:r>
          </w:p>
          <w:p>
            <w:pPr>
              <w:spacing w:line="360" w:lineRule="auto"/>
              <w:ind w:firstLine="480"/>
              <w:rPr>
                <w:sz w:val="24"/>
              </w:rPr>
            </w:pPr>
            <w:r>
              <w:rPr>
                <w:rFonts w:hint="eastAsia"/>
                <w:sz w:val="24"/>
              </w:rPr>
              <w:t>（3）含油废水</w:t>
            </w:r>
          </w:p>
          <w:p>
            <w:pPr>
              <w:spacing w:line="360" w:lineRule="auto"/>
              <w:ind w:firstLine="480"/>
              <w:rPr>
                <w:sz w:val="24"/>
              </w:rPr>
            </w:pPr>
            <w:r>
              <w:rPr>
                <w:rFonts w:hint="eastAsia" w:ascii="宋体" w:hAnsi="宋体" w:cs="宋体"/>
                <w:sz w:val="24"/>
              </w:rPr>
              <w:t>①</w:t>
            </w:r>
            <w:r>
              <w:rPr>
                <w:sz w:val="24"/>
              </w:rPr>
              <w:t>废水排放</w:t>
            </w:r>
            <w:r>
              <w:rPr>
                <w:rFonts w:hint="eastAsia"/>
                <w:sz w:val="24"/>
              </w:rPr>
              <w:t>情</w:t>
            </w:r>
            <w:r>
              <w:rPr>
                <w:sz w:val="24"/>
              </w:rPr>
              <w:t>况</w:t>
            </w:r>
          </w:p>
          <w:p>
            <w:pPr>
              <w:spacing w:line="360" w:lineRule="auto"/>
              <w:ind w:firstLine="480"/>
              <w:rPr>
                <w:sz w:val="24"/>
              </w:rPr>
            </w:pPr>
            <w:r>
              <w:rPr>
                <w:rFonts w:hint="eastAsia"/>
                <w:sz w:val="24"/>
              </w:rPr>
              <w:t>本次工程设置1处机械修配保养站，</w:t>
            </w:r>
            <w:r>
              <w:rPr>
                <w:sz w:val="24"/>
              </w:rPr>
              <w:t>高峰期含油废水排放量为0.8m</w:t>
            </w:r>
            <w:r>
              <w:rPr>
                <w:sz w:val="24"/>
                <w:vertAlign w:val="superscript"/>
              </w:rPr>
              <w:t>3</w:t>
            </w:r>
            <w:r>
              <w:rPr>
                <w:sz w:val="24"/>
              </w:rPr>
              <w:t>/d。含油废水中主要污染物成分为COD</w:t>
            </w:r>
            <w:r>
              <w:rPr>
                <w:sz w:val="24"/>
                <w:vertAlign w:val="subscript"/>
              </w:rPr>
              <w:t>Cr</w:t>
            </w:r>
            <w:r>
              <w:rPr>
                <w:sz w:val="24"/>
              </w:rPr>
              <w:t>、SS和石油类，其浓度分别为25mg/L～200mg/L、500mg/L～4000mg/L和100mg/L。</w:t>
            </w:r>
          </w:p>
          <w:p>
            <w:pPr>
              <w:spacing w:line="360" w:lineRule="auto"/>
              <w:ind w:firstLine="480"/>
              <w:rPr>
                <w:sz w:val="24"/>
              </w:rPr>
            </w:pPr>
            <w:r>
              <w:rPr>
                <w:rFonts w:hint="eastAsia" w:ascii="宋体" w:hAnsi="宋体" w:cs="宋体"/>
                <w:sz w:val="24"/>
              </w:rPr>
              <w:t>②</w:t>
            </w:r>
            <w:r>
              <w:rPr>
                <w:sz w:val="24"/>
              </w:rPr>
              <w:t>处理目标</w:t>
            </w:r>
          </w:p>
          <w:p>
            <w:pPr>
              <w:spacing w:line="360" w:lineRule="auto"/>
              <w:ind w:firstLine="480"/>
              <w:rPr>
                <w:sz w:val="24"/>
              </w:rPr>
            </w:pPr>
            <w:r>
              <w:rPr>
                <w:sz w:val="24"/>
              </w:rPr>
              <w:t>对含油废水进行油水分离，废油全部回收，出水石油类浓度小于5mg/L，处理后的废水存蓄于蓄水池回用。</w:t>
            </w:r>
          </w:p>
          <w:p>
            <w:pPr>
              <w:spacing w:line="360" w:lineRule="auto"/>
              <w:ind w:firstLine="480"/>
              <w:rPr>
                <w:sz w:val="24"/>
              </w:rPr>
            </w:pPr>
            <w:r>
              <w:rPr>
                <w:rFonts w:hint="eastAsia" w:ascii="宋体" w:hAnsi="宋体" w:cs="宋体"/>
                <w:sz w:val="24"/>
              </w:rPr>
              <w:t>③</w:t>
            </w:r>
            <w:r>
              <w:rPr>
                <w:sz w:val="24"/>
              </w:rPr>
              <w:t>处理工艺</w:t>
            </w:r>
          </w:p>
          <w:p>
            <w:pPr>
              <w:spacing w:line="360" w:lineRule="auto"/>
              <w:ind w:firstLine="480"/>
              <w:rPr>
                <w:sz w:val="24"/>
              </w:rPr>
            </w:pPr>
            <w:r>
              <w:rPr>
                <w:sz w:val="24"/>
              </w:rPr>
              <w:t>采用小型隔油池（间歇处理并投加混凝剂）。废水中的悬浮物及石油类在沉淀池内经絮凝沉淀后得以去除。在</w:t>
            </w:r>
            <w:r>
              <w:rPr>
                <w:rFonts w:hint="eastAsia"/>
                <w:sz w:val="24"/>
              </w:rPr>
              <w:t>机械修配保养站</w:t>
            </w:r>
            <w:r>
              <w:rPr>
                <w:sz w:val="24"/>
              </w:rPr>
              <w:t>修建一个小型隔油池进行处理：含油废水从集水沟通过设在处理池入口的隔油材料自流进入处理池，停留12h以上，到第二天排放进入蓄水池。处理后出水石油类应低于5mg/L，SS≤70mg/L，上层清液抽取用于场地内洒水降尘。处理池浮油蓄满后经收集交由有危废处理资质的单位进行处置。</w:t>
            </w:r>
          </w:p>
          <w:p>
            <w:pPr>
              <w:spacing w:line="360" w:lineRule="auto"/>
              <w:ind w:firstLine="480"/>
              <w:rPr>
                <w:sz w:val="24"/>
              </w:rPr>
            </w:pPr>
            <w:r>
              <w:rPr>
                <w:sz w:val="24"/>
              </w:rPr>
              <w:t>含油废水处理措施主要构筑物见表6，主要设备见表7，工程量见表8。</w:t>
            </w:r>
          </w:p>
          <w:p>
            <w:pPr>
              <w:jc w:val="left"/>
              <w:rPr>
                <w:rFonts w:ascii="黑体" w:hAnsi="黑体" w:eastAsia="黑体"/>
                <w:sz w:val="24"/>
              </w:rPr>
            </w:pPr>
            <w:r>
              <w:rPr>
                <w:rFonts w:ascii="黑体" w:hAnsi="黑体" w:eastAsia="黑体"/>
                <w:sz w:val="24"/>
              </w:rPr>
              <w:t>表</w:t>
            </w:r>
            <w:r>
              <w:rPr>
                <w:rFonts w:eastAsia="黑体"/>
                <w:sz w:val="24"/>
              </w:rPr>
              <w:t>6</w:t>
            </w:r>
            <w:r>
              <w:rPr>
                <w:rFonts w:ascii="黑体" w:hAnsi="黑体" w:eastAsia="黑体"/>
                <w:sz w:val="24"/>
              </w:rPr>
              <w:t xml:space="preserve">                     </w:t>
            </w:r>
            <w:r>
              <w:rPr>
                <w:rFonts w:hint="eastAsia" w:ascii="黑体" w:hAnsi="黑体" w:eastAsia="黑体"/>
                <w:sz w:val="24"/>
              </w:rPr>
              <w:t>机械修配保养站</w:t>
            </w:r>
            <w:r>
              <w:rPr>
                <w:rFonts w:ascii="黑体" w:hAnsi="黑体" w:eastAsia="黑体"/>
                <w:sz w:val="24"/>
              </w:rPr>
              <w:t>含油废水处理主要构筑物</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96"/>
              <w:gridCol w:w="1984"/>
              <w:gridCol w:w="965"/>
              <w:gridCol w:w="1489"/>
              <w:gridCol w:w="1491"/>
              <w:gridCol w:w="14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1896" w:type="dxa"/>
                  <w:vMerge w:val="restart"/>
                  <w:shd w:val="clear" w:color="auto" w:fill="auto"/>
                  <w:vAlign w:val="center"/>
                </w:tcPr>
                <w:p>
                  <w:pPr>
                    <w:jc w:val="center"/>
                    <w:rPr>
                      <w:szCs w:val="21"/>
                    </w:rPr>
                  </w:pPr>
                  <w:r>
                    <w:rPr>
                      <w:szCs w:val="21"/>
                    </w:rPr>
                    <w:t>处理系统</w:t>
                  </w:r>
                </w:p>
              </w:tc>
              <w:tc>
                <w:tcPr>
                  <w:tcW w:w="1984" w:type="dxa"/>
                  <w:vMerge w:val="restart"/>
                  <w:shd w:val="clear" w:color="auto" w:fill="auto"/>
                  <w:vAlign w:val="center"/>
                </w:tcPr>
                <w:p>
                  <w:pPr>
                    <w:jc w:val="center"/>
                    <w:rPr>
                      <w:szCs w:val="21"/>
                    </w:rPr>
                  </w:pPr>
                  <w:r>
                    <w:rPr>
                      <w:szCs w:val="21"/>
                    </w:rPr>
                    <w:t>构筑物名称</w:t>
                  </w:r>
                </w:p>
              </w:tc>
              <w:tc>
                <w:tcPr>
                  <w:tcW w:w="965" w:type="dxa"/>
                  <w:vMerge w:val="restart"/>
                  <w:shd w:val="clear" w:color="auto" w:fill="auto"/>
                  <w:vAlign w:val="center"/>
                </w:tcPr>
                <w:p>
                  <w:pPr>
                    <w:jc w:val="center"/>
                    <w:rPr>
                      <w:szCs w:val="21"/>
                    </w:rPr>
                  </w:pPr>
                  <w:r>
                    <w:rPr>
                      <w:szCs w:val="21"/>
                    </w:rPr>
                    <w:t>数量(座)</w:t>
                  </w:r>
                </w:p>
              </w:tc>
              <w:tc>
                <w:tcPr>
                  <w:tcW w:w="4471" w:type="dxa"/>
                  <w:gridSpan w:val="3"/>
                  <w:shd w:val="clear" w:color="auto" w:fill="auto"/>
                  <w:vAlign w:val="center"/>
                </w:tcPr>
                <w:p>
                  <w:pPr>
                    <w:jc w:val="center"/>
                    <w:rPr>
                      <w:szCs w:val="21"/>
                    </w:rPr>
                  </w:pPr>
                  <w:r>
                    <w:rPr>
                      <w:szCs w:val="21"/>
                    </w:rPr>
                    <w:t>单池净尺寸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896" w:type="dxa"/>
                  <w:vMerge w:val="continue"/>
                  <w:vAlign w:val="center"/>
                </w:tcPr>
                <w:p>
                  <w:pPr>
                    <w:rPr>
                      <w:szCs w:val="21"/>
                    </w:rPr>
                  </w:pPr>
                </w:p>
              </w:tc>
              <w:tc>
                <w:tcPr>
                  <w:tcW w:w="1984" w:type="dxa"/>
                  <w:vMerge w:val="continue"/>
                  <w:vAlign w:val="center"/>
                </w:tcPr>
                <w:p>
                  <w:pPr>
                    <w:rPr>
                      <w:szCs w:val="21"/>
                    </w:rPr>
                  </w:pPr>
                </w:p>
              </w:tc>
              <w:tc>
                <w:tcPr>
                  <w:tcW w:w="965" w:type="dxa"/>
                  <w:vMerge w:val="continue"/>
                  <w:vAlign w:val="center"/>
                </w:tcPr>
                <w:p>
                  <w:pPr>
                    <w:rPr>
                      <w:szCs w:val="21"/>
                    </w:rPr>
                  </w:pPr>
                </w:p>
              </w:tc>
              <w:tc>
                <w:tcPr>
                  <w:tcW w:w="1489" w:type="dxa"/>
                  <w:shd w:val="clear" w:color="auto" w:fill="auto"/>
                  <w:vAlign w:val="center"/>
                </w:tcPr>
                <w:p>
                  <w:pPr>
                    <w:jc w:val="center"/>
                    <w:rPr>
                      <w:szCs w:val="21"/>
                    </w:rPr>
                  </w:pPr>
                  <w:r>
                    <w:rPr>
                      <w:szCs w:val="21"/>
                    </w:rPr>
                    <w:t>长(m)</w:t>
                  </w:r>
                </w:p>
              </w:tc>
              <w:tc>
                <w:tcPr>
                  <w:tcW w:w="1491" w:type="dxa"/>
                  <w:shd w:val="clear" w:color="auto" w:fill="auto"/>
                  <w:vAlign w:val="center"/>
                </w:tcPr>
                <w:p>
                  <w:pPr>
                    <w:jc w:val="center"/>
                    <w:rPr>
                      <w:szCs w:val="21"/>
                    </w:rPr>
                  </w:pPr>
                  <w:r>
                    <w:rPr>
                      <w:szCs w:val="21"/>
                    </w:rPr>
                    <w:t>宽(m)</w:t>
                  </w:r>
                </w:p>
              </w:tc>
              <w:tc>
                <w:tcPr>
                  <w:tcW w:w="1491" w:type="dxa"/>
                  <w:shd w:val="clear" w:color="auto" w:fill="auto"/>
                  <w:vAlign w:val="center"/>
                </w:tcPr>
                <w:p>
                  <w:pPr>
                    <w:jc w:val="center"/>
                    <w:rPr>
                      <w:szCs w:val="21"/>
                    </w:rPr>
                  </w:pPr>
                  <w:r>
                    <w:rPr>
                      <w:szCs w:val="21"/>
                    </w:rPr>
                    <w:t>深(m)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896" w:type="dxa"/>
                  <w:vMerge w:val="restart"/>
                  <w:shd w:val="clear" w:color="auto" w:fill="auto"/>
                  <w:vAlign w:val="center"/>
                </w:tcPr>
                <w:p>
                  <w:pPr>
                    <w:jc w:val="center"/>
                    <w:rPr>
                      <w:szCs w:val="21"/>
                    </w:rPr>
                  </w:pPr>
                  <w:r>
                    <w:rPr>
                      <w:szCs w:val="21"/>
                    </w:rPr>
                    <w:t>机械</w:t>
                  </w:r>
                  <w:r>
                    <w:rPr>
                      <w:rFonts w:hint="eastAsia"/>
                      <w:szCs w:val="21"/>
                    </w:rPr>
                    <w:t>保养站废水处理</w:t>
                  </w:r>
                </w:p>
              </w:tc>
              <w:tc>
                <w:tcPr>
                  <w:tcW w:w="1984" w:type="dxa"/>
                  <w:shd w:val="clear" w:color="auto" w:fill="auto"/>
                  <w:vAlign w:val="center"/>
                </w:tcPr>
                <w:p>
                  <w:pPr>
                    <w:jc w:val="center"/>
                    <w:rPr>
                      <w:szCs w:val="21"/>
                    </w:rPr>
                  </w:pPr>
                  <w:r>
                    <w:rPr>
                      <w:szCs w:val="21"/>
                    </w:rPr>
                    <w:t>隔油沉淀池</w:t>
                  </w:r>
                </w:p>
              </w:tc>
              <w:tc>
                <w:tcPr>
                  <w:tcW w:w="965" w:type="dxa"/>
                  <w:shd w:val="clear" w:color="auto" w:fill="auto"/>
                  <w:vAlign w:val="center"/>
                </w:tcPr>
                <w:p>
                  <w:pPr>
                    <w:jc w:val="center"/>
                    <w:rPr>
                      <w:szCs w:val="21"/>
                    </w:rPr>
                  </w:pPr>
                  <w:r>
                    <w:rPr>
                      <w:szCs w:val="21"/>
                    </w:rPr>
                    <w:t>1</w:t>
                  </w:r>
                </w:p>
              </w:tc>
              <w:tc>
                <w:tcPr>
                  <w:tcW w:w="1489" w:type="dxa"/>
                  <w:shd w:val="clear" w:color="auto" w:fill="auto"/>
                  <w:vAlign w:val="center"/>
                </w:tcPr>
                <w:p>
                  <w:pPr>
                    <w:jc w:val="center"/>
                    <w:rPr>
                      <w:szCs w:val="21"/>
                    </w:rPr>
                  </w:pPr>
                  <w:r>
                    <w:rPr>
                      <w:szCs w:val="21"/>
                    </w:rPr>
                    <w:t>2</w:t>
                  </w:r>
                </w:p>
              </w:tc>
              <w:tc>
                <w:tcPr>
                  <w:tcW w:w="1491" w:type="dxa"/>
                  <w:shd w:val="clear" w:color="auto" w:fill="auto"/>
                  <w:vAlign w:val="center"/>
                </w:tcPr>
                <w:p>
                  <w:pPr>
                    <w:jc w:val="center"/>
                    <w:rPr>
                      <w:szCs w:val="21"/>
                    </w:rPr>
                  </w:pPr>
                  <w:r>
                    <w:rPr>
                      <w:szCs w:val="21"/>
                    </w:rPr>
                    <w:t>1</w:t>
                  </w:r>
                </w:p>
              </w:tc>
              <w:tc>
                <w:tcPr>
                  <w:tcW w:w="1491" w:type="dxa"/>
                  <w:shd w:val="clear" w:color="auto" w:fill="auto"/>
                  <w:vAlign w:val="center"/>
                </w:tcPr>
                <w:p>
                  <w:pPr>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896" w:type="dxa"/>
                  <w:vMerge w:val="continue"/>
                  <w:vAlign w:val="center"/>
                </w:tcPr>
                <w:p>
                  <w:pPr>
                    <w:jc w:val="center"/>
                    <w:rPr>
                      <w:szCs w:val="21"/>
                    </w:rPr>
                  </w:pPr>
                </w:p>
              </w:tc>
              <w:tc>
                <w:tcPr>
                  <w:tcW w:w="1984" w:type="dxa"/>
                  <w:shd w:val="clear" w:color="auto" w:fill="auto"/>
                  <w:vAlign w:val="center"/>
                </w:tcPr>
                <w:p>
                  <w:pPr>
                    <w:jc w:val="center"/>
                    <w:rPr>
                      <w:szCs w:val="21"/>
                    </w:rPr>
                  </w:pPr>
                  <w:r>
                    <w:rPr>
                      <w:szCs w:val="21"/>
                    </w:rPr>
                    <w:t>蓄水池</w:t>
                  </w:r>
                </w:p>
              </w:tc>
              <w:tc>
                <w:tcPr>
                  <w:tcW w:w="965" w:type="dxa"/>
                  <w:shd w:val="clear" w:color="auto" w:fill="auto"/>
                  <w:vAlign w:val="center"/>
                </w:tcPr>
                <w:p>
                  <w:pPr>
                    <w:jc w:val="center"/>
                    <w:rPr>
                      <w:szCs w:val="21"/>
                    </w:rPr>
                  </w:pPr>
                  <w:r>
                    <w:rPr>
                      <w:szCs w:val="21"/>
                    </w:rPr>
                    <w:t>1</w:t>
                  </w:r>
                </w:p>
              </w:tc>
              <w:tc>
                <w:tcPr>
                  <w:tcW w:w="1489" w:type="dxa"/>
                  <w:shd w:val="clear" w:color="auto" w:fill="auto"/>
                  <w:vAlign w:val="center"/>
                </w:tcPr>
                <w:p>
                  <w:pPr>
                    <w:jc w:val="center"/>
                    <w:rPr>
                      <w:szCs w:val="21"/>
                    </w:rPr>
                  </w:pPr>
                  <w:r>
                    <w:rPr>
                      <w:szCs w:val="21"/>
                    </w:rPr>
                    <w:t>2</w:t>
                  </w:r>
                </w:p>
              </w:tc>
              <w:tc>
                <w:tcPr>
                  <w:tcW w:w="1491" w:type="dxa"/>
                  <w:shd w:val="clear" w:color="auto" w:fill="auto"/>
                  <w:vAlign w:val="center"/>
                </w:tcPr>
                <w:p>
                  <w:pPr>
                    <w:jc w:val="center"/>
                    <w:rPr>
                      <w:szCs w:val="21"/>
                    </w:rPr>
                  </w:pPr>
                  <w:r>
                    <w:rPr>
                      <w:szCs w:val="21"/>
                    </w:rPr>
                    <w:t>1</w:t>
                  </w:r>
                </w:p>
              </w:tc>
              <w:tc>
                <w:tcPr>
                  <w:tcW w:w="1491" w:type="dxa"/>
                  <w:shd w:val="clear" w:color="auto" w:fill="auto"/>
                  <w:vAlign w:val="center"/>
                </w:tcPr>
                <w:p>
                  <w:pPr>
                    <w:jc w:val="center"/>
                    <w:rPr>
                      <w:szCs w:val="21"/>
                    </w:rPr>
                  </w:pPr>
                  <w:r>
                    <w:rPr>
                      <w:szCs w:val="21"/>
                    </w:rPr>
                    <w:t>1</w:t>
                  </w:r>
                </w:p>
              </w:tc>
            </w:tr>
          </w:tbl>
          <w:p>
            <w:pPr>
              <w:rPr>
                <w:rFonts w:eastAsia="黑体"/>
                <w:sz w:val="10"/>
              </w:rPr>
            </w:pPr>
          </w:p>
          <w:p>
            <w:pPr>
              <w:jc w:val="left"/>
              <w:rPr>
                <w:rFonts w:ascii="黑体" w:hAnsi="黑体" w:eastAsia="黑体"/>
                <w:sz w:val="24"/>
              </w:rPr>
            </w:pPr>
          </w:p>
          <w:p>
            <w:pPr>
              <w:jc w:val="left"/>
              <w:rPr>
                <w:rFonts w:ascii="黑体" w:hAnsi="黑体" w:eastAsia="黑体"/>
                <w:sz w:val="24"/>
              </w:rPr>
            </w:pPr>
            <w:r>
              <w:rPr>
                <w:rFonts w:ascii="黑体" w:hAnsi="黑体" w:eastAsia="黑体"/>
                <w:sz w:val="24"/>
              </w:rPr>
              <w:t>表</w:t>
            </w:r>
            <w:r>
              <w:rPr>
                <w:rFonts w:eastAsia="黑体"/>
                <w:sz w:val="24"/>
              </w:rPr>
              <w:t>7</w:t>
            </w:r>
            <w:r>
              <w:rPr>
                <w:rFonts w:ascii="黑体" w:hAnsi="黑体" w:eastAsia="黑体"/>
                <w:sz w:val="24"/>
              </w:rPr>
              <w:t xml:space="preserve">                      机械</w:t>
            </w:r>
            <w:r>
              <w:rPr>
                <w:rFonts w:hint="eastAsia" w:ascii="黑体" w:hAnsi="黑体" w:eastAsia="黑体"/>
                <w:sz w:val="24"/>
              </w:rPr>
              <w:t>修配保养站</w:t>
            </w:r>
            <w:r>
              <w:rPr>
                <w:rFonts w:ascii="黑体" w:hAnsi="黑体" w:eastAsia="黑体"/>
                <w:sz w:val="24"/>
              </w:rPr>
              <w:t>含油废水处理主要设备表</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4"/>
              <w:gridCol w:w="1649"/>
              <w:gridCol w:w="2547"/>
              <w:gridCol w:w="1437"/>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2164" w:type="dxa"/>
                  <w:shd w:val="clear" w:color="auto" w:fill="auto"/>
                  <w:vAlign w:val="center"/>
                </w:tcPr>
                <w:p>
                  <w:pPr>
                    <w:jc w:val="center"/>
                    <w:rPr>
                      <w:szCs w:val="21"/>
                    </w:rPr>
                  </w:pPr>
                  <w:r>
                    <w:rPr>
                      <w:szCs w:val="21"/>
                    </w:rPr>
                    <w:t>处理系统</w:t>
                  </w:r>
                </w:p>
              </w:tc>
              <w:tc>
                <w:tcPr>
                  <w:tcW w:w="1649" w:type="dxa"/>
                  <w:shd w:val="clear" w:color="auto" w:fill="auto"/>
                  <w:vAlign w:val="center"/>
                </w:tcPr>
                <w:p>
                  <w:pPr>
                    <w:jc w:val="center"/>
                    <w:rPr>
                      <w:szCs w:val="21"/>
                    </w:rPr>
                  </w:pPr>
                  <w:r>
                    <w:rPr>
                      <w:szCs w:val="21"/>
                    </w:rPr>
                    <w:t>位置</w:t>
                  </w:r>
                </w:p>
              </w:tc>
              <w:tc>
                <w:tcPr>
                  <w:tcW w:w="2547" w:type="dxa"/>
                  <w:shd w:val="clear" w:color="auto" w:fill="auto"/>
                  <w:vAlign w:val="center"/>
                </w:tcPr>
                <w:p>
                  <w:pPr>
                    <w:jc w:val="center"/>
                    <w:rPr>
                      <w:szCs w:val="21"/>
                    </w:rPr>
                  </w:pPr>
                  <w:r>
                    <w:rPr>
                      <w:szCs w:val="21"/>
                    </w:rPr>
                    <w:t>主要设备名称</w:t>
                  </w:r>
                </w:p>
              </w:tc>
              <w:tc>
                <w:tcPr>
                  <w:tcW w:w="1437" w:type="dxa"/>
                  <w:shd w:val="clear" w:color="auto" w:fill="auto"/>
                  <w:vAlign w:val="center"/>
                </w:tcPr>
                <w:p>
                  <w:pPr>
                    <w:jc w:val="center"/>
                    <w:rPr>
                      <w:szCs w:val="21"/>
                    </w:rPr>
                  </w:pPr>
                  <w:r>
                    <w:rPr>
                      <w:szCs w:val="21"/>
                    </w:rPr>
                    <w:t>数量(台/套)</w:t>
                  </w:r>
                </w:p>
              </w:tc>
              <w:tc>
                <w:tcPr>
                  <w:tcW w:w="1519" w:type="dxa"/>
                  <w:shd w:val="clear" w:color="auto" w:fill="auto"/>
                  <w:vAlign w:val="center"/>
                </w:tcPr>
                <w:p>
                  <w:pPr>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64" w:type="dxa"/>
                  <w:vMerge w:val="restart"/>
                  <w:vAlign w:val="center"/>
                </w:tcPr>
                <w:p>
                  <w:pPr>
                    <w:jc w:val="center"/>
                    <w:rPr>
                      <w:szCs w:val="21"/>
                    </w:rPr>
                  </w:pPr>
                  <w:r>
                    <w:rPr>
                      <w:szCs w:val="21"/>
                    </w:rPr>
                    <w:t>机械</w:t>
                  </w:r>
                  <w:r>
                    <w:rPr>
                      <w:rFonts w:hint="eastAsia"/>
                      <w:szCs w:val="21"/>
                    </w:rPr>
                    <w:t>保养站废水处理</w:t>
                  </w:r>
                </w:p>
              </w:tc>
              <w:tc>
                <w:tcPr>
                  <w:tcW w:w="1649" w:type="dxa"/>
                  <w:vMerge w:val="restart"/>
                  <w:shd w:val="clear" w:color="auto" w:fill="auto"/>
                  <w:vAlign w:val="center"/>
                </w:tcPr>
                <w:p>
                  <w:pPr>
                    <w:jc w:val="center"/>
                    <w:rPr>
                      <w:szCs w:val="21"/>
                    </w:rPr>
                  </w:pPr>
                  <w:r>
                    <w:rPr>
                      <w:szCs w:val="21"/>
                    </w:rPr>
                    <w:t>隔油沉淀池</w:t>
                  </w:r>
                </w:p>
              </w:tc>
              <w:tc>
                <w:tcPr>
                  <w:tcW w:w="2547" w:type="dxa"/>
                  <w:shd w:val="clear" w:color="auto" w:fill="auto"/>
                  <w:vAlign w:val="center"/>
                </w:tcPr>
                <w:p>
                  <w:pPr>
                    <w:jc w:val="center"/>
                    <w:rPr>
                      <w:szCs w:val="21"/>
                    </w:rPr>
                  </w:pPr>
                  <w:r>
                    <w:rPr>
                      <w:szCs w:val="21"/>
                    </w:rPr>
                    <w:t>潜水排污泵</w:t>
                  </w:r>
                </w:p>
              </w:tc>
              <w:tc>
                <w:tcPr>
                  <w:tcW w:w="1437" w:type="dxa"/>
                  <w:shd w:val="clear" w:color="auto" w:fill="auto"/>
                  <w:vAlign w:val="center"/>
                </w:tcPr>
                <w:p>
                  <w:pPr>
                    <w:jc w:val="center"/>
                    <w:rPr>
                      <w:szCs w:val="21"/>
                    </w:rPr>
                  </w:pPr>
                  <w:r>
                    <w:rPr>
                      <w:szCs w:val="21"/>
                    </w:rPr>
                    <w:t>2</w:t>
                  </w:r>
                </w:p>
              </w:tc>
              <w:tc>
                <w:tcPr>
                  <w:tcW w:w="1519" w:type="dxa"/>
                  <w:shd w:val="clear" w:color="auto" w:fill="auto"/>
                  <w:vAlign w:val="center"/>
                </w:tcPr>
                <w:p>
                  <w:pPr>
                    <w:jc w:val="center"/>
                    <w:rPr>
                      <w:szCs w:val="21"/>
                    </w:rPr>
                  </w:pPr>
                  <w:r>
                    <w:rPr>
                      <w:szCs w:val="21"/>
                    </w:rPr>
                    <w:t>一用一备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64" w:type="dxa"/>
                  <w:vMerge w:val="continue"/>
                  <w:vAlign w:val="center"/>
                </w:tcPr>
                <w:p>
                  <w:pPr>
                    <w:rPr>
                      <w:szCs w:val="21"/>
                    </w:rPr>
                  </w:pPr>
                </w:p>
              </w:tc>
              <w:tc>
                <w:tcPr>
                  <w:tcW w:w="1649" w:type="dxa"/>
                  <w:vMerge w:val="continue"/>
                  <w:vAlign w:val="center"/>
                </w:tcPr>
                <w:p>
                  <w:pPr>
                    <w:rPr>
                      <w:szCs w:val="21"/>
                    </w:rPr>
                  </w:pPr>
                </w:p>
              </w:tc>
              <w:tc>
                <w:tcPr>
                  <w:tcW w:w="2547" w:type="dxa"/>
                  <w:shd w:val="clear" w:color="auto" w:fill="auto"/>
                  <w:vAlign w:val="center"/>
                </w:tcPr>
                <w:p>
                  <w:pPr>
                    <w:jc w:val="center"/>
                    <w:rPr>
                      <w:szCs w:val="21"/>
                    </w:rPr>
                  </w:pPr>
                  <w:r>
                    <w:rPr>
                      <w:szCs w:val="21"/>
                    </w:rPr>
                    <w:t>浮子撇油器</w:t>
                  </w:r>
                </w:p>
              </w:tc>
              <w:tc>
                <w:tcPr>
                  <w:tcW w:w="1437" w:type="dxa"/>
                  <w:shd w:val="clear" w:color="auto" w:fill="auto"/>
                  <w:vAlign w:val="center"/>
                </w:tcPr>
                <w:p>
                  <w:pPr>
                    <w:jc w:val="center"/>
                    <w:rPr>
                      <w:szCs w:val="21"/>
                    </w:rPr>
                  </w:pPr>
                  <w:r>
                    <w:rPr>
                      <w:szCs w:val="21"/>
                    </w:rPr>
                    <w:t>2</w:t>
                  </w:r>
                </w:p>
              </w:tc>
              <w:tc>
                <w:tcPr>
                  <w:tcW w:w="1519" w:type="dxa"/>
                  <w:shd w:val="clear" w:color="auto" w:fill="auto"/>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2164" w:type="dxa"/>
                  <w:vMerge w:val="continue"/>
                  <w:vAlign w:val="center"/>
                </w:tcPr>
                <w:p>
                  <w:pPr>
                    <w:rPr>
                      <w:szCs w:val="21"/>
                    </w:rPr>
                  </w:pPr>
                </w:p>
              </w:tc>
              <w:tc>
                <w:tcPr>
                  <w:tcW w:w="1649" w:type="dxa"/>
                  <w:shd w:val="clear" w:color="auto" w:fill="auto"/>
                  <w:vAlign w:val="center"/>
                </w:tcPr>
                <w:p>
                  <w:pPr>
                    <w:jc w:val="center"/>
                    <w:rPr>
                      <w:szCs w:val="21"/>
                    </w:rPr>
                  </w:pPr>
                  <w:r>
                    <w:rPr>
                      <w:szCs w:val="21"/>
                    </w:rPr>
                    <w:t>蓄水池</w:t>
                  </w:r>
                </w:p>
              </w:tc>
              <w:tc>
                <w:tcPr>
                  <w:tcW w:w="2547" w:type="dxa"/>
                  <w:shd w:val="clear" w:color="auto" w:fill="auto"/>
                  <w:vAlign w:val="center"/>
                </w:tcPr>
                <w:p>
                  <w:pPr>
                    <w:jc w:val="center"/>
                    <w:rPr>
                      <w:szCs w:val="21"/>
                    </w:rPr>
                  </w:pPr>
                  <w:r>
                    <w:rPr>
                      <w:szCs w:val="21"/>
                    </w:rPr>
                    <w:t>潜水排污泵</w:t>
                  </w:r>
                </w:p>
              </w:tc>
              <w:tc>
                <w:tcPr>
                  <w:tcW w:w="1437" w:type="dxa"/>
                  <w:shd w:val="clear" w:color="auto" w:fill="auto"/>
                  <w:vAlign w:val="center"/>
                </w:tcPr>
                <w:p>
                  <w:pPr>
                    <w:jc w:val="center"/>
                    <w:rPr>
                      <w:szCs w:val="21"/>
                    </w:rPr>
                  </w:pPr>
                  <w:r>
                    <w:rPr>
                      <w:szCs w:val="21"/>
                    </w:rPr>
                    <w:t>2</w:t>
                  </w:r>
                </w:p>
              </w:tc>
              <w:tc>
                <w:tcPr>
                  <w:tcW w:w="1519" w:type="dxa"/>
                  <w:shd w:val="clear" w:color="auto" w:fill="auto"/>
                  <w:vAlign w:val="center"/>
                </w:tcPr>
                <w:p>
                  <w:pPr>
                    <w:jc w:val="center"/>
                    <w:rPr>
                      <w:szCs w:val="21"/>
                    </w:rPr>
                  </w:pPr>
                  <w:r>
                    <w:rPr>
                      <w:szCs w:val="21"/>
                    </w:rPr>
                    <w:t>一用一备　</w:t>
                  </w:r>
                </w:p>
              </w:tc>
            </w:tr>
          </w:tbl>
          <w:p>
            <w:pPr>
              <w:jc w:val="center"/>
              <w:rPr>
                <w:sz w:val="24"/>
              </w:rPr>
            </w:pPr>
          </w:p>
          <w:p>
            <w:pPr>
              <w:jc w:val="left"/>
              <w:rPr>
                <w:rFonts w:eastAsia="黑体"/>
              </w:rPr>
            </w:pPr>
            <w:r>
              <w:rPr>
                <w:rFonts w:eastAsia="黑体"/>
              </w:rPr>
              <w:br w:type="page"/>
            </w:r>
            <w:r>
              <w:rPr>
                <w:rFonts w:ascii="黑体" w:hAnsi="黑体" w:eastAsia="黑体"/>
                <w:sz w:val="24"/>
              </w:rPr>
              <w:t>表</w:t>
            </w:r>
            <w:r>
              <w:rPr>
                <w:rFonts w:eastAsia="黑体"/>
                <w:sz w:val="24"/>
              </w:rPr>
              <w:t>8</w:t>
            </w:r>
            <w:r>
              <w:rPr>
                <w:rFonts w:ascii="黑体" w:hAnsi="黑体" w:eastAsia="黑体"/>
                <w:sz w:val="24"/>
              </w:rPr>
              <w:t xml:space="preserve">                     机械</w:t>
            </w:r>
            <w:r>
              <w:rPr>
                <w:rFonts w:hint="eastAsia" w:ascii="黑体" w:hAnsi="黑体" w:eastAsia="黑体"/>
                <w:sz w:val="24"/>
              </w:rPr>
              <w:t>修配保养站</w:t>
            </w:r>
            <w:r>
              <w:rPr>
                <w:rFonts w:ascii="黑体" w:hAnsi="黑体" w:eastAsia="黑体"/>
                <w:sz w:val="24"/>
              </w:rPr>
              <w:t>含油废水处理工程量表</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3"/>
              <w:gridCol w:w="3233"/>
              <w:gridCol w:w="715"/>
              <w:gridCol w:w="812"/>
              <w:gridCol w:w="3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663" w:type="dxa"/>
                  <w:shd w:val="clear" w:color="auto" w:fill="auto"/>
                  <w:noWrap/>
                  <w:vAlign w:val="center"/>
                </w:tcPr>
                <w:p>
                  <w:pPr>
                    <w:jc w:val="center"/>
                    <w:rPr>
                      <w:szCs w:val="21"/>
                    </w:rPr>
                  </w:pPr>
                  <w:r>
                    <w:rPr>
                      <w:szCs w:val="21"/>
                    </w:rPr>
                    <w:t>序号</w:t>
                  </w:r>
                </w:p>
              </w:tc>
              <w:tc>
                <w:tcPr>
                  <w:tcW w:w="3233" w:type="dxa"/>
                  <w:shd w:val="clear" w:color="auto" w:fill="auto"/>
                  <w:noWrap/>
                  <w:vAlign w:val="center"/>
                </w:tcPr>
                <w:p>
                  <w:pPr>
                    <w:jc w:val="center"/>
                    <w:rPr>
                      <w:szCs w:val="21"/>
                    </w:rPr>
                  </w:pPr>
                  <w:r>
                    <w:rPr>
                      <w:szCs w:val="21"/>
                    </w:rPr>
                    <w:t>项目</w:t>
                  </w:r>
                </w:p>
              </w:tc>
              <w:tc>
                <w:tcPr>
                  <w:tcW w:w="715" w:type="dxa"/>
                  <w:shd w:val="clear" w:color="auto" w:fill="auto"/>
                  <w:vAlign w:val="center"/>
                </w:tcPr>
                <w:p>
                  <w:pPr>
                    <w:jc w:val="center"/>
                    <w:rPr>
                      <w:szCs w:val="21"/>
                    </w:rPr>
                  </w:pPr>
                  <w:r>
                    <w:rPr>
                      <w:szCs w:val="21"/>
                    </w:rPr>
                    <w:t>单位</w:t>
                  </w:r>
                </w:p>
              </w:tc>
              <w:tc>
                <w:tcPr>
                  <w:tcW w:w="812" w:type="dxa"/>
                  <w:shd w:val="clear" w:color="auto" w:fill="auto"/>
                  <w:noWrap/>
                  <w:vAlign w:val="center"/>
                </w:tcPr>
                <w:p>
                  <w:pPr>
                    <w:jc w:val="center"/>
                    <w:rPr>
                      <w:szCs w:val="21"/>
                    </w:rPr>
                  </w:pPr>
                  <w:r>
                    <w:rPr>
                      <w:szCs w:val="21"/>
                    </w:rPr>
                    <w:t>数量</w:t>
                  </w:r>
                </w:p>
              </w:tc>
              <w:tc>
                <w:tcPr>
                  <w:tcW w:w="3893" w:type="dxa"/>
                  <w:shd w:val="clear" w:color="auto" w:fill="auto"/>
                  <w:noWrap/>
                  <w:vAlign w:val="center"/>
                </w:tcPr>
                <w:p>
                  <w:pPr>
                    <w:jc w:val="center"/>
                    <w:rPr>
                      <w:szCs w:val="21"/>
                    </w:rPr>
                  </w:pPr>
                  <w:r>
                    <w:rPr>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3" w:type="dxa"/>
                  <w:shd w:val="clear" w:color="auto" w:fill="auto"/>
                  <w:noWrap/>
                  <w:vAlign w:val="center"/>
                </w:tcPr>
                <w:p>
                  <w:pPr>
                    <w:jc w:val="center"/>
                    <w:rPr>
                      <w:szCs w:val="21"/>
                    </w:rPr>
                  </w:pPr>
                  <w:r>
                    <w:rPr>
                      <w:szCs w:val="21"/>
                    </w:rPr>
                    <w:t>1</w:t>
                  </w:r>
                </w:p>
              </w:tc>
              <w:tc>
                <w:tcPr>
                  <w:tcW w:w="3233" w:type="dxa"/>
                  <w:shd w:val="clear" w:color="auto" w:fill="auto"/>
                  <w:noWrap/>
                  <w:vAlign w:val="center"/>
                </w:tcPr>
                <w:p>
                  <w:pPr>
                    <w:jc w:val="center"/>
                    <w:rPr>
                      <w:szCs w:val="21"/>
                    </w:rPr>
                  </w:pPr>
                  <w:r>
                    <w:rPr>
                      <w:szCs w:val="21"/>
                    </w:rPr>
                    <w:t>土方开挖</w:t>
                  </w:r>
                </w:p>
              </w:tc>
              <w:tc>
                <w:tcPr>
                  <w:tcW w:w="715" w:type="dxa"/>
                  <w:shd w:val="clear" w:color="auto" w:fill="auto"/>
                  <w:vAlign w:val="center"/>
                </w:tcPr>
                <w:p>
                  <w:pPr>
                    <w:jc w:val="center"/>
                    <w:rPr>
                      <w:szCs w:val="21"/>
                    </w:rPr>
                  </w:pPr>
                  <w:r>
                    <w:rPr>
                      <w:szCs w:val="21"/>
                    </w:rPr>
                    <w:t>m</w:t>
                  </w:r>
                  <w:r>
                    <w:rPr>
                      <w:szCs w:val="21"/>
                      <w:vertAlign w:val="superscript"/>
                    </w:rPr>
                    <w:t>3</w:t>
                  </w:r>
                </w:p>
              </w:tc>
              <w:tc>
                <w:tcPr>
                  <w:tcW w:w="812" w:type="dxa"/>
                  <w:shd w:val="clear" w:color="auto" w:fill="auto"/>
                  <w:noWrap/>
                </w:tcPr>
                <w:p>
                  <w:pPr>
                    <w:jc w:val="center"/>
                    <w:rPr>
                      <w:szCs w:val="21"/>
                    </w:rPr>
                  </w:pPr>
                  <w:r>
                    <w:t xml:space="preserve">67.15 </w:t>
                  </w:r>
                </w:p>
              </w:tc>
              <w:tc>
                <w:tcPr>
                  <w:tcW w:w="3893"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3" w:type="dxa"/>
                  <w:shd w:val="clear" w:color="auto" w:fill="auto"/>
                  <w:noWrap/>
                  <w:vAlign w:val="center"/>
                </w:tcPr>
                <w:p>
                  <w:pPr>
                    <w:jc w:val="center"/>
                    <w:rPr>
                      <w:szCs w:val="21"/>
                    </w:rPr>
                  </w:pPr>
                  <w:r>
                    <w:rPr>
                      <w:szCs w:val="21"/>
                    </w:rPr>
                    <w:t>2</w:t>
                  </w:r>
                </w:p>
              </w:tc>
              <w:tc>
                <w:tcPr>
                  <w:tcW w:w="3233" w:type="dxa"/>
                  <w:shd w:val="clear" w:color="auto" w:fill="auto"/>
                  <w:noWrap/>
                  <w:vAlign w:val="center"/>
                </w:tcPr>
                <w:p>
                  <w:pPr>
                    <w:jc w:val="center"/>
                    <w:rPr>
                      <w:szCs w:val="21"/>
                    </w:rPr>
                  </w:pPr>
                  <w:r>
                    <w:rPr>
                      <w:szCs w:val="21"/>
                    </w:rPr>
                    <w:t>土方回填</w:t>
                  </w:r>
                </w:p>
              </w:tc>
              <w:tc>
                <w:tcPr>
                  <w:tcW w:w="715" w:type="dxa"/>
                  <w:shd w:val="clear" w:color="auto" w:fill="auto"/>
                  <w:vAlign w:val="center"/>
                </w:tcPr>
                <w:p>
                  <w:pPr>
                    <w:jc w:val="center"/>
                    <w:rPr>
                      <w:szCs w:val="21"/>
                    </w:rPr>
                  </w:pPr>
                  <w:r>
                    <w:rPr>
                      <w:szCs w:val="21"/>
                    </w:rPr>
                    <w:t>m</w:t>
                  </w:r>
                  <w:r>
                    <w:rPr>
                      <w:szCs w:val="21"/>
                      <w:vertAlign w:val="superscript"/>
                    </w:rPr>
                    <w:t>3</w:t>
                  </w:r>
                </w:p>
              </w:tc>
              <w:tc>
                <w:tcPr>
                  <w:tcW w:w="812" w:type="dxa"/>
                  <w:shd w:val="clear" w:color="auto" w:fill="auto"/>
                  <w:noWrap/>
                </w:tcPr>
                <w:p>
                  <w:pPr>
                    <w:jc w:val="center"/>
                    <w:rPr>
                      <w:szCs w:val="21"/>
                    </w:rPr>
                  </w:pPr>
                  <w:r>
                    <w:t xml:space="preserve">62.75 </w:t>
                  </w:r>
                </w:p>
              </w:tc>
              <w:tc>
                <w:tcPr>
                  <w:tcW w:w="3893"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3" w:type="dxa"/>
                  <w:shd w:val="clear" w:color="auto" w:fill="auto"/>
                  <w:noWrap/>
                  <w:vAlign w:val="center"/>
                </w:tcPr>
                <w:p>
                  <w:pPr>
                    <w:jc w:val="center"/>
                    <w:rPr>
                      <w:szCs w:val="21"/>
                    </w:rPr>
                  </w:pPr>
                  <w:r>
                    <w:rPr>
                      <w:szCs w:val="21"/>
                    </w:rPr>
                    <w:t>3</w:t>
                  </w:r>
                </w:p>
              </w:tc>
              <w:tc>
                <w:tcPr>
                  <w:tcW w:w="3233" w:type="dxa"/>
                  <w:shd w:val="clear" w:color="auto" w:fill="auto"/>
                  <w:noWrap/>
                  <w:vAlign w:val="center"/>
                </w:tcPr>
                <w:p>
                  <w:pPr>
                    <w:jc w:val="center"/>
                    <w:rPr>
                      <w:szCs w:val="21"/>
                    </w:rPr>
                  </w:pPr>
                  <w:r>
                    <w:rPr>
                      <w:szCs w:val="21"/>
                    </w:rPr>
                    <w:t>C25钢筋混凝土</w:t>
                  </w:r>
                </w:p>
              </w:tc>
              <w:tc>
                <w:tcPr>
                  <w:tcW w:w="715" w:type="dxa"/>
                  <w:shd w:val="clear" w:color="auto" w:fill="auto"/>
                  <w:vAlign w:val="center"/>
                </w:tcPr>
                <w:p>
                  <w:pPr>
                    <w:jc w:val="center"/>
                    <w:rPr>
                      <w:szCs w:val="21"/>
                    </w:rPr>
                  </w:pPr>
                  <w:r>
                    <w:rPr>
                      <w:szCs w:val="21"/>
                    </w:rPr>
                    <w:t>m</w:t>
                  </w:r>
                  <w:r>
                    <w:rPr>
                      <w:szCs w:val="21"/>
                      <w:vertAlign w:val="superscript"/>
                    </w:rPr>
                    <w:t>3</w:t>
                  </w:r>
                </w:p>
              </w:tc>
              <w:tc>
                <w:tcPr>
                  <w:tcW w:w="812" w:type="dxa"/>
                  <w:shd w:val="clear" w:color="auto" w:fill="auto"/>
                  <w:noWrap/>
                </w:tcPr>
                <w:p>
                  <w:pPr>
                    <w:jc w:val="center"/>
                    <w:rPr>
                      <w:szCs w:val="21"/>
                    </w:rPr>
                  </w:pPr>
                  <w:r>
                    <w:t xml:space="preserve">7.50 </w:t>
                  </w:r>
                </w:p>
              </w:tc>
              <w:tc>
                <w:tcPr>
                  <w:tcW w:w="3893" w:type="dxa"/>
                  <w:shd w:val="clear" w:color="auto" w:fill="auto"/>
                  <w:noWrap/>
                  <w:vAlign w:val="center"/>
                </w:tcPr>
                <w:p>
                  <w:pPr>
                    <w:jc w:val="center"/>
                    <w:rPr>
                      <w:szCs w:val="21"/>
                    </w:rPr>
                  </w:pPr>
                  <w:r>
                    <w:rPr>
                      <w:szCs w:val="21"/>
                    </w:rPr>
                    <w:t>二级配，F200、W6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3" w:type="dxa"/>
                  <w:shd w:val="clear" w:color="auto" w:fill="auto"/>
                  <w:noWrap/>
                  <w:vAlign w:val="center"/>
                </w:tcPr>
                <w:p>
                  <w:pPr>
                    <w:jc w:val="center"/>
                    <w:rPr>
                      <w:szCs w:val="21"/>
                    </w:rPr>
                  </w:pPr>
                  <w:r>
                    <w:rPr>
                      <w:szCs w:val="21"/>
                    </w:rPr>
                    <w:t>4</w:t>
                  </w:r>
                </w:p>
              </w:tc>
              <w:tc>
                <w:tcPr>
                  <w:tcW w:w="3233" w:type="dxa"/>
                  <w:shd w:val="clear" w:color="auto" w:fill="auto"/>
                  <w:vAlign w:val="center"/>
                </w:tcPr>
                <w:p>
                  <w:pPr>
                    <w:jc w:val="center"/>
                    <w:rPr>
                      <w:szCs w:val="21"/>
                    </w:rPr>
                  </w:pPr>
                  <w:r>
                    <w:rPr>
                      <w:szCs w:val="21"/>
                    </w:rPr>
                    <w:t>钢筋制安</w:t>
                  </w:r>
                </w:p>
              </w:tc>
              <w:tc>
                <w:tcPr>
                  <w:tcW w:w="715" w:type="dxa"/>
                  <w:shd w:val="clear" w:color="auto" w:fill="auto"/>
                  <w:vAlign w:val="center"/>
                </w:tcPr>
                <w:p>
                  <w:pPr>
                    <w:jc w:val="center"/>
                    <w:rPr>
                      <w:szCs w:val="21"/>
                    </w:rPr>
                  </w:pPr>
                  <w:r>
                    <w:rPr>
                      <w:szCs w:val="21"/>
                    </w:rPr>
                    <w:t>t</w:t>
                  </w:r>
                </w:p>
              </w:tc>
              <w:tc>
                <w:tcPr>
                  <w:tcW w:w="812" w:type="dxa"/>
                  <w:shd w:val="clear" w:color="auto" w:fill="auto"/>
                  <w:noWrap/>
                </w:tcPr>
                <w:p>
                  <w:pPr>
                    <w:jc w:val="center"/>
                    <w:rPr>
                      <w:szCs w:val="21"/>
                    </w:rPr>
                  </w:pPr>
                  <w:r>
                    <w:t xml:space="preserve">0.90 </w:t>
                  </w:r>
                </w:p>
              </w:tc>
              <w:tc>
                <w:tcPr>
                  <w:tcW w:w="3893" w:type="dxa"/>
                  <w:shd w:val="clear" w:color="auto" w:fill="auto"/>
                  <w:noWrap/>
                  <w:vAlign w:val="center"/>
                </w:tcPr>
                <w:p>
                  <w:pPr>
                    <w:jc w:val="cente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63" w:type="dxa"/>
                  <w:shd w:val="clear" w:color="auto" w:fill="auto"/>
                  <w:noWrap/>
                  <w:vAlign w:val="center"/>
                </w:tcPr>
                <w:p>
                  <w:pPr>
                    <w:jc w:val="center"/>
                    <w:rPr>
                      <w:szCs w:val="21"/>
                    </w:rPr>
                  </w:pPr>
                  <w:r>
                    <w:rPr>
                      <w:szCs w:val="21"/>
                    </w:rPr>
                    <w:t>5</w:t>
                  </w:r>
                </w:p>
              </w:tc>
              <w:tc>
                <w:tcPr>
                  <w:tcW w:w="3233" w:type="dxa"/>
                  <w:shd w:val="clear" w:color="auto" w:fill="auto"/>
                  <w:vAlign w:val="center"/>
                </w:tcPr>
                <w:p>
                  <w:pPr>
                    <w:jc w:val="center"/>
                    <w:rPr>
                      <w:szCs w:val="21"/>
                    </w:rPr>
                  </w:pPr>
                  <w:r>
                    <w:rPr>
                      <w:szCs w:val="21"/>
                    </w:rPr>
                    <w:t>C10混凝土垫层</w:t>
                  </w:r>
                </w:p>
              </w:tc>
              <w:tc>
                <w:tcPr>
                  <w:tcW w:w="715" w:type="dxa"/>
                  <w:shd w:val="clear" w:color="auto" w:fill="auto"/>
                  <w:vAlign w:val="center"/>
                </w:tcPr>
                <w:p>
                  <w:pPr>
                    <w:jc w:val="center"/>
                    <w:rPr>
                      <w:szCs w:val="21"/>
                    </w:rPr>
                  </w:pPr>
                  <w:r>
                    <w:rPr>
                      <w:szCs w:val="21"/>
                    </w:rPr>
                    <w:t>m</w:t>
                  </w:r>
                  <w:r>
                    <w:rPr>
                      <w:szCs w:val="21"/>
                      <w:vertAlign w:val="superscript"/>
                    </w:rPr>
                    <w:t>3</w:t>
                  </w:r>
                </w:p>
              </w:tc>
              <w:tc>
                <w:tcPr>
                  <w:tcW w:w="812" w:type="dxa"/>
                  <w:shd w:val="clear" w:color="auto" w:fill="auto"/>
                  <w:noWrap/>
                </w:tcPr>
                <w:p>
                  <w:pPr>
                    <w:jc w:val="center"/>
                    <w:rPr>
                      <w:szCs w:val="21"/>
                    </w:rPr>
                  </w:pPr>
                  <w:r>
                    <w:t xml:space="preserve">0.92 </w:t>
                  </w:r>
                </w:p>
              </w:tc>
              <w:tc>
                <w:tcPr>
                  <w:tcW w:w="3893" w:type="dxa"/>
                  <w:shd w:val="clear" w:color="auto" w:fill="auto"/>
                  <w:noWrap/>
                  <w:vAlign w:val="center"/>
                </w:tcPr>
                <w:p>
                  <w:pPr>
                    <w:jc w:val="center"/>
                    <w:rPr>
                      <w:szCs w:val="21"/>
                    </w:rPr>
                  </w:pPr>
                  <w:r>
                    <w:rPr>
                      <w:szCs w:val="21"/>
                    </w:rPr>
                    <w:t>二级配</w:t>
                  </w:r>
                </w:p>
              </w:tc>
            </w:tr>
          </w:tbl>
          <w:p>
            <w:pPr>
              <w:jc w:val="center"/>
              <w:rPr>
                <w:sz w:val="24"/>
              </w:rPr>
            </w:pPr>
          </w:p>
          <w:p>
            <w:pPr>
              <w:spacing w:line="360" w:lineRule="auto"/>
              <w:ind w:firstLine="480"/>
              <w:rPr>
                <w:sz w:val="24"/>
              </w:rPr>
            </w:pPr>
          </w:p>
          <w:p>
            <w:pPr>
              <w:spacing w:line="360" w:lineRule="auto"/>
              <w:ind w:firstLine="480"/>
              <w:rPr>
                <w:sz w:val="24"/>
              </w:rPr>
            </w:pPr>
            <w:r>
              <w:rPr>
                <w:rFonts w:hint="eastAsia" w:ascii="宋体" w:hAnsi="宋体" w:cs="宋体"/>
                <w:sz w:val="24"/>
              </w:rPr>
              <w:t>④</w:t>
            </w:r>
            <w:r>
              <w:rPr>
                <w:sz w:val="24"/>
              </w:rPr>
              <w:t>运行管理与维护</w:t>
            </w:r>
          </w:p>
          <w:p>
            <w:pPr>
              <w:spacing w:line="360" w:lineRule="auto"/>
              <w:ind w:firstLine="480"/>
              <w:rPr>
                <w:sz w:val="24"/>
              </w:rPr>
            </w:pPr>
            <w:r>
              <w:rPr>
                <w:rFonts w:hint="eastAsia"/>
                <w:sz w:val="24"/>
              </w:rPr>
              <w:t>a.</w:t>
            </w:r>
            <w:r>
              <w:rPr>
                <w:sz w:val="24"/>
              </w:rPr>
              <w:t>要求在</w:t>
            </w:r>
            <w:r>
              <w:rPr>
                <w:rFonts w:hint="eastAsia"/>
                <w:sz w:val="24"/>
              </w:rPr>
              <w:t>保养站</w:t>
            </w:r>
            <w:r>
              <w:rPr>
                <w:sz w:val="24"/>
              </w:rPr>
              <w:t>附近设置专门的集中冲洗场，冲洗废水通过集水沟进入隔油池处理，油污定期清理。</w:t>
            </w:r>
          </w:p>
          <w:p>
            <w:pPr>
              <w:spacing w:line="360" w:lineRule="auto"/>
              <w:ind w:firstLine="480"/>
              <w:rPr>
                <w:sz w:val="24"/>
              </w:rPr>
            </w:pPr>
            <w:r>
              <w:rPr>
                <w:rFonts w:hint="eastAsia"/>
                <w:sz w:val="24"/>
              </w:rPr>
              <w:t>b.</w:t>
            </w:r>
            <w:r>
              <w:rPr>
                <w:sz w:val="24"/>
              </w:rPr>
              <w:t>严禁将含油废水直排周边环境。</w:t>
            </w:r>
          </w:p>
          <w:p>
            <w:pPr>
              <w:spacing w:line="360" w:lineRule="auto"/>
              <w:ind w:firstLine="480"/>
              <w:rPr>
                <w:sz w:val="24"/>
              </w:rPr>
            </w:pPr>
            <w:r>
              <w:rPr>
                <w:rFonts w:hint="eastAsia"/>
                <w:sz w:val="24"/>
              </w:rPr>
              <w:t>c.</w:t>
            </w:r>
            <w:r>
              <w:rPr>
                <w:sz w:val="24"/>
              </w:rPr>
              <w:t>含油废水处理构筑物简单，没有机械设备维护问题，在运行过程中注意定时清理沉淀池、清洗及更换隔油材料、回收浮油，</w:t>
            </w:r>
            <w:r>
              <w:rPr>
                <w:rFonts w:hint="eastAsia"/>
                <w:sz w:val="24"/>
              </w:rPr>
              <w:t>并将其</w:t>
            </w:r>
            <w:r>
              <w:rPr>
                <w:sz w:val="24"/>
              </w:rPr>
              <w:t>作为危废</w:t>
            </w:r>
            <w:r>
              <w:rPr>
                <w:rFonts w:hint="eastAsia"/>
                <w:sz w:val="24"/>
              </w:rPr>
              <w:t>进行</w:t>
            </w:r>
            <w:r>
              <w:rPr>
                <w:sz w:val="24"/>
              </w:rPr>
              <w:t>处理；管理和维护工作纳入</w:t>
            </w:r>
            <w:r>
              <w:rPr>
                <w:rFonts w:hint="eastAsia"/>
                <w:sz w:val="24"/>
              </w:rPr>
              <w:t>机械修配保养站</w:t>
            </w:r>
            <w:r>
              <w:rPr>
                <w:sz w:val="24"/>
              </w:rPr>
              <w:t>内统一安排，不另设机构和人员。</w:t>
            </w:r>
          </w:p>
          <w:p>
            <w:pPr>
              <w:spacing w:line="360" w:lineRule="auto"/>
              <w:ind w:firstLine="480"/>
              <w:rPr>
                <w:sz w:val="24"/>
              </w:rPr>
            </w:pPr>
            <w:r>
              <w:rPr>
                <w:rFonts w:hint="eastAsia"/>
                <w:sz w:val="24"/>
              </w:rPr>
              <w:t>d.</w:t>
            </w:r>
            <w:r>
              <w:rPr>
                <w:sz w:val="24"/>
              </w:rPr>
              <w:t>施工结束后待沉淀池蒸发完后进行池底清理，泥渣运至</w:t>
            </w:r>
            <w:r>
              <w:rPr>
                <w:rFonts w:hint="eastAsia"/>
                <w:sz w:val="24"/>
              </w:rPr>
              <w:t>弃渣场</w:t>
            </w:r>
            <w:r>
              <w:rPr>
                <w:sz w:val="24"/>
              </w:rPr>
              <w:t>，清理后将沉淀池覆土填埋。</w:t>
            </w:r>
          </w:p>
          <w:p>
            <w:pPr>
              <w:pStyle w:val="88"/>
            </w:pPr>
            <w:r>
              <w:rPr>
                <w:rFonts w:hint="eastAsia"/>
              </w:rPr>
              <w:t>（4）</w:t>
            </w:r>
            <w:r>
              <w:t>基坑排水</w:t>
            </w:r>
          </w:p>
          <w:p>
            <w:pPr>
              <w:pStyle w:val="45"/>
              <w:ind w:firstLine="480"/>
              <w:rPr>
                <w:bCs/>
              </w:rPr>
            </w:pPr>
            <w:r>
              <w:rPr>
                <w:rFonts w:hint="eastAsia" w:ascii="宋体" w:hAnsi="宋体" w:cs="宋体"/>
                <w:bCs/>
              </w:rPr>
              <w:t>①</w:t>
            </w:r>
            <w:r>
              <w:rPr>
                <w:bCs/>
              </w:rPr>
              <w:t>排水情况</w:t>
            </w:r>
          </w:p>
          <w:p>
            <w:pPr>
              <w:pStyle w:val="63"/>
              <w:ind w:firstLine="480"/>
            </w:pPr>
            <w:r>
              <w:t>基坑排水工作主要为基坑开挖、建筑物施工过程中的经常性排水</w:t>
            </w:r>
            <w:r>
              <w:rPr>
                <w:rFonts w:hint="eastAsia"/>
              </w:rPr>
              <w:t>，</w:t>
            </w:r>
            <w:r>
              <w:t>主要包括围堰与基坑渗水、降雨、施工弃水等施工用水。</w:t>
            </w:r>
            <w:r>
              <w:rPr>
                <w:rFonts w:hint="eastAsia"/>
                <w:lang w:eastAsia="zh-CN"/>
              </w:rPr>
              <w:t>基坑</w:t>
            </w:r>
            <w:r>
              <w:rPr>
                <w:lang w:eastAsia="zh-CN"/>
              </w:rPr>
              <w:t>废水</w:t>
            </w:r>
            <w:r>
              <w:rPr>
                <w:rFonts w:hint="eastAsia"/>
                <w:lang w:eastAsia="zh-CN"/>
              </w:rPr>
              <w:t>高峰期排水</w:t>
            </w:r>
            <w:r>
              <w:t>强度为</w:t>
            </w:r>
            <w:r>
              <w:rPr>
                <w:rFonts w:ascii="Times New Roman" w:hAnsi="Times New Roman"/>
              </w:rPr>
              <w:t>80m³/h。</w:t>
            </w:r>
          </w:p>
          <w:p>
            <w:pPr>
              <w:pStyle w:val="63"/>
              <w:ind w:firstLine="480"/>
            </w:pPr>
            <w:r>
              <w:rPr>
                <w:rFonts w:hint="eastAsia"/>
              </w:rPr>
              <w:t>②</w:t>
            </w:r>
            <w:r>
              <w:t>处理工艺</w:t>
            </w:r>
          </w:p>
          <w:p>
            <w:pPr>
              <w:pStyle w:val="63"/>
              <w:ind w:firstLine="480"/>
            </w:pPr>
            <w:r>
              <w:t>本工程基坑排水量不大，历时短。若修建大型构筑物来处理这部分废水，工程开挖造成的环境破坏、修建过程中“三废”排放对环境的不利影响较大。因此，从技术经济角度分析，对基坑排水进行处理既不经济也不现实。</w:t>
            </w:r>
          </w:p>
          <w:p>
            <w:pPr>
              <w:pStyle w:val="63"/>
              <w:ind w:firstLine="480"/>
            </w:pPr>
            <w:r>
              <w:t>根据其他水利水电工程对基坑排水的处理经验，采取自然沉淀法，不采取另外的处理措施，简单实用；经沉降后的水，可用于机械冲洗、</w:t>
            </w:r>
            <w:r>
              <w:rPr>
                <w:rFonts w:hint="eastAsia"/>
                <w:szCs w:val="21"/>
                <w:lang w:eastAsia="zh-CN"/>
              </w:rPr>
              <w:t>弃渣场</w:t>
            </w:r>
            <w:r>
              <w:t>和施工道路等降尘，排水处理工艺流程见图3。</w:t>
            </w:r>
          </w:p>
          <w:p>
            <w:pPr>
              <w:pStyle w:val="63"/>
              <w:ind w:firstLine="0" w:firstLineChars="0"/>
            </w:pPr>
            <w:r>
              <w:rPr>
                <w:lang w:val="en-US" w:eastAsia="zh-CN"/>
              </w:rPr>
              <mc:AlternateContent>
                <mc:Choice Requires="wps">
                  <w:drawing>
                    <wp:anchor distT="0" distB="0" distL="114300" distR="114300" simplePos="0" relativeHeight="251660288" behindDoc="0" locked="0" layoutInCell="1" allowOverlap="1">
                      <wp:simplePos x="0" y="0"/>
                      <wp:positionH relativeFrom="column">
                        <wp:posOffset>2616835</wp:posOffset>
                      </wp:positionH>
                      <wp:positionV relativeFrom="paragraph">
                        <wp:posOffset>200025</wp:posOffset>
                      </wp:positionV>
                      <wp:extent cx="1276350" cy="314325"/>
                      <wp:effectExtent l="0" t="2540" r="0" b="0"/>
                      <wp:wrapNone/>
                      <wp:docPr id="21" name="矩形 21"/>
                      <wp:cNvGraphicFramePr/>
                      <a:graphic xmlns:a="http://schemas.openxmlformats.org/drawingml/2006/main">
                        <a:graphicData uri="http://schemas.microsoft.com/office/word/2010/wordprocessingShape">
                          <wps:wsp>
                            <wps:cNvSpPr>
                              <a:spLocks noChangeArrowheads="1"/>
                            </wps:cNvSpPr>
                            <wps:spPr bwMode="auto">
                              <a:xfrm>
                                <a:off x="0" y="0"/>
                                <a:ext cx="1276350" cy="314325"/>
                              </a:xfrm>
                              <a:prstGeom prst="rect">
                                <a:avLst/>
                              </a:prstGeom>
                              <a:noFill/>
                              <a:ln>
                                <a:noFill/>
                              </a:ln>
                            </wps:spPr>
                            <wps:txbx>
                              <w:txbxContent>
                                <w:p>
                                  <w:pPr>
                                    <w:rPr>
                                      <w:sz w:val="24"/>
                                    </w:rPr>
                                  </w:pPr>
                                  <w:r>
                                    <w:rPr>
                                      <w:rFonts w:hint="eastAsia"/>
                                      <w:sz w:val="24"/>
                                    </w:rPr>
                                    <w:t>上清液抽出回用</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06.05pt;margin-top:15.75pt;height:24.75pt;width:100.5pt;z-index:251660288;v-text-anchor:middle;mso-width-relative:page;mso-height-relative:page;" filled="f" stroked="f" coordsize="21600,21600" o:gfxdata="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Y6GeJdQAAAAJAQAADwAAAAAAAAABACAAAAAiAAAAZHJzL2Rvd25yZXYueG1sUEsBAhQAFAAA&#10;AAgAh07iQBNHwD7zAQAAvgMAAA4AAAAAAAAAAQAgAAAAIwEAAGRycy9lMm9Eb2MueG1sUEsFBgAA&#10;AAAGAAYAWQEAAIgFAAAAAA==&#10;">
                      <v:fill on="f" focussize="0,0"/>
                      <v:stroke on="f"/>
                      <v:imagedata o:title=""/>
                      <o:lock v:ext="edit" aspectratio="f"/>
                      <v:textbox>
                        <w:txbxContent>
                          <w:p>
                            <w:pPr>
                              <w:rPr>
                                <w:sz w:val="24"/>
                              </w:rPr>
                            </w:pPr>
                            <w:r>
                              <w:rPr>
                                <w:rFonts w:hint="eastAsia"/>
                                <w:sz w:val="24"/>
                              </w:rPr>
                              <w:t>上清液抽出回用</w:t>
                            </w:r>
                          </w:p>
                        </w:txbxContent>
                      </v:textbox>
                    </v:rect>
                  </w:pict>
                </mc:Fallback>
              </mc:AlternateContent>
            </w:r>
            <w:r>
              <w:rPr>
                <w:lang w:val="en-US" w:eastAsia="zh-CN"/>
              </w:rPr>
              <mc:AlternateContent>
                <mc:Choice Requires="wps">
                  <w:drawing>
                    <wp:anchor distT="0" distB="0" distL="114300" distR="114300" simplePos="0" relativeHeight="251659264" behindDoc="0" locked="0" layoutInCell="1" allowOverlap="1">
                      <wp:simplePos x="0" y="0"/>
                      <wp:positionH relativeFrom="column">
                        <wp:posOffset>1407160</wp:posOffset>
                      </wp:positionH>
                      <wp:positionV relativeFrom="paragraph">
                        <wp:posOffset>213995</wp:posOffset>
                      </wp:positionV>
                      <wp:extent cx="742950" cy="314325"/>
                      <wp:effectExtent l="9525" t="6985" r="9525" b="12065"/>
                      <wp:wrapNone/>
                      <wp:docPr id="20" name="矩形 20"/>
                      <wp:cNvGraphicFramePr/>
                      <a:graphic xmlns:a="http://schemas.openxmlformats.org/drawingml/2006/main">
                        <a:graphicData uri="http://schemas.microsoft.com/office/word/2010/wordprocessingShape">
                          <wps:wsp>
                            <wps:cNvSpPr>
                              <a:spLocks noChangeArrowheads="1"/>
                            </wps:cNvSpPr>
                            <wps:spPr bwMode="auto">
                              <a:xfrm>
                                <a:off x="0" y="0"/>
                                <a:ext cx="742950" cy="314325"/>
                              </a:xfrm>
                              <a:prstGeom prst="rect">
                                <a:avLst/>
                              </a:prstGeom>
                              <a:noFill/>
                              <a:ln w="0">
                                <a:solidFill>
                                  <a:schemeClr val="tx1">
                                    <a:lumMod val="100000"/>
                                    <a:lumOff val="0"/>
                                  </a:schemeClr>
                                </a:solidFill>
                                <a:miter lim="800000"/>
                              </a:ln>
                            </wps:spPr>
                            <wps:txbx>
                              <w:txbxContent>
                                <w:p>
                                  <w:pPr>
                                    <w:ind w:firstLine="120" w:firstLineChars="50"/>
                                    <w:rPr>
                                      <w:sz w:val="24"/>
                                    </w:rPr>
                                  </w:pPr>
                                  <w:r>
                                    <w:rPr>
                                      <w:rFonts w:hint="eastAsia"/>
                                      <w:sz w:val="24"/>
                                    </w:rPr>
                                    <w:t>基坑</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10.8pt;margin-top:16.85pt;height:24.75pt;width:58.5pt;z-index:251659264;v-text-anchor:middle;mso-width-relative:page;mso-height-relative:page;" filled="f" stroked="t" coordsize="21600,21600" o:gfxdata="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NPyQdUAAAAJAQAADwAAAAAAAAABACAAAAAiAAAAZHJzL2Rvd25yZXYueG1sUEsBAhQAFAAA&#10;AAgAh07iQFNdBrYrAgAAOQQAAA4AAAAAAAAAAQAgAAAAJAEAAGRycy9lMm9Eb2MueG1sUEsFBgAA&#10;AAAGAAYAWQEAAMEFAAAAAA==&#10;">
                      <v:fill on="f" focussize="0,0"/>
                      <v:stroke weight="0pt" color="#000000 [3229]" miterlimit="8" joinstyle="miter"/>
                      <v:imagedata o:title=""/>
                      <o:lock v:ext="edit" aspectratio="f"/>
                      <v:textbox>
                        <w:txbxContent>
                          <w:p>
                            <w:pPr>
                              <w:ind w:firstLine="120" w:firstLineChars="50"/>
                              <w:rPr>
                                <w:sz w:val="24"/>
                              </w:rPr>
                            </w:pPr>
                            <w:r>
                              <w:rPr>
                                <w:rFonts w:hint="eastAsia"/>
                                <w:sz w:val="24"/>
                              </w:rPr>
                              <w:t>基坑</w:t>
                            </w:r>
                          </w:p>
                        </w:txbxContent>
                      </v:textbox>
                    </v:rect>
                  </w:pict>
                </mc:Fallback>
              </mc:AlternateContent>
            </w:r>
          </w:p>
          <w:p>
            <w:pPr>
              <w:pStyle w:val="63"/>
              <w:ind w:firstLine="1080" w:firstLineChars="450"/>
              <w:rPr>
                <w:rFonts w:eastAsiaTheme="minorEastAsia"/>
              </w:rPr>
            </w:pPr>
            <w:r>
              <w:rPr>
                <w:lang w:val="en-US" w:eastAsia="zh-CN"/>
              </w:rPr>
              <mc:AlternateContent>
                <mc:Choice Requires="wps">
                  <w:drawing>
                    <wp:anchor distT="0" distB="0" distL="114300" distR="114300" simplePos="0" relativeHeight="251663360" behindDoc="0" locked="0" layoutInCell="1" allowOverlap="1">
                      <wp:simplePos x="0" y="0"/>
                      <wp:positionH relativeFrom="column">
                        <wp:posOffset>1797685</wp:posOffset>
                      </wp:positionH>
                      <wp:positionV relativeFrom="paragraph">
                        <wp:posOffset>260985</wp:posOffset>
                      </wp:positionV>
                      <wp:extent cx="1724025" cy="409575"/>
                      <wp:effectExtent l="9525" t="12065" r="19050" b="73660"/>
                      <wp:wrapNone/>
                      <wp:docPr id="19" name="肘形连接符 19"/>
                      <wp:cNvGraphicFramePr/>
                      <a:graphic xmlns:a="http://schemas.openxmlformats.org/drawingml/2006/main">
                        <a:graphicData uri="http://schemas.microsoft.com/office/word/2010/wordprocessingShape">
                          <wps:wsp>
                            <wps:cNvCnPr>
                              <a:cxnSpLocks noChangeShapeType="1"/>
                            </wps:cNvCnPr>
                            <wps:spPr bwMode="auto">
                              <a:xfrm>
                                <a:off x="0" y="0"/>
                                <a:ext cx="1724025" cy="409575"/>
                              </a:xfrm>
                              <a:prstGeom prst="bentConnector3">
                                <a:avLst>
                                  <a:gd name="adj1" fmla="val 639"/>
                                </a:avLst>
                              </a:prstGeom>
                              <a:noFill/>
                              <a:ln w="0">
                                <a:solidFill>
                                  <a:schemeClr val="dk1">
                                    <a:lumMod val="100000"/>
                                    <a:lumOff val="0"/>
                                  </a:schemeClr>
                                </a:solidFill>
                                <a:miter lim="800000"/>
                                <a:tailEnd type="arrow" w="med" len="med"/>
                              </a:ln>
                            </wps:spPr>
                            <wps:bodyPr/>
                          </wps:wsp>
                        </a:graphicData>
                      </a:graphic>
                    </wp:anchor>
                  </w:drawing>
                </mc:Choice>
                <mc:Fallback>
                  <w:pict>
                    <v:shape id="_x0000_s1026" o:spid="_x0000_s1026" o:spt="34" type="#_x0000_t34" style="position:absolute;left:0pt;margin-left:141.55pt;margin-top:20.55pt;height:32.25pt;width:135.75pt;z-index:251663360;mso-width-relative:page;mso-height-relative:page;" filled="f" stroked="t" coordsize="21600,21600" o:gfxdata="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wyFcJ1wAA&#10;AAoBAAAPAAAAAAAAAAEAIAAAACIAAABkcnMvZG93bnJldi54bWxQSwECFAAUAAAACACHTuJA6cxZ&#10;Sx8CAAADBAAADgAAAAAAAAABACAAAAAmAQAAZHJzL2Uyb0RvYy54bWxQSwUGAAAAAAYABgBZAQAA&#10;twUAAAAA&#10;" adj="138">
                      <v:fill on="f" focussize="0,0"/>
                      <v:stroke weight="0pt" color="#000000 [3216]" miterlimit="8" joinstyle="miter" endarrow="open"/>
                      <v:imagedata o:title=""/>
                      <o:lock v:ext="edit" aspectratio="f"/>
                    </v:shape>
                  </w:pict>
                </mc:Fallback>
              </mc:AlternateContent>
            </w:r>
            <w:r>
              <w:rPr>
                <w:rFonts w:eastAsiaTheme="minorEastAsia"/>
                <w:lang w:val="en-US" w:eastAsia="zh-CN"/>
              </w:rPr>
              <mc:AlternateContent>
                <mc:Choice Requires="wps">
                  <w:drawing>
                    <wp:anchor distT="0" distB="0" distL="114300" distR="114300" simplePos="0" relativeHeight="251662336" behindDoc="0" locked="0" layoutInCell="1" allowOverlap="1">
                      <wp:simplePos x="0" y="0"/>
                      <wp:positionH relativeFrom="column">
                        <wp:posOffset>2178685</wp:posOffset>
                      </wp:positionH>
                      <wp:positionV relativeFrom="paragraph">
                        <wp:posOffset>103505</wp:posOffset>
                      </wp:positionV>
                      <wp:extent cx="371475" cy="0"/>
                      <wp:effectExtent l="9525" t="73660" r="19050" b="78740"/>
                      <wp:wrapNone/>
                      <wp:docPr id="18" name="直接箭头连接符 18"/>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0">
                                <a:solidFill>
                                  <a:schemeClr val="dk1">
                                    <a:lumMod val="100000"/>
                                    <a:lumOff val="0"/>
                                  </a:schemeClr>
                                </a:solidFill>
                                <a:miter lim="800000"/>
                                <a:tailEnd type="arrow" w="med" len="med"/>
                              </a:ln>
                            </wps:spPr>
                            <wps:bodyPr/>
                          </wps:wsp>
                        </a:graphicData>
                      </a:graphic>
                    </wp:anchor>
                  </w:drawing>
                </mc:Choice>
                <mc:Fallback>
                  <w:pict>
                    <v:shape id="_x0000_s1026" o:spid="_x0000_s1026" o:spt="32" type="#_x0000_t32" style="position:absolute;left:0pt;margin-left:171.55pt;margin-top:8.15pt;height:0pt;width:29.25pt;z-index:251662336;mso-width-relative:page;mso-height-relative:page;" filled="f" stroked="t" coordsize="21600,21600" o:gfxdata="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Sov69QAAAAJAQAADwAAAAAAAAABACAAAAAiAAAAZHJz&#10;L2Rvd25yZXYueG1sUEsBAhQAFAAAAAgAh07iQNBmWJwIAgAA3AMAAA4AAAAAAAAAAQAgAAAAIwEA&#10;AGRycy9lMm9Eb2MueG1sUEsFBgAAAAAGAAYAWQEAAJ0FAAAAAA==&#10;">
                      <v:fill on="f" focussize="0,0"/>
                      <v:stroke weight="0pt" color="#000000 [3216]" miterlimit="8" joinstyle="miter" endarrow="open"/>
                      <v:imagedata o:title=""/>
                      <o:lock v:ext="edit" aspectratio="f"/>
                    </v:shape>
                  </w:pict>
                </mc:Fallback>
              </mc:AlternateContent>
            </w:r>
            <w:r>
              <w:rPr>
                <w:rFonts w:eastAsiaTheme="minorEastAsia"/>
                <w:lang w:val="en-US" w:eastAsia="zh-CN"/>
              </w:rPr>
              <mc:AlternateContent>
                <mc:Choice Requires="wps">
                  <w:drawing>
                    <wp:anchor distT="0" distB="0" distL="114300" distR="114300" simplePos="0" relativeHeight="251661312" behindDoc="0" locked="0" layoutInCell="1" allowOverlap="1">
                      <wp:simplePos x="0" y="0"/>
                      <wp:positionH relativeFrom="column">
                        <wp:posOffset>1035685</wp:posOffset>
                      </wp:positionH>
                      <wp:positionV relativeFrom="paragraph">
                        <wp:posOffset>103505</wp:posOffset>
                      </wp:positionV>
                      <wp:extent cx="371475" cy="0"/>
                      <wp:effectExtent l="9525" t="73660" r="19050" b="78740"/>
                      <wp:wrapNone/>
                      <wp:docPr id="17" name="直接箭头连接符 17"/>
                      <wp:cNvGraphicFramePr/>
                      <a:graphic xmlns:a="http://schemas.openxmlformats.org/drawingml/2006/main">
                        <a:graphicData uri="http://schemas.microsoft.com/office/word/2010/wordprocessingShape">
                          <wps:wsp>
                            <wps:cNvCnPr>
                              <a:cxnSpLocks noChangeShapeType="1"/>
                            </wps:cNvCnPr>
                            <wps:spPr bwMode="auto">
                              <a:xfrm>
                                <a:off x="0" y="0"/>
                                <a:ext cx="371475" cy="0"/>
                              </a:xfrm>
                              <a:prstGeom prst="straightConnector1">
                                <a:avLst/>
                              </a:prstGeom>
                              <a:noFill/>
                              <a:ln w="0">
                                <a:solidFill>
                                  <a:schemeClr val="dk1">
                                    <a:lumMod val="100000"/>
                                    <a:lumOff val="0"/>
                                  </a:schemeClr>
                                </a:solidFill>
                                <a:miter lim="800000"/>
                                <a:tailEnd type="arrow" w="med" len="med"/>
                              </a:ln>
                            </wps:spPr>
                            <wps:bodyPr/>
                          </wps:wsp>
                        </a:graphicData>
                      </a:graphic>
                    </wp:anchor>
                  </w:drawing>
                </mc:Choice>
                <mc:Fallback>
                  <w:pict>
                    <v:shape id="_x0000_s1026" o:spid="_x0000_s1026" o:spt="32" type="#_x0000_t32" style="position:absolute;left:0pt;margin-left:81.55pt;margin-top:8.15pt;height:0pt;width:29.25pt;z-index:251661312;mso-width-relative:page;mso-height-relative:page;" filled="f" stroked="t" coordsize="21600,21600" o:gfxdata="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NHzA4nSAAAACQEAAA8AAAAAAAAAAQAgAAAAIgAAAGRycy9k&#10;b3ducmV2LnhtbFBLAQIUABQAAAAIAIdO4kCkapOLCAIAANwDAAAOAAAAAAAAAAEAIAAAACEBAABk&#10;cnMvZTJvRG9jLnhtbFBLBQYAAAAABgAGAFkBAACbBQAAAAA=&#10;">
                      <v:fill on="f" focussize="0,0"/>
                      <v:stroke weight="0pt" color="#000000 [3216]" miterlimit="8" joinstyle="miter" endarrow="open"/>
                      <v:imagedata o:title=""/>
                      <o:lock v:ext="edit" aspectratio="f"/>
                    </v:shape>
                  </w:pict>
                </mc:Fallback>
              </mc:AlternateContent>
            </w:r>
          </w:p>
          <w:p>
            <w:pPr>
              <w:pStyle w:val="63"/>
              <w:ind w:left="420" w:firstLine="480"/>
            </w:pPr>
            <w:r>
              <w:rPr>
                <w:lang w:val="en-US" w:eastAsia="zh-CN"/>
              </w:rPr>
              <mc:AlternateContent>
                <mc:Choice Requires="wps">
                  <w:drawing>
                    <wp:anchor distT="0" distB="0" distL="114300" distR="114300" simplePos="0" relativeHeight="251665408" behindDoc="0" locked="0" layoutInCell="1" allowOverlap="1">
                      <wp:simplePos x="0" y="0"/>
                      <wp:positionH relativeFrom="column">
                        <wp:posOffset>3699510</wp:posOffset>
                      </wp:positionH>
                      <wp:positionV relativeFrom="paragraph">
                        <wp:posOffset>242570</wp:posOffset>
                      </wp:positionV>
                      <wp:extent cx="1887220" cy="314325"/>
                      <wp:effectExtent l="0" t="0" r="0" b="9525"/>
                      <wp:wrapNone/>
                      <wp:docPr id="16" name="矩形 16"/>
                      <wp:cNvGraphicFramePr/>
                      <a:graphic xmlns:a="http://schemas.openxmlformats.org/drawingml/2006/main">
                        <a:graphicData uri="http://schemas.microsoft.com/office/word/2010/wordprocessingShape">
                          <wps:wsp>
                            <wps:cNvSpPr>
                              <a:spLocks noChangeArrowheads="1"/>
                            </wps:cNvSpPr>
                            <wps:spPr bwMode="auto">
                              <a:xfrm>
                                <a:off x="0" y="0"/>
                                <a:ext cx="1887322" cy="314325"/>
                              </a:xfrm>
                              <a:prstGeom prst="rect">
                                <a:avLst/>
                              </a:prstGeom>
                              <a:noFill/>
                              <a:ln>
                                <a:noFill/>
                              </a:ln>
                            </wps:spPr>
                            <wps:txbx>
                              <w:txbxContent>
                                <w:p>
                                  <w:pPr>
                                    <w:rPr>
                                      <w:sz w:val="24"/>
                                    </w:rPr>
                                  </w:pPr>
                                  <w:r>
                                    <w:rPr>
                                      <w:rFonts w:hint="eastAsia"/>
                                      <w:sz w:val="24"/>
                                    </w:rPr>
                                    <w:t>定期清运至弃渣场</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291.3pt;margin-top:19.1pt;height:24.75pt;width:148.6pt;z-index:251665408;v-text-anchor:middle;mso-width-relative:page;mso-height-relative:page;" filled="f" stroked="f" coordsize="21600,21600" o:gfxdata="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GnDzh1QAAAAkBAAAPAAAAAAAAAAEAIAAAACIAAABkcnMvZG93bnJldi54bWxQSwECFAAU&#10;AAAACACHTuJAQ/VAUfQBAAC+AwAADgAAAAAAAAABACAAAAAkAQAAZHJzL2Uyb0RvYy54bWxQSwUG&#10;AAAAAAYABgBZAQAAigUAAAAA&#10;">
                      <v:fill on="f" focussize="0,0"/>
                      <v:stroke on="f"/>
                      <v:imagedata o:title=""/>
                      <o:lock v:ext="edit" aspectratio="f"/>
                      <v:textbox>
                        <w:txbxContent>
                          <w:p>
                            <w:pPr>
                              <w:rPr>
                                <w:sz w:val="24"/>
                              </w:rPr>
                            </w:pPr>
                            <w:r>
                              <w:rPr>
                                <w:rFonts w:hint="eastAsia"/>
                                <w:sz w:val="24"/>
                              </w:rPr>
                              <w:t>定期清运至弃渣场</w:t>
                            </w:r>
                          </w:p>
                        </w:txbxContent>
                      </v:textbox>
                    </v:rect>
                  </w:pict>
                </mc:Fallback>
              </mc:AlternateContent>
            </w:r>
            <w:r>
              <w:rPr>
                <w:lang w:val="en-US" w:eastAsia="zh-CN"/>
              </w:rPr>
              <mc:AlternateContent>
                <mc:Choice Requires="wps">
                  <w:drawing>
                    <wp:anchor distT="0" distB="0" distL="114300" distR="114300" simplePos="0" relativeHeight="251664384" behindDoc="0" locked="0" layoutInCell="1" allowOverlap="1">
                      <wp:simplePos x="0" y="0"/>
                      <wp:positionH relativeFrom="column">
                        <wp:posOffset>2435860</wp:posOffset>
                      </wp:positionH>
                      <wp:positionV relativeFrom="paragraph">
                        <wp:posOffset>135890</wp:posOffset>
                      </wp:positionV>
                      <wp:extent cx="504825" cy="314325"/>
                      <wp:effectExtent l="0" t="0" r="0" b="2540"/>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504825" cy="314325"/>
                              </a:xfrm>
                              <a:prstGeom prst="rect">
                                <a:avLst/>
                              </a:prstGeom>
                              <a:noFill/>
                              <a:ln>
                                <a:noFill/>
                              </a:ln>
                            </wps:spPr>
                            <wps:txbx>
                              <w:txbxContent>
                                <w:p>
                                  <w:pPr>
                                    <w:rPr>
                                      <w:sz w:val="24"/>
                                    </w:rPr>
                                  </w:pPr>
                                  <w:r>
                                    <w:rPr>
                                      <w:rFonts w:hint="eastAsia"/>
                                      <w:sz w:val="24"/>
                                    </w:rPr>
                                    <w:t>泥沙</w:t>
                                  </w:r>
                                </w:p>
                              </w:txbxContent>
                            </wps:txbx>
                            <wps:bodyPr rot="0" vert="horz" wrap="square" lIns="91440" tIns="45720" rIns="91440" bIns="45720" anchor="ctr" anchorCtr="0" upright="1">
                              <a:noAutofit/>
                            </wps:bodyPr>
                          </wps:wsp>
                        </a:graphicData>
                      </a:graphic>
                    </wp:anchor>
                  </w:drawing>
                </mc:Choice>
                <mc:Fallback>
                  <w:pict>
                    <v:rect id="_x0000_s1026" o:spid="_x0000_s1026" o:spt="1" style="position:absolute;left:0pt;margin-left:191.8pt;margin-top:10.7pt;height:24.75pt;width:39.75pt;z-index:251664384;v-text-anchor:middle;mso-width-relative:page;mso-height-relative:page;" filled="f" stroked="f" coordsize="21600,21600" o:gfxdata="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ZLHx9YAAAAJAQAADwAAAAAAAAABACAAAAAiAAAAZHJzL2Rvd25yZXYueG1sUEsBAhQAFAAA&#10;AAgAh07iQOMR+CPxAQAAuwMAAA4AAAAAAAAAAQAgAAAAJQEAAGRycy9lMm9Eb2MueG1sUEsFBgAA&#10;AAAGAAYAWQEAAIgFAAAAAA==&#10;">
                      <v:fill on="f" focussize="0,0"/>
                      <v:stroke on="f"/>
                      <v:imagedata o:title=""/>
                      <o:lock v:ext="edit" aspectratio="f"/>
                      <v:textbox>
                        <w:txbxContent>
                          <w:p>
                            <w:pPr>
                              <w:rPr>
                                <w:sz w:val="24"/>
                              </w:rPr>
                            </w:pPr>
                            <w:r>
                              <w:rPr>
                                <w:rFonts w:hint="eastAsia"/>
                                <w:sz w:val="24"/>
                              </w:rPr>
                              <w:t>泥沙</w:t>
                            </w:r>
                          </w:p>
                        </w:txbxContent>
                      </v:textbox>
                    </v:rect>
                  </w:pict>
                </mc:Fallback>
              </mc:AlternateContent>
            </w:r>
          </w:p>
          <w:p>
            <w:pPr>
              <w:pStyle w:val="63"/>
              <w:ind w:firstLine="0" w:firstLineChars="0"/>
            </w:pPr>
          </w:p>
          <w:p>
            <w:pPr>
              <w:jc w:val="center"/>
              <w:rPr>
                <w:rFonts w:ascii="黑体" w:hAnsi="黑体" w:eastAsia="黑体"/>
                <w:sz w:val="24"/>
              </w:rPr>
            </w:pPr>
            <w:r>
              <w:rPr>
                <w:rFonts w:ascii="黑体" w:hAnsi="黑体" w:eastAsia="黑体"/>
                <w:sz w:val="24"/>
              </w:rPr>
              <w:t>图</w:t>
            </w:r>
            <w:r>
              <w:rPr>
                <w:rFonts w:eastAsia="黑体"/>
                <w:sz w:val="24"/>
              </w:rPr>
              <w:t>3</w:t>
            </w:r>
            <w:r>
              <w:rPr>
                <w:rFonts w:ascii="黑体" w:hAnsi="黑体" w:eastAsia="黑体"/>
                <w:sz w:val="24"/>
              </w:rPr>
              <w:t xml:space="preserve"> 基坑排水处理工艺流程图</w:t>
            </w:r>
          </w:p>
          <w:p>
            <w:pPr>
              <w:pStyle w:val="45"/>
              <w:ind w:firstLine="0" w:firstLineChars="0"/>
            </w:pPr>
          </w:p>
          <w:p>
            <w:pPr>
              <w:pStyle w:val="45"/>
              <w:ind w:firstLine="480"/>
            </w:pPr>
            <w:r>
              <w:rPr>
                <w:rFonts w:hint="eastAsia" w:ascii="宋体" w:hAnsi="宋体" w:cs="宋体"/>
              </w:rPr>
              <w:t>③</w:t>
            </w:r>
            <w:r>
              <w:t>主要工程量</w:t>
            </w:r>
          </w:p>
          <w:p>
            <w:pPr>
              <w:jc w:val="left"/>
              <w:rPr>
                <w:rFonts w:ascii="黑体" w:hAnsi="黑体" w:eastAsia="黑体"/>
                <w:sz w:val="24"/>
              </w:rPr>
            </w:pPr>
            <w:r>
              <w:rPr>
                <w:rFonts w:ascii="黑体" w:hAnsi="黑体" w:eastAsia="黑体"/>
                <w:sz w:val="24"/>
              </w:rPr>
              <w:t>表</w:t>
            </w:r>
            <w:r>
              <w:rPr>
                <w:rFonts w:eastAsia="黑体"/>
                <w:sz w:val="24"/>
              </w:rPr>
              <w:t>9</w:t>
            </w:r>
            <w:r>
              <w:rPr>
                <w:rFonts w:ascii="黑体" w:hAnsi="黑体" w:eastAsia="黑体"/>
                <w:sz w:val="24"/>
              </w:rPr>
              <w:t xml:space="preserve">                             基坑排水处理主要工程量</w:t>
            </w:r>
          </w:p>
          <w:tbl>
            <w:tblPr>
              <w:tblStyle w:val="21"/>
              <w:tblW w:w="9326" w:type="dxa"/>
              <w:jc w:val="center"/>
              <w:tblInd w:w="0" w:type="dxa"/>
              <w:tblLayout w:type="fixed"/>
              <w:tblCellMar>
                <w:top w:w="0" w:type="dxa"/>
                <w:left w:w="108" w:type="dxa"/>
                <w:bottom w:w="0" w:type="dxa"/>
                <w:right w:w="108" w:type="dxa"/>
              </w:tblCellMar>
            </w:tblPr>
            <w:tblGrid>
              <w:gridCol w:w="1091"/>
              <w:gridCol w:w="1759"/>
              <w:gridCol w:w="1440"/>
              <w:gridCol w:w="1729"/>
              <w:gridCol w:w="3307"/>
            </w:tblGrid>
            <w:tr>
              <w:tblPrEx>
                <w:tblLayout w:type="fixed"/>
                <w:tblCellMar>
                  <w:top w:w="0" w:type="dxa"/>
                  <w:left w:w="108" w:type="dxa"/>
                  <w:bottom w:w="0" w:type="dxa"/>
                  <w:right w:w="108" w:type="dxa"/>
                </w:tblCellMar>
              </w:tblPrEx>
              <w:trPr>
                <w:trHeight w:val="284" w:hRule="atLeast"/>
                <w:tblHeader/>
                <w:jc w:val="center"/>
              </w:trPr>
              <w:tc>
                <w:tcPr>
                  <w:tcW w:w="1091" w:type="dxa"/>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szCs w:val="21"/>
                    </w:rPr>
                  </w:pPr>
                  <w:r>
                    <w:rPr>
                      <w:szCs w:val="21"/>
                    </w:rPr>
                    <w:t>序号</w:t>
                  </w:r>
                </w:p>
              </w:tc>
              <w:tc>
                <w:tcPr>
                  <w:tcW w:w="1759" w:type="dxa"/>
                  <w:tcBorders>
                    <w:top w:val="single" w:color="auto" w:sz="4" w:space="0"/>
                    <w:left w:val="nil"/>
                    <w:bottom w:val="single" w:color="auto" w:sz="4" w:space="0"/>
                    <w:right w:val="single" w:color="auto" w:sz="4" w:space="0"/>
                  </w:tcBorders>
                  <w:shd w:val="clear" w:color="auto" w:fill="auto"/>
                  <w:noWrap/>
                  <w:vAlign w:val="center"/>
                </w:tcPr>
                <w:p>
                  <w:pPr>
                    <w:jc w:val="center"/>
                    <w:rPr>
                      <w:szCs w:val="21"/>
                    </w:rPr>
                  </w:pPr>
                  <w:r>
                    <w:rPr>
                      <w:szCs w:val="21"/>
                    </w:rPr>
                    <w:t>项目名称</w:t>
                  </w:r>
                </w:p>
              </w:tc>
              <w:tc>
                <w:tcPr>
                  <w:tcW w:w="1440" w:type="dxa"/>
                  <w:tcBorders>
                    <w:top w:val="single" w:color="auto" w:sz="4" w:space="0"/>
                    <w:left w:val="nil"/>
                    <w:bottom w:val="single" w:color="auto" w:sz="4" w:space="0"/>
                    <w:right w:val="single" w:color="auto" w:sz="4" w:space="0"/>
                  </w:tcBorders>
                  <w:shd w:val="clear" w:color="auto" w:fill="auto"/>
                  <w:noWrap/>
                  <w:vAlign w:val="center"/>
                </w:tcPr>
                <w:p>
                  <w:pPr>
                    <w:jc w:val="center"/>
                    <w:rPr>
                      <w:szCs w:val="21"/>
                    </w:rPr>
                  </w:pPr>
                  <w:r>
                    <w:rPr>
                      <w:szCs w:val="21"/>
                    </w:rPr>
                    <w:t>单位</w:t>
                  </w:r>
                </w:p>
              </w:tc>
              <w:tc>
                <w:tcPr>
                  <w:tcW w:w="1729" w:type="dxa"/>
                  <w:tcBorders>
                    <w:top w:val="single" w:color="auto" w:sz="4" w:space="0"/>
                    <w:left w:val="nil"/>
                    <w:bottom w:val="single" w:color="auto" w:sz="4" w:space="0"/>
                    <w:right w:val="single" w:color="auto" w:sz="4" w:space="0"/>
                  </w:tcBorders>
                  <w:shd w:val="clear" w:color="auto" w:fill="auto"/>
                  <w:noWrap/>
                  <w:vAlign w:val="center"/>
                </w:tcPr>
                <w:p>
                  <w:pPr>
                    <w:jc w:val="center"/>
                    <w:rPr>
                      <w:szCs w:val="21"/>
                    </w:rPr>
                  </w:pPr>
                  <w:r>
                    <w:rPr>
                      <w:szCs w:val="21"/>
                    </w:rPr>
                    <w:t>数量</w:t>
                  </w:r>
                </w:p>
              </w:tc>
              <w:tc>
                <w:tcPr>
                  <w:tcW w:w="3307" w:type="dxa"/>
                  <w:tcBorders>
                    <w:top w:val="single" w:color="auto" w:sz="4" w:space="0"/>
                    <w:left w:val="nil"/>
                    <w:bottom w:val="single" w:color="auto" w:sz="4" w:space="0"/>
                    <w:right w:val="single" w:color="auto" w:sz="4" w:space="0"/>
                  </w:tcBorders>
                  <w:shd w:val="clear" w:color="auto" w:fill="auto"/>
                  <w:noWrap/>
                  <w:vAlign w:val="center"/>
                </w:tcPr>
                <w:p>
                  <w:pPr>
                    <w:jc w:val="center"/>
                    <w:rPr>
                      <w:szCs w:val="21"/>
                    </w:rPr>
                  </w:pPr>
                  <w:r>
                    <w:rPr>
                      <w:szCs w:val="21"/>
                    </w:rPr>
                    <w:t>备注</w:t>
                  </w:r>
                </w:p>
              </w:tc>
            </w:tr>
            <w:tr>
              <w:tblPrEx>
                <w:tblLayout w:type="fixed"/>
                <w:tblCellMar>
                  <w:top w:w="0" w:type="dxa"/>
                  <w:left w:w="108" w:type="dxa"/>
                  <w:bottom w:w="0" w:type="dxa"/>
                  <w:right w:w="108" w:type="dxa"/>
                </w:tblCellMar>
              </w:tblPrEx>
              <w:trPr>
                <w:trHeight w:val="284" w:hRule="atLeast"/>
                <w:jc w:val="center"/>
              </w:trPr>
              <w:tc>
                <w:tcPr>
                  <w:tcW w:w="1091" w:type="dxa"/>
                  <w:tcBorders>
                    <w:top w:val="nil"/>
                    <w:left w:val="single" w:color="auto" w:sz="4" w:space="0"/>
                    <w:bottom w:val="single" w:color="auto" w:sz="4" w:space="0"/>
                    <w:right w:val="single" w:color="auto" w:sz="4" w:space="0"/>
                  </w:tcBorders>
                  <w:shd w:val="clear" w:color="auto" w:fill="auto"/>
                  <w:noWrap/>
                  <w:vAlign w:val="center"/>
                </w:tcPr>
                <w:p>
                  <w:pPr>
                    <w:jc w:val="center"/>
                    <w:rPr>
                      <w:szCs w:val="21"/>
                    </w:rPr>
                  </w:pPr>
                  <w:r>
                    <w:rPr>
                      <w:szCs w:val="21"/>
                    </w:rPr>
                    <w:t>1</w:t>
                  </w:r>
                </w:p>
              </w:tc>
              <w:tc>
                <w:tcPr>
                  <w:tcW w:w="1759" w:type="dxa"/>
                  <w:tcBorders>
                    <w:top w:val="nil"/>
                    <w:left w:val="nil"/>
                    <w:bottom w:val="single" w:color="auto" w:sz="4" w:space="0"/>
                    <w:right w:val="single" w:color="auto" w:sz="4" w:space="0"/>
                  </w:tcBorders>
                  <w:shd w:val="clear" w:color="auto" w:fill="auto"/>
                  <w:noWrap/>
                  <w:vAlign w:val="center"/>
                </w:tcPr>
                <w:p>
                  <w:pPr>
                    <w:jc w:val="center"/>
                    <w:rPr>
                      <w:szCs w:val="21"/>
                    </w:rPr>
                  </w:pPr>
                  <w:r>
                    <w:rPr>
                      <w:szCs w:val="21"/>
                    </w:rPr>
                    <w:t>潜污泵</w:t>
                  </w:r>
                </w:p>
              </w:tc>
              <w:tc>
                <w:tcPr>
                  <w:tcW w:w="1440" w:type="dxa"/>
                  <w:tcBorders>
                    <w:top w:val="nil"/>
                    <w:left w:val="nil"/>
                    <w:bottom w:val="single" w:color="auto" w:sz="4" w:space="0"/>
                    <w:right w:val="single" w:color="auto" w:sz="4" w:space="0"/>
                  </w:tcBorders>
                  <w:shd w:val="clear" w:color="auto" w:fill="auto"/>
                  <w:noWrap/>
                  <w:vAlign w:val="center"/>
                </w:tcPr>
                <w:p>
                  <w:pPr>
                    <w:jc w:val="center"/>
                    <w:rPr>
                      <w:szCs w:val="21"/>
                    </w:rPr>
                  </w:pPr>
                  <w:r>
                    <w:rPr>
                      <w:szCs w:val="21"/>
                    </w:rPr>
                    <w:t>台</w:t>
                  </w:r>
                </w:p>
              </w:tc>
              <w:tc>
                <w:tcPr>
                  <w:tcW w:w="1729" w:type="dxa"/>
                  <w:tcBorders>
                    <w:top w:val="nil"/>
                    <w:left w:val="nil"/>
                    <w:bottom w:val="single" w:color="auto" w:sz="4" w:space="0"/>
                    <w:right w:val="single" w:color="auto" w:sz="4" w:space="0"/>
                  </w:tcBorders>
                  <w:shd w:val="clear" w:color="auto" w:fill="auto"/>
                  <w:noWrap/>
                  <w:vAlign w:val="center"/>
                </w:tcPr>
                <w:p>
                  <w:pPr>
                    <w:jc w:val="center"/>
                    <w:rPr>
                      <w:szCs w:val="21"/>
                    </w:rPr>
                  </w:pPr>
                  <w:r>
                    <w:rPr>
                      <w:szCs w:val="21"/>
                    </w:rPr>
                    <w:t>2</w:t>
                  </w:r>
                </w:p>
              </w:tc>
              <w:tc>
                <w:tcPr>
                  <w:tcW w:w="3307" w:type="dxa"/>
                  <w:tcBorders>
                    <w:top w:val="nil"/>
                    <w:left w:val="nil"/>
                    <w:bottom w:val="single" w:color="auto" w:sz="4" w:space="0"/>
                    <w:right w:val="single" w:color="auto" w:sz="4" w:space="0"/>
                  </w:tcBorders>
                  <w:shd w:val="clear" w:color="auto" w:fill="auto"/>
                  <w:noWrap/>
                  <w:vAlign w:val="center"/>
                </w:tcPr>
                <w:p>
                  <w:pPr>
                    <w:jc w:val="center"/>
                    <w:rPr>
                      <w:szCs w:val="21"/>
                    </w:rPr>
                  </w:pPr>
                  <w:r>
                    <w:rPr>
                      <w:szCs w:val="21"/>
                    </w:rPr>
                    <w:t>150WQ130-30-22</w:t>
                  </w:r>
                </w:p>
              </w:tc>
            </w:tr>
          </w:tbl>
          <w:p>
            <w:pPr>
              <w:snapToGrid w:val="0"/>
              <w:ind w:firstLine="480" w:firstLineChars="200"/>
              <w:rPr>
                <w:sz w:val="24"/>
              </w:rPr>
            </w:pPr>
          </w:p>
          <w:p>
            <w:pPr>
              <w:pStyle w:val="63"/>
              <w:ind w:firstLine="480"/>
              <w:rPr>
                <w:szCs w:val="21"/>
              </w:rPr>
            </w:pPr>
            <w:r>
              <w:rPr>
                <w:rFonts w:hint="eastAsia"/>
                <w:szCs w:val="21"/>
                <w:lang w:eastAsia="zh-CN"/>
              </w:rPr>
              <w:t>④</w:t>
            </w:r>
            <w:r>
              <w:rPr>
                <w:szCs w:val="21"/>
              </w:rPr>
              <w:t>运行管理与维护</w:t>
            </w:r>
          </w:p>
          <w:p>
            <w:pPr>
              <w:pStyle w:val="63"/>
              <w:ind w:firstLine="480"/>
              <w:rPr>
                <w:szCs w:val="21"/>
                <w:lang w:eastAsia="zh-CN"/>
              </w:rPr>
            </w:pPr>
            <w:r>
              <w:rPr>
                <w:szCs w:val="20"/>
              </w:rPr>
              <w:t>基坑排水处理措施简单，注意定时清淤，其管理和维护工作纳入主体工程施工统一安排，不另设机构和人员。</w:t>
            </w:r>
          </w:p>
          <w:p>
            <w:pPr>
              <w:pStyle w:val="88"/>
            </w:pPr>
            <w:r>
              <w:rPr>
                <w:rFonts w:hint="eastAsia"/>
              </w:rPr>
              <w:t>（</w:t>
            </w:r>
            <w:r>
              <w:t>5</w:t>
            </w:r>
            <w:r>
              <w:rPr>
                <w:rFonts w:hint="eastAsia"/>
              </w:rPr>
              <w:t>）生活污水</w:t>
            </w:r>
          </w:p>
          <w:p>
            <w:pPr>
              <w:spacing w:line="360" w:lineRule="auto"/>
              <w:ind w:firstLine="480"/>
              <w:rPr>
                <w:sz w:val="24"/>
              </w:rPr>
            </w:pPr>
            <w:r>
              <w:rPr>
                <w:rFonts w:hint="eastAsia" w:ascii="宋体" w:hAnsi="宋体" w:cs="宋体"/>
                <w:sz w:val="24"/>
              </w:rPr>
              <w:t>①</w:t>
            </w:r>
            <w:r>
              <w:rPr>
                <w:sz w:val="24"/>
              </w:rPr>
              <w:t>污染物排放概况</w:t>
            </w:r>
          </w:p>
          <w:p>
            <w:pPr>
              <w:spacing w:line="360" w:lineRule="auto"/>
              <w:ind w:firstLine="480"/>
              <w:rPr>
                <w:sz w:val="24"/>
              </w:rPr>
            </w:pPr>
            <w:r>
              <w:rPr>
                <w:rFonts w:hint="eastAsia"/>
                <w:sz w:val="24"/>
              </w:rPr>
              <w:t>本次工程临时生活区</w:t>
            </w:r>
            <w:r>
              <w:rPr>
                <w:sz w:val="24"/>
              </w:rPr>
              <w:t>高峰期生活污水排放量为26.96m</w:t>
            </w:r>
            <w:r>
              <w:rPr>
                <w:sz w:val="24"/>
                <w:vertAlign w:val="superscript"/>
              </w:rPr>
              <w:t>3</w:t>
            </w:r>
            <w:r>
              <w:rPr>
                <w:sz w:val="24"/>
              </w:rPr>
              <w:t>/d，主要污染指标为BOD</w:t>
            </w:r>
            <w:r>
              <w:rPr>
                <w:sz w:val="24"/>
                <w:vertAlign w:val="subscript"/>
              </w:rPr>
              <w:t>5</w:t>
            </w:r>
            <w:r>
              <w:rPr>
                <w:sz w:val="24"/>
              </w:rPr>
              <w:t>、COD</w:t>
            </w:r>
            <w:r>
              <w:rPr>
                <w:sz w:val="24"/>
                <w:vertAlign w:val="subscript"/>
              </w:rPr>
              <w:t>Cr</w:t>
            </w:r>
            <w:r>
              <w:rPr>
                <w:sz w:val="24"/>
              </w:rPr>
              <w:t>、粪大肠菌群等，其中BOD</w:t>
            </w:r>
            <w:r>
              <w:rPr>
                <w:sz w:val="24"/>
                <w:vertAlign w:val="subscript"/>
              </w:rPr>
              <w:t>5</w:t>
            </w:r>
            <w:r>
              <w:rPr>
                <w:sz w:val="24"/>
              </w:rPr>
              <w:t>浓度为500mg/L，COD</w:t>
            </w:r>
            <w:r>
              <w:rPr>
                <w:sz w:val="24"/>
                <w:vertAlign w:val="subscript"/>
              </w:rPr>
              <w:t>Cr</w:t>
            </w:r>
            <w:r>
              <w:rPr>
                <w:sz w:val="24"/>
              </w:rPr>
              <w:t>为600mg/L。</w:t>
            </w:r>
          </w:p>
          <w:p>
            <w:pPr>
              <w:pStyle w:val="63"/>
              <w:ind w:firstLine="480"/>
              <w:rPr>
                <w:rFonts w:ascii="Times New Roman" w:hAnsi="Times New Roman"/>
              </w:rPr>
            </w:pPr>
            <w:r>
              <w:rPr>
                <w:rFonts w:hint="eastAsia"/>
                <w:lang w:eastAsia="zh-CN"/>
              </w:rPr>
              <w:t>②</w:t>
            </w:r>
            <w:r>
              <w:rPr>
                <w:rFonts w:ascii="Times New Roman" w:hAnsi="Times New Roman"/>
              </w:rPr>
              <w:t>处理目标</w:t>
            </w:r>
          </w:p>
          <w:p>
            <w:pPr>
              <w:spacing w:line="360" w:lineRule="auto"/>
              <w:ind w:firstLine="480"/>
              <w:rPr>
                <w:sz w:val="24"/>
              </w:rPr>
            </w:pPr>
            <w:r>
              <w:rPr>
                <w:rFonts w:hint="eastAsia"/>
                <w:sz w:val="24"/>
              </w:rPr>
              <w:t>施工期生活污水</w:t>
            </w:r>
            <w:r>
              <w:rPr>
                <w:sz w:val="24"/>
              </w:rPr>
              <w:t>处理后</w:t>
            </w:r>
            <w:r>
              <w:rPr>
                <w:rFonts w:hint="eastAsia"/>
                <w:sz w:val="24"/>
              </w:rPr>
              <w:t>的水质</w:t>
            </w:r>
            <w:r>
              <w:rPr>
                <w:sz w:val="24"/>
              </w:rPr>
              <w:t>参照</w:t>
            </w:r>
            <w:r>
              <w:rPr>
                <w:rFonts w:hint="eastAsia"/>
                <w:sz w:val="24"/>
              </w:rPr>
              <w:t>新疆《农村生活污水处理排放标准》（D</w:t>
            </w:r>
            <w:r>
              <w:rPr>
                <w:sz w:val="24"/>
              </w:rPr>
              <w:t>B654275-2019</w:t>
            </w:r>
            <w:r>
              <w:rPr>
                <w:rFonts w:hint="eastAsia"/>
                <w:sz w:val="24"/>
              </w:rPr>
              <w:t>）中用于生态恢复治理的出水水质控制B级标准，出水用于营地绿化、周边荒漠灌溉。</w:t>
            </w:r>
          </w:p>
          <w:p>
            <w:pPr>
              <w:pStyle w:val="63"/>
              <w:ind w:firstLine="480"/>
              <w:rPr>
                <w:rFonts w:ascii="Times New Roman" w:hAnsi="Times New Roman"/>
              </w:rPr>
            </w:pPr>
            <w:r>
              <w:rPr>
                <w:rFonts w:hint="eastAsia"/>
                <w:lang w:eastAsia="zh-CN"/>
              </w:rPr>
              <w:t>③</w:t>
            </w:r>
            <w:r>
              <w:rPr>
                <w:rFonts w:ascii="Times New Roman" w:hAnsi="Times New Roman"/>
              </w:rPr>
              <w:t>处理工艺及设计参数</w:t>
            </w:r>
          </w:p>
          <w:p>
            <w:pPr>
              <w:spacing w:line="360" w:lineRule="auto"/>
              <w:ind w:firstLine="480"/>
              <w:rPr>
                <w:sz w:val="24"/>
              </w:rPr>
            </w:pPr>
            <w:r>
              <w:rPr>
                <w:sz w:val="24"/>
              </w:rPr>
              <w:t>临时生活区生活污水采用化粪池+一体化污水处理设备进行处理。</w:t>
            </w:r>
          </w:p>
          <w:p>
            <w:pPr>
              <w:spacing w:line="360" w:lineRule="auto"/>
              <w:ind w:firstLine="480"/>
              <w:rPr>
                <w:sz w:val="24"/>
              </w:rPr>
            </w:pPr>
            <w:r>
              <w:rPr>
                <w:sz w:val="24"/>
              </w:rPr>
              <w:t>一体化污水处理设备</w:t>
            </w:r>
            <w:r>
              <w:rPr>
                <w:rFonts w:hint="eastAsia"/>
                <w:sz w:val="24"/>
              </w:rPr>
              <w:t>工艺</w:t>
            </w:r>
            <w:r>
              <w:rPr>
                <w:sz w:val="24"/>
              </w:rPr>
              <w:t>采用膜生物反应器（MBR）法，膜生物反应器（MBR）是一种由膜分离单元与生物处理单元相结合的新型水处理技术，与传统的生化处理技术相比，MBR具有处理效率高、出水水质好、设备紧凑、占地面积小、易实现自动控制、运行管理简单等特点，MBR系统的处理对象包括生活污水、有机废水及工业废水，中水回用是MBR应用的主要方向。该方法COD</w:t>
            </w:r>
            <w:r>
              <w:rPr>
                <w:sz w:val="24"/>
                <w:vertAlign w:val="subscript"/>
              </w:rPr>
              <w:t>Cr</w:t>
            </w:r>
            <w:r>
              <w:rPr>
                <w:sz w:val="24"/>
              </w:rPr>
              <w:t>去除率可达88%，BOD</w:t>
            </w:r>
            <w:r>
              <w:rPr>
                <w:sz w:val="24"/>
                <w:vertAlign w:val="subscript"/>
              </w:rPr>
              <w:t>5</w:t>
            </w:r>
            <w:r>
              <w:rPr>
                <w:sz w:val="24"/>
              </w:rPr>
              <w:t>去除率可达97.5%，悬浮物去除率可达99%，出水可达到回用水的水质标准。</w:t>
            </w:r>
          </w:p>
          <w:p>
            <w:pPr>
              <w:spacing w:line="360" w:lineRule="auto"/>
              <w:ind w:firstLine="480"/>
              <w:rPr>
                <w:sz w:val="24"/>
              </w:rPr>
            </w:pPr>
            <w:r>
              <w:rPr>
                <w:sz w:val="24"/>
              </w:rPr>
              <w:t>污水先</w:t>
            </w:r>
            <w:r>
              <w:rPr>
                <w:rFonts w:hint="eastAsia"/>
                <w:sz w:val="24"/>
              </w:rPr>
              <w:t>经过</w:t>
            </w:r>
            <w:r>
              <w:rPr>
                <w:sz w:val="24"/>
              </w:rPr>
              <w:t>化粪池进行处理后再进入调节池，然后采用膜生物反应器（MBR）法成套设备进行处理，主要工艺流程为：污水</w:t>
            </w:r>
            <w:r>
              <w:rPr>
                <w:rFonts w:hint="eastAsia"/>
                <w:sz w:val="24"/>
              </w:rPr>
              <w:t>-</w:t>
            </w:r>
            <w:r>
              <w:rPr>
                <w:sz w:val="24"/>
              </w:rPr>
              <w:t>化粪池</w:t>
            </w:r>
            <w:r>
              <w:rPr>
                <w:rFonts w:hint="eastAsia"/>
                <w:sz w:val="24"/>
              </w:rPr>
              <w:t>-</w:t>
            </w:r>
            <w:r>
              <w:rPr>
                <w:sz w:val="24"/>
              </w:rPr>
              <w:t>格栅</w:t>
            </w:r>
            <w:r>
              <w:rPr>
                <w:rFonts w:hint="eastAsia"/>
                <w:sz w:val="24"/>
              </w:rPr>
              <w:t>-</w:t>
            </w:r>
            <w:r>
              <w:rPr>
                <w:sz w:val="24"/>
              </w:rPr>
              <w:t>调节池</w:t>
            </w:r>
            <w:r>
              <w:rPr>
                <w:rFonts w:hint="eastAsia"/>
                <w:sz w:val="24"/>
              </w:rPr>
              <w:t>-</w:t>
            </w:r>
            <w:r>
              <w:rPr>
                <w:sz w:val="24"/>
              </w:rPr>
              <w:t>膜生物反应器</w:t>
            </w:r>
            <w:r>
              <w:rPr>
                <w:rFonts w:hint="eastAsia"/>
                <w:sz w:val="24"/>
              </w:rPr>
              <w:t>-</w:t>
            </w:r>
            <w:r>
              <w:rPr>
                <w:sz w:val="24"/>
              </w:rPr>
              <w:t>消毒器</w:t>
            </w:r>
            <w:r>
              <w:rPr>
                <w:rFonts w:hint="eastAsia"/>
                <w:sz w:val="24"/>
              </w:rPr>
              <w:t>-</w:t>
            </w:r>
            <w:r>
              <w:rPr>
                <w:sz w:val="24"/>
              </w:rPr>
              <w:t>中水池</w:t>
            </w:r>
            <w:r>
              <w:rPr>
                <w:rFonts w:hint="eastAsia"/>
                <w:sz w:val="24"/>
              </w:rPr>
              <w:t>-</w:t>
            </w:r>
            <w:r>
              <w:rPr>
                <w:sz w:val="24"/>
              </w:rPr>
              <w:t>回用。生活污水处理工艺流程见图4。</w:t>
            </w:r>
          </w:p>
          <w:p>
            <w:pPr>
              <w:jc w:val="center"/>
              <w:rPr>
                <w:lang w:val="zh-CN"/>
              </w:rPr>
            </w:pPr>
            <w:r>
              <w:drawing>
                <wp:inline distT="0" distB="0" distL="0" distR="0">
                  <wp:extent cx="5684520" cy="1328420"/>
                  <wp:effectExtent l="0" t="0" r="0" b="5080"/>
                  <wp:docPr id="4" name="图片 4" descr="C:\Users\xulinl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xulinlin\Desktop\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684520" cy="1328420"/>
                          </a:xfrm>
                          <a:prstGeom prst="rect">
                            <a:avLst/>
                          </a:prstGeom>
                          <a:noFill/>
                          <a:ln>
                            <a:noFill/>
                          </a:ln>
                        </pic:spPr>
                      </pic:pic>
                    </a:graphicData>
                  </a:graphic>
                </wp:inline>
              </w:drawing>
            </w:r>
          </w:p>
          <w:p>
            <w:pPr>
              <w:jc w:val="center"/>
              <w:rPr>
                <w:rFonts w:ascii="黑体" w:hAnsi="黑体" w:eastAsia="黑体"/>
                <w:sz w:val="24"/>
              </w:rPr>
            </w:pPr>
            <w:r>
              <w:rPr>
                <w:rFonts w:ascii="黑体" w:hAnsi="黑体" w:eastAsia="黑体"/>
                <w:sz w:val="24"/>
              </w:rPr>
              <w:t>图</w:t>
            </w:r>
            <w:r>
              <w:rPr>
                <w:rFonts w:eastAsia="黑体"/>
                <w:sz w:val="24"/>
              </w:rPr>
              <w:t>4</w:t>
            </w:r>
            <w:r>
              <w:rPr>
                <w:rFonts w:ascii="黑体" w:hAnsi="黑体" w:eastAsia="黑体"/>
                <w:sz w:val="24"/>
              </w:rPr>
              <w:t xml:space="preserve"> 生活污水处理工艺流程</w:t>
            </w:r>
          </w:p>
          <w:p>
            <w:pPr>
              <w:spacing w:line="360" w:lineRule="auto"/>
              <w:ind w:firstLine="480"/>
              <w:rPr>
                <w:sz w:val="24"/>
              </w:rPr>
            </w:pPr>
            <w:r>
              <w:rPr>
                <w:rFonts w:hint="eastAsia" w:ascii="宋体" w:hAnsi="宋体" w:cs="宋体"/>
                <w:sz w:val="24"/>
              </w:rPr>
              <w:t>④</w:t>
            </w:r>
            <w:r>
              <w:rPr>
                <w:sz w:val="24"/>
              </w:rPr>
              <w:t>主要构筑物</w:t>
            </w:r>
          </w:p>
          <w:p>
            <w:pPr>
              <w:spacing w:line="360" w:lineRule="auto"/>
              <w:ind w:firstLine="480"/>
              <w:rPr>
                <w:sz w:val="24"/>
              </w:rPr>
            </w:pPr>
            <w:r>
              <w:rPr>
                <w:sz w:val="24"/>
              </w:rPr>
              <w:t>化粪池设计参照《新疆工程建设标准设计 2012系列设备（给排水）标准设计图集 新12S3 室外排水工程》（BT 2013）。本工程生活污水主要处理构筑物见表10。</w:t>
            </w:r>
          </w:p>
          <w:p>
            <w:pPr>
              <w:jc w:val="left"/>
              <w:rPr>
                <w:rFonts w:ascii="黑体" w:hAnsi="黑体" w:eastAsia="黑体"/>
                <w:sz w:val="24"/>
              </w:rPr>
            </w:pPr>
            <w:r>
              <w:rPr>
                <w:rFonts w:ascii="黑体" w:hAnsi="黑体" w:eastAsia="黑体"/>
                <w:sz w:val="24"/>
              </w:rPr>
              <w:t>表</w:t>
            </w:r>
            <w:r>
              <w:rPr>
                <w:rFonts w:eastAsia="黑体"/>
                <w:sz w:val="24"/>
              </w:rPr>
              <w:t>10</w:t>
            </w:r>
            <w:r>
              <w:rPr>
                <w:rFonts w:ascii="黑体" w:hAnsi="黑体" w:eastAsia="黑体"/>
                <w:sz w:val="24"/>
              </w:rPr>
              <w:t xml:space="preserve">                           生活污水处理设施主要构筑物一览表</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232"/>
              <w:gridCol w:w="3192"/>
              <w:gridCol w:w="1377"/>
              <w:gridCol w:w="1174"/>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4" w:type="dxa"/>
                  <w:vAlign w:val="center"/>
                </w:tcPr>
                <w:p>
                  <w:pPr>
                    <w:autoSpaceDE w:val="0"/>
                    <w:autoSpaceDN w:val="0"/>
                    <w:adjustRightInd w:val="0"/>
                    <w:jc w:val="center"/>
                    <w:rPr>
                      <w:szCs w:val="21"/>
                    </w:rPr>
                  </w:pPr>
                  <w:r>
                    <w:rPr>
                      <w:szCs w:val="21"/>
                    </w:rPr>
                    <w:t>工区</w:t>
                  </w:r>
                </w:p>
              </w:tc>
              <w:tc>
                <w:tcPr>
                  <w:tcW w:w="1232" w:type="dxa"/>
                  <w:vAlign w:val="center"/>
                </w:tcPr>
                <w:p>
                  <w:pPr>
                    <w:autoSpaceDE w:val="0"/>
                    <w:autoSpaceDN w:val="0"/>
                    <w:adjustRightInd w:val="0"/>
                    <w:jc w:val="center"/>
                    <w:rPr>
                      <w:szCs w:val="21"/>
                    </w:rPr>
                  </w:pPr>
                  <w:r>
                    <w:rPr>
                      <w:szCs w:val="21"/>
                    </w:rPr>
                    <w:t>人数</w:t>
                  </w:r>
                </w:p>
              </w:tc>
              <w:tc>
                <w:tcPr>
                  <w:tcW w:w="3192" w:type="dxa"/>
                  <w:vAlign w:val="center"/>
                </w:tcPr>
                <w:p>
                  <w:pPr>
                    <w:autoSpaceDE w:val="0"/>
                    <w:autoSpaceDN w:val="0"/>
                    <w:adjustRightInd w:val="0"/>
                    <w:jc w:val="center"/>
                    <w:rPr>
                      <w:szCs w:val="21"/>
                    </w:rPr>
                  </w:pPr>
                  <w:r>
                    <w:rPr>
                      <w:szCs w:val="21"/>
                    </w:rPr>
                    <w:t>设备名称</w:t>
                  </w:r>
                </w:p>
              </w:tc>
              <w:tc>
                <w:tcPr>
                  <w:tcW w:w="1377" w:type="dxa"/>
                  <w:vAlign w:val="center"/>
                </w:tcPr>
                <w:p>
                  <w:pPr>
                    <w:autoSpaceDE w:val="0"/>
                    <w:autoSpaceDN w:val="0"/>
                    <w:adjustRightInd w:val="0"/>
                    <w:jc w:val="center"/>
                    <w:rPr>
                      <w:szCs w:val="21"/>
                    </w:rPr>
                  </w:pPr>
                  <w:r>
                    <w:rPr>
                      <w:szCs w:val="21"/>
                    </w:rPr>
                    <w:t>规格</w:t>
                  </w:r>
                </w:p>
              </w:tc>
              <w:tc>
                <w:tcPr>
                  <w:tcW w:w="1174" w:type="dxa"/>
                  <w:vAlign w:val="center"/>
                </w:tcPr>
                <w:p>
                  <w:pPr>
                    <w:autoSpaceDE w:val="0"/>
                    <w:autoSpaceDN w:val="0"/>
                    <w:adjustRightInd w:val="0"/>
                    <w:jc w:val="center"/>
                    <w:rPr>
                      <w:szCs w:val="21"/>
                    </w:rPr>
                  </w:pPr>
                  <w:r>
                    <w:rPr>
                      <w:szCs w:val="21"/>
                    </w:rPr>
                    <w:t>单位</w:t>
                  </w:r>
                </w:p>
              </w:tc>
              <w:tc>
                <w:tcPr>
                  <w:tcW w:w="857" w:type="dxa"/>
                  <w:vAlign w:val="center"/>
                </w:tcPr>
                <w:p>
                  <w:pPr>
                    <w:autoSpaceDE w:val="0"/>
                    <w:autoSpaceDN w:val="0"/>
                    <w:adjustRightInd w:val="0"/>
                    <w:jc w:val="center"/>
                    <w:rPr>
                      <w:szCs w:val="21"/>
                    </w:rPr>
                  </w:pPr>
                  <w:r>
                    <w:rPr>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4" w:type="dxa"/>
                  <w:vMerge w:val="restart"/>
                  <w:vAlign w:val="center"/>
                </w:tcPr>
                <w:p>
                  <w:pPr>
                    <w:autoSpaceDE w:val="0"/>
                    <w:autoSpaceDN w:val="0"/>
                    <w:adjustRightInd w:val="0"/>
                    <w:jc w:val="center"/>
                    <w:rPr>
                      <w:szCs w:val="21"/>
                    </w:rPr>
                  </w:pPr>
                  <w:r>
                    <w:rPr>
                      <w:szCs w:val="21"/>
                    </w:rPr>
                    <w:t>临时生活区</w:t>
                  </w:r>
                </w:p>
              </w:tc>
              <w:tc>
                <w:tcPr>
                  <w:tcW w:w="1232" w:type="dxa"/>
                  <w:vMerge w:val="restart"/>
                  <w:vAlign w:val="center"/>
                </w:tcPr>
                <w:p>
                  <w:pPr>
                    <w:autoSpaceDE w:val="0"/>
                    <w:autoSpaceDN w:val="0"/>
                    <w:adjustRightInd w:val="0"/>
                    <w:jc w:val="center"/>
                    <w:rPr>
                      <w:szCs w:val="21"/>
                    </w:rPr>
                  </w:pPr>
                  <w:r>
                    <w:rPr>
                      <w:szCs w:val="21"/>
                    </w:rPr>
                    <w:t>337</w:t>
                  </w:r>
                </w:p>
              </w:tc>
              <w:tc>
                <w:tcPr>
                  <w:tcW w:w="3192" w:type="dxa"/>
                  <w:vAlign w:val="center"/>
                </w:tcPr>
                <w:p>
                  <w:pPr>
                    <w:autoSpaceDE w:val="0"/>
                    <w:autoSpaceDN w:val="0"/>
                    <w:adjustRightInd w:val="0"/>
                    <w:jc w:val="center"/>
                    <w:rPr>
                      <w:szCs w:val="21"/>
                    </w:rPr>
                  </w:pPr>
                  <w:r>
                    <w:rPr>
                      <w:rFonts w:hint="eastAsia"/>
                      <w:szCs w:val="21"/>
                    </w:rPr>
                    <w:t>玻璃钢</w:t>
                  </w:r>
                  <w:r>
                    <w:rPr>
                      <w:szCs w:val="21"/>
                    </w:rPr>
                    <w:t>化粪池</w:t>
                  </w:r>
                </w:p>
              </w:tc>
              <w:tc>
                <w:tcPr>
                  <w:tcW w:w="1377" w:type="dxa"/>
                  <w:vAlign w:val="center"/>
                </w:tcPr>
                <w:p>
                  <w:pPr>
                    <w:autoSpaceDE w:val="0"/>
                    <w:autoSpaceDN w:val="0"/>
                    <w:adjustRightInd w:val="0"/>
                    <w:jc w:val="center"/>
                    <w:rPr>
                      <w:szCs w:val="21"/>
                    </w:rPr>
                  </w:pPr>
                  <w:r>
                    <w:rPr>
                      <w:szCs w:val="21"/>
                    </w:rPr>
                    <w:t>30m</w:t>
                  </w:r>
                  <w:r>
                    <w:rPr>
                      <w:szCs w:val="21"/>
                      <w:vertAlign w:val="superscript"/>
                    </w:rPr>
                    <w:t>3</w:t>
                  </w:r>
                </w:p>
              </w:tc>
              <w:tc>
                <w:tcPr>
                  <w:tcW w:w="1174" w:type="dxa"/>
                  <w:vAlign w:val="center"/>
                </w:tcPr>
                <w:p>
                  <w:pPr>
                    <w:autoSpaceDE w:val="0"/>
                    <w:autoSpaceDN w:val="0"/>
                    <w:adjustRightInd w:val="0"/>
                    <w:jc w:val="center"/>
                    <w:rPr>
                      <w:szCs w:val="21"/>
                    </w:rPr>
                  </w:pPr>
                  <w:r>
                    <w:rPr>
                      <w:szCs w:val="21"/>
                    </w:rPr>
                    <w:t>座</w:t>
                  </w:r>
                </w:p>
              </w:tc>
              <w:tc>
                <w:tcPr>
                  <w:tcW w:w="857" w:type="dxa"/>
                  <w:vAlign w:val="center"/>
                </w:tcPr>
                <w:p>
                  <w:pPr>
                    <w:autoSpaceDE w:val="0"/>
                    <w:autoSpaceDN w:val="0"/>
                    <w:adjustRightInd w:val="0"/>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4" w:type="dxa"/>
                  <w:vMerge w:val="continue"/>
                  <w:vAlign w:val="center"/>
                </w:tcPr>
                <w:p>
                  <w:pPr>
                    <w:autoSpaceDE w:val="0"/>
                    <w:autoSpaceDN w:val="0"/>
                    <w:adjustRightInd w:val="0"/>
                    <w:jc w:val="center"/>
                    <w:rPr>
                      <w:szCs w:val="21"/>
                    </w:rPr>
                  </w:pPr>
                </w:p>
              </w:tc>
              <w:tc>
                <w:tcPr>
                  <w:tcW w:w="1232" w:type="dxa"/>
                  <w:vMerge w:val="continue"/>
                  <w:vAlign w:val="center"/>
                </w:tcPr>
                <w:p>
                  <w:pPr>
                    <w:autoSpaceDE w:val="0"/>
                    <w:autoSpaceDN w:val="0"/>
                    <w:adjustRightInd w:val="0"/>
                    <w:jc w:val="center"/>
                    <w:rPr>
                      <w:szCs w:val="21"/>
                    </w:rPr>
                  </w:pPr>
                </w:p>
              </w:tc>
              <w:tc>
                <w:tcPr>
                  <w:tcW w:w="3192" w:type="dxa"/>
                  <w:vAlign w:val="center"/>
                </w:tcPr>
                <w:p>
                  <w:pPr>
                    <w:autoSpaceDE w:val="0"/>
                    <w:autoSpaceDN w:val="0"/>
                    <w:adjustRightInd w:val="0"/>
                    <w:jc w:val="center"/>
                    <w:rPr>
                      <w:szCs w:val="21"/>
                    </w:rPr>
                  </w:pPr>
                  <w:r>
                    <w:rPr>
                      <w:szCs w:val="21"/>
                    </w:rPr>
                    <w:t>一体化污水处理设备</w:t>
                  </w:r>
                </w:p>
              </w:tc>
              <w:tc>
                <w:tcPr>
                  <w:tcW w:w="1377" w:type="dxa"/>
                  <w:vAlign w:val="center"/>
                </w:tcPr>
                <w:p>
                  <w:pPr>
                    <w:autoSpaceDE w:val="0"/>
                    <w:autoSpaceDN w:val="0"/>
                    <w:adjustRightInd w:val="0"/>
                    <w:jc w:val="center"/>
                    <w:rPr>
                      <w:szCs w:val="21"/>
                    </w:rPr>
                  </w:pPr>
                  <w:r>
                    <w:rPr>
                      <w:szCs w:val="21"/>
                    </w:rPr>
                    <w:t>30m</w:t>
                  </w:r>
                  <w:r>
                    <w:rPr>
                      <w:szCs w:val="21"/>
                      <w:vertAlign w:val="superscript"/>
                    </w:rPr>
                    <w:t>3</w:t>
                  </w:r>
                  <w:r>
                    <w:rPr>
                      <w:szCs w:val="21"/>
                    </w:rPr>
                    <w:t>/d</w:t>
                  </w:r>
                </w:p>
              </w:tc>
              <w:tc>
                <w:tcPr>
                  <w:tcW w:w="1174" w:type="dxa"/>
                  <w:vAlign w:val="center"/>
                </w:tcPr>
                <w:p>
                  <w:pPr>
                    <w:autoSpaceDE w:val="0"/>
                    <w:autoSpaceDN w:val="0"/>
                    <w:adjustRightInd w:val="0"/>
                    <w:jc w:val="center"/>
                    <w:rPr>
                      <w:szCs w:val="21"/>
                    </w:rPr>
                  </w:pPr>
                  <w:r>
                    <w:rPr>
                      <w:szCs w:val="21"/>
                    </w:rPr>
                    <w:t>套</w:t>
                  </w:r>
                </w:p>
              </w:tc>
              <w:tc>
                <w:tcPr>
                  <w:tcW w:w="857" w:type="dxa"/>
                  <w:vAlign w:val="center"/>
                </w:tcPr>
                <w:p>
                  <w:pPr>
                    <w:autoSpaceDE w:val="0"/>
                    <w:autoSpaceDN w:val="0"/>
                    <w:adjustRightInd w:val="0"/>
                    <w:jc w:val="center"/>
                    <w:rPr>
                      <w:szCs w:val="21"/>
                    </w:rPr>
                  </w:pPr>
                  <w:r>
                    <w:rPr>
                      <w:szCs w:val="21"/>
                    </w:rPr>
                    <w:t>1</w:t>
                  </w:r>
                </w:p>
              </w:tc>
            </w:tr>
          </w:tbl>
          <w:p>
            <w:pPr>
              <w:autoSpaceDE w:val="0"/>
              <w:autoSpaceDN w:val="0"/>
              <w:adjustRightInd w:val="0"/>
              <w:spacing w:line="360" w:lineRule="auto"/>
              <w:ind w:firstLine="420" w:firstLineChars="200"/>
            </w:pPr>
          </w:p>
          <w:p>
            <w:pPr>
              <w:spacing w:line="360" w:lineRule="auto"/>
              <w:ind w:firstLine="480"/>
              <w:rPr>
                <w:sz w:val="24"/>
              </w:rPr>
            </w:pPr>
            <w:r>
              <w:rPr>
                <w:rFonts w:hint="eastAsia" w:ascii="宋体" w:hAnsi="宋体" w:cs="宋体"/>
                <w:sz w:val="24"/>
              </w:rPr>
              <w:t>⑤</w:t>
            </w:r>
            <w:r>
              <w:rPr>
                <w:sz w:val="24"/>
              </w:rPr>
              <w:t>粪便污水处理</w:t>
            </w:r>
          </w:p>
          <w:p>
            <w:pPr>
              <w:spacing w:line="360" w:lineRule="auto"/>
              <w:ind w:firstLine="480"/>
              <w:rPr>
                <w:sz w:val="24"/>
              </w:rPr>
            </w:pPr>
            <w:r>
              <w:rPr>
                <w:sz w:val="24"/>
              </w:rPr>
              <w:t>工程各施工作业区面积较大，人员分散，施工高峰期人数约337人，为解决施工作业区粪便污水，本次设计考虑采用</w:t>
            </w:r>
            <w:r>
              <w:rPr>
                <w:rFonts w:hint="eastAsia"/>
                <w:sz w:val="24"/>
              </w:rPr>
              <w:t>1</w:t>
            </w:r>
            <w:r>
              <w:rPr>
                <w:sz w:val="24"/>
              </w:rPr>
              <w:t>0座移动式真空环保厕所，每个厕所配置2个蹲位，根据施工人员的使用方便来调整摆放位置。</w:t>
            </w:r>
            <w:r>
              <w:rPr>
                <w:rFonts w:hint="eastAsia"/>
                <w:sz w:val="24"/>
              </w:rPr>
              <w:t>配备抽粪车</w:t>
            </w:r>
            <w:r>
              <w:rPr>
                <w:sz w:val="24"/>
              </w:rPr>
              <w:t>1</w:t>
            </w:r>
            <w:r>
              <w:rPr>
                <w:rFonts w:hint="eastAsia"/>
                <w:sz w:val="24"/>
              </w:rPr>
              <w:t>辆</w:t>
            </w:r>
            <w:r>
              <w:rPr>
                <w:sz w:val="24"/>
              </w:rPr>
              <w:t>，每周用抽粪车抽运厕所内污水至生活污水一体化处理设施一并处理。</w:t>
            </w:r>
          </w:p>
          <w:p>
            <w:pPr>
              <w:pStyle w:val="18"/>
              <w:jc w:val="both"/>
            </w:pPr>
            <w:r>
              <w:rPr>
                <w:rFonts w:hint="eastAsia"/>
              </w:rPr>
              <w:t>二、陆生</w:t>
            </w:r>
            <w:r>
              <w:t>生态保护措施</w:t>
            </w:r>
          </w:p>
          <w:p>
            <w:pPr>
              <w:spacing w:line="360" w:lineRule="auto"/>
              <w:ind w:firstLine="480"/>
              <w:rPr>
                <w:sz w:val="24"/>
              </w:rPr>
            </w:pPr>
            <w:r>
              <w:rPr>
                <w:rFonts w:hint="eastAsia"/>
                <w:sz w:val="24"/>
              </w:rPr>
              <w:t>为了减缓工程对生态环境的影响，必须采取必要的生态防护措施，生态影响的防护从避免和消减两方面进行。对工程占地区要进行生态补偿，对施工用地要进行生态恢复。</w:t>
            </w:r>
          </w:p>
          <w:p>
            <w:pPr>
              <w:spacing w:line="360" w:lineRule="auto"/>
              <w:ind w:firstLine="480"/>
              <w:rPr>
                <w:sz w:val="24"/>
              </w:rPr>
            </w:pPr>
            <w:r>
              <w:rPr>
                <w:rFonts w:hint="eastAsia"/>
                <w:sz w:val="24"/>
              </w:rPr>
              <w:t>（1）</w:t>
            </w:r>
            <w:r>
              <w:rPr>
                <w:sz w:val="24"/>
              </w:rPr>
              <w:t>生态影响的避免</w:t>
            </w:r>
          </w:p>
          <w:p>
            <w:pPr>
              <w:spacing w:line="360" w:lineRule="auto"/>
              <w:ind w:firstLine="480"/>
              <w:rPr>
                <w:sz w:val="24"/>
              </w:rPr>
            </w:pPr>
            <w:r>
              <w:rPr>
                <w:rFonts w:hint="eastAsia"/>
                <w:sz w:val="24"/>
              </w:rPr>
              <w:t>①为避免对野生动物的影响，在施工期加强生态保护的宣传教育，以宣传册、标志牌等形式，对工作人员，特别是施工人员及时进行宣传教育。</w:t>
            </w:r>
          </w:p>
          <w:p>
            <w:pPr>
              <w:spacing w:line="360" w:lineRule="auto"/>
              <w:ind w:firstLine="480"/>
              <w:rPr>
                <w:sz w:val="24"/>
              </w:rPr>
            </w:pPr>
            <w:r>
              <w:rPr>
                <w:rFonts w:hint="eastAsia"/>
                <w:sz w:val="24"/>
              </w:rPr>
              <w:t>②建立生态破坏惩罚制度，严禁施工人员非法猎捕野生动物；并根据施工总平面布置图，确定施工用地范围，进行标桩划界，利用彩条旗划定施工活动范围，禁止施工人员进入非施工占地区域，避免对施工区附近非施工占地区域陆生植物造成破坏；严禁烟火、狩猎等活动。</w:t>
            </w:r>
          </w:p>
          <w:p>
            <w:pPr>
              <w:spacing w:line="360" w:lineRule="auto"/>
              <w:ind w:firstLine="480"/>
              <w:rPr>
                <w:sz w:val="24"/>
              </w:rPr>
            </w:pPr>
            <w:r>
              <w:rPr>
                <w:rFonts w:hint="eastAsia"/>
                <w:sz w:val="24"/>
              </w:rPr>
              <w:t>③工程建成运行后要加强库区管理，广泛宣传野生动物保护的各种法律法规，提高水库运行管理人员的野生动物保护意识，形成人人保护野生动物资源的良好风气。</w:t>
            </w:r>
          </w:p>
          <w:p>
            <w:pPr>
              <w:spacing w:line="360" w:lineRule="auto"/>
              <w:ind w:firstLine="480"/>
              <w:rPr>
                <w:sz w:val="24"/>
              </w:rPr>
            </w:pPr>
            <w:r>
              <w:rPr>
                <w:rFonts w:hint="eastAsia"/>
                <w:sz w:val="24"/>
              </w:rPr>
              <w:t>④实行最严格水资源管理和调配，在保护生态环境的基础上，合理分配灌区用水，避免灌区社会经济用水所占份额过大挤占生态用水。</w:t>
            </w:r>
          </w:p>
          <w:p>
            <w:pPr>
              <w:spacing w:line="360" w:lineRule="auto"/>
              <w:ind w:firstLine="480"/>
              <w:rPr>
                <w:sz w:val="24"/>
              </w:rPr>
            </w:pPr>
            <w:r>
              <w:rPr>
                <w:rFonts w:hint="eastAsia"/>
                <w:sz w:val="24"/>
              </w:rPr>
              <w:t>（</w:t>
            </w:r>
            <w:r>
              <w:rPr>
                <w:sz w:val="24"/>
              </w:rPr>
              <w:t>2</w:t>
            </w:r>
            <w:r>
              <w:rPr>
                <w:rFonts w:hint="eastAsia"/>
                <w:sz w:val="24"/>
              </w:rPr>
              <w:t>）</w:t>
            </w:r>
            <w:r>
              <w:rPr>
                <w:sz w:val="24"/>
              </w:rPr>
              <w:t>生态影响的消减</w:t>
            </w:r>
          </w:p>
          <w:p>
            <w:pPr>
              <w:spacing w:line="360" w:lineRule="auto"/>
              <w:ind w:firstLine="480"/>
              <w:rPr>
                <w:rFonts w:ascii="宋体" w:hAnsi="宋体" w:cs="宋体"/>
                <w:sz w:val="24"/>
              </w:rPr>
            </w:pPr>
            <w:r>
              <w:rPr>
                <w:rFonts w:hint="eastAsia" w:ascii="宋体" w:hAnsi="宋体" w:cs="宋体"/>
                <w:sz w:val="24"/>
              </w:rPr>
              <w:t>①野生鸟类和兽类大多是晨昏(早晨、黄昏)或夜间外出觅食，正午是鸟类休息时间。为了减少工程施工爆破噪声对野生动物的惊扰，应做好爆破方式、数量、时间的计划，并力求避免在夜间、晨昏和正午进行爆破。</w:t>
            </w:r>
          </w:p>
          <w:p>
            <w:pPr>
              <w:spacing w:line="360" w:lineRule="auto"/>
              <w:ind w:firstLine="480"/>
              <w:rPr>
                <w:sz w:val="24"/>
              </w:rPr>
            </w:pPr>
            <w:r>
              <w:rPr>
                <w:rFonts w:hint="eastAsia" w:ascii="宋体" w:hAnsi="宋体" w:cs="宋体"/>
                <w:sz w:val="24"/>
              </w:rPr>
              <w:t>②</w:t>
            </w:r>
            <w:r>
              <w:rPr>
                <w:sz w:val="24"/>
              </w:rPr>
              <w:t>禁止施工人员野外用火，使对野生动物的干扰降至最低程度。</w:t>
            </w:r>
          </w:p>
          <w:p>
            <w:pPr>
              <w:spacing w:line="360" w:lineRule="auto"/>
              <w:ind w:firstLine="480"/>
              <w:rPr>
                <w:sz w:val="24"/>
              </w:rPr>
            </w:pPr>
            <w:r>
              <w:rPr>
                <w:rFonts w:hint="eastAsia"/>
                <w:sz w:val="24"/>
              </w:rPr>
              <w:t>③</w:t>
            </w:r>
            <w:r>
              <w:rPr>
                <w:sz w:val="24"/>
              </w:rPr>
              <w:t>优化</w:t>
            </w:r>
            <w:r>
              <w:rPr>
                <w:rFonts w:hint="eastAsia"/>
                <w:sz w:val="24"/>
              </w:rPr>
              <w:t>红山嘴水库工</w:t>
            </w:r>
            <w:r>
              <w:rPr>
                <w:sz w:val="24"/>
              </w:rPr>
              <w:t>程施工组织设计，即要遵循尽量少占地的原则，减少对植被的破坏。</w:t>
            </w:r>
          </w:p>
          <w:p>
            <w:pPr>
              <w:spacing w:line="360" w:lineRule="auto"/>
              <w:ind w:firstLine="480"/>
              <w:rPr>
                <w:sz w:val="24"/>
              </w:rPr>
            </w:pPr>
            <w:r>
              <w:rPr>
                <w:rFonts w:hint="eastAsia"/>
                <w:sz w:val="24"/>
              </w:rPr>
              <w:t>（3）</w:t>
            </w:r>
            <w:r>
              <w:rPr>
                <w:sz w:val="24"/>
              </w:rPr>
              <w:t>生态影响的补偿</w:t>
            </w:r>
          </w:p>
          <w:p>
            <w:pPr>
              <w:spacing w:line="360" w:lineRule="auto"/>
              <w:ind w:firstLine="480"/>
              <w:rPr>
                <w:sz w:val="24"/>
              </w:rPr>
            </w:pPr>
            <w:r>
              <w:rPr>
                <w:rFonts w:hint="eastAsia"/>
                <w:sz w:val="24"/>
              </w:rPr>
              <w:t>本次工程占地应</w:t>
            </w:r>
            <w:r>
              <w:rPr>
                <w:sz w:val="24"/>
              </w:rPr>
              <w:t>按照《大中型水利水电工程建设征地补偿和移民安置条例》</w:t>
            </w:r>
            <w:r>
              <w:rPr>
                <w:rFonts w:hint="eastAsia"/>
                <w:sz w:val="24"/>
              </w:rPr>
              <w:t>中的相关规定</w:t>
            </w:r>
            <w:r>
              <w:rPr>
                <w:sz w:val="24"/>
              </w:rPr>
              <w:t>予以补偿。此部分费用已在工程移民占地费用中计列。</w:t>
            </w:r>
          </w:p>
          <w:p>
            <w:pPr>
              <w:spacing w:line="360" w:lineRule="auto"/>
              <w:ind w:firstLine="480"/>
              <w:rPr>
                <w:sz w:val="24"/>
              </w:rPr>
            </w:pPr>
            <w:r>
              <w:rPr>
                <w:rFonts w:hint="eastAsia"/>
                <w:sz w:val="24"/>
              </w:rPr>
              <w:t>（4）</w:t>
            </w:r>
            <w:r>
              <w:rPr>
                <w:sz w:val="24"/>
              </w:rPr>
              <w:t>生态影响的恢复</w:t>
            </w:r>
          </w:p>
          <w:p>
            <w:pPr>
              <w:spacing w:line="360" w:lineRule="auto"/>
              <w:ind w:firstLine="480"/>
              <w:rPr>
                <w:sz w:val="24"/>
              </w:rPr>
            </w:pPr>
            <w:r>
              <w:rPr>
                <w:rFonts w:hint="eastAsia" w:ascii="宋体" w:hAnsi="宋体" w:cs="宋体"/>
                <w:sz w:val="24"/>
              </w:rPr>
              <w:t>①</w:t>
            </w:r>
            <w:r>
              <w:rPr>
                <w:rFonts w:hint="eastAsia"/>
                <w:sz w:val="24"/>
              </w:rPr>
              <w:t>工程建设过程中做好施工期防护和后期的生态修复，料场开采过程中应严格限定料场开采范围，按稳定边坡开挖，筛分弃料堆置于指定地点。临时弃渣区</w:t>
            </w:r>
            <w:r>
              <w:rPr>
                <w:sz w:val="24"/>
              </w:rPr>
              <w:t>在</w:t>
            </w:r>
            <w:r>
              <w:rPr>
                <w:rFonts w:hint="eastAsia"/>
                <w:sz w:val="24"/>
              </w:rPr>
              <w:t>施工</w:t>
            </w:r>
            <w:r>
              <w:rPr>
                <w:sz w:val="24"/>
              </w:rPr>
              <w:t>结束后</w:t>
            </w:r>
            <w:r>
              <w:rPr>
                <w:rFonts w:hint="eastAsia"/>
                <w:sz w:val="24"/>
              </w:rPr>
              <w:t>，进行土地</w:t>
            </w:r>
            <w:r>
              <w:rPr>
                <w:sz w:val="24"/>
              </w:rPr>
              <w:t>平整</w:t>
            </w:r>
            <w:r>
              <w:rPr>
                <w:rFonts w:hint="eastAsia"/>
                <w:sz w:val="24"/>
              </w:rPr>
              <w:t>；</w:t>
            </w:r>
            <w:r>
              <w:rPr>
                <w:sz w:val="24"/>
              </w:rPr>
              <w:t>永久弃渣场区</w:t>
            </w:r>
            <w:r>
              <w:rPr>
                <w:rFonts w:hint="eastAsia"/>
                <w:sz w:val="24"/>
              </w:rPr>
              <w:t>在</w:t>
            </w:r>
            <w:r>
              <w:rPr>
                <w:sz w:val="24"/>
              </w:rPr>
              <w:t>施工结束后进行土地平整，并</w:t>
            </w:r>
            <w:r>
              <w:rPr>
                <w:rFonts w:hint="eastAsia"/>
                <w:sz w:val="24"/>
              </w:rPr>
              <w:t>撒播</w:t>
            </w:r>
            <w:r>
              <w:rPr>
                <w:sz w:val="24"/>
              </w:rPr>
              <w:t>草籽恢复地表植被，草籽选址</w:t>
            </w:r>
            <w:r>
              <w:rPr>
                <w:rFonts w:hint="eastAsia"/>
                <w:sz w:val="24"/>
              </w:rPr>
              <w:t>狗牙根、早熟禾混合</w:t>
            </w:r>
            <w:r>
              <w:rPr>
                <w:sz w:val="24"/>
              </w:rPr>
              <w:t>草</w:t>
            </w:r>
            <w:r>
              <w:rPr>
                <w:rFonts w:hint="eastAsia"/>
                <w:sz w:val="24"/>
              </w:rPr>
              <w:t>种，撒播面积为</w:t>
            </w:r>
            <w:r>
              <w:rPr>
                <w:sz w:val="24"/>
              </w:rPr>
              <w:t>16.51</w:t>
            </w:r>
            <w:r>
              <w:rPr>
                <w:rFonts w:hint="eastAsia"/>
                <w:sz w:val="24"/>
              </w:rPr>
              <w:t>hm</w:t>
            </w:r>
            <w:r>
              <w:rPr>
                <w:rFonts w:hint="eastAsia"/>
                <w:sz w:val="24"/>
                <w:vertAlign w:val="superscript"/>
              </w:rPr>
              <w:t>2</w:t>
            </w:r>
            <w:r>
              <w:rPr>
                <w:rFonts w:hint="eastAsia"/>
                <w:sz w:val="24"/>
              </w:rPr>
              <w:t>；在工程管理区等区域采取绿化措施美化环境，提高区域植被覆盖率</w:t>
            </w:r>
            <w:r>
              <w:rPr>
                <w:sz w:val="24"/>
              </w:rPr>
              <w:t>。</w:t>
            </w:r>
          </w:p>
          <w:p>
            <w:pPr>
              <w:widowControl/>
              <w:spacing w:line="360" w:lineRule="auto"/>
              <w:ind w:firstLine="480" w:firstLineChars="200"/>
              <w:rPr>
                <w:sz w:val="24"/>
              </w:rPr>
            </w:pPr>
            <w:r>
              <w:rPr>
                <w:rFonts w:hint="eastAsia" w:ascii="宋体" w:hAnsi="宋体" w:cs="宋体"/>
                <w:kern w:val="0"/>
                <w:sz w:val="24"/>
              </w:rPr>
              <w:t>②本次工程的施工布置均位于东城河中</w:t>
            </w:r>
            <w:r>
              <w:rPr>
                <w:rFonts w:ascii="宋体" w:hAnsi="宋体" w:cs="宋体"/>
                <w:kern w:val="0"/>
                <w:sz w:val="24"/>
              </w:rPr>
              <w:t>低山</w:t>
            </w:r>
            <w:r>
              <w:rPr>
                <w:rFonts w:hint="eastAsia" w:ascii="宋体" w:hAnsi="宋体" w:cs="宋体"/>
                <w:kern w:val="0"/>
                <w:sz w:val="24"/>
              </w:rPr>
              <w:t>区，地表零星为荒漠常见的广布种，植被覆盖度</w:t>
            </w:r>
            <w:r>
              <w:rPr>
                <w:rFonts w:hint="eastAsia" w:cs="宋体"/>
                <w:kern w:val="0"/>
                <w:sz w:val="24"/>
              </w:rPr>
              <w:t>1</w:t>
            </w:r>
            <w:r>
              <w:rPr>
                <w:rFonts w:cs="宋体"/>
                <w:kern w:val="0"/>
                <w:sz w:val="24"/>
              </w:rPr>
              <w:t>0%～</w:t>
            </w:r>
            <w:r>
              <w:rPr>
                <w:rFonts w:hint="eastAsia" w:cs="宋体"/>
                <w:kern w:val="0"/>
                <w:sz w:val="24"/>
              </w:rPr>
              <w:t>30</w:t>
            </w:r>
            <w:r>
              <w:rPr>
                <w:rFonts w:cs="宋体"/>
                <w:kern w:val="0"/>
                <w:sz w:val="24"/>
              </w:rPr>
              <w:t>%</w:t>
            </w:r>
            <w:r>
              <w:rPr>
                <w:rFonts w:hint="eastAsia" w:ascii="宋体" w:hAnsi="宋体" w:cs="宋体"/>
                <w:kern w:val="0"/>
                <w:sz w:val="24"/>
              </w:rPr>
              <w:t>，地表土壤主要为暗栗钙土、黑钙土，腐殖质含量较低。</w:t>
            </w:r>
            <w:r>
              <w:rPr>
                <w:kern w:val="0"/>
                <w:sz w:val="24"/>
              </w:rPr>
              <w:t>结合水土保持方案现有成果，项目建设区内大部分区域植物措施以自然恢复为主，在工程永久办公生活区域内，实施植物措施。具体恢复措施为：</w:t>
            </w:r>
            <w:r>
              <w:rPr>
                <w:rFonts w:hint="eastAsia"/>
                <w:kern w:val="0"/>
                <w:sz w:val="24"/>
              </w:rPr>
              <w:t>工程运行管理站永久建筑物周边进行土地整治和改良后，管理站绿化采用植树、植草坪等措施，绿化面积为0.06hm</w:t>
            </w:r>
            <w:r>
              <w:rPr>
                <w:rFonts w:hint="eastAsia"/>
                <w:kern w:val="0"/>
                <w:sz w:val="24"/>
                <w:vertAlign w:val="superscript"/>
              </w:rPr>
              <w:t>2</w:t>
            </w:r>
            <w:r>
              <w:rPr>
                <w:rFonts w:hint="eastAsia"/>
                <w:kern w:val="0"/>
                <w:sz w:val="24"/>
              </w:rPr>
              <w:t>。</w:t>
            </w:r>
            <w:r>
              <w:rPr>
                <w:rFonts w:hint="eastAsia"/>
                <w:sz w:val="24"/>
              </w:rPr>
              <w:t>植物措施最终应以获批的红山嘴水库工程水土保持方案报告书为准。</w:t>
            </w:r>
          </w:p>
          <w:p>
            <w:pPr>
              <w:widowControl/>
              <w:spacing w:line="360" w:lineRule="auto"/>
              <w:ind w:firstLine="480" w:firstLineChars="200"/>
              <w:rPr>
                <w:sz w:val="24"/>
              </w:rPr>
            </w:pPr>
            <w:r>
              <w:rPr>
                <w:rFonts w:hint="eastAsia"/>
                <w:sz w:val="24"/>
              </w:rPr>
              <w:t>（5）水土</w:t>
            </w:r>
            <w:r>
              <w:rPr>
                <w:sz w:val="24"/>
              </w:rPr>
              <w:t>流失防治措施</w:t>
            </w:r>
          </w:p>
          <w:p>
            <w:pPr>
              <w:widowControl/>
              <w:spacing w:line="360" w:lineRule="auto"/>
              <w:ind w:firstLine="480" w:firstLineChars="200"/>
              <w:rPr>
                <w:sz w:val="24"/>
              </w:rPr>
            </w:pPr>
            <w:r>
              <w:rPr>
                <w:rFonts w:hint="eastAsia"/>
                <w:sz w:val="24"/>
              </w:rPr>
              <w:t>水土流失防治措施体系由工程措施、植物措施和临时措施等构成，新增工程措施包括：覆土、表土回填、土地平整、种植槽等，新增植物措施包括：人工撒播草籽、植乔木、灌木进行绿化，新增临时措施包括：袋装土拦挡、防尘网苫盖、砾石压盖、彩条旗等。</w:t>
            </w:r>
          </w:p>
          <w:p>
            <w:pPr>
              <w:widowControl/>
              <w:spacing w:line="360" w:lineRule="auto"/>
              <w:ind w:firstLine="480" w:firstLineChars="200"/>
              <w:rPr>
                <w:sz w:val="24"/>
              </w:rPr>
            </w:pPr>
            <w:r>
              <w:rPr>
                <w:rFonts w:hint="eastAsia"/>
                <w:sz w:val="24"/>
              </w:rPr>
              <w:t>主体工程区工程措施包括土地平整、表土剥离、</w:t>
            </w:r>
            <w:r>
              <w:rPr>
                <w:sz w:val="24"/>
              </w:rPr>
              <w:t>回填</w:t>
            </w:r>
            <w:r>
              <w:rPr>
                <w:rFonts w:hint="eastAsia"/>
                <w:sz w:val="24"/>
              </w:rPr>
              <w:t>，植物措施包括撒播草籽进行绿化；料场防治区工程措施包括土地平整、表土剥离、</w:t>
            </w:r>
            <w:r>
              <w:rPr>
                <w:sz w:val="24"/>
              </w:rPr>
              <w:t>回填</w:t>
            </w:r>
            <w:r>
              <w:rPr>
                <w:rFonts w:hint="eastAsia"/>
                <w:sz w:val="24"/>
              </w:rPr>
              <w:t>，植物措施包括播撒草籽进行绿化，临时措施为防尘网拦挡；弃渣场区工程措施包括土地平整，植物措施为播撒草籽进行绿化，临时措施为洒水、</w:t>
            </w:r>
            <w:r>
              <w:rPr>
                <w:sz w:val="24"/>
              </w:rPr>
              <w:t>防尘网拦挡</w:t>
            </w:r>
            <w:r>
              <w:rPr>
                <w:rFonts w:hint="eastAsia"/>
                <w:sz w:val="24"/>
              </w:rPr>
              <w:t>；施工生产生活区工程措施为土地平整，临时措施为洒水、</w:t>
            </w:r>
            <w:r>
              <w:rPr>
                <w:sz w:val="24"/>
              </w:rPr>
              <w:t>防尘网、编织袋挡墙</w:t>
            </w:r>
            <w:r>
              <w:rPr>
                <w:rFonts w:hint="eastAsia"/>
                <w:sz w:val="24"/>
              </w:rPr>
              <w:t>；管理区工程措施为土地平整、</w:t>
            </w:r>
            <w:r>
              <w:rPr>
                <w:sz w:val="24"/>
              </w:rPr>
              <w:t>表土剥离、回填、灌溉工程</w:t>
            </w:r>
            <w:r>
              <w:rPr>
                <w:rFonts w:hint="eastAsia"/>
                <w:sz w:val="24"/>
              </w:rPr>
              <w:t>，植物措施包括绿化工程</w:t>
            </w:r>
            <w:r>
              <w:rPr>
                <w:sz w:val="24"/>
              </w:rPr>
              <w:t>、全面整地</w:t>
            </w:r>
            <w:r>
              <w:rPr>
                <w:rFonts w:hint="eastAsia"/>
                <w:sz w:val="24"/>
              </w:rPr>
              <w:t>，临时措施为洒水、</w:t>
            </w:r>
            <w:r>
              <w:rPr>
                <w:sz w:val="24"/>
              </w:rPr>
              <w:t>防尘网、编织袋</w:t>
            </w:r>
            <w:r>
              <w:rPr>
                <w:rFonts w:hint="eastAsia"/>
                <w:sz w:val="24"/>
              </w:rPr>
              <w:t>压盖。</w:t>
            </w:r>
          </w:p>
          <w:p>
            <w:pPr>
              <w:pStyle w:val="18"/>
              <w:jc w:val="both"/>
            </w:pPr>
            <w:r>
              <w:rPr>
                <w:rFonts w:hint="eastAsia"/>
              </w:rPr>
              <w:t>三、水生</w:t>
            </w:r>
            <w:r>
              <w:t>生态保护措施</w:t>
            </w:r>
          </w:p>
          <w:p>
            <w:pPr>
              <w:spacing w:line="360" w:lineRule="auto"/>
              <w:ind w:firstLine="480"/>
              <w:rPr>
                <w:sz w:val="24"/>
              </w:rPr>
            </w:pPr>
            <w:r>
              <w:rPr>
                <w:rFonts w:hint="eastAsia"/>
                <w:sz w:val="24"/>
              </w:rPr>
              <w:t>（1）加强对施工人员进行水生生态保护意义的宣传，并制定相关规定、条例，严禁施工人员采用钓、网以及炸鱼等方式捕捞鱼类。对违反上述规定的施工人员，进行一定的经济处罚。</w:t>
            </w:r>
          </w:p>
          <w:p>
            <w:pPr>
              <w:spacing w:line="360" w:lineRule="auto"/>
              <w:ind w:firstLine="480"/>
              <w:rPr>
                <w:sz w:val="24"/>
              </w:rPr>
            </w:pPr>
            <w:r>
              <w:rPr>
                <w:rFonts w:hint="eastAsia"/>
                <w:sz w:val="24"/>
              </w:rPr>
              <w:t>（2）加强废水处理措施及管理，避免污废水排入河道，对鱼类生存环境产生影响。</w:t>
            </w:r>
          </w:p>
          <w:p>
            <w:pPr>
              <w:spacing w:line="360" w:lineRule="auto"/>
              <w:ind w:firstLine="480"/>
              <w:rPr>
                <w:sz w:val="24"/>
              </w:rPr>
            </w:pPr>
            <w:r>
              <w:rPr>
                <w:rFonts w:hint="eastAsia"/>
                <w:sz w:val="24"/>
              </w:rPr>
              <w:t>（</w:t>
            </w:r>
            <w:r>
              <w:rPr>
                <w:sz w:val="24"/>
              </w:rPr>
              <w:t>3</w:t>
            </w:r>
            <w:r>
              <w:rPr>
                <w:rFonts w:hint="eastAsia"/>
                <w:sz w:val="24"/>
              </w:rPr>
              <w:t>）对围堰内的鱼类及时进行捕捞、暂养或放归。</w:t>
            </w:r>
          </w:p>
          <w:p>
            <w:pPr>
              <w:spacing w:line="360" w:lineRule="auto"/>
              <w:ind w:firstLine="480"/>
              <w:rPr>
                <w:sz w:val="24"/>
              </w:rPr>
            </w:pPr>
            <w:r>
              <w:rPr>
                <w:rFonts w:hint="eastAsia"/>
                <w:sz w:val="24"/>
              </w:rPr>
              <w:t>（</w:t>
            </w:r>
            <w:r>
              <w:rPr>
                <w:sz w:val="24"/>
              </w:rPr>
              <w:t>4</w:t>
            </w:r>
            <w:r>
              <w:rPr>
                <w:rFonts w:hint="eastAsia"/>
                <w:sz w:val="24"/>
              </w:rPr>
              <w:t>）合理安排下闸蓄水期，尽量避开鱼类主要繁殖期；初期蓄水时，坝下河段水量明显减少，鱼类会较集中甚至出现搁浅，应事先安排人员巡查，禁止初期蓄水期坝下减水河段捕鱼，对搁浅的鱼类及时采取救护措施。</w:t>
            </w:r>
          </w:p>
          <w:p>
            <w:pPr>
              <w:pStyle w:val="18"/>
              <w:jc w:val="both"/>
            </w:pPr>
            <w:r>
              <w:rPr>
                <w:rFonts w:hint="eastAsia"/>
              </w:rPr>
              <w:t>四、</w:t>
            </w:r>
            <w:r>
              <w:t>土壤环境保护措施</w:t>
            </w:r>
          </w:p>
          <w:p>
            <w:pPr>
              <w:spacing w:line="360" w:lineRule="auto"/>
              <w:ind w:firstLine="480"/>
              <w:rPr>
                <w:sz w:val="24"/>
              </w:rPr>
            </w:pPr>
            <w:r>
              <w:rPr>
                <w:rFonts w:hint="eastAsia"/>
                <w:sz w:val="24"/>
              </w:rPr>
              <w:t>（</w:t>
            </w:r>
            <w:r>
              <w:rPr>
                <w:sz w:val="24"/>
              </w:rPr>
              <w:t>1）严格限定施工范围，采取</w:t>
            </w:r>
            <w:r>
              <w:rPr>
                <w:rFonts w:hint="eastAsia"/>
                <w:sz w:val="24"/>
              </w:rPr>
              <w:t>“</w:t>
            </w:r>
            <w:r>
              <w:rPr>
                <w:sz w:val="24"/>
              </w:rPr>
              <w:t>彩条旗</w:t>
            </w:r>
            <w:r>
              <w:rPr>
                <w:rFonts w:hint="eastAsia"/>
                <w:sz w:val="24"/>
              </w:rPr>
              <w:t>”</w:t>
            </w:r>
            <w:r>
              <w:rPr>
                <w:sz w:val="24"/>
              </w:rPr>
              <w:t>限界等临时措施限定施工机械行驶路线，禁止施工人员进入非施工占地区域，使对土壤环境的破坏作用降至最低程度。</w:t>
            </w:r>
          </w:p>
          <w:p>
            <w:pPr>
              <w:spacing w:line="360" w:lineRule="auto"/>
              <w:ind w:firstLine="480"/>
              <w:rPr>
                <w:sz w:val="24"/>
              </w:rPr>
            </w:pPr>
            <w:r>
              <w:rPr>
                <w:rFonts w:hint="eastAsia"/>
                <w:sz w:val="24"/>
              </w:rPr>
              <w:t>（</w:t>
            </w:r>
            <w:r>
              <w:rPr>
                <w:sz w:val="24"/>
              </w:rPr>
              <w:t>2）加强废污水管理，所有工程废污水及生活污水均须处理后回用，严禁乱排，避免对周边土壤造成污染。</w:t>
            </w:r>
          </w:p>
          <w:p>
            <w:pPr>
              <w:spacing w:line="360" w:lineRule="auto"/>
              <w:ind w:firstLine="480"/>
              <w:rPr>
                <w:sz w:val="24"/>
              </w:rPr>
            </w:pPr>
            <w:r>
              <w:rPr>
                <w:rFonts w:hint="eastAsia"/>
                <w:sz w:val="24"/>
              </w:rPr>
              <w:t>（</w:t>
            </w:r>
            <w:r>
              <w:rPr>
                <w:sz w:val="24"/>
              </w:rPr>
              <w:t>3）施工结束后，结合水土保持措施，对施工临时占地区采取土地平整、覆土及植被恢复措施，为扰动区土壤的恢复创造有利条件。</w:t>
            </w:r>
          </w:p>
          <w:p>
            <w:pPr>
              <w:pStyle w:val="18"/>
              <w:jc w:val="both"/>
            </w:pPr>
            <w:r>
              <w:rPr>
                <w:rFonts w:hint="eastAsia"/>
              </w:rPr>
              <w:t>五、</w:t>
            </w:r>
            <w:r>
              <w:t>环境空气保护措施</w:t>
            </w:r>
          </w:p>
          <w:p>
            <w:pPr>
              <w:spacing w:line="360" w:lineRule="auto"/>
              <w:ind w:firstLine="480"/>
              <w:rPr>
                <w:sz w:val="24"/>
              </w:rPr>
            </w:pPr>
            <w:r>
              <w:rPr>
                <w:sz w:val="24"/>
              </w:rPr>
              <w:t>（1）施工作业活动粉尘消减与控制</w:t>
            </w:r>
          </w:p>
          <w:p>
            <w:pPr>
              <w:spacing w:line="360" w:lineRule="auto"/>
              <w:ind w:firstLine="480"/>
              <w:rPr>
                <w:sz w:val="24"/>
              </w:rPr>
            </w:pPr>
            <w:r>
              <w:rPr>
                <w:sz w:val="24"/>
              </w:rPr>
              <w:fldChar w:fldCharType="begin"/>
            </w:r>
            <w:r>
              <w:rPr>
                <w:sz w:val="24"/>
              </w:rPr>
              <w:instrText xml:space="preserve"> = 1 \* GB3 </w:instrText>
            </w:r>
            <w:r>
              <w:rPr>
                <w:sz w:val="24"/>
              </w:rPr>
              <w:fldChar w:fldCharType="separate"/>
            </w:r>
            <w:r>
              <w:rPr>
                <w:rFonts w:hint="eastAsia"/>
                <w:sz w:val="24"/>
              </w:rPr>
              <w:t>①</w:t>
            </w:r>
            <w:r>
              <w:rPr>
                <w:sz w:val="24"/>
              </w:rPr>
              <w:fldChar w:fldCharType="end"/>
            </w:r>
            <w:r>
              <w:rPr>
                <w:sz w:val="24"/>
              </w:rPr>
              <w:t>在多粉尘作业面进行定时洒水。</w:t>
            </w:r>
            <w:r>
              <w:rPr>
                <w:rFonts w:hint="eastAsia"/>
                <w:sz w:val="24"/>
              </w:rPr>
              <w:t>配备</w:t>
            </w:r>
            <w:r>
              <w:rPr>
                <w:sz w:val="24"/>
              </w:rPr>
              <w:t>1</w:t>
            </w:r>
            <w:r>
              <w:rPr>
                <w:rFonts w:hint="eastAsia"/>
                <w:sz w:val="24"/>
              </w:rPr>
              <w:t>辆洒水车，</w:t>
            </w:r>
            <w:r>
              <w:rPr>
                <w:sz w:val="24"/>
              </w:rPr>
              <w:t>洒水次数及用水量根据天气情况和场地扬尘情况确定，洒水面积应尽量覆盖施工区域所有干燥裸露面。若出现大风天气时，禁止进行土方和拆除施工等易产生扬尘污染的施工作业。</w:t>
            </w:r>
          </w:p>
          <w:p>
            <w:pPr>
              <w:spacing w:line="360" w:lineRule="auto"/>
              <w:ind w:firstLine="480"/>
              <w:rPr>
                <w:sz w:val="24"/>
              </w:rPr>
            </w:pPr>
            <w:r>
              <w:rPr>
                <w:sz w:val="24"/>
              </w:rPr>
              <w:fldChar w:fldCharType="begin"/>
            </w:r>
            <w:r>
              <w:rPr>
                <w:sz w:val="24"/>
              </w:rPr>
              <w:instrText xml:space="preserve"> = 2 \* GB3 </w:instrText>
            </w:r>
            <w:r>
              <w:rPr>
                <w:sz w:val="24"/>
              </w:rPr>
              <w:fldChar w:fldCharType="separate"/>
            </w:r>
            <w:r>
              <w:rPr>
                <w:rFonts w:hint="eastAsia"/>
                <w:sz w:val="24"/>
              </w:rPr>
              <w:t>②</w:t>
            </w:r>
            <w:r>
              <w:rPr>
                <w:sz w:val="24"/>
              </w:rPr>
              <w:fldChar w:fldCharType="end"/>
            </w:r>
            <w:r>
              <w:rPr>
                <w:sz w:val="24"/>
              </w:rPr>
              <w:t>施工弃土弃渣等及时</w:t>
            </w:r>
            <w:r>
              <w:rPr>
                <w:rFonts w:hint="eastAsia"/>
                <w:sz w:val="24"/>
              </w:rPr>
              <w:t>运送至永久弃渣场</w:t>
            </w:r>
            <w:r>
              <w:rPr>
                <w:sz w:val="24"/>
              </w:rPr>
              <w:t>，减少临时堆放，</w:t>
            </w:r>
            <w:r>
              <w:rPr>
                <w:rFonts w:hint="eastAsia"/>
                <w:sz w:val="24"/>
              </w:rPr>
              <w:t>落实水土保持措施</w:t>
            </w:r>
            <w:r>
              <w:rPr>
                <w:sz w:val="24"/>
              </w:rPr>
              <w:t>。</w:t>
            </w:r>
          </w:p>
          <w:p>
            <w:pPr>
              <w:spacing w:line="360" w:lineRule="auto"/>
              <w:ind w:firstLine="480"/>
              <w:rPr>
                <w:sz w:val="24"/>
              </w:rPr>
            </w:pPr>
            <w:r>
              <w:rPr>
                <w:sz w:val="24"/>
              </w:rPr>
              <w:fldChar w:fldCharType="begin"/>
            </w:r>
            <w:r>
              <w:rPr>
                <w:sz w:val="24"/>
              </w:rPr>
              <w:instrText xml:space="preserve"> = 3 \* GB3 </w:instrText>
            </w:r>
            <w:r>
              <w:rPr>
                <w:sz w:val="24"/>
              </w:rPr>
              <w:fldChar w:fldCharType="separate"/>
            </w:r>
            <w:r>
              <w:rPr>
                <w:rFonts w:hint="eastAsia"/>
                <w:sz w:val="24"/>
              </w:rPr>
              <w:t>③</w:t>
            </w:r>
            <w:r>
              <w:rPr>
                <w:sz w:val="24"/>
              </w:rPr>
              <w:fldChar w:fldCharType="end"/>
            </w:r>
            <w:r>
              <w:rPr>
                <w:sz w:val="24"/>
              </w:rPr>
              <w:t>对粉状物原材料堆放区进行防尘网苫盖。</w:t>
            </w:r>
          </w:p>
          <w:p>
            <w:pPr>
              <w:spacing w:line="360" w:lineRule="auto"/>
              <w:ind w:firstLine="480"/>
              <w:rPr>
                <w:sz w:val="24"/>
              </w:rPr>
            </w:pPr>
            <w:r>
              <w:rPr>
                <w:sz w:val="24"/>
              </w:rPr>
              <w:t>（2）生产系统粉尘</w:t>
            </w:r>
            <w:r>
              <w:rPr>
                <w:rFonts w:hint="eastAsia"/>
                <w:sz w:val="24"/>
              </w:rPr>
              <w:t>、</w:t>
            </w:r>
            <w:r>
              <w:rPr>
                <w:sz w:val="24"/>
              </w:rPr>
              <w:t>废气消减与控制</w:t>
            </w:r>
          </w:p>
          <w:p>
            <w:pPr>
              <w:pStyle w:val="45"/>
              <w:ind w:firstLine="480"/>
            </w:pPr>
            <w:r>
              <w:rPr>
                <w:rFonts w:hint="eastAsia" w:ascii="宋体" w:hAnsi="宋体" w:cs="宋体"/>
                <w:lang w:eastAsia="ja-JP"/>
              </w:rPr>
              <w:t>①</w:t>
            </w:r>
            <w:r>
              <w:t>砂石料加工系统</w:t>
            </w:r>
          </w:p>
          <w:p>
            <w:pPr>
              <w:pStyle w:val="45"/>
              <w:ind w:firstLine="480"/>
            </w:pPr>
            <w:r>
              <w:t>a.对产尘部位喷水抑尘，应尽量降低卸料落差及堆料高度，平整压实；</w:t>
            </w:r>
          </w:p>
          <w:p>
            <w:pPr>
              <w:pStyle w:val="45"/>
              <w:ind w:firstLine="480"/>
            </w:pPr>
            <w:r>
              <w:t>b.出厂成品运输车辆采取遮盖、限载，杜绝产品长途运输途中造成沿途洒漏；</w:t>
            </w:r>
          </w:p>
          <w:p>
            <w:pPr>
              <w:pStyle w:val="45"/>
              <w:ind w:firstLine="480"/>
            </w:pPr>
            <w:r>
              <w:t>c.车辆运输高峰期间每天洒水3~4次，防止二次扬尘；</w:t>
            </w:r>
          </w:p>
          <w:p>
            <w:pPr>
              <w:pStyle w:val="45"/>
              <w:ind w:firstLine="480"/>
            </w:pPr>
            <w:r>
              <w:t>d.砂石料即采即运，避免长时间在成品堆放场堆存；</w:t>
            </w:r>
          </w:p>
          <w:p>
            <w:pPr>
              <w:pStyle w:val="45"/>
              <w:ind w:firstLine="480"/>
            </w:pPr>
            <w:r>
              <w:t>e.合理进行总平面布置，靠近临时生活营地和施工管理区等敏感点一侧不设置原料堆场，堆场、道路间应有分隔；</w:t>
            </w:r>
          </w:p>
          <w:p>
            <w:pPr>
              <w:pStyle w:val="45"/>
              <w:ind w:firstLine="480"/>
            </w:pPr>
            <w:r>
              <w:t>f.合理进行工艺布局，尽量减少不必要的输送环节；</w:t>
            </w:r>
          </w:p>
          <w:p>
            <w:pPr>
              <w:pStyle w:val="45"/>
              <w:ind w:firstLine="480"/>
            </w:pPr>
            <w:r>
              <w:t>g.当地面风速大于4m/s时应停止卸料作业；</w:t>
            </w:r>
          </w:p>
          <w:p>
            <w:pPr>
              <w:pStyle w:val="45"/>
              <w:ind w:firstLine="480"/>
            </w:pPr>
            <w:r>
              <w:t>h.设备岗位人员不得脱岗，严格检查物料的跑、冒、滴、漏现象；在粉尘环境中的作业人员，佩戴防尘口罩、护目镜等个体防护用品。</w:t>
            </w:r>
          </w:p>
          <w:p>
            <w:pPr>
              <w:pStyle w:val="45"/>
              <w:ind w:firstLine="480"/>
            </w:pPr>
            <w:r>
              <w:rPr>
                <w:rFonts w:hint="eastAsia" w:ascii="宋体" w:hAnsi="宋体" w:cs="宋体"/>
                <w:lang w:eastAsia="ja-JP"/>
              </w:rPr>
              <w:t>②</w:t>
            </w:r>
            <w:r>
              <w:t>混凝土拌和系统</w:t>
            </w:r>
          </w:p>
          <w:p>
            <w:pPr>
              <w:pStyle w:val="45"/>
              <w:ind w:firstLine="480"/>
            </w:pPr>
            <w:r>
              <w:t>a.在混凝土拌和站操作区、水泥堆放区附近辅以洒水降尘措施。在高温燥热时间，一日内洒水4～5次，气候温和时间，至少洒水3次；</w:t>
            </w:r>
          </w:p>
          <w:p>
            <w:pPr>
              <w:pStyle w:val="45"/>
              <w:ind w:firstLine="480"/>
            </w:pPr>
            <w:r>
              <w:t>b.安排环保专职人员，确保仓顶除尘器正常工作，及时清理和更换布袋；</w:t>
            </w:r>
          </w:p>
          <w:p>
            <w:pPr>
              <w:pStyle w:val="45"/>
              <w:ind w:firstLine="480"/>
            </w:pPr>
            <w:r>
              <w:t>c.装卸料时做到轻拿轻放，并在料棚内完成，减小扬尘的产生；</w:t>
            </w:r>
          </w:p>
          <w:p>
            <w:pPr>
              <w:pStyle w:val="45"/>
              <w:ind w:firstLine="480"/>
            </w:pPr>
            <w:r>
              <w:t>d.进一步加强对运输车辆的管理，搅拌运输车车身和轮胎需定期冲洗；砂、石运输车辆必须加盖篷布并保持车身清洁，严禁超载和沿途洒、漏，散装水泥、粉煤灰必须采用专用罐车运输；</w:t>
            </w:r>
          </w:p>
          <w:p>
            <w:pPr>
              <w:pStyle w:val="45"/>
              <w:ind w:firstLine="480"/>
            </w:pPr>
            <w:r>
              <w:t>e.规范有组织粉尘废气排放口。</w:t>
            </w:r>
          </w:p>
          <w:p>
            <w:pPr>
              <w:pStyle w:val="45"/>
              <w:ind w:firstLine="480"/>
            </w:pPr>
            <w:r>
              <w:rPr>
                <w:rFonts w:hint="eastAsia" w:ascii="宋体" w:hAnsi="宋体" w:cs="宋体"/>
                <w:lang w:eastAsia="ja-JP"/>
              </w:rPr>
              <w:t>③</w:t>
            </w:r>
            <w:r>
              <w:t>沥青混凝土拌和系统</w:t>
            </w:r>
          </w:p>
          <w:p>
            <w:pPr>
              <w:pStyle w:val="45"/>
              <w:ind w:firstLine="480"/>
            </w:pPr>
            <w:r>
              <w:t>a.料仓（骨料）均为封闭式，并且采取设置射雾器，日常生产过程中射雾器喷出水雾，保证物料表面湿润，减少粉尘产生量。</w:t>
            </w:r>
          </w:p>
          <w:p>
            <w:pPr>
              <w:pStyle w:val="45"/>
              <w:ind w:firstLine="480"/>
            </w:pPr>
            <w:r>
              <w:rPr>
                <w:bCs/>
              </w:rPr>
              <w:t>b.筒仓仓顶配套设置仓顶除尘器，主要应用于筒仓装粉末状物质的收尘，具有自动震动清灰功能，净化后的气体由除尘器的排气口排放，除尘效率为99%。</w:t>
            </w:r>
          </w:p>
          <w:p>
            <w:pPr>
              <w:pStyle w:val="45"/>
              <w:ind w:firstLine="480"/>
            </w:pPr>
            <w:r>
              <w:t>c.导热油炉燃油废气和干燥系统废气分别收集混合后由“旋风除尘器+袋式除尘器”处理后由1#排气筒（15m）排放，除尘效率可达99.9%；干燥系统中的柴油燃烧器为低氮燃烧器，脱硝效率为40%。</w:t>
            </w:r>
          </w:p>
          <w:p>
            <w:pPr>
              <w:pStyle w:val="45"/>
              <w:ind w:firstLine="480"/>
            </w:pPr>
            <w:r>
              <w:t>d. 沥青混凝土成品出料口设置了废气收集设施；沥青罐有逸散部位均有管道收集烟气，全部收集后经配套风机引至“电捕焦油器+活性炭吸附装置”对沥青烟废气进行处理，经3#排气筒（15m）排放，去除效率可达到99.8%以上；柴油储罐大呼吸产生的VOC</w:t>
            </w:r>
            <w:r>
              <w:rPr>
                <w:vertAlign w:val="subscript"/>
              </w:rPr>
              <w:t>S</w:t>
            </w:r>
            <w:r>
              <w:t>收集后经风机抽送至活性炭吸附装置进行处理，收集率90%，去除效率70%。</w:t>
            </w:r>
          </w:p>
          <w:p>
            <w:pPr>
              <w:pStyle w:val="45"/>
              <w:ind w:firstLine="480"/>
              <w:rPr>
                <w:bCs/>
              </w:rPr>
            </w:pPr>
            <w:r>
              <w:t>e.</w:t>
            </w:r>
            <w:r>
              <w:rPr>
                <w:bCs/>
              </w:rPr>
              <w:t xml:space="preserve"> 沥青在罐区进行加热后由管道输送至沥青混凝土生产线，输送管线均进行伴热，防止沥青输送过程中发生堵塞现象。</w:t>
            </w:r>
          </w:p>
          <w:p>
            <w:pPr>
              <w:spacing w:line="360" w:lineRule="auto"/>
              <w:ind w:firstLine="480"/>
              <w:rPr>
                <w:sz w:val="24"/>
              </w:rPr>
            </w:pPr>
            <w:r>
              <w:rPr>
                <w:sz w:val="24"/>
              </w:rPr>
              <w:t>（3）交通运输粉尘消减与控制</w:t>
            </w:r>
          </w:p>
          <w:p>
            <w:pPr>
              <w:spacing w:line="360" w:lineRule="auto"/>
              <w:ind w:firstLine="480"/>
              <w:rPr>
                <w:sz w:val="24"/>
              </w:rPr>
            </w:pPr>
            <w:r>
              <w:rPr>
                <w:sz w:val="24"/>
              </w:rPr>
              <w:fldChar w:fldCharType="begin"/>
            </w:r>
            <w:r>
              <w:rPr>
                <w:sz w:val="24"/>
              </w:rPr>
              <w:instrText xml:space="preserve"> = 1 \* GB3 </w:instrText>
            </w:r>
            <w:r>
              <w:rPr>
                <w:sz w:val="24"/>
              </w:rPr>
              <w:fldChar w:fldCharType="separate"/>
            </w:r>
            <w:r>
              <w:rPr>
                <w:rFonts w:hint="eastAsia"/>
                <w:sz w:val="24"/>
              </w:rPr>
              <w:t>①</w:t>
            </w:r>
            <w:r>
              <w:rPr>
                <w:sz w:val="24"/>
              </w:rPr>
              <w:fldChar w:fldCharType="end"/>
            </w:r>
            <w:r>
              <w:rPr>
                <w:sz w:val="24"/>
              </w:rPr>
              <w:t>及时清扫交通道路路面粉尘，定时进行洒水降尘工作，洒水降尘道路主要为车辆施工道路。洒水次数及用水量根据天气情况和道路扬尘产生情况确定，施工期在无雨日对汽车行驶路面勤洒水，重要交通干道加强洒水频率。</w:t>
            </w:r>
          </w:p>
          <w:p>
            <w:pPr>
              <w:spacing w:line="360" w:lineRule="auto"/>
              <w:ind w:firstLine="480"/>
              <w:rPr>
                <w:sz w:val="24"/>
              </w:rPr>
            </w:pPr>
            <w:r>
              <w:rPr>
                <w:sz w:val="24"/>
              </w:rPr>
              <w:fldChar w:fldCharType="begin"/>
            </w:r>
            <w:r>
              <w:rPr>
                <w:sz w:val="24"/>
              </w:rPr>
              <w:instrText xml:space="preserve"> = 2 \* GB3 </w:instrText>
            </w:r>
            <w:r>
              <w:rPr>
                <w:sz w:val="24"/>
              </w:rPr>
              <w:fldChar w:fldCharType="separate"/>
            </w:r>
            <w:r>
              <w:rPr>
                <w:rFonts w:hint="eastAsia"/>
                <w:sz w:val="24"/>
              </w:rPr>
              <w:t>②</w:t>
            </w:r>
            <w:r>
              <w:rPr>
                <w:sz w:val="24"/>
              </w:rPr>
              <w:fldChar w:fldCharType="end"/>
            </w:r>
            <w:r>
              <w:rPr>
                <w:sz w:val="24"/>
              </w:rPr>
              <w:t>在施工生产生活区等路段设置限速标志，以减轻交通扬尘对施工人员的影响。</w:t>
            </w:r>
          </w:p>
          <w:p>
            <w:pPr>
              <w:spacing w:line="360" w:lineRule="auto"/>
              <w:ind w:firstLine="480"/>
              <w:rPr>
                <w:sz w:val="24"/>
              </w:rPr>
            </w:pPr>
            <w:r>
              <w:rPr>
                <w:sz w:val="24"/>
              </w:rPr>
              <w:fldChar w:fldCharType="begin"/>
            </w:r>
            <w:r>
              <w:rPr>
                <w:sz w:val="24"/>
              </w:rPr>
              <w:instrText xml:space="preserve"> = 3 \* GB3 </w:instrText>
            </w:r>
            <w:r>
              <w:rPr>
                <w:sz w:val="24"/>
              </w:rPr>
              <w:fldChar w:fldCharType="separate"/>
            </w:r>
            <w:r>
              <w:rPr>
                <w:rFonts w:hint="eastAsia"/>
                <w:sz w:val="24"/>
              </w:rPr>
              <w:t>③</w:t>
            </w:r>
            <w:r>
              <w:rPr>
                <w:sz w:val="24"/>
              </w:rPr>
              <w:fldChar w:fldCharType="end"/>
            </w:r>
            <w:r>
              <w:rPr>
                <w:sz w:val="24"/>
              </w:rPr>
              <w:t>做好运输车辆的密封和车辆保洁，减少因弃渣、砂、土的外泄造成的扬尘污染。运送土石方等道路材料的运货车，应用蓬布或塑料布覆盖，或用编织袋分装堆码；运送水泥等细颗粒材料的车辆应采用密封储罐车；装卸、堆放中应防止物料流散并经常清洗运输车辆。</w:t>
            </w:r>
          </w:p>
          <w:p>
            <w:pPr>
              <w:spacing w:line="360" w:lineRule="auto"/>
              <w:ind w:firstLine="480"/>
              <w:rPr>
                <w:sz w:val="24"/>
              </w:rPr>
            </w:pPr>
            <w:r>
              <w:rPr>
                <w:sz w:val="24"/>
              </w:rPr>
              <w:t>（4）机械燃油废气消减与控制</w:t>
            </w:r>
          </w:p>
          <w:p>
            <w:pPr>
              <w:spacing w:line="360" w:lineRule="auto"/>
              <w:ind w:firstLine="480"/>
              <w:rPr>
                <w:sz w:val="24"/>
              </w:rPr>
            </w:pPr>
            <w:r>
              <w:rPr>
                <w:sz w:val="24"/>
              </w:rPr>
              <w:fldChar w:fldCharType="begin"/>
            </w:r>
            <w:r>
              <w:rPr>
                <w:sz w:val="24"/>
              </w:rPr>
              <w:instrText xml:space="preserve"> = 1 \* GB3 </w:instrText>
            </w:r>
            <w:r>
              <w:rPr>
                <w:sz w:val="24"/>
              </w:rPr>
              <w:fldChar w:fldCharType="separate"/>
            </w:r>
            <w:r>
              <w:rPr>
                <w:rFonts w:hint="eastAsia"/>
                <w:sz w:val="24"/>
              </w:rPr>
              <w:t>①</w:t>
            </w:r>
            <w:r>
              <w:rPr>
                <w:sz w:val="24"/>
              </w:rPr>
              <w:fldChar w:fldCharType="end"/>
            </w:r>
            <w:r>
              <w:rPr>
                <w:sz w:val="24"/>
              </w:rPr>
              <w:t>现场施工机械及运输车辆使用国家规定标准燃油，推广使用环保型运输车辆。</w:t>
            </w:r>
          </w:p>
          <w:p>
            <w:pPr>
              <w:spacing w:line="360" w:lineRule="auto"/>
              <w:ind w:firstLine="480"/>
              <w:rPr>
                <w:sz w:val="24"/>
              </w:rPr>
            </w:pPr>
            <w:r>
              <w:rPr>
                <w:sz w:val="24"/>
              </w:rPr>
              <w:fldChar w:fldCharType="begin"/>
            </w:r>
            <w:r>
              <w:rPr>
                <w:sz w:val="24"/>
              </w:rPr>
              <w:instrText xml:space="preserve"> = 2 \* GB3 </w:instrText>
            </w:r>
            <w:r>
              <w:rPr>
                <w:sz w:val="24"/>
              </w:rPr>
              <w:fldChar w:fldCharType="separate"/>
            </w:r>
            <w:r>
              <w:rPr>
                <w:rFonts w:hint="eastAsia"/>
                <w:sz w:val="24"/>
              </w:rPr>
              <w:t>②</w:t>
            </w:r>
            <w:r>
              <w:rPr>
                <w:sz w:val="24"/>
              </w:rPr>
              <w:fldChar w:fldCharType="end"/>
            </w:r>
            <w:r>
              <w:rPr>
                <w:sz w:val="24"/>
              </w:rPr>
              <w:t>加强对燃油机械设备的维护和保养，使发动机处于良好的工作状态。</w:t>
            </w:r>
          </w:p>
          <w:p>
            <w:pPr>
              <w:spacing w:line="360" w:lineRule="auto"/>
              <w:ind w:firstLine="480"/>
              <w:rPr>
                <w:sz w:val="24"/>
              </w:rPr>
            </w:pPr>
            <w:r>
              <w:rPr>
                <w:sz w:val="24"/>
              </w:rPr>
              <w:fldChar w:fldCharType="begin"/>
            </w:r>
            <w:r>
              <w:rPr>
                <w:sz w:val="24"/>
              </w:rPr>
              <w:instrText xml:space="preserve"> = 3 \* GB3 </w:instrText>
            </w:r>
            <w:r>
              <w:rPr>
                <w:sz w:val="24"/>
              </w:rPr>
              <w:fldChar w:fldCharType="separate"/>
            </w:r>
            <w:r>
              <w:rPr>
                <w:rFonts w:hint="eastAsia"/>
                <w:sz w:val="24"/>
              </w:rPr>
              <w:t>③</w:t>
            </w:r>
            <w:r>
              <w:rPr>
                <w:sz w:val="24"/>
              </w:rPr>
              <w:fldChar w:fldCharType="end"/>
            </w:r>
            <w:r>
              <w:rPr>
                <w:sz w:val="24"/>
              </w:rPr>
              <w:t>严格执行《机动车强制报废标准规定》，推行强制更新报废制度，对于发动机耗油多、效率低、排放尾气超标的老、旧车辆，及时更新。</w:t>
            </w:r>
          </w:p>
          <w:p>
            <w:pPr>
              <w:spacing w:line="360" w:lineRule="auto"/>
              <w:ind w:firstLine="480"/>
              <w:rPr>
                <w:sz w:val="24"/>
              </w:rPr>
            </w:pPr>
            <w:r>
              <w:rPr>
                <w:sz w:val="24"/>
              </w:rPr>
              <w:t>（5）</w:t>
            </w:r>
            <w:r>
              <w:rPr>
                <w:rFonts w:hint="eastAsia"/>
                <w:sz w:val="24"/>
              </w:rPr>
              <w:t>周边</w:t>
            </w:r>
            <w:r>
              <w:rPr>
                <w:sz w:val="24"/>
              </w:rPr>
              <w:t>居民</w:t>
            </w:r>
            <w:r>
              <w:rPr>
                <w:rFonts w:hint="eastAsia"/>
                <w:sz w:val="24"/>
              </w:rPr>
              <w:t>及</w:t>
            </w:r>
            <w:r>
              <w:rPr>
                <w:sz w:val="24"/>
              </w:rPr>
              <w:t>施工人员防护</w:t>
            </w:r>
          </w:p>
          <w:p>
            <w:pPr>
              <w:spacing w:line="360" w:lineRule="auto"/>
              <w:ind w:firstLine="480"/>
              <w:rPr>
                <w:sz w:val="24"/>
              </w:rPr>
            </w:pPr>
            <w:r>
              <w:rPr>
                <w:sz w:val="24"/>
              </w:rPr>
              <w:t>施工期，产生粉尘危害的作业场所，作好施工人员劳动保护及卫生防护工作。</w:t>
            </w:r>
            <w:r>
              <w:rPr>
                <w:rFonts w:hint="eastAsia"/>
                <w:sz w:val="24"/>
              </w:rPr>
              <w:t>及时</w:t>
            </w:r>
            <w:r>
              <w:rPr>
                <w:sz w:val="24"/>
              </w:rPr>
              <w:t>对施工区域进行洒水降尘，减少粉尘对周边</w:t>
            </w:r>
            <w:r>
              <w:rPr>
                <w:rFonts w:hint="eastAsia"/>
                <w:sz w:val="24"/>
              </w:rPr>
              <w:t>居民</w:t>
            </w:r>
            <w:r>
              <w:rPr>
                <w:sz w:val="24"/>
              </w:rPr>
              <w:t>及施工人员</w:t>
            </w:r>
            <w:r>
              <w:rPr>
                <w:rFonts w:hint="eastAsia"/>
                <w:sz w:val="24"/>
              </w:rPr>
              <w:t>产生</w:t>
            </w:r>
            <w:r>
              <w:rPr>
                <w:sz w:val="24"/>
              </w:rPr>
              <w:t>危害。</w:t>
            </w:r>
          </w:p>
          <w:p>
            <w:pPr>
              <w:pStyle w:val="18"/>
              <w:jc w:val="both"/>
            </w:pPr>
            <w:r>
              <w:rPr>
                <w:rFonts w:hint="eastAsia"/>
              </w:rPr>
              <w:t>六、</w:t>
            </w:r>
            <w:r>
              <w:t>声环境保护措施</w:t>
            </w:r>
          </w:p>
          <w:p>
            <w:pPr>
              <w:adjustRightInd w:val="0"/>
              <w:snapToGrid w:val="0"/>
              <w:spacing w:line="360" w:lineRule="auto"/>
              <w:ind w:firstLine="480" w:firstLineChars="200"/>
              <w:rPr>
                <w:sz w:val="24"/>
              </w:rPr>
            </w:pPr>
            <w:r>
              <w:rPr>
                <w:rFonts w:hint="eastAsia"/>
                <w:sz w:val="24"/>
              </w:rPr>
              <w:t>施工噪声的影响对象为现场施工人员及</w:t>
            </w:r>
            <w:r>
              <w:rPr>
                <w:sz w:val="24"/>
              </w:rPr>
              <w:t>鸡心梁</w:t>
            </w:r>
            <w:r>
              <w:rPr>
                <w:rFonts w:hint="eastAsia"/>
                <w:sz w:val="24"/>
              </w:rPr>
              <w:t>村</w:t>
            </w:r>
            <w:r>
              <w:rPr>
                <w:sz w:val="24"/>
              </w:rPr>
              <w:t>部分居民</w:t>
            </w:r>
            <w:r>
              <w:rPr>
                <w:rFonts w:hint="eastAsia"/>
                <w:sz w:val="24"/>
              </w:rPr>
              <w:t>。根据本工程所在区域环境特点，以及同类工程施工经验，噪声防治对策应从声源上降低噪声和受声者防护两方面考虑，措施如下：</w:t>
            </w:r>
          </w:p>
          <w:p>
            <w:pPr>
              <w:adjustRightInd w:val="0"/>
              <w:snapToGrid w:val="0"/>
              <w:spacing w:line="360" w:lineRule="auto"/>
              <w:ind w:firstLine="480" w:firstLineChars="200"/>
              <w:rPr>
                <w:sz w:val="24"/>
              </w:rPr>
            </w:pPr>
            <w:r>
              <w:rPr>
                <w:rFonts w:hint="eastAsia"/>
                <w:sz w:val="24"/>
              </w:rPr>
              <w:t>（</w:t>
            </w:r>
            <w:r>
              <w:rPr>
                <w:sz w:val="24"/>
              </w:rPr>
              <w:t>1）从声源上降低噪声</w:t>
            </w:r>
          </w:p>
          <w:p>
            <w:pPr>
              <w:adjustRightInd w:val="0"/>
              <w:snapToGrid w:val="0"/>
              <w:spacing w:line="360" w:lineRule="auto"/>
              <w:ind w:firstLine="480" w:firstLineChars="200"/>
              <w:rPr>
                <w:sz w:val="24"/>
              </w:rPr>
            </w:pPr>
            <w:r>
              <w:rPr>
                <w:rFonts w:hint="eastAsia"/>
                <w:sz w:val="24"/>
              </w:rPr>
              <w:t>①采用符合相关噪声标准要求的砂石料</w:t>
            </w:r>
            <w:r>
              <w:rPr>
                <w:sz w:val="24"/>
              </w:rPr>
              <w:t>加工设备、</w:t>
            </w:r>
            <w:r>
              <w:rPr>
                <w:rFonts w:hint="eastAsia"/>
                <w:sz w:val="24"/>
              </w:rPr>
              <w:t>混凝土拌和设备，加强设备维护保养，保持设备润滑，减少运行噪声。</w:t>
            </w:r>
          </w:p>
          <w:p>
            <w:pPr>
              <w:adjustRightInd w:val="0"/>
              <w:snapToGrid w:val="0"/>
              <w:spacing w:line="360" w:lineRule="auto"/>
              <w:ind w:firstLine="480" w:firstLineChars="200"/>
              <w:rPr>
                <w:sz w:val="24"/>
              </w:rPr>
            </w:pPr>
            <w:r>
              <w:rPr>
                <w:rFonts w:hint="eastAsia"/>
                <w:sz w:val="24"/>
              </w:rPr>
              <w:t>②对一些振动强烈的机械设备，有选择地使用减振机座。</w:t>
            </w:r>
          </w:p>
          <w:p>
            <w:pPr>
              <w:adjustRightInd w:val="0"/>
              <w:snapToGrid w:val="0"/>
              <w:spacing w:line="360" w:lineRule="auto"/>
              <w:ind w:firstLine="480" w:firstLineChars="200"/>
              <w:rPr>
                <w:sz w:val="24"/>
              </w:rPr>
            </w:pPr>
            <w:r>
              <w:rPr>
                <w:rFonts w:hint="eastAsia"/>
                <w:sz w:val="24"/>
              </w:rPr>
              <w:t>③使用的车辆必须符合《汽车定置噪声限值》（</w:t>
            </w:r>
            <w:r>
              <w:rPr>
                <w:sz w:val="24"/>
              </w:rPr>
              <w:t>GB16170-1996）和</w:t>
            </w:r>
            <w:r>
              <w:rPr>
                <w:rFonts w:hint="eastAsia"/>
                <w:sz w:val="24"/>
              </w:rPr>
              <w:t>《汽车加速行驶车外噪声限值及测量方法》(GB1495-2020)</w:t>
            </w:r>
            <w:r>
              <w:rPr>
                <w:sz w:val="24"/>
              </w:rPr>
              <w:t>，并尽量选用低噪声车辆，加强车辆维修养护；经过生活区路段设限速、禁鸣标志，夜间禁止鸣笛。</w:t>
            </w:r>
          </w:p>
          <w:p>
            <w:pPr>
              <w:adjustRightInd w:val="0"/>
              <w:snapToGrid w:val="0"/>
              <w:spacing w:line="360" w:lineRule="auto"/>
              <w:ind w:firstLine="480" w:firstLineChars="200"/>
              <w:rPr>
                <w:sz w:val="24"/>
              </w:rPr>
            </w:pPr>
            <w:r>
              <w:rPr>
                <w:rFonts w:hint="eastAsia"/>
                <w:sz w:val="24"/>
              </w:rPr>
              <w:t>④加强场内施工道路养护，保持施工道路路面平整。</w:t>
            </w:r>
          </w:p>
          <w:p>
            <w:pPr>
              <w:adjustRightInd w:val="0"/>
              <w:snapToGrid w:val="0"/>
              <w:spacing w:line="360" w:lineRule="auto"/>
              <w:ind w:firstLine="480" w:firstLineChars="200"/>
              <w:rPr>
                <w:sz w:val="24"/>
              </w:rPr>
            </w:pPr>
            <w:r>
              <w:rPr>
                <w:rFonts w:hint="eastAsia"/>
                <w:sz w:val="24"/>
              </w:rPr>
              <w:t>⑤合理安排车辆运输时间，车辆经过当地县乡集镇道路应避开中午和晚间，并控制车速，以免影响当地居民休息。</w:t>
            </w:r>
          </w:p>
          <w:p>
            <w:pPr>
              <w:adjustRightInd w:val="0"/>
              <w:snapToGrid w:val="0"/>
              <w:spacing w:line="360" w:lineRule="auto"/>
              <w:ind w:firstLine="480" w:firstLineChars="200"/>
              <w:rPr>
                <w:sz w:val="24"/>
              </w:rPr>
            </w:pPr>
            <w:r>
              <w:rPr>
                <w:rFonts w:hint="eastAsia"/>
                <w:sz w:val="24"/>
              </w:rPr>
              <w:t>（</w:t>
            </w:r>
            <w:r>
              <w:rPr>
                <w:sz w:val="24"/>
              </w:rPr>
              <w:t>2）</w:t>
            </w:r>
            <w:r>
              <w:rPr>
                <w:rFonts w:hint="eastAsia"/>
                <w:sz w:val="24"/>
              </w:rPr>
              <w:t>受声</w:t>
            </w:r>
            <w:r>
              <w:rPr>
                <w:sz w:val="24"/>
              </w:rPr>
              <w:t>者防护措施</w:t>
            </w:r>
          </w:p>
          <w:p>
            <w:pPr>
              <w:adjustRightInd w:val="0"/>
              <w:snapToGrid w:val="0"/>
              <w:spacing w:line="360" w:lineRule="auto"/>
              <w:ind w:firstLine="480" w:firstLineChars="200"/>
              <w:rPr>
                <w:sz w:val="24"/>
              </w:rPr>
            </w:pPr>
            <w:r>
              <w:rPr>
                <w:rFonts w:hint="eastAsia"/>
                <w:sz w:val="24"/>
              </w:rPr>
              <w:t>①采取轮班制，适当缩短砂石料</w:t>
            </w:r>
            <w:r>
              <w:rPr>
                <w:sz w:val="24"/>
              </w:rPr>
              <w:t>加工系统、</w:t>
            </w:r>
            <w:r>
              <w:rPr>
                <w:rFonts w:hint="eastAsia"/>
                <w:sz w:val="24"/>
              </w:rPr>
              <w:t>混凝土拌和站操作人员工作时长，防止其听力受损。</w:t>
            </w:r>
          </w:p>
          <w:p>
            <w:pPr>
              <w:adjustRightInd w:val="0"/>
              <w:snapToGrid w:val="0"/>
              <w:spacing w:line="360" w:lineRule="auto"/>
              <w:ind w:firstLine="480" w:firstLineChars="200"/>
              <w:rPr>
                <w:sz w:val="24"/>
              </w:rPr>
            </w:pPr>
            <w:r>
              <w:rPr>
                <w:rFonts w:hint="eastAsia"/>
                <w:sz w:val="24"/>
              </w:rPr>
              <w:t>②必须处在高噪声环境中作业的施工人员应加强个人防护措施，降低作业噪声。</w:t>
            </w:r>
          </w:p>
          <w:p>
            <w:pPr>
              <w:pStyle w:val="18"/>
              <w:jc w:val="both"/>
            </w:pPr>
            <w:r>
              <w:rPr>
                <w:rFonts w:hint="eastAsia"/>
              </w:rPr>
              <w:t>七、</w:t>
            </w:r>
            <w:r>
              <w:t>固体废物处置</w:t>
            </w:r>
          </w:p>
          <w:p>
            <w:pPr>
              <w:adjustRightInd w:val="0"/>
              <w:snapToGrid w:val="0"/>
              <w:spacing w:line="360" w:lineRule="auto"/>
              <w:ind w:firstLine="480" w:firstLineChars="200"/>
              <w:rPr>
                <w:sz w:val="24"/>
              </w:rPr>
            </w:pPr>
            <w:r>
              <w:rPr>
                <w:sz w:val="24"/>
              </w:rPr>
              <w:t>（1）弃渣处理</w:t>
            </w:r>
          </w:p>
          <w:p>
            <w:pPr>
              <w:adjustRightInd w:val="0"/>
              <w:snapToGrid w:val="0"/>
              <w:spacing w:line="360" w:lineRule="auto"/>
              <w:ind w:firstLine="480" w:firstLineChars="200"/>
              <w:rPr>
                <w:sz w:val="24"/>
              </w:rPr>
            </w:pPr>
            <w:r>
              <w:rPr>
                <w:sz w:val="24"/>
              </w:rPr>
              <w:t>根据施工组织设计，本工程产生</w:t>
            </w:r>
            <w:r>
              <w:rPr>
                <w:rFonts w:hint="eastAsia"/>
                <w:sz w:val="24"/>
              </w:rPr>
              <w:t>弃渣总量</w:t>
            </w:r>
            <w:r>
              <w:rPr>
                <w:sz w:val="24"/>
              </w:rPr>
              <w:t>71.47</w:t>
            </w:r>
            <w:r>
              <w:rPr>
                <w:rFonts w:hint="eastAsia"/>
                <w:sz w:val="24"/>
              </w:rPr>
              <w:t>万m</w:t>
            </w:r>
            <w:r>
              <w:rPr>
                <w:rFonts w:hint="eastAsia"/>
                <w:sz w:val="24"/>
                <w:vertAlign w:val="superscript"/>
              </w:rPr>
              <w:t>3</w:t>
            </w:r>
            <w:r>
              <w:rPr>
                <w:rFonts w:hint="eastAsia"/>
                <w:sz w:val="24"/>
              </w:rPr>
              <w:t>，</w:t>
            </w:r>
            <w:r>
              <w:rPr>
                <w:sz w:val="24"/>
              </w:rPr>
              <w:t>主要为</w:t>
            </w:r>
            <w:r>
              <w:rPr>
                <w:rFonts w:hint="eastAsia"/>
                <w:sz w:val="24"/>
              </w:rPr>
              <w:t>水库库盘开挖、清基及围堰拆除等产生，其中1#弃渣场布置在坝后坡脚处，主要堆砌开挖的土料及砂砾石料；2#临时弃渣布置在坝址下游右岸阶地约0.2km处，主要临时堆弃大坝左、右坝肩及溢洪道和涵洞开挖的石料；3#弃渣场位于水库下游报废的东城水库左侧库盘内，主要堆砌水库大部分弃渣料</w:t>
            </w:r>
            <w:r>
              <w:rPr>
                <w:sz w:val="24"/>
              </w:rPr>
              <w:t>。</w:t>
            </w:r>
          </w:p>
          <w:p>
            <w:pPr>
              <w:adjustRightInd w:val="0"/>
              <w:snapToGrid w:val="0"/>
              <w:spacing w:line="360" w:lineRule="auto"/>
              <w:ind w:firstLine="480" w:firstLineChars="200"/>
              <w:rPr>
                <w:sz w:val="24"/>
              </w:rPr>
            </w:pPr>
            <w:r>
              <w:rPr>
                <w:rFonts w:hint="eastAsia"/>
                <w:sz w:val="24"/>
              </w:rPr>
              <w:t>废污水处理设施沉淀池产生的污泥</w:t>
            </w:r>
            <w:r>
              <w:rPr>
                <w:sz w:val="24"/>
              </w:rPr>
              <w:t>定期清运</w:t>
            </w:r>
            <w:r>
              <w:rPr>
                <w:rFonts w:hint="eastAsia"/>
                <w:sz w:val="24"/>
              </w:rPr>
              <w:t>堆放</w:t>
            </w:r>
            <w:r>
              <w:rPr>
                <w:sz w:val="24"/>
              </w:rPr>
              <w:t>至</w:t>
            </w:r>
            <w:r>
              <w:rPr>
                <w:rFonts w:hint="eastAsia"/>
                <w:sz w:val="24"/>
              </w:rPr>
              <w:t>弃渣场</w:t>
            </w:r>
            <w:r>
              <w:rPr>
                <w:sz w:val="24"/>
              </w:rPr>
              <w:t>。</w:t>
            </w:r>
          </w:p>
          <w:p>
            <w:pPr>
              <w:adjustRightInd w:val="0"/>
              <w:snapToGrid w:val="0"/>
              <w:spacing w:line="360" w:lineRule="auto"/>
              <w:ind w:firstLine="480" w:firstLineChars="200"/>
              <w:rPr>
                <w:sz w:val="24"/>
              </w:rPr>
            </w:pPr>
            <w:r>
              <w:rPr>
                <w:sz w:val="24"/>
              </w:rPr>
              <w:t>（2）生活垃圾处理</w:t>
            </w:r>
          </w:p>
          <w:p>
            <w:pPr>
              <w:adjustRightInd w:val="0"/>
              <w:snapToGrid w:val="0"/>
              <w:spacing w:line="360" w:lineRule="auto"/>
              <w:ind w:firstLine="480" w:firstLineChars="200"/>
              <w:rPr>
                <w:sz w:val="24"/>
                <w:highlight w:val="cyan"/>
              </w:rPr>
            </w:pPr>
            <w:r>
              <w:rPr>
                <w:sz w:val="24"/>
              </w:rPr>
              <w:t>在主体施工集中区、施工生产生活区等区域配置垃圾桶</w:t>
            </w:r>
            <w:r>
              <w:rPr>
                <w:rFonts w:hint="eastAsia"/>
                <w:sz w:val="24"/>
              </w:rPr>
              <w:t>1</w:t>
            </w:r>
            <w:r>
              <w:rPr>
                <w:sz w:val="24"/>
              </w:rPr>
              <w:t>0个（240L），配置垃圾</w:t>
            </w:r>
            <w:r>
              <w:rPr>
                <w:rFonts w:hint="eastAsia"/>
                <w:sz w:val="24"/>
              </w:rPr>
              <w:t>收集站</w:t>
            </w:r>
            <w:r>
              <w:rPr>
                <w:sz w:val="24"/>
              </w:rPr>
              <w:t>1个，定期</w:t>
            </w:r>
            <w:r>
              <w:rPr>
                <w:rFonts w:hint="eastAsia"/>
                <w:sz w:val="24"/>
              </w:rPr>
              <w:t>将</w:t>
            </w:r>
            <w:r>
              <w:rPr>
                <w:sz w:val="24"/>
              </w:rPr>
              <w:t>收集好的生活垃圾运往</w:t>
            </w:r>
            <w:r>
              <w:rPr>
                <w:rFonts w:hint="eastAsia"/>
                <w:sz w:val="24"/>
              </w:rPr>
              <w:t>当地生态</w:t>
            </w:r>
            <w:r>
              <w:rPr>
                <w:sz w:val="24"/>
              </w:rPr>
              <w:t>环境部门指定</w:t>
            </w:r>
            <w:r>
              <w:rPr>
                <w:rFonts w:hint="eastAsia"/>
                <w:sz w:val="24"/>
              </w:rPr>
              <w:t>地点</w:t>
            </w:r>
            <w:r>
              <w:rPr>
                <w:sz w:val="24"/>
              </w:rPr>
              <w:t>进行处理。</w:t>
            </w:r>
          </w:p>
          <w:p>
            <w:pPr>
              <w:adjustRightInd w:val="0"/>
              <w:snapToGrid w:val="0"/>
              <w:spacing w:line="360" w:lineRule="auto"/>
              <w:ind w:firstLine="480" w:firstLineChars="200"/>
              <w:rPr>
                <w:sz w:val="24"/>
              </w:rPr>
            </w:pPr>
            <w:r>
              <w:rPr>
                <w:rFonts w:hint="eastAsia"/>
                <w:sz w:val="24"/>
              </w:rPr>
              <w:t>（3）危险废物</w:t>
            </w:r>
          </w:p>
          <w:p>
            <w:pPr>
              <w:adjustRightInd w:val="0"/>
              <w:snapToGrid w:val="0"/>
              <w:spacing w:line="360" w:lineRule="auto"/>
              <w:ind w:firstLine="480" w:firstLineChars="200"/>
              <w:rPr>
                <w:sz w:val="24"/>
              </w:rPr>
            </w:pPr>
            <w:r>
              <w:rPr>
                <w:rFonts w:hint="eastAsia"/>
                <w:sz w:val="24"/>
              </w:rPr>
              <w:t>①施工期应对各施工单位产生的危险废物进行排查，摸清产生环节、危险废物类型、产生量，按照《危险废物贮存污染控制标准》（GB18597-</w:t>
            </w:r>
            <w:r>
              <w:rPr>
                <w:sz w:val="24"/>
              </w:rPr>
              <w:t>2023</w:t>
            </w:r>
            <w:r>
              <w:rPr>
                <w:rFonts w:hint="eastAsia"/>
                <w:sz w:val="24"/>
              </w:rPr>
              <w:t>）及其修改单的要求在施工生产区附近设置危险废物暂存间。</w:t>
            </w:r>
          </w:p>
          <w:p>
            <w:pPr>
              <w:adjustRightInd w:val="0"/>
              <w:snapToGrid w:val="0"/>
              <w:spacing w:line="360" w:lineRule="auto"/>
              <w:ind w:firstLine="480" w:firstLineChars="200"/>
              <w:rPr>
                <w:sz w:val="24"/>
              </w:rPr>
            </w:pPr>
            <w:r>
              <w:rPr>
                <w:rFonts w:hint="eastAsia"/>
                <w:sz w:val="24"/>
              </w:rPr>
              <w:t>②收集、贮存、运输、处置危险废物的设施、场所，危险废物的容器和包装物必须设置危险废物识别标志。</w:t>
            </w:r>
          </w:p>
          <w:p>
            <w:pPr>
              <w:adjustRightInd w:val="0"/>
              <w:snapToGrid w:val="0"/>
              <w:spacing w:line="360" w:lineRule="auto"/>
              <w:ind w:firstLine="480" w:firstLineChars="200"/>
              <w:rPr>
                <w:sz w:val="24"/>
              </w:rPr>
            </w:pPr>
            <w:r>
              <w:rPr>
                <w:rFonts w:hint="eastAsia"/>
                <w:sz w:val="24"/>
              </w:rPr>
              <w:t>③建立危险废物管理制度，不同种类危险废物分类堆放，张贴标识，转入或转出均应做好相应记录及台账。</w:t>
            </w:r>
          </w:p>
          <w:p>
            <w:pPr>
              <w:adjustRightInd w:val="0"/>
              <w:snapToGrid w:val="0"/>
              <w:spacing w:line="360" w:lineRule="auto"/>
              <w:ind w:firstLine="480" w:firstLineChars="200"/>
              <w:rPr>
                <w:sz w:val="24"/>
              </w:rPr>
            </w:pPr>
            <w:r>
              <w:rPr>
                <w:rFonts w:hint="eastAsia"/>
                <w:sz w:val="24"/>
              </w:rPr>
              <w:t>④定期对危险废物进行转移，转移必须按照国家有关规定实施危险废物转移联单制度，具体按《危险废物转移联单管理办法》执行。</w:t>
            </w:r>
          </w:p>
          <w:p>
            <w:pPr>
              <w:adjustRightInd w:val="0"/>
              <w:snapToGrid w:val="0"/>
              <w:spacing w:line="360" w:lineRule="auto"/>
              <w:ind w:firstLine="480" w:firstLineChars="200"/>
              <w:rPr>
                <w:sz w:val="24"/>
              </w:rPr>
            </w:pPr>
            <w:r>
              <w:rPr>
                <w:rFonts w:hint="eastAsia"/>
                <w:sz w:val="24"/>
              </w:rPr>
              <w:t>⑤危险废物运输应由持有危险废物经营许可证的单位按照其许可证的经营范围组织实施，承担危险废物运输的单位应获得交通运输部门颁发的危险货物运输资质。</w:t>
            </w:r>
          </w:p>
          <w:p>
            <w:pPr>
              <w:pStyle w:val="18"/>
              <w:jc w:val="both"/>
            </w:pPr>
            <w:r>
              <w:rPr>
                <w:rFonts w:hint="eastAsia"/>
              </w:rPr>
              <w:t>八、</w:t>
            </w:r>
            <w:r>
              <w:t>人群健康保护</w:t>
            </w:r>
          </w:p>
          <w:p>
            <w:pPr>
              <w:adjustRightInd w:val="0"/>
              <w:snapToGrid w:val="0"/>
              <w:spacing w:line="360" w:lineRule="auto"/>
              <w:ind w:firstLine="480" w:firstLineChars="200"/>
              <w:rPr>
                <w:sz w:val="24"/>
              </w:rPr>
            </w:pPr>
            <w:r>
              <w:rPr>
                <w:rFonts w:hint="eastAsia"/>
                <w:sz w:val="24"/>
              </w:rPr>
              <w:t>（</w:t>
            </w:r>
            <w:r>
              <w:rPr>
                <w:sz w:val="24"/>
              </w:rPr>
              <w:t>1）加强饮用水源保护与饮水消毒。严格管理施工生产废水，严禁</w:t>
            </w:r>
            <w:r>
              <w:rPr>
                <w:rFonts w:hint="eastAsia"/>
                <w:sz w:val="24"/>
              </w:rPr>
              <w:t>外排</w:t>
            </w:r>
            <w:r>
              <w:rPr>
                <w:sz w:val="24"/>
              </w:rPr>
              <w:t>，取水点周围100m范围内，不得布置施工生产区，不得修建厕所、渗水坑，不得堆放垃圾及其它污物。此外，生活用水蓄水设施周围也应采取同样严格的防护措施。</w:t>
            </w:r>
          </w:p>
          <w:p>
            <w:pPr>
              <w:adjustRightInd w:val="0"/>
              <w:snapToGrid w:val="0"/>
              <w:spacing w:line="360" w:lineRule="auto"/>
              <w:ind w:firstLine="480" w:firstLineChars="200"/>
              <w:rPr>
                <w:sz w:val="24"/>
              </w:rPr>
            </w:pPr>
            <w:r>
              <w:rPr>
                <w:rFonts w:hint="eastAsia"/>
                <w:sz w:val="24"/>
              </w:rPr>
              <w:t>（</w:t>
            </w:r>
            <w:r>
              <w:rPr>
                <w:sz w:val="24"/>
              </w:rPr>
              <w:t>2）通过对生产废水、临时生活区生活污水、生活垃圾等设置收集和处理设施，使垃圾、粪便、污水基本作到无害化处理。</w:t>
            </w:r>
          </w:p>
          <w:p>
            <w:pPr>
              <w:adjustRightInd w:val="0"/>
              <w:snapToGrid w:val="0"/>
              <w:spacing w:line="360" w:lineRule="auto"/>
              <w:ind w:firstLine="480" w:firstLineChars="200"/>
              <w:rPr>
                <w:sz w:val="24"/>
              </w:rPr>
            </w:pPr>
            <w:r>
              <w:rPr>
                <w:rFonts w:hint="eastAsia"/>
                <w:sz w:val="24"/>
              </w:rPr>
              <w:t>（</w:t>
            </w:r>
            <w:r>
              <w:rPr>
                <w:sz w:val="24"/>
              </w:rPr>
              <w:t>3）做好施工生活营地的防蚊、灭蝇、灭鼠工作，定期发放防疫灭鼠药品，切断疾病的传染源、传播途径。</w:t>
            </w:r>
          </w:p>
          <w:p>
            <w:pPr>
              <w:adjustRightInd w:val="0"/>
              <w:snapToGrid w:val="0"/>
              <w:spacing w:line="360" w:lineRule="auto"/>
              <w:ind w:firstLine="480" w:firstLineChars="200"/>
              <w:rPr>
                <w:sz w:val="24"/>
              </w:rPr>
            </w:pPr>
            <w:r>
              <w:rPr>
                <w:rFonts w:hint="eastAsia"/>
                <w:sz w:val="24"/>
              </w:rPr>
              <w:t>（</w:t>
            </w:r>
            <w:r>
              <w:rPr>
                <w:sz w:val="24"/>
              </w:rPr>
              <w:t>4）建立防疫体系，加强流动人员疫病筛查。在当前新冠肺炎疫情形势依旧严峻的情况下，加强施工人员入场疫病筛查，建立施工人员健康档案，消除传播隐患。</w:t>
            </w:r>
          </w:p>
          <w:p>
            <w:pPr>
              <w:adjustRightInd w:val="0"/>
              <w:snapToGrid w:val="0"/>
              <w:spacing w:line="360" w:lineRule="auto"/>
              <w:ind w:firstLine="480" w:firstLineChars="200"/>
              <w:rPr>
                <w:sz w:val="24"/>
              </w:rPr>
            </w:pPr>
            <w:r>
              <w:rPr>
                <w:rFonts w:hint="eastAsia"/>
                <w:sz w:val="24"/>
              </w:rPr>
              <w:t>（</w:t>
            </w:r>
            <w:r>
              <w:rPr>
                <w:sz w:val="24"/>
              </w:rPr>
              <w:t>5）应对施工人员做好医疗保障，遇危重病人应及时送往当地大型医疗机构救治。</w:t>
            </w:r>
          </w:p>
          <w:p>
            <w:pPr>
              <w:pStyle w:val="18"/>
              <w:jc w:val="both"/>
              <w:rPr>
                <w:szCs w:val="24"/>
              </w:rPr>
            </w:pPr>
            <w:r>
              <w:rPr>
                <w:rFonts w:hint="eastAsia"/>
              </w:rPr>
              <w:t>八、</w:t>
            </w:r>
            <w:r>
              <w:t>移民安置</w:t>
            </w:r>
          </w:p>
          <w:p>
            <w:pPr>
              <w:adjustRightInd w:val="0"/>
              <w:snapToGrid w:val="0"/>
              <w:spacing w:line="360" w:lineRule="auto"/>
              <w:ind w:firstLine="480" w:firstLineChars="200"/>
              <w:rPr>
                <w:sz w:val="24"/>
              </w:rPr>
            </w:pPr>
            <w:r>
              <w:rPr>
                <w:rFonts w:hint="eastAsia"/>
                <w:sz w:val="24"/>
              </w:rPr>
              <w:t>工程征占地涉及生产安置移民</w:t>
            </w:r>
            <w:r>
              <w:rPr>
                <w:sz w:val="24"/>
              </w:rPr>
              <w:t>10</w:t>
            </w:r>
            <w:r>
              <w:rPr>
                <w:rFonts w:hint="eastAsia"/>
                <w:sz w:val="24"/>
              </w:rPr>
              <w:t>人，采用一次性经济补偿方式进行安置；涉及搬迁安置牧民人口14户</w:t>
            </w:r>
            <w:r>
              <w:rPr>
                <w:sz w:val="24"/>
              </w:rPr>
              <w:t>48</w:t>
            </w:r>
            <w:r>
              <w:rPr>
                <w:rFonts w:hint="eastAsia"/>
                <w:sz w:val="24"/>
              </w:rPr>
              <w:t>人（包含2户9人非农业居民），搬迁安置移民全部采用乡镇内就近集中安置方式，全部搬迁至东城镇鸡心梁村3组，根据现场调查，鸡心梁村具备足够的环境容量安置本工程移民；本次工程涉及交通运输设施、输电线路设施、通讯线路设施、人饮供水工程的改复建。</w:t>
            </w:r>
            <w:r>
              <w:rPr>
                <w:sz w:val="24"/>
              </w:rPr>
              <w:t>在专项设施改</w:t>
            </w:r>
            <w:r>
              <w:rPr>
                <w:rFonts w:hint="eastAsia"/>
                <w:sz w:val="24"/>
              </w:rPr>
              <w:t>复</w:t>
            </w:r>
            <w:r>
              <w:rPr>
                <w:sz w:val="24"/>
              </w:rPr>
              <w:t>建过程中，占压和开挖将扰动地表，破坏土壤和地表植被，会加剧当地水土流失。应做好施工规划，尽可能做到移挖作填，减少弃渣量，并加强对临时弃渣的防护，采用渣面压实或苫盖等措施，避免松散的弃渣面在大风和降雨天气下，受到严重风蚀和水蚀。改迁建结束后，做好临时占地区土地平整，促进其自然恢复。</w:t>
            </w:r>
          </w:p>
          <w:p>
            <w:pPr>
              <w:pStyle w:val="18"/>
              <w:jc w:val="both"/>
            </w:pPr>
            <w:r>
              <w:rPr>
                <w:rFonts w:hint="eastAsia"/>
              </w:rPr>
              <w:t>九、环境保护宣传</w:t>
            </w:r>
          </w:p>
          <w:p>
            <w:pPr>
              <w:adjustRightInd w:val="0"/>
              <w:snapToGrid w:val="0"/>
              <w:spacing w:line="360" w:lineRule="auto"/>
              <w:ind w:firstLine="480" w:firstLineChars="200"/>
              <w:rPr>
                <w:sz w:val="24"/>
              </w:rPr>
            </w:pPr>
            <w:r>
              <w:rPr>
                <w:rFonts w:hint="eastAsia"/>
                <w:sz w:val="24"/>
              </w:rPr>
              <w:t>对施工人员进行环境保护法律、法规的宣传和教育，提高其环境保护意识；在主要施工区显眼处设置宣传牌说明工区环保要求，共设置</w:t>
            </w:r>
            <w:r>
              <w:rPr>
                <w:sz w:val="24"/>
              </w:rPr>
              <w:t>5块。</w:t>
            </w:r>
          </w:p>
          <w:p>
            <w:pPr>
              <w:pStyle w:val="18"/>
              <w:jc w:val="both"/>
            </w:pPr>
            <w:r>
              <w:rPr>
                <w:rFonts w:hint="eastAsia"/>
              </w:rPr>
              <w:t>十、环境风险防范措施</w:t>
            </w:r>
          </w:p>
          <w:p>
            <w:pPr>
              <w:adjustRightInd w:val="0"/>
              <w:snapToGrid w:val="0"/>
              <w:spacing w:line="360" w:lineRule="auto"/>
              <w:ind w:firstLine="480" w:firstLineChars="200"/>
              <w:rPr>
                <w:sz w:val="24"/>
              </w:rPr>
            </w:pPr>
            <w:r>
              <w:rPr>
                <w:rFonts w:hint="eastAsia"/>
                <w:sz w:val="24"/>
              </w:rPr>
              <w:t>（</w:t>
            </w:r>
            <w:r>
              <w:rPr>
                <w:sz w:val="24"/>
              </w:rPr>
              <w:t>1）</w:t>
            </w:r>
            <w:r>
              <w:rPr>
                <w:rFonts w:hint="eastAsia"/>
                <w:sz w:val="24"/>
              </w:rPr>
              <w:t>油料</w:t>
            </w:r>
            <w:r>
              <w:rPr>
                <w:sz w:val="24"/>
              </w:rPr>
              <w:t>储运</w:t>
            </w:r>
            <w:r>
              <w:rPr>
                <w:rFonts w:hint="eastAsia"/>
                <w:sz w:val="24"/>
              </w:rPr>
              <w:t>风险</w:t>
            </w:r>
            <w:r>
              <w:rPr>
                <w:sz w:val="24"/>
              </w:rPr>
              <w:t>防范措施</w:t>
            </w:r>
          </w:p>
          <w:p>
            <w:pPr>
              <w:adjustRightInd w:val="0"/>
              <w:snapToGrid w:val="0"/>
              <w:spacing w:line="360" w:lineRule="auto"/>
              <w:ind w:firstLine="480" w:firstLineChars="200"/>
              <w:rPr>
                <w:sz w:val="24"/>
              </w:rPr>
            </w:pPr>
            <w:r>
              <w:rPr>
                <w:rFonts w:hint="eastAsia" w:ascii="宋体" w:hAnsi="宋体" w:cs="宋体"/>
                <w:sz w:val="24"/>
                <w:lang w:eastAsia="ja-JP"/>
              </w:rPr>
              <w:t>①</w:t>
            </w:r>
            <w:r>
              <w:rPr>
                <w:sz w:val="24"/>
              </w:rPr>
              <w:t>建立以工程建设安全和环保领导小组为核心的责任制，层层签订责任书，明确各级安全和环保人员应承担的环境风险管理责任。</w:t>
            </w:r>
          </w:p>
          <w:p>
            <w:pPr>
              <w:adjustRightInd w:val="0"/>
              <w:snapToGrid w:val="0"/>
              <w:spacing w:line="360" w:lineRule="auto"/>
              <w:ind w:firstLine="480" w:firstLineChars="200"/>
              <w:rPr>
                <w:sz w:val="24"/>
              </w:rPr>
            </w:pPr>
            <w:r>
              <w:rPr>
                <w:rFonts w:hint="eastAsia"/>
                <w:sz w:val="24"/>
              </w:rPr>
              <w:t>②</w:t>
            </w:r>
            <w:r>
              <w:rPr>
                <w:sz w:val="24"/>
              </w:rPr>
              <w:t>安全和环保领导小组应加强各施工队伍的环境风险意识宣传教育，并与运输油料的承包方签订事故责任合同，确保运输风险减缓措施得到落实。</w:t>
            </w:r>
          </w:p>
          <w:p>
            <w:pPr>
              <w:adjustRightInd w:val="0"/>
              <w:snapToGrid w:val="0"/>
              <w:spacing w:line="360" w:lineRule="auto"/>
              <w:ind w:firstLine="480" w:firstLineChars="200"/>
              <w:rPr>
                <w:sz w:val="24"/>
              </w:rPr>
            </w:pPr>
            <w:r>
              <w:rPr>
                <w:rFonts w:hint="eastAsia"/>
                <w:sz w:val="24"/>
              </w:rPr>
              <w:t>③</w:t>
            </w:r>
            <w:r>
              <w:rPr>
                <w:sz w:val="24"/>
              </w:rPr>
              <w:t>油料的运输</w:t>
            </w:r>
            <w:r>
              <w:rPr>
                <w:rFonts w:hint="eastAsia"/>
                <w:sz w:val="24"/>
              </w:rPr>
              <w:t>、</w:t>
            </w:r>
            <w:r>
              <w:rPr>
                <w:sz w:val="24"/>
              </w:rPr>
              <w:t>储存必须事先申请并经公安、环保等有关部门批准、登记，达到相关标准要求。</w:t>
            </w:r>
          </w:p>
          <w:p>
            <w:pPr>
              <w:adjustRightInd w:val="0"/>
              <w:snapToGrid w:val="0"/>
              <w:spacing w:line="360" w:lineRule="auto"/>
              <w:ind w:firstLine="480" w:firstLineChars="200"/>
              <w:rPr>
                <w:sz w:val="24"/>
              </w:rPr>
            </w:pPr>
            <w:r>
              <w:rPr>
                <w:rFonts w:hint="eastAsia"/>
                <w:sz w:val="24"/>
              </w:rPr>
              <w:t>④</w:t>
            </w:r>
            <w:r>
              <w:rPr>
                <w:sz w:val="24"/>
              </w:rPr>
              <w:t>加强运输人员环境污染事故安全知识教育，运输人员应严格遵守易燃、易爆等危险货物运输的有关规定，具体包括《汽车危险货物运输规则》、《汽车危险货物运输、装卸作业规程》。</w:t>
            </w:r>
          </w:p>
          <w:p>
            <w:pPr>
              <w:adjustRightInd w:val="0"/>
              <w:snapToGrid w:val="0"/>
              <w:spacing w:line="360" w:lineRule="auto"/>
              <w:ind w:firstLine="480" w:firstLineChars="200"/>
              <w:rPr>
                <w:sz w:val="24"/>
              </w:rPr>
            </w:pPr>
            <w:r>
              <w:rPr>
                <w:rFonts w:hint="eastAsia"/>
                <w:sz w:val="24"/>
              </w:rPr>
              <w:t>⑤</w:t>
            </w:r>
            <w:r>
              <w:rPr>
                <w:sz w:val="24"/>
              </w:rPr>
              <w:t>油料运输</w:t>
            </w:r>
            <w:r>
              <w:rPr>
                <w:rFonts w:hint="eastAsia"/>
                <w:sz w:val="24"/>
              </w:rPr>
              <w:t>、</w:t>
            </w:r>
            <w:r>
              <w:rPr>
                <w:sz w:val="24"/>
              </w:rPr>
              <w:t>储存采用密闭性能优越的储油罐，确保不造成环境危害。</w:t>
            </w:r>
          </w:p>
          <w:p>
            <w:pPr>
              <w:adjustRightInd w:val="0"/>
              <w:snapToGrid w:val="0"/>
              <w:spacing w:line="360" w:lineRule="auto"/>
              <w:ind w:firstLine="480" w:firstLineChars="200"/>
              <w:rPr>
                <w:sz w:val="24"/>
              </w:rPr>
            </w:pPr>
            <w:r>
              <w:rPr>
                <w:rFonts w:hint="eastAsia"/>
                <w:sz w:val="24"/>
              </w:rPr>
              <w:t>⑥</w:t>
            </w:r>
            <w:r>
              <w:rPr>
                <w:sz w:val="24"/>
              </w:rPr>
              <w:t>对加油操作人员开展技能培训，规范加油行为，具备基本的加油及风险防范常识。</w:t>
            </w:r>
          </w:p>
          <w:p>
            <w:pPr>
              <w:adjustRightInd w:val="0"/>
              <w:snapToGrid w:val="0"/>
              <w:spacing w:line="360" w:lineRule="auto"/>
              <w:ind w:firstLine="480" w:firstLineChars="200"/>
              <w:rPr>
                <w:sz w:val="24"/>
              </w:rPr>
            </w:pPr>
            <w:r>
              <w:rPr>
                <w:rFonts w:hint="eastAsia"/>
                <w:sz w:val="24"/>
              </w:rPr>
              <w:t>⑦</w:t>
            </w:r>
            <w:r>
              <w:rPr>
                <w:sz w:val="24"/>
              </w:rPr>
              <w:t>定期检查储存场所的各类电气开关和线路，防止由于设备老化、短路而成为事故隐患。</w:t>
            </w:r>
          </w:p>
          <w:p>
            <w:pPr>
              <w:adjustRightInd w:val="0"/>
              <w:snapToGrid w:val="0"/>
              <w:spacing w:line="360" w:lineRule="auto"/>
              <w:ind w:firstLine="480" w:firstLineChars="200"/>
              <w:rPr>
                <w:sz w:val="24"/>
              </w:rPr>
            </w:pPr>
            <w:r>
              <w:rPr>
                <w:rFonts w:hint="eastAsia"/>
                <w:sz w:val="24"/>
              </w:rPr>
              <w:t>⑧</w:t>
            </w:r>
            <w:r>
              <w:rPr>
                <w:sz w:val="24"/>
              </w:rPr>
              <w:t>配备必需的消防器材，并定期更换，以保证消防器材在任何时候均处于有效状态。</w:t>
            </w:r>
          </w:p>
          <w:p>
            <w:pPr>
              <w:adjustRightInd w:val="0"/>
              <w:snapToGrid w:val="0"/>
              <w:spacing w:line="360" w:lineRule="auto"/>
              <w:ind w:firstLine="480" w:firstLineChars="200"/>
              <w:rPr>
                <w:sz w:val="24"/>
              </w:rPr>
            </w:pPr>
            <w:r>
              <w:rPr>
                <w:rFonts w:hint="eastAsia"/>
                <w:sz w:val="24"/>
              </w:rPr>
              <w:t>⑨</w:t>
            </w:r>
            <w:r>
              <w:rPr>
                <w:sz w:val="24"/>
              </w:rPr>
              <w:t>对施工机械进行定期维修保养，避免发生溢油事故，配备足够的油污染净化、清理器材和防护设备，如吸油毯、吸油毡、吸油机等。若施工期施工机械发生泄漏事故，在有关部门的指导和配合下，及时采取浮油拦截和吸附措施，直至油污染消除。</w:t>
            </w:r>
          </w:p>
          <w:p>
            <w:pPr>
              <w:adjustRightInd w:val="0"/>
              <w:snapToGrid w:val="0"/>
              <w:spacing w:line="360" w:lineRule="auto"/>
              <w:ind w:firstLine="480" w:firstLineChars="200"/>
              <w:rPr>
                <w:sz w:val="24"/>
              </w:rPr>
            </w:pPr>
            <w:r>
              <w:rPr>
                <w:rFonts w:hint="eastAsia"/>
                <w:sz w:val="24"/>
              </w:rPr>
              <w:t>（</w:t>
            </w:r>
            <w:r>
              <w:rPr>
                <w:sz w:val="24"/>
              </w:rPr>
              <w:t>2</w:t>
            </w:r>
            <w:r>
              <w:rPr>
                <w:rFonts w:hint="eastAsia"/>
                <w:sz w:val="24"/>
              </w:rPr>
              <w:t>）河流</w:t>
            </w:r>
            <w:r>
              <w:rPr>
                <w:sz w:val="24"/>
              </w:rPr>
              <w:t>水质污染环境风险防范措施</w:t>
            </w:r>
          </w:p>
          <w:p>
            <w:pPr>
              <w:adjustRightInd w:val="0"/>
              <w:snapToGrid w:val="0"/>
              <w:spacing w:line="360" w:lineRule="auto"/>
              <w:ind w:firstLine="480" w:firstLineChars="200"/>
              <w:rPr>
                <w:sz w:val="24"/>
              </w:rPr>
            </w:pPr>
            <w:r>
              <w:rPr>
                <w:rFonts w:hint="eastAsia"/>
                <w:sz w:val="24"/>
              </w:rPr>
              <w:t>①为防范生产废水事故排放，按照“三同时”原则，在各施工生产设施开始施工前，即按照本环评提出的要求修建废水处理设施。</w:t>
            </w:r>
          </w:p>
          <w:p>
            <w:pPr>
              <w:adjustRightInd w:val="0"/>
              <w:snapToGrid w:val="0"/>
              <w:spacing w:line="360" w:lineRule="auto"/>
              <w:ind w:firstLine="480" w:firstLineChars="200"/>
              <w:rPr>
                <w:sz w:val="24"/>
              </w:rPr>
            </w:pPr>
            <w:r>
              <w:rPr>
                <w:rFonts w:hint="eastAsia"/>
                <w:sz w:val="24"/>
              </w:rPr>
              <w:t>②砂石料加工系统废水排放量较大，生产过程中需要对砂石加工系统废水处理设备定期维护修理；在每班末进行设备检查，保证正常运转，每月两次安排全面检修。当上述设备出现事故，运行中断时，应立即停止砂石料加工生产。</w:t>
            </w:r>
          </w:p>
          <w:p>
            <w:pPr>
              <w:adjustRightInd w:val="0"/>
              <w:snapToGrid w:val="0"/>
              <w:spacing w:line="360" w:lineRule="auto"/>
              <w:ind w:firstLine="480" w:firstLineChars="200"/>
              <w:rPr>
                <w:sz w:val="24"/>
              </w:rPr>
            </w:pPr>
            <w:r>
              <w:rPr>
                <w:rFonts w:hint="eastAsia"/>
                <w:sz w:val="24"/>
              </w:rPr>
              <w:t>③混凝土拌和废水处理设施简单，处理设备多为土建设施，仅需配备潜水排污泵，用于废水及清水抽排。生产过程中应保证处理设施处于一用一备状态；一套设施发生故障后，应立即启用备用设施，并及时对故障设施进行修缮。此外，应定期停工对处理设施进行全面检修，及时发现故障，尽快维修。一旦废水处理设施发生故障，不能正常运行处理时，要立即停止混凝土拌和系统施工作业，待废水处理设施恢复正常运转后再施工。</w:t>
            </w:r>
          </w:p>
          <w:p>
            <w:pPr>
              <w:adjustRightInd w:val="0"/>
              <w:snapToGrid w:val="0"/>
              <w:spacing w:line="360" w:lineRule="auto"/>
              <w:ind w:firstLine="480" w:firstLineChars="200"/>
              <w:rPr>
                <w:sz w:val="24"/>
              </w:rPr>
            </w:pPr>
            <w:r>
              <w:rPr>
                <w:rFonts w:hint="eastAsia"/>
                <w:sz w:val="24"/>
              </w:rPr>
              <w:t>④为防范生活污水事故排放对河流水质的影响，应切实落实本环评提出的生活污水处理措施，各处理设施应定期检修排查，及时发现设备问题，进行修缮，并预留紧急备用设备，及时更换，处理后的废水按要求排放。</w:t>
            </w:r>
          </w:p>
          <w:p>
            <w:pPr>
              <w:adjustRightInd w:val="0"/>
              <w:snapToGrid w:val="0"/>
              <w:spacing w:line="360" w:lineRule="auto"/>
              <w:ind w:firstLine="480" w:firstLineChars="200"/>
              <w:rPr>
                <w:sz w:val="24"/>
              </w:rPr>
            </w:pPr>
            <w:r>
              <w:rPr>
                <w:rFonts w:hint="eastAsia"/>
                <w:sz w:val="24"/>
              </w:rPr>
              <w:t>⑤废污水处理系统的运行管理人员应加强对处理系统的巡视和水质监控，定期检查，确保各处理池能够正常蓄水，并及时清理各池，确保有足够容积处理来水；保证各类废水的处理设施都能正常运转发挥作用。</w:t>
            </w:r>
          </w:p>
          <w:p>
            <w:pPr>
              <w:adjustRightInd w:val="0"/>
              <w:snapToGrid w:val="0"/>
              <w:spacing w:line="360" w:lineRule="auto"/>
              <w:ind w:firstLine="480" w:firstLineChars="200"/>
              <w:rPr>
                <w:sz w:val="24"/>
              </w:rPr>
            </w:pPr>
            <w:r>
              <w:rPr>
                <w:rFonts w:hint="eastAsia"/>
                <w:sz w:val="24"/>
              </w:rPr>
              <w:t>（3）水库</w:t>
            </w:r>
            <w:r>
              <w:rPr>
                <w:sz w:val="24"/>
              </w:rPr>
              <w:t>溃坝</w:t>
            </w:r>
            <w:r>
              <w:rPr>
                <w:rFonts w:hint="eastAsia"/>
                <w:sz w:val="24"/>
              </w:rPr>
              <w:t>环境</w:t>
            </w:r>
            <w:r>
              <w:rPr>
                <w:sz w:val="24"/>
              </w:rPr>
              <w:t>风险防范措施</w:t>
            </w:r>
          </w:p>
          <w:p>
            <w:pPr>
              <w:adjustRightInd w:val="0"/>
              <w:snapToGrid w:val="0"/>
              <w:spacing w:line="360" w:lineRule="auto"/>
              <w:ind w:firstLine="480" w:firstLineChars="200"/>
              <w:rPr>
                <w:sz w:val="24"/>
              </w:rPr>
            </w:pPr>
            <w:r>
              <w:rPr>
                <w:rFonts w:hint="eastAsia"/>
                <w:sz w:val="24"/>
              </w:rPr>
              <w:t>①建议</w:t>
            </w:r>
            <w:r>
              <w:rPr>
                <w:sz w:val="24"/>
              </w:rPr>
              <w:t>建设单位</w:t>
            </w:r>
            <w:r>
              <w:rPr>
                <w:rFonts w:hint="eastAsia"/>
                <w:sz w:val="24"/>
              </w:rPr>
              <w:t>尽快</w:t>
            </w:r>
            <w:r>
              <w:rPr>
                <w:sz w:val="24"/>
              </w:rPr>
              <w:t>委托开展《</w:t>
            </w:r>
            <w:r>
              <w:rPr>
                <w:rFonts w:hint="eastAsia"/>
                <w:sz w:val="24"/>
              </w:rPr>
              <w:t>红山嘴</w:t>
            </w:r>
            <w:r>
              <w:rPr>
                <w:sz w:val="24"/>
              </w:rPr>
              <w:t>水库大坝安全管理应急预案》</w:t>
            </w:r>
            <w:r>
              <w:rPr>
                <w:rFonts w:hint="eastAsia"/>
                <w:sz w:val="24"/>
              </w:rPr>
              <w:t>和《红山嘴</w:t>
            </w:r>
            <w:r>
              <w:rPr>
                <w:sz w:val="24"/>
              </w:rPr>
              <w:t>水库大坝溃决洪水风险图报告</w:t>
            </w:r>
            <w:r>
              <w:rPr>
                <w:rFonts w:hint="eastAsia"/>
                <w:sz w:val="24"/>
              </w:rPr>
              <w:t>》。</w:t>
            </w:r>
          </w:p>
          <w:p>
            <w:pPr>
              <w:adjustRightInd w:val="0"/>
              <w:snapToGrid w:val="0"/>
              <w:spacing w:line="360" w:lineRule="auto"/>
              <w:ind w:firstLine="480" w:firstLineChars="200"/>
              <w:rPr>
                <w:rFonts w:ascii="宋体" w:hAnsi="宋体" w:cs="宋体" w:eastAsiaTheme="minorEastAsia"/>
                <w:sz w:val="24"/>
              </w:rPr>
            </w:pPr>
            <w:r>
              <w:rPr>
                <w:rFonts w:hint="eastAsia"/>
                <w:sz w:val="24"/>
              </w:rPr>
              <w:t>②</w:t>
            </w:r>
            <w:r>
              <w:rPr>
                <w:sz w:val="24"/>
              </w:rPr>
              <w:t>如果有特殊情况发生，要提前降低库水位和库容，让库水位低于警戒线</w:t>
            </w:r>
            <w:r>
              <w:rPr>
                <w:rFonts w:hint="eastAsia"/>
                <w:sz w:val="24"/>
              </w:rPr>
              <w:t>；</w:t>
            </w:r>
            <w:r>
              <w:rPr>
                <w:sz w:val="24"/>
              </w:rPr>
              <w:t>要快速、合理疏散可能会</w:t>
            </w:r>
            <w:r>
              <w:rPr>
                <w:rFonts w:hint="eastAsia"/>
                <w:sz w:val="24"/>
              </w:rPr>
              <w:t>受到</w:t>
            </w:r>
            <w:r>
              <w:rPr>
                <w:sz w:val="24"/>
              </w:rPr>
              <w:t>洪水威胁的</w:t>
            </w:r>
            <w:r>
              <w:rPr>
                <w:rFonts w:hint="eastAsia"/>
                <w:sz w:val="24"/>
              </w:rPr>
              <w:t>居民</w:t>
            </w:r>
            <w:r>
              <w:rPr>
                <w:sz w:val="24"/>
              </w:rPr>
              <w:t>，保证其安全；对大坝局部区域进行加固</w:t>
            </w:r>
            <w:r>
              <w:rPr>
                <w:rFonts w:hint="eastAsia"/>
                <w:sz w:val="24"/>
              </w:rPr>
              <w:t>，</w:t>
            </w:r>
            <w:r>
              <w:rPr>
                <w:sz w:val="24"/>
              </w:rPr>
              <w:t>提高大坝强度</w:t>
            </w:r>
            <w:r>
              <w:rPr>
                <w:rFonts w:hint="eastAsia"/>
                <w:sz w:val="24"/>
              </w:rPr>
              <w:t>；</w:t>
            </w:r>
            <w:r>
              <w:rPr>
                <w:sz w:val="24"/>
              </w:rPr>
              <w:t>在重要生活设施附近修建防护工程，保证其正常运行。</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78" w:hRule="atLeast"/>
          <w:jc w:val="center"/>
        </w:trPr>
        <w:tc>
          <w:tcPr>
            <w:tcW w:w="426" w:type="dxa"/>
            <w:tcMar>
              <w:left w:w="28" w:type="dxa"/>
              <w:right w:w="28" w:type="dxa"/>
            </w:tcMar>
            <w:vAlign w:val="center"/>
          </w:tcPr>
          <w:p>
            <w:pPr>
              <w:adjustRightInd w:val="0"/>
              <w:snapToGrid w:val="0"/>
              <w:jc w:val="center"/>
              <w:rPr>
                <w:rFonts w:ascii="宋体" w:hAnsi="宋体" w:cs="宋体"/>
                <w:bCs/>
                <w:spacing w:val="10"/>
                <w:szCs w:val="21"/>
              </w:rPr>
            </w:pPr>
            <w:r>
              <w:rPr>
                <w:rFonts w:hint="eastAsia" w:ascii="宋体" w:hAnsi="宋体" w:cs="宋体"/>
                <w:bCs/>
                <w:spacing w:val="10"/>
                <w:szCs w:val="21"/>
              </w:rPr>
              <w:t>运营期生态环境保护措施</w:t>
            </w:r>
          </w:p>
        </w:tc>
        <w:tc>
          <w:tcPr>
            <w:tcW w:w="9542" w:type="dxa"/>
          </w:tcPr>
          <w:p>
            <w:pPr>
              <w:pStyle w:val="18"/>
              <w:jc w:val="both"/>
            </w:pPr>
            <w:r>
              <w:rPr>
                <w:rFonts w:hint="eastAsia"/>
              </w:rPr>
              <w:t>一、</w:t>
            </w:r>
            <w:r>
              <w:t>地表水环境</w:t>
            </w:r>
            <w:r>
              <w:rPr>
                <w:rFonts w:hint="eastAsia"/>
              </w:rPr>
              <w:t>对策</w:t>
            </w:r>
            <w:r>
              <w:t>保护措施</w:t>
            </w:r>
          </w:p>
          <w:p>
            <w:pPr>
              <w:adjustRightInd w:val="0"/>
              <w:snapToGrid w:val="0"/>
              <w:spacing w:line="360" w:lineRule="auto"/>
              <w:ind w:firstLine="480" w:firstLineChars="200"/>
              <w:rPr>
                <w:sz w:val="24"/>
              </w:rPr>
            </w:pPr>
            <w:r>
              <w:rPr>
                <w:rFonts w:hint="eastAsia"/>
                <w:sz w:val="24"/>
              </w:rPr>
              <w:t>（1）水资源管理措施</w:t>
            </w:r>
          </w:p>
          <w:p>
            <w:pPr>
              <w:adjustRightInd w:val="0"/>
              <w:snapToGrid w:val="0"/>
              <w:spacing w:line="360" w:lineRule="auto"/>
              <w:ind w:firstLine="480" w:firstLineChars="200"/>
              <w:rPr>
                <w:sz w:val="24"/>
              </w:rPr>
            </w:pPr>
            <w:r>
              <w:rPr>
                <w:rFonts w:hint="eastAsia" w:ascii="宋体" w:hAnsi="宋体" w:cs="宋体"/>
                <w:sz w:val="24"/>
              </w:rPr>
              <w:t>①</w:t>
            </w:r>
            <w:r>
              <w:rPr>
                <w:rFonts w:hint="eastAsia"/>
                <w:sz w:val="24"/>
              </w:rPr>
              <w:t>东城河流域地表水、地下水水供水量应该严格遵从《昌吉州用水总量控制方案》的限额指标，进一步优化水资源配置和水资源开发利用率。在流域内从事水资源开发、利用、节约、保护、管理的单位和个人，应当遵守相关的水资源管理条例和规章制度。水资源调度实行用水总量控制、定额管理，以供定需，统一调度的原则。</w:t>
            </w:r>
          </w:p>
          <w:p>
            <w:pPr>
              <w:adjustRightInd w:val="0"/>
              <w:snapToGrid w:val="0"/>
              <w:spacing w:line="360" w:lineRule="auto"/>
              <w:ind w:firstLine="480" w:firstLineChars="200"/>
              <w:rPr>
                <w:sz w:val="24"/>
              </w:rPr>
            </w:pPr>
            <w:r>
              <w:rPr>
                <w:rFonts w:hint="eastAsia" w:ascii="宋体" w:hAnsi="宋体" w:cs="宋体"/>
                <w:sz w:val="24"/>
              </w:rPr>
              <w:t>②</w:t>
            </w:r>
            <w:r>
              <w:rPr>
                <w:sz w:val="24"/>
              </w:rPr>
              <w:t>严格按照水资源配置方案拟定的</w:t>
            </w:r>
            <w:r>
              <w:rPr>
                <w:rFonts w:hint="eastAsia"/>
                <w:sz w:val="24"/>
              </w:rPr>
              <w:t>东城灌区</w:t>
            </w:r>
            <w:r>
              <w:rPr>
                <w:sz w:val="24"/>
              </w:rPr>
              <w:t>供水量引水，采取有力措施加强引水口取水管理，避免超引水。</w:t>
            </w:r>
          </w:p>
          <w:p>
            <w:pPr>
              <w:adjustRightInd w:val="0"/>
              <w:snapToGrid w:val="0"/>
              <w:spacing w:line="360" w:lineRule="auto"/>
              <w:ind w:firstLine="480" w:firstLineChars="200"/>
              <w:rPr>
                <w:sz w:val="24"/>
              </w:rPr>
            </w:pPr>
            <w:r>
              <w:rPr>
                <w:sz w:val="24"/>
              </w:rPr>
              <w:t>（2）</w:t>
            </w:r>
            <w:r>
              <w:rPr>
                <w:rFonts w:hint="eastAsia"/>
                <w:sz w:val="24"/>
              </w:rPr>
              <w:t>红山嘴水库</w:t>
            </w:r>
            <w:r>
              <w:rPr>
                <w:sz w:val="24"/>
              </w:rPr>
              <w:t>运行期水质保护措施</w:t>
            </w:r>
          </w:p>
          <w:p>
            <w:pPr>
              <w:adjustRightInd w:val="0"/>
              <w:snapToGrid w:val="0"/>
              <w:spacing w:line="360" w:lineRule="auto"/>
              <w:ind w:firstLine="480" w:firstLineChars="200"/>
              <w:rPr>
                <w:sz w:val="24"/>
              </w:rPr>
            </w:pPr>
            <w:r>
              <w:rPr>
                <w:rFonts w:hint="eastAsia"/>
                <w:sz w:val="24"/>
              </w:rPr>
              <w:t>①</w:t>
            </w:r>
            <w:r>
              <w:rPr>
                <w:sz w:val="24"/>
              </w:rPr>
              <w:t>为保护</w:t>
            </w:r>
            <w:r>
              <w:rPr>
                <w:rFonts w:hint="eastAsia"/>
                <w:sz w:val="24"/>
              </w:rPr>
              <w:t>红山嘴水库</w:t>
            </w:r>
            <w:r>
              <w:rPr>
                <w:sz w:val="24"/>
              </w:rPr>
              <w:t>水质，须做好以下预防保护工作：在水库蓄水前必须对水库库底进行清理，按照《</w:t>
            </w:r>
            <w:r>
              <w:rPr>
                <w:rFonts w:hint="eastAsia"/>
                <w:sz w:val="24"/>
              </w:rPr>
              <w:t>水利水电</w:t>
            </w:r>
            <w:r>
              <w:rPr>
                <w:sz w:val="24"/>
              </w:rPr>
              <w:t>工程库底清理设计</w:t>
            </w:r>
            <w:r>
              <w:rPr>
                <w:rFonts w:hint="eastAsia"/>
                <w:sz w:val="24"/>
              </w:rPr>
              <w:t>规范</w:t>
            </w:r>
            <w:r>
              <w:rPr>
                <w:sz w:val="24"/>
              </w:rPr>
              <w:t>》(SL664-2014)规定执行，具体要求如下：对库区建筑物进行拆除；对拆除建筑物、构筑物后所残留的易漂浮废旧材料，以及残余的</w:t>
            </w:r>
            <w:r>
              <w:rPr>
                <w:rFonts w:hint="eastAsia"/>
                <w:sz w:val="24"/>
              </w:rPr>
              <w:t>植物</w:t>
            </w:r>
            <w:r>
              <w:rPr>
                <w:sz w:val="24"/>
              </w:rPr>
              <w:t>枝桠、枯木等在蓄水前应运出库外。</w:t>
            </w:r>
          </w:p>
          <w:p>
            <w:pPr>
              <w:adjustRightInd w:val="0"/>
              <w:snapToGrid w:val="0"/>
              <w:spacing w:line="360" w:lineRule="auto"/>
              <w:ind w:firstLine="480" w:firstLineChars="200"/>
              <w:rPr>
                <w:sz w:val="24"/>
              </w:rPr>
            </w:pPr>
            <w:r>
              <w:rPr>
                <w:rFonts w:hint="eastAsia"/>
                <w:sz w:val="24"/>
              </w:rPr>
              <w:t>②作为下游供水灌区的水源点，建议加强红山嘴水库库区水质管理，禁止以下活动：新建、扩建、改建与供水设施和保护水源无关的项目；向水体排放污染物、设置排污口；从事网箱养殖、垂钓、游泳、放养畜禽；挖沙、取土；设置油库。制定库区</w:t>
            </w:r>
            <w:r>
              <w:rPr>
                <w:sz w:val="24"/>
              </w:rPr>
              <w:t>水污染防治管理办法；做好宣传工作，提高全民水资源</w:t>
            </w:r>
            <w:r>
              <w:rPr>
                <w:rFonts w:hint="eastAsia"/>
                <w:sz w:val="24"/>
              </w:rPr>
              <w:t>、水环境</w:t>
            </w:r>
            <w:r>
              <w:rPr>
                <w:sz w:val="24"/>
              </w:rPr>
              <w:t>保护意识。</w:t>
            </w:r>
          </w:p>
          <w:p>
            <w:pPr>
              <w:adjustRightInd w:val="0"/>
              <w:snapToGrid w:val="0"/>
              <w:spacing w:line="360" w:lineRule="auto"/>
              <w:ind w:firstLine="480" w:firstLineChars="200"/>
              <w:rPr>
                <w:sz w:val="24"/>
              </w:rPr>
            </w:pPr>
            <w:r>
              <w:rPr>
                <w:rFonts w:hint="eastAsia"/>
                <w:sz w:val="24"/>
              </w:rPr>
              <w:t>（3）坝址</w:t>
            </w:r>
            <w:r>
              <w:rPr>
                <w:sz w:val="24"/>
              </w:rPr>
              <w:t>下游河段水质保护措施</w:t>
            </w:r>
          </w:p>
          <w:p>
            <w:pPr>
              <w:adjustRightInd w:val="0"/>
              <w:snapToGrid w:val="0"/>
              <w:spacing w:line="360" w:lineRule="auto"/>
              <w:ind w:firstLine="480" w:firstLineChars="200"/>
              <w:rPr>
                <w:sz w:val="24"/>
              </w:rPr>
            </w:pPr>
            <w:r>
              <w:rPr>
                <w:rFonts w:hint="eastAsia"/>
                <w:sz w:val="24"/>
              </w:rPr>
              <w:t>坝址下游</w:t>
            </w:r>
            <w:r>
              <w:rPr>
                <w:sz w:val="24"/>
              </w:rPr>
              <w:t>河段</w:t>
            </w:r>
            <w:r>
              <w:rPr>
                <w:rFonts w:hint="eastAsia"/>
                <w:sz w:val="24"/>
              </w:rPr>
              <w:t>面源污染主要来自农村生活污水及农药化肥的使用、分散式饲养牲畜废水等，对面源污染的防控主要从以下几方面着手：</w:t>
            </w:r>
          </w:p>
          <w:p>
            <w:pPr>
              <w:adjustRightInd w:val="0"/>
              <w:snapToGrid w:val="0"/>
              <w:spacing w:line="360" w:lineRule="auto"/>
              <w:ind w:firstLine="480" w:firstLineChars="200"/>
              <w:rPr>
                <w:sz w:val="24"/>
              </w:rPr>
            </w:pPr>
            <w:r>
              <w:rPr>
                <w:rFonts w:hint="eastAsia"/>
                <w:sz w:val="24"/>
              </w:rPr>
              <w:t>①大力推进村落环境综合整治，建立村落污水处理设施，有效控制农村生活污染；</w:t>
            </w:r>
          </w:p>
          <w:p>
            <w:pPr>
              <w:adjustRightInd w:val="0"/>
              <w:snapToGrid w:val="0"/>
              <w:spacing w:line="360" w:lineRule="auto"/>
              <w:ind w:firstLine="480" w:firstLineChars="200"/>
              <w:rPr>
                <w:sz w:val="24"/>
              </w:rPr>
            </w:pPr>
            <w:r>
              <w:rPr>
                <w:rFonts w:hint="eastAsia"/>
                <w:sz w:val="24"/>
              </w:rPr>
              <w:t>②加强农业管理，积极发展生态农业，调整农业结构和耕作方式，科学合理使用农药、化肥。加强水资源利用管理工作，限额控制用水量，减少农田排水量；</w:t>
            </w:r>
          </w:p>
          <w:p>
            <w:pPr>
              <w:adjustRightInd w:val="0"/>
              <w:snapToGrid w:val="0"/>
              <w:spacing w:line="360" w:lineRule="auto"/>
              <w:ind w:firstLine="480" w:firstLineChars="200"/>
              <w:rPr>
                <w:sz w:val="24"/>
              </w:rPr>
            </w:pPr>
            <w:r>
              <w:rPr>
                <w:rFonts w:hint="eastAsia"/>
                <w:sz w:val="24"/>
              </w:rPr>
              <w:t>③加强畜禽粪便处理和资源化利用，减少畜禽养殖污染。</w:t>
            </w:r>
          </w:p>
          <w:p>
            <w:pPr>
              <w:adjustRightInd w:val="0"/>
              <w:snapToGrid w:val="0"/>
              <w:spacing w:line="360" w:lineRule="auto"/>
              <w:ind w:firstLine="480" w:firstLineChars="200"/>
              <w:rPr>
                <w:sz w:val="24"/>
              </w:rPr>
            </w:pPr>
            <w:r>
              <w:rPr>
                <w:rFonts w:hint="eastAsia"/>
                <w:sz w:val="24"/>
              </w:rPr>
              <w:t>（</w:t>
            </w:r>
            <w:r>
              <w:rPr>
                <w:sz w:val="24"/>
              </w:rPr>
              <w:t>4</w:t>
            </w:r>
            <w:r>
              <w:rPr>
                <w:rFonts w:hint="eastAsia"/>
                <w:sz w:val="24"/>
              </w:rPr>
              <w:t>）生态</w:t>
            </w:r>
            <w:r>
              <w:rPr>
                <w:sz w:val="24"/>
              </w:rPr>
              <w:t>流量</w:t>
            </w:r>
            <w:r>
              <w:rPr>
                <w:rFonts w:hint="eastAsia"/>
                <w:sz w:val="24"/>
              </w:rPr>
              <w:t>保证</w:t>
            </w:r>
            <w:r>
              <w:rPr>
                <w:sz w:val="24"/>
              </w:rPr>
              <w:t>措施</w:t>
            </w:r>
          </w:p>
          <w:p>
            <w:pPr>
              <w:snapToGrid w:val="0"/>
              <w:spacing w:line="360" w:lineRule="auto"/>
              <w:ind w:firstLine="480" w:firstLineChars="200"/>
              <w:rPr>
                <w:kern w:val="0"/>
                <w:sz w:val="24"/>
              </w:rPr>
            </w:pPr>
            <w:bookmarkStart w:id="4" w:name="_Hlk141090761"/>
            <w:r>
              <w:rPr>
                <w:rFonts w:hint="eastAsia"/>
                <w:sz w:val="24"/>
              </w:rPr>
              <w:t>根据</w:t>
            </w:r>
            <w:r>
              <w:rPr>
                <w:sz w:val="24"/>
              </w:rPr>
              <w:t>主体设计，水库蓄水初期通过导流洞</w:t>
            </w:r>
            <w:r>
              <w:rPr>
                <w:rFonts w:hint="eastAsia"/>
                <w:sz w:val="24"/>
              </w:rPr>
              <w:t>下泄</w:t>
            </w:r>
            <w:r>
              <w:rPr>
                <w:sz w:val="24"/>
              </w:rPr>
              <w:t>生态流量</w:t>
            </w:r>
            <w:r>
              <w:rPr>
                <w:rFonts w:hint="eastAsia"/>
                <w:sz w:val="24"/>
              </w:rPr>
              <w:t>；</w:t>
            </w:r>
            <w:r>
              <w:rPr>
                <w:sz w:val="24"/>
              </w:rPr>
              <w:t>运行期采用导流</w:t>
            </w:r>
            <w:r>
              <w:rPr>
                <w:rFonts w:hint="eastAsia"/>
                <w:sz w:val="24"/>
              </w:rPr>
              <w:t>放水</w:t>
            </w:r>
            <w:r>
              <w:rPr>
                <w:sz w:val="24"/>
              </w:rPr>
              <w:t>冲沙涵洞</w:t>
            </w:r>
            <w:r>
              <w:rPr>
                <w:rFonts w:hint="eastAsia"/>
                <w:sz w:val="24"/>
              </w:rPr>
              <w:t>上</w:t>
            </w:r>
            <w:r>
              <w:rPr>
                <w:sz w:val="24"/>
              </w:rPr>
              <w:t>设置的</w:t>
            </w:r>
            <w:r>
              <w:rPr>
                <w:rFonts w:hint="eastAsia"/>
                <w:sz w:val="24"/>
              </w:rPr>
              <w:t>人畜、工业供水及生态放水管后设置的分水管下泄</w:t>
            </w:r>
            <w:r>
              <w:rPr>
                <w:sz w:val="24"/>
              </w:rPr>
              <w:t>生态流量。</w:t>
            </w:r>
            <w:bookmarkEnd w:id="4"/>
            <w:r>
              <w:rPr>
                <w:sz w:val="24"/>
              </w:rPr>
              <w:t>在控制断面布设在线监测系统进行实时在线监控，保证坝址断面生态流量下泄，防止超引水。开展长期跟踪监测，并根据监测效果进行评估，实时调整水库调度运行或减少灌区引水量，以确保生态流量能够足额下泄。</w:t>
            </w:r>
          </w:p>
          <w:p>
            <w:pPr>
              <w:adjustRightInd w:val="0"/>
              <w:snapToGrid w:val="0"/>
              <w:spacing w:line="360" w:lineRule="auto"/>
              <w:ind w:firstLine="480" w:firstLineChars="200"/>
              <w:rPr>
                <w:sz w:val="24"/>
              </w:rPr>
            </w:pPr>
            <w:r>
              <w:rPr>
                <w:rFonts w:hint="eastAsia"/>
                <w:sz w:val="24"/>
              </w:rPr>
              <w:t>（</w:t>
            </w:r>
            <w:r>
              <w:rPr>
                <w:sz w:val="24"/>
              </w:rPr>
              <w:t>5</w:t>
            </w:r>
            <w:r>
              <w:rPr>
                <w:rFonts w:hint="eastAsia"/>
                <w:sz w:val="24"/>
              </w:rPr>
              <w:t>）运行管理站污水处理措施</w:t>
            </w:r>
          </w:p>
          <w:p>
            <w:pPr>
              <w:adjustRightInd w:val="0"/>
              <w:snapToGrid w:val="0"/>
              <w:spacing w:line="360" w:lineRule="auto"/>
              <w:ind w:firstLine="480" w:firstLineChars="200"/>
              <w:rPr>
                <w:sz w:val="24"/>
              </w:rPr>
            </w:pPr>
            <w:r>
              <w:rPr>
                <w:rFonts w:hint="eastAsia"/>
                <w:sz w:val="24"/>
              </w:rPr>
              <w:t>①污染物排放</w:t>
            </w:r>
            <w:r>
              <w:rPr>
                <w:sz w:val="24"/>
              </w:rPr>
              <w:t>概况</w:t>
            </w:r>
          </w:p>
          <w:p>
            <w:pPr>
              <w:adjustRightInd w:val="0"/>
              <w:snapToGrid w:val="0"/>
              <w:spacing w:line="360" w:lineRule="auto"/>
              <w:ind w:firstLine="480" w:firstLineChars="200"/>
              <w:rPr>
                <w:sz w:val="24"/>
              </w:rPr>
            </w:pPr>
            <w:r>
              <w:rPr>
                <w:sz w:val="24"/>
              </w:rPr>
              <w:t>工程运行期共设置1处管理站，管理站高峰状况下（按满员计算）排放污水约0.72m</w:t>
            </w:r>
            <w:r>
              <w:rPr>
                <w:sz w:val="24"/>
                <w:vertAlign w:val="superscript"/>
              </w:rPr>
              <w:t>3</w:t>
            </w:r>
            <w:r>
              <w:rPr>
                <w:sz w:val="24"/>
              </w:rPr>
              <w:t>/d。</w:t>
            </w:r>
          </w:p>
          <w:p>
            <w:pPr>
              <w:pStyle w:val="63"/>
              <w:ind w:firstLine="480"/>
              <w:rPr>
                <w:rFonts w:ascii="Times New Roman" w:hAnsi="Times New Roman"/>
              </w:rPr>
            </w:pPr>
            <w:r>
              <w:rPr>
                <w:rFonts w:hint="eastAsia"/>
                <w:lang w:eastAsia="zh-CN"/>
              </w:rPr>
              <w:t>②</w:t>
            </w:r>
            <w:r>
              <w:rPr>
                <w:rFonts w:ascii="Times New Roman" w:hAnsi="Times New Roman"/>
              </w:rPr>
              <w:t>处理目标</w:t>
            </w:r>
          </w:p>
          <w:p>
            <w:pPr>
              <w:spacing w:line="360" w:lineRule="auto"/>
              <w:ind w:firstLine="480"/>
              <w:rPr>
                <w:sz w:val="24"/>
              </w:rPr>
            </w:pPr>
            <w:r>
              <w:rPr>
                <w:rFonts w:hint="eastAsia"/>
                <w:sz w:val="24"/>
              </w:rPr>
              <w:t>运行期生活污水</w:t>
            </w:r>
            <w:r>
              <w:rPr>
                <w:sz w:val="24"/>
              </w:rPr>
              <w:t>处理后</w:t>
            </w:r>
            <w:r>
              <w:rPr>
                <w:rFonts w:hint="eastAsia"/>
                <w:sz w:val="24"/>
              </w:rPr>
              <w:t>的水质</w:t>
            </w:r>
            <w:r>
              <w:rPr>
                <w:sz w:val="24"/>
              </w:rPr>
              <w:t>参照</w:t>
            </w:r>
            <w:r>
              <w:rPr>
                <w:rFonts w:hint="eastAsia"/>
                <w:sz w:val="24"/>
              </w:rPr>
              <w:t>新疆《农村生活污水处理排放标准》（D</w:t>
            </w:r>
            <w:r>
              <w:rPr>
                <w:sz w:val="24"/>
              </w:rPr>
              <w:t>B654275-2019</w:t>
            </w:r>
            <w:r>
              <w:rPr>
                <w:rFonts w:hint="eastAsia"/>
                <w:sz w:val="24"/>
              </w:rPr>
              <w:t>）中用于生态恢复治理的出水水质控制B级标准，出水用于管理站内绿化、周边荒漠灌溉，冬储夏灌。</w:t>
            </w:r>
          </w:p>
          <w:p>
            <w:pPr>
              <w:pStyle w:val="63"/>
              <w:ind w:firstLine="480"/>
              <w:rPr>
                <w:rFonts w:ascii="Times New Roman" w:hAnsi="Times New Roman"/>
              </w:rPr>
            </w:pPr>
            <w:r>
              <w:rPr>
                <w:rFonts w:hint="eastAsia"/>
                <w:lang w:eastAsia="zh-CN"/>
              </w:rPr>
              <w:t>③</w:t>
            </w:r>
            <w:r>
              <w:rPr>
                <w:rFonts w:ascii="Times New Roman" w:hAnsi="Times New Roman"/>
              </w:rPr>
              <w:t>处理工艺及设计参数</w:t>
            </w:r>
          </w:p>
          <w:p>
            <w:pPr>
              <w:spacing w:line="360" w:lineRule="auto"/>
              <w:ind w:firstLine="480"/>
              <w:rPr>
                <w:sz w:val="24"/>
              </w:rPr>
            </w:pPr>
            <w:r>
              <w:rPr>
                <w:rFonts w:hint="eastAsia"/>
                <w:sz w:val="24"/>
                <w:lang w:val="zh-CN"/>
              </w:rPr>
              <w:t>管理站</w:t>
            </w:r>
            <w:r>
              <w:rPr>
                <w:sz w:val="24"/>
              </w:rPr>
              <w:t>生活污水采用化粪池+一体化污水处理设备进行处理。</w:t>
            </w:r>
            <w:r>
              <w:rPr>
                <w:rFonts w:hint="eastAsia"/>
                <w:sz w:val="24"/>
              </w:rPr>
              <w:t>处理工艺</w:t>
            </w:r>
            <w:r>
              <w:rPr>
                <w:sz w:val="24"/>
              </w:rPr>
              <w:t>及设计参数详见施工期临时生活区生产污水处理</w:t>
            </w:r>
            <w:r>
              <w:rPr>
                <w:rFonts w:hint="eastAsia"/>
                <w:sz w:val="24"/>
              </w:rPr>
              <w:t>措施</w:t>
            </w:r>
            <w:r>
              <w:rPr>
                <w:sz w:val="24"/>
              </w:rPr>
              <w:t>。</w:t>
            </w:r>
          </w:p>
          <w:p>
            <w:pPr>
              <w:spacing w:line="360" w:lineRule="auto"/>
              <w:ind w:firstLine="480"/>
              <w:rPr>
                <w:sz w:val="24"/>
              </w:rPr>
            </w:pPr>
            <w:r>
              <w:rPr>
                <w:rFonts w:hint="eastAsia" w:ascii="宋体" w:hAnsi="宋体" w:cs="宋体"/>
                <w:sz w:val="24"/>
              </w:rPr>
              <w:t>④</w:t>
            </w:r>
            <w:r>
              <w:rPr>
                <w:sz w:val="24"/>
              </w:rPr>
              <w:t>主要构筑物</w:t>
            </w:r>
          </w:p>
          <w:p>
            <w:pPr>
              <w:spacing w:line="360" w:lineRule="auto"/>
              <w:ind w:firstLine="480"/>
              <w:rPr>
                <w:sz w:val="24"/>
              </w:rPr>
            </w:pPr>
            <w:r>
              <w:rPr>
                <w:sz w:val="24"/>
              </w:rPr>
              <w:t>化粪池设计参照《新疆工程建设标准设计 2012系列设备（给排水）标准设计图集 新12S3 室外排水工程》（BT 2013），蓄水池设计参照《矩形钢筋混凝土蓄水池》（05S804）。本工程生活污水主要处理构筑物见表1。</w:t>
            </w:r>
          </w:p>
          <w:p>
            <w:pPr>
              <w:jc w:val="left"/>
              <w:rPr>
                <w:rFonts w:ascii="黑体" w:hAnsi="黑体" w:eastAsia="黑体"/>
                <w:sz w:val="24"/>
              </w:rPr>
            </w:pPr>
            <w:r>
              <w:rPr>
                <w:rFonts w:ascii="黑体" w:hAnsi="黑体" w:eastAsia="黑体"/>
                <w:sz w:val="24"/>
              </w:rPr>
              <w:t>表</w:t>
            </w:r>
            <w:r>
              <w:rPr>
                <w:rFonts w:eastAsia="黑体"/>
                <w:sz w:val="24"/>
              </w:rPr>
              <w:t>1</w:t>
            </w:r>
            <w:r>
              <w:rPr>
                <w:rFonts w:ascii="黑体" w:hAnsi="黑体" w:eastAsia="黑体"/>
                <w:sz w:val="24"/>
              </w:rPr>
              <w:t xml:space="preserve">                          生活污水处理设施主要构筑物一览表</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4"/>
              <w:gridCol w:w="1232"/>
              <w:gridCol w:w="3192"/>
              <w:gridCol w:w="1377"/>
              <w:gridCol w:w="1174"/>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4" w:type="dxa"/>
                  <w:vAlign w:val="center"/>
                </w:tcPr>
                <w:p>
                  <w:pPr>
                    <w:autoSpaceDE w:val="0"/>
                    <w:autoSpaceDN w:val="0"/>
                    <w:adjustRightInd w:val="0"/>
                    <w:jc w:val="center"/>
                    <w:rPr>
                      <w:szCs w:val="21"/>
                    </w:rPr>
                  </w:pPr>
                  <w:r>
                    <w:rPr>
                      <w:szCs w:val="21"/>
                    </w:rPr>
                    <w:t>工区</w:t>
                  </w:r>
                </w:p>
              </w:tc>
              <w:tc>
                <w:tcPr>
                  <w:tcW w:w="1232" w:type="dxa"/>
                  <w:vAlign w:val="center"/>
                </w:tcPr>
                <w:p>
                  <w:pPr>
                    <w:autoSpaceDE w:val="0"/>
                    <w:autoSpaceDN w:val="0"/>
                    <w:adjustRightInd w:val="0"/>
                    <w:jc w:val="center"/>
                    <w:rPr>
                      <w:szCs w:val="21"/>
                    </w:rPr>
                  </w:pPr>
                  <w:r>
                    <w:rPr>
                      <w:szCs w:val="21"/>
                    </w:rPr>
                    <w:t>人数</w:t>
                  </w:r>
                </w:p>
              </w:tc>
              <w:tc>
                <w:tcPr>
                  <w:tcW w:w="3192" w:type="dxa"/>
                  <w:vAlign w:val="center"/>
                </w:tcPr>
                <w:p>
                  <w:pPr>
                    <w:autoSpaceDE w:val="0"/>
                    <w:autoSpaceDN w:val="0"/>
                    <w:adjustRightInd w:val="0"/>
                    <w:jc w:val="center"/>
                    <w:rPr>
                      <w:szCs w:val="21"/>
                    </w:rPr>
                  </w:pPr>
                  <w:r>
                    <w:rPr>
                      <w:szCs w:val="21"/>
                    </w:rPr>
                    <w:t>设备名称</w:t>
                  </w:r>
                </w:p>
              </w:tc>
              <w:tc>
                <w:tcPr>
                  <w:tcW w:w="1377" w:type="dxa"/>
                  <w:vAlign w:val="center"/>
                </w:tcPr>
                <w:p>
                  <w:pPr>
                    <w:autoSpaceDE w:val="0"/>
                    <w:autoSpaceDN w:val="0"/>
                    <w:adjustRightInd w:val="0"/>
                    <w:jc w:val="center"/>
                    <w:rPr>
                      <w:szCs w:val="21"/>
                    </w:rPr>
                  </w:pPr>
                  <w:r>
                    <w:rPr>
                      <w:szCs w:val="21"/>
                    </w:rPr>
                    <w:t>规格</w:t>
                  </w:r>
                </w:p>
              </w:tc>
              <w:tc>
                <w:tcPr>
                  <w:tcW w:w="1174" w:type="dxa"/>
                  <w:vAlign w:val="center"/>
                </w:tcPr>
                <w:p>
                  <w:pPr>
                    <w:autoSpaceDE w:val="0"/>
                    <w:autoSpaceDN w:val="0"/>
                    <w:adjustRightInd w:val="0"/>
                    <w:jc w:val="center"/>
                    <w:rPr>
                      <w:szCs w:val="21"/>
                    </w:rPr>
                  </w:pPr>
                  <w:r>
                    <w:rPr>
                      <w:szCs w:val="21"/>
                    </w:rPr>
                    <w:t>单位</w:t>
                  </w:r>
                </w:p>
              </w:tc>
              <w:tc>
                <w:tcPr>
                  <w:tcW w:w="857" w:type="dxa"/>
                  <w:vAlign w:val="center"/>
                </w:tcPr>
                <w:p>
                  <w:pPr>
                    <w:autoSpaceDE w:val="0"/>
                    <w:autoSpaceDN w:val="0"/>
                    <w:adjustRightInd w:val="0"/>
                    <w:jc w:val="center"/>
                    <w:rPr>
                      <w:szCs w:val="21"/>
                    </w:rPr>
                  </w:pPr>
                  <w:r>
                    <w:rPr>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4" w:type="dxa"/>
                  <w:vMerge w:val="restart"/>
                  <w:vAlign w:val="center"/>
                </w:tcPr>
                <w:p>
                  <w:pPr>
                    <w:autoSpaceDE w:val="0"/>
                    <w:autoSpaceDN w:val="0"/>
                    <w:adjustRightInd w:val="0"/>
                    <w:jc w:val="center"/>
                    <w:rPr>
                      <w:szCs w:val="21"/>
                    </w:rPr>
                  </w:pPr>
                  <w:r>
                    <w:rPr>
                      <w:szCs w:val="21"/>
                    </w:rPr>
                    <w:t>管理区</w:t>
                  </w:r>
                </w:p>
              </w:tc>
              <w:tc>
                <w:tcPr>
                  <w:tcW w:w="1232" w:type="dxa"/>
                  <w:vMerge w:val="restart"/>
                  <w:vAlign w:val="center"/>
                </w:tcPr>
                <w:p>
                  <w:pPr>
                    <w:autoSpaceDE w:val="0"/>
                    <w:autoSpaceDN w:val="0"/>
                    <w:adjustRightInd w:val="0"/>
                    <w:jc w:val="center"/>
                    <w:rPr>
                      <w:szCs w:val="21"/>
                    </w:rPr>
                  </w:pPr>
                  <w:r>
                    <w:rPr>
                      <w:szCs w:val="21"/>
                    </w:rPr>
                    <w:t>9</w:t>
                  </w:r>
                </w:p>
              </w:tc>
              <w:tc>
                <w:tcPr>
                  <w:tcW w:w="3192" w:type="dxa"/>
                  <w:vAlign w:val="center"/>
                </w:tcPr>
                <w:p>
                  <w:pPr>
                    <w:autoSpaceDE w:val="0"/>
                    <w:autoSpaceDN w:val="0"/>
                    <w:adjustRightInd w:val="0"/>
                    <w:jc w:val="center"/>
                    <w:rPr>
                      <w:szCs w:val="21"/>
                    </w:rPr>
                  </w:pPr>
                  <w:r>
                    <w:rPr>
                      <w:szCs w:val="21"/>
                    </w:rPr>
                    <w:t>1型钢筋混凝土化粪池</w:t>
                  </w:r>
                </w:p>
              </w:tc>
              <w:tc>
                <w:tcPr>
                  <w:tcW w:w="1377" w:type="dxa"/>
                  <w:vAlign w:val="center"/>
                </w:tcPr>
                <w:p>
                  <w:pPr>
                    <w:autoSpaceDE w:val="0"/>
                    <w:autoSpaceDN w:val="0"/>
                    <w:adjustRightInd w:val="0"/>
                    <w:jc w:val="center"/>
                    <w:rPr>
                      <w:szCs w:val="21"/>
                    </w:rPr>
                  </w:pPr>
                  <w:r>
                    <w:rPr>
                      <w:szCs w:val="21"/>
                    </w:rPr>
                    <w:t>3.75m</w:t>
                  </w:r>
                  <w:r>
                    <w:rPr>
                      <w:szCs w:val="21"/>
                      <w:vertAlign w:val="superscript"/>
                    </w:rPr>
                    <w:t>3</w:t>
                  </w:r>
                </w:p>
              </w:tc>
              <w:tc>
                <w:tcPr>
                  <w:tcW w:w="1174" w:type="dxa"/>
                  <w:vAlign w:val="center"/>
                </w:tcPr>
                <w:p>
                  <w:pPr>
                    <w:autoSpaceDE w:val="0"/>
                    <w:autoSpaceDN w:val="0"/>
                    <w:adjustRightInd w:val="0"/>
                    <w:jc w:val="center"/>
                    <w:rPr>
                      <w:szCs w:val="21"/>
                    </w:rPr>
                  </w:pPr>
                  <w:r>
                    <w:rPr>
                      <w:szCs w:val="21"/>
                    </w:rPr>
                    <w:t>座</w:t>
                  </w:r>
                </w:p>
              </w:tc>
              <w:tc>
                <w:tcPr>
                  <w:tcW w:w="857" w:type="dxa"/>
                  <w:vAlign w:val="center"/>
                </w:tcPr>
                <w:p>
                  <w:pPr>
                    <w:autoSpaceDE w:val="0"/>
                    <w:autoSpaceDN w:val="0"/>
                    <w:adjustRightInd w:val="0"/>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4" w:type="dxa"/>
                  <w:vMerge w:val="continue"/>
                  <w:vAlign w:val="center"/>
                </w:tcPr>
                <w:p>
                  <w:pPr>
                    <w:autoSpaceDE w:val="0"/>
                    <w:autoSpaceDN w:val="0"/>
                    <w:adjustRightInd w:val="0"/>
                    <w:jc w:val="center"/>
                    <w:rPr>
                      <w:szCs w:val="21"/>
                    </w:rPr>
                  </w:pPr>
                </w:p>
              </w:tc>
              <w:tc>
                <w:tcPr>
                  <w:tcW w:w="1232" w:type="dxa"/>
                  <w:vMerge w:val="continue"/>
                  <w:vAlign w:val="center"/>
                </w:tcPr>
                <w:p>
                  <w:pPr>
                    <w:autoSpaceDE w:val="0"/>
                    <w:autoSpaceDN w:val="0"/>
                    <w:adjustRightInd w:val="0"/>
                    <w:jc w:val="center"/>
                    <w:rPr>
                      <w:szCs w:val="21"/>
                    </w:rPr>
                  </w:pPr>
                </w:p>
              </w:tc>
              <w:tc>
                <w:tcPr>
                  <w:tcW w:w="3192" w:type="dxa"/>
                  <w:vAlign w:val="center"/>
                </w:tcPr>
                <w:p>
                  <w:pPr>
                    <w:autoSpaceDE w:val="0"/>
                    <w:autoSpaceDN w:val="0"/>
                    <w:adjustRightInd w:val="0"/>
                    <w:jc w:val="center"/>
                    <w:rPr>
                      <w:szCs w:val="21"/>
                    </w:rPr>
                  </w:pPr>
                  <w:r>
                    <w:rPr>
                      <w:szCs w:val="21"/>
                    </w:rPr>
                    <w:t>一体化污水处理设备</w:t>
                  </w:r>
                </w:p>
              </w:tc>
              <w:tc>
                <w:tcPr>
                  <w:tcW w:w="1377" w:type="dxa"/>
                  <w:vAlign w:val="center"/>
                </w:tcPr>
                <w:p>
                  <w:pPr>
                    <w:autoSpaceDE w:val="0"/>
                    <w:autoSpaceDN w:val="0"/>
                    <w:adjustRightInd w:val="0"/>
                    <w:jc w:val="center"/>
                    <w:rPr>
                      <w:szCs w:val="21"/>
                    </w:rPr>
                  </w:pPr>
                  <w:r>
                    <w:rPr>
                      <w:szCs w:val="21"/>
                    </w:rPr>
                    <w:t>2.5m</w:t>
                  </w:r>
                  <w:r>
                    <w:rPr>
                      <w:szCs w:val="21"/>
                      <w:vertAlign w:val="superscript"/>
                    </w:rPr>
                    <w:t>3</w:t>
                  </w:r>
                  <w:r>
                    <w:rPr>
                      <w:szCs w:val="21"/>
                    </w:rPr>
                    <w:t>/d</w:t>
                  </w:r>
                </w:p>
              </w:tc>
              <w:tc>
                <w:tcPr>
                  <w:tcW w:w="1174" w:type="dxa"/>
                  <w:vAlign w:val="center"/>
                </w:tcPr>
                <w:p>
                  <w:pPr>
                    <w:autoSpaceDE w:val="0"/>
                    <w:autoSpaceDN w:val="0"/>
                    <w:adjustRightInd w:val="0"/>
                    <w:jc w:val="center"/>
                    <w:rPr>
                      <w:szCs w:val="21"/>
                    </w:rPr>
                  </w:pPr>
                  <w:r>
                    <w:rPr>
                      <w:szCs w:val="21"/>
                    </w:rPr>
                    <w:t>套</w:t>
                  </w:r>
                </w:p>
              </w:tc>
              <w:tc>
                <w:tcPr>
                  <w:tcW w:w="857" w:type="dxa"/>
                  <w:vAlign w:val="center"/>
                </w:tcPr>
                <w:p>
                  <w:pPr>
                    <w:autoSpaceDE w:val="0"/>
                    <w:autoSpaceDN w:val="0"/>
                    <w:adjustRightInd w:val="0"/>
                    <w:jc w:val="center"/>
                    <w:rPr>
                      <w:szCs w:val="21"/>
                    </w:rPr>
                  </w:pPr>
                  <w:r>
                    <w:rPr>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484" w:type="dxa"/>
                  <w:vMerge w:val="continue"/>
                  <w:vAlign w:val="center"/>
                </w:tcPr>
                <w:p>
                  <w:pPr>
                    <w:autoSpaceDE w:val="0"/>
                    <w:autoSpaceDN w:val="0"/>
                    <w:adjustRightInd w:val="0"/>
                    <w:jc w:val="center"/>
                    <w:rPr>
                      <w:szCs w:val="21"/>
                    </w:rPr>
                  </w:pPr>
                </w:p>
              </w:tc>
              <w:tc>
                <w:tcPr>
                  <w:tcW w:w="1232" w:type="dxa"/>
                  <w:vMerge w:val="continue"/>
                  <w:vAlign w:val="center"/>
                </w:tcPr>
                <w:p>
                  <w:pPr>
                    <w:autoSpaceDE w:val="0"/>
                    <w:autoSpaceDN w:val="0"/>
                    <w:adjustRightInd w:val="0"/>
                    <w:jc w:val="center"/>
                    <w:rPr>
                      <w:szCs w:val="21"/>
                    </w:rPr>
                  </w:pPr>
                </w:p>
              </w:tc>
              <w:tc>
                <w:tcPr>
                  <w:tcW w:w="3192" w:type="dxa"/>
                  <w:vAlign w:val="center"/>
                </w:tcPr>
                <w:p>
                  <w:pPr>
                    <w:autoSpaceDE w:val="0"/>
                    <w:autoSpaceDN w:val="0"/>
                    <w:adjustRightInd w:val="0"/>
                    <w:jc w:val="center"/>
                    <w:rPr>
                      <w:szCs w:val="21"/>
                    </w:rPr>
                  </w:pPr>
                  <w:r>
                    <w:rPr>
                      <w:szCs w:val="21"/>
                    </w:rPr>
                    <w:t>钢筋混凝土蓄水池</w:t>
                  </w:r>
                </w:p>
              </w:tc>
              <w:tc>
                <w:tcPr>
                  <w:tcW w:w="1377" w:type="dxa"/>
                  <w:vAlign w:val="center"/>
                </w:tcPr>
                <w:p>
                  <w:pPr>
                    <w:autoSpaceDE w:val="0"/>
                    <w:autoSpaceDN w:val="0"/>
                    <w:adjustRightInd w:val="0"/>
                    <w:jc w:val="center"/>
                    <w:rPr>
                      <w:szCs w:val="21"/>
                    </w:rPr>
                  </w:pPr>
                  <w:r>
                    <w:rPr>
                      <w:szCs w:val="21"/>
                    </w:rPr>
                    <w:t>100m</w:t>
                  </w:r>
                  <w:r>
                    <w:rPr>
                      <w:szCs w:val="21"/>
                      <w:vertAlign w:val="superscript"/>
                    </w:rPr>
                    <w:t>3</w:t>
                  </w:r>
                </w:p>
              </w:tc>
              <w:tc>
                <w:tcPr>
                  <w:tcW w:w="1174" w:type="dxa"/>
                  <w:vAlign w:val="center"/>
                </w:tcPr>
                <w:p>
                  <w:pPr>
                    <w:autoSpaceDE w:val="0"/>
                    <w:autoSpaceDN w:val="0"/>
                    <w:adjustRightInd w:val="0"/>
                    <w:jc w:val="center"/>
                    <w:rPr>
                      <w:szCs w:val="21"/>
                    </w:rPr>
                  </w:pPr>
                  <w:r>
                    <w:rPr>
                      <w:szCs w:val="21"/>
                    </w:rPr>
                    <w:t>座</w:t>
                  </w:r>
                </w:p>
              </w:tc>
              <w:tc>
                <w:tcPr>
                  <w:tcW w:w="857" w:type="dxa"/>
                  <w:vAlign w:val="center"/>
                </w:tcPr>
                <w:p>
                  <w:pPr>
                    <w:autoSpaceDE w:val="0"/>
                    <w:autoSpaceDN w:val="0"/>
                    <w:adjustRightInd w:val="0"/>
                    <w:jc w:val="center"/>
                    <w:rPr>
                      <w:szCs w:val="21"/>
                    </w:rPr>
                  </w:pPr>
                  <w:r>
                    <w:rPr>
                      <w:szCs w:val="21"/>
                    </w:rPr>
                    <w:t>1</w:t>
                  </w:r>
                </w:p>
              </w:tc>
            </w:tr>
          </w:tbl>
          <w:p>
            <w:pPr>
              <w:pStyle w:val="18"/>
              <w:jc w:val="both"/>
            </w:pPr>
            <w:r>
              <w:rPr>
                <w:rFonts w:hint="eastAsia"/>
              </w:rPr>
              <w:t>二、陆生</w:t>
            </w:r>
            <w:r>
              <w:t>生态</w:t>
            </w:r>
            <w:r>
              <w:rPr>
                <w:rFonts w:hint="eastAsia"/>
              </w:rPr>
              <w:t>环境</w:t>
            </w:r>
            <w:r>
              <w:t>保护措施</w:t>
            </w:r>
          </w:p>
          <w:p>
            <w:pPr>
              <w:adjustRightInd w:val="0"/>
              <w:snapToGrid w:val="0"/>
              <w:spacing w:line="360" w:lineRule="auto"/>
              <w:ind w:firstLine="480" w:firstLineChars="200"/>
              <w:rPr>
                <w:sz w:val="24"/>
              </w:rPr>
            </w:pPr>
            <w:r>
              <w:rPr>
                <w:rFonts w:hint="eastAsia"/>
                <w:sz w:val="24"/>
              </w:rPr>
              <w:t>①</w:t>
            </w:r>
            <w:r>
              <w:rPr>
                <w:sz w:val="24"/>
              </w:rPr>
              <w:t>加强对</w:t>
            </w:r>
            <w:r>
              <w:rPr>
                <w:rFonts w:hint="eastAsia"/>
                <w:sz w:val="24"/>
              </w:rPr>
              <w:t>改复建道路</w:t>
            </w:r>
            <w:r>
              <w:rPr>
                <w:sz w:val="24"/>
              </w:rPr>
              <w:t>的管理，在道路</w:t>
            </w:r>
            <w:r>
              <w:rPr>
                <w:rFonts w:hint="eastAsia"/>
                <w:sz w:val="24"/>
              </w:rPr>
              <w:t>上设置</w:t>
            </w:r>
            <w:r>
              <w:rPr>
                <w:sz w:val="24"/>
              </w:rPr>
              <w:t>车辆限速牌、野生动物标识牌等。</w:t>
            </w:r>
          </w:p>
          <w:p>
            <w:pPr>
              <w:adjustRightInd w:val="0"/>
              <w:snapToGrid w:val="0"/>
              <w:spacing w:line="360" w:lineRule="auto"/>
              <w:ind w:firstLine="480" w:firstLineChars="200"/>
              <w:rPr>
                <w:sz w:val="24"/>
              </w:rPr>
            </w:pPr>
            <w:r>
              <w:rPr>
                <w:rFonts w:hint="eastAsia"/>
                <w:sz w:val="24"/>
              </w:rPr>
              <w:t>②</w:t>
            </w:r>
            <w:r>
              <w:rPr>
                <w:sz w:val="24"/>
              </w:rPr>
              <w:t>在工程管理区等区域结合水保措施采取绿化措施美化环境，提高区域植被覆盖率。</w:t>
            </w:r>
          </w:p>
          <w:p>
            <w:pPr>
              <w:adjustRightInd w:val="0"/>
              <w:snapToGrid w:val="0"/>
              <w:spacing w:line="360" w:lineRule="auto"/>
              <w:ind w:firstLine="480" w:firstLineChars="200"/>
              <w:rPr>
                <w:sz w:val="24"/>
              </w:rPr>
            </w:pPr>
            <w:r>
              <w:rPr>
                <w:rFonts w:hint="eastAsia"/>
                <w:sz w:val="24"/>
              </w:rPr>
              <w:t>③</w:t>
            </w:r>
            <w:r>
              <w:rPr>
                <w:sz w:val="24"/>
              </w:rPr>
              <w:t>在运行管理区设置警示牌，同时广泛宣传野生动物保护的各种法律法规，提高运行管理人员的野生动物保护意识，形成人人保护野生动物资源的良好风气。</w:t>
            </w:r>
          </w:p>
          <w:p>
            <w:pPr>
              <w:adjustRightInd w:val="0"/>
              <w:snapToGrid w:val="0"/>
              <w:spacing w:line="360" w:lineRule="auto"/>
              <w:ind w:firstLine="480" w:firstLineChars="200"/>
              <w:rPr>
                <w:sz w:val="24"/>
              </w:rPr>
            </w:pPr>
            <w:r>
              <w:rPr>
                <w:rFonts w:hint="eastAsia"/>
                <w:sz w:val="24"/>
              </w:rPr>
              <w:t>④结合水土保持措施，在建设区域采取土地平整及植被措施，结合立地条件种植该区域的原生种或适生种，提高区域植被覆盖度，减少沙区面积，控制周边沙源的流动和产生。</w:t>
            </w:r>
          </w:p>
          <w:p>
            <w:pPr>
              <w:pStyle w:val="18"/>
              <w:jc w:val="both"/>
            </w:pPr>
            <w:r>
              <w:rPr>
                <w:rFonts w:hint="eastAsia"/>
              </w:rPr>
              <w:t>三、水生生态</w:t>
            </w:r>
            <w:r>
              <w:t>保护措施</w:t>
            </w:r>
          </w:p>
          <w:p>
            <w:pPr>
              <w:adjustRightInd w:val="0"/>
              <w:snapToGrid w:val="0"/>
              <w:spacing w:line="360" w:lineRule="auto"/>
              <w:ind w:firstLine="480" w:firstLineChars="200"/>
              <w:rPr>
                <w:sz w:val="24"/>
              </w:rPr>
            </w:pPr>
            <w:r>
              <w:rPr>
                <w:rFonts w:hint="eastAsia"/>
                <w:sz w:val="24"/>
              </w:rPr>
              <w:t>①应保证红山嘴</w:t>
            </w:r>
            <w:r>
              <w:rPr>
                <w:sz w:val="24"/>
              </w:rPr>
              <w:t>水库坝址</w:t>
            </w:r>
            <w:r>
              <w:rPr>
                <w:rFonts w:hint="eastAsia"/>
                <w:sz w:val="24"/>
              </w:rPr>
              <w:t>断面生态流量均能得到下泄，改善和维护水生生境条件；</w:t>
            </w:r>
          </w:p>
          <w:p>
            <w:pPr>
              <w:adjustRightInd w:val="0"/>
              <w:snapToGrid w:val="0"/>
              <w:spacing w:line="360" w:lineRule="auto"/>
              <w:ind w:firstLine="480" w:firstLineChars="200"/>
              <w:rPr>
                <w:sz w:val="24"/>
              </w:rPr>
            </w:pPr>
            <w:r>
              <w:rPr>
                <w:rFonts w:hint="eastAsia" w:ascii="宋体" w:hAnsi="宋体" w:cs="宋体"/>
                <w:sz w:val="24"/>
                <w:lang w:eastAsia="ja-JP"/>
              </w:rPr>
              <w:t>②</w:t>
            </w:r>
            <w:r>
              <w:rPr>
                <w:rFonts w:hint="eastAsia"/>
                <w:sz w:val="24"/>
              </w:rPr>
              <w:t>建立下泄流量监控系统，确保生态流量的泄放措施可行、可靠，保证河道不断流；加强河流断面水文观测，如发现下泄生态流量不能满足鱼类生存需求，应及时调整。</w:t>
            </w:r>
          </w:p>
          <w:p>
            <w:pPr>
              <w:adjustRightInd w:val="0"/>
              <w:snapToGrid w:val="0"/>
              <w:spacing w:line="360" w:lineRule="auto"/>
              <w:ind w:firstLine="480" w:firstLineChars="200"/>
              <w:rPr>
                <w:sz w:val="24"/>
              </w:rPr>
            </w:pPr>
            <w:r>
              <w:rPr>
                <w:rFonts w:hint="eastAsia"/>
                <w:sz w:val="24"/>
              </w:rPr>
              <w:t>③</w:t>
            </w:r>
            <w:r>
              <w:rPr>
                <w:sz w:val="24"/>
              </w:rPr>
              <w:t>将</w:t>
            </w:r>
            <w:r>
              <w:rPr>
                <w:rFonts w:hint="eastAsia"/>
                <w:sz w:val="24"/>
              </w:rPr>
              <w:t>库尾</w:t>
            </w:r>
            <w:r>
              <w:rPr>
                <w:sz w:val="24"/>
              </w:rPr>
              <w:t>以上河段</w:t>
            </w:r>
            <w:r>
              <w:rPr>
                <w:rFonts w:hint="eastAsia"/>
                <w:sz w:val="24"/>
              </w:rPr>
              <w:t>划为</w:t>
            </w:r>
            <w:r>
              <w:rPr>
                <w:sz w:val="24"/>
              </w:rPr>
              <w:t>鱼类栖息地</w:t>
            </w:r>
            <w:r>
              <w:rPr>
                <w:rFonts w:hint="eastAsia"/>
                <w:sz w:val="24"/>
              </w:rPr>
              <w:t>保护河段</w:t>
            </w:r>
            <w:r>
              <w:rPr>
                <w:sz w:val="24"/>
              </w:rPr>
              <w:t>，常年禁止一切渔业活动，严格限制栖息地保护范围内水资源开发等涉水工程建设。</w:t>
            </w:r>
          </w:p>
          <w:p>
            <w:pPr>
              <w:pStyle w:val="18"/>
              <w:jc w:val="both"/>
            </w:pPr>
            <w:r>
              <w:rPr>
                <w:rFonts w:hint="eastAsia"/>
              </w:rPr>
              <w:t>四、</w:t>
            </w:r>
            <w:r>
              <w:t>固体废物处置</w:t>
            </w:r>
          </w:p>
          <w:p>
            <w:pPr>
              <w:adjustRightInd w:val="0"/>
              <w:snapToGrid w:val="0"/>
              <w:spacing w:line="360" w:lineRule="auto"/>
              <w:ind w:firstLine="480" w:firstLineChars="200"/>
              <w:rPr>
                <w:sz w:val="24"/>
              </w:rPr>
            </w:pPr>
            <w:r>
              <w:rPr>
                <w:rFonts w:hint="eastAsia"/>
                <w:sz w:val="24"/>
              </w:rPr>
              <w:t>运行期固体废物主要是工程运行管理站工作人员日常生活产生的生活垃圾，日生活垃圾产生量为</w:t>
            </w:r>
            <w:r>
              <w:rPr>
                <w:sz w:val="24"/>
              </w:rPr>
              <w:t>9</w:t>
            </w:r>
            <w:r>
              <w:rPr>
                <w:rFonts w:hint="eastAsia"/>
                <w:sz w:val="24"/>
              </w:rPr>
              <w:t>kg，建立</w:t>
            </w:r>
            <w:r>
              <w:rPr>
                <w:sz w:val="24"/>
              </w:rPr>
              <w:t>垃圾收集站</w:t>
            </w:r>
            <w:r>
              <w:rPr>
                <w:rFonts w:hint="eastAsia"/>
                <w:sz w:val="24"/>
              </w:rPr>
              <w:t>1座，将生活垃圾集中收集后，定期清运至当地主管部门指定的场所进行统一处理。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102" w:hRule="atLeast"/>
          <w:jc w:val="center"/>
        </w:trPr>
        <w:tc>
          <w:tcPr>
            <w:tcW w:w="426" w:type="dxa"/>
            <w:vAlign w:val="center"/>
          </w:tcPr>
          <w:p>
            <w:pPr>
              <w:adjustRightInd w:val="0"/>
              <w:snapToGrid w:val="0"/>
              <w:jc w:val="center"/>
              <w:rPr>
                <w:rFonts w:ascii="宋体" w:hAnsi="宋体" w:cs="宋体"/>
                <w:bCs/>
                <w:spacing w:val="10"/>
                <w:szCs w:val="21"/>
              </w:rPr>
            </w:pPr>
            <w:r>
              <w:rPr>
                <w:rFonts w:hint="eastAsia" w:ascii="宋体" w:hAnsi="宋体"/>
                <w:bCs/>
                <w:szCs w:val="21"/>
              </w:rPr>
              <w:t>其他</w:t>
            </w:r>
          </w:p>
        </w:tc>
        <w:tc>
          <w:tcPr>
            <w:tcW w:w="9542" w:type="dxa"/>
            <w:vAlign w:val="center"/>
          </w:tcPr>
          <w:p>
            <w:pPr>
              <w:pStyle w:val="18"/>
              <w:jc w:val="both"/>
            </w:pPr>
            <w:r>
              <w:rPr>
                <w:rFonts w:hint="eastAsia"/>
              </w:rPr>
              <w:t>一、</w:t>
            </w:r>
            <w:r>
              <w:t>环境管理</w:t>
            </w:r>
          </w:p>
          <w:p>
            <w:pPr>
              <w:adjustRightInd w:val="0"/>
              <w:snapToGrid w:val="0"/>
              <w:spacing w:line="360" w:lineRule="auto"/>
              <w:ind w:firstLine="480" w:firstLineChars="200"/>
              <w:rPr>
                <w:sz w:val="24"/>
              </w:rPr>
            </w:pPr>
            <w:r>
              <w:rPr>
                <w:sz w:val="24"/>
              </w:rPr>
              <w:t>（1）环境管理目的和意义</w:t>
            </w:r>
          </w:p>
          <w:p>
            <w:pPr>
              <w:adjustRightInd w:val="0"/>
              <w:snapToGrid w:val="0"/>
              <w:spacing w:line="360" w:lineRule="auto"/>
              <w:ind w:firstLine="480" w:firstLineChars="200"/>
              <w:rPr>
                <w:sz w:val="24"/>
              </w:rPr>
            </w:pPr>
            <w:r>
              <w:rPr>
                <w:sz w:val="24"/>
              </w:rPr>
              <w:t>建设项目环境管理的目的在于保证工程各项环境保护措施的顺利实施，使工程兴建对环境的不利影响得以减免，保证工程区环保工作的顺利进行，维护景观生态稳定性，促进工程地区社会、经济、生态的协调良性发展。</w:t>
            </w:r>
          </w:p>
          <w:p>
            <w:pPr>
              <w:adjustRightInd w:val="0"/>
              <w:snapToGrid w:val="0"/>
              <w:spacing w:line="360" w:lineRule="auto"/>
              <w:ind w:firstLine="480" w:firstLineChars="200"/>
              <w:rPr>
                <w:sz w:val="24"/>
              </w:rPr>
            </w:pPr>
            <w:r>
              <w:rPr>
                <w:sz w:val="24"/>
              </w:rPr>
              <w:t>（2）环境管理体系</w:t>
            </w:r>
          </w:p>
          <w:p>
            <w:pPr>
              <w:adjustRightInd w:val="0"/>
              <w:snapToGrid w:val="0"/>
              <w:spacing w:line="360" w:lineRule="auto"/>
              <w:ind w:firstLine="480" w:firstLineChars="200"/>
              <w:rPr>
                <w:sz w:val="24"/>
              </w:rPr>
            </w:pPr>
            <w:r>
              <w:rPr>
                <w:sz w:val="24"/>
              </w:rPr>
              <w:t>本工程环境管理体系由建设单位环境管理办公室、环境监理机构、承包商环境管理办公室组成，并由政府职能部门参与管理。建立工程建设环境监理制度，形成完整的环境管理体系，以确保工程建设环境保护规划总体目标的实现。</w:t>
            </w:r>
          </w:p>
          <w:p>
            <w:pPr>
              <w:adjustRightInd w:val="0"/>
              <w:snapToGrid w:val="0"/>
              <w:spacing w:line="360" w:lineRule="auto"/>
              <w:ind w:firstLine="480" w:firstLineChars="200"/>
              <w:rPr>
                <w:sz w:val="24"/>
              </w:rPr>
            </w:pPr>
            <w:r>
              <w:rPr>
                <w:sz w:val="24"/>
              </w:rPr>
              <w:t>确保相关环保措施、条款纳入工程文件；筹建环境管理机构，并对环境管理人员进行培训；制定出完善的工程环境保护规章制度与管理方法，编制年度环境质量报告，并呈报上级主管部门；加强工程环境监测、监理；保证各项环保措施按要求执行；协调处理工程引起的环境污染事故和环境纠纷；加强环境保护的宣传教育和技术培训；及时发现潜在的环境问题，提出治理对策措施并予以实施。</w:t>
            </w:r>
          </w:p>
          <w:p>
            <w:pPr>
              <w:adjustRightInd w:val="0"/>
              <w:snapToGrid w:val="0"/>
              <w:spacing w:line="360" w:lineRule="auto"/>
              <w:ind w:firstLine="480" w:firstLineChars="200"/>
              <w:rPr>
                <w:sz w:val="24"/>
              </w:rPr>
            </w:pPr>
            <w:r>
              <w:rPr>
                <w:sz w:val="24"/>
              </w:rPr>
              <w:t>（3）环境管理内容</w:t>
            </w:r>
          </w:p>
          <w:p>
            <w:pPr>
              <w:adjustRightInd w:val="0"/>
              <w:snapToGrid w:val="0"/>
              <w:spacing w:line="360" w:lineRule="auto"/>
              <w:ind w:firstLine="480" w:firstLineChars="200"/>
              <w:rPr>
                <w:sz w:val="24"/>
              </w:rPr>
            </w:pPr>
            <w:r>
              <w:rPr>
                <w:sz w:val="24"/>
              </w:rPr>
              <w:t>为了实现本工程经济、社会、生态效益的协调发展，落实各项目环保措施，结合工程特点及环境现状，筹建期、施工期和运行期的环境管理主要内容分别是：</w:t>
            </w:r>
          </w:p>
          <w:p>
            <w:pPr>
              <w:adjustRightInd w:val="0"/>
              <w:snapToGrid w:val="0"/>
              <w:spacing w:line="360" w:lineRule="auto"/>
              <w:ind w:firstLine="480" w:firstLineChars="200"/>
              <w:rPr>
                <w:sz w:val="24"/>
              </w:rPr>
            </w:pPr>
            <w:r>
              <w:rPr>
                <w:rFonts w:hint="eastAsia" w:ascii="宋体" w:hAnsi="宋体" w:cs="宋体"/>
                <w:sz w:val="24"/>
              </w:rPr>
              <w:t>①</w:t>
            </w:r>
            <w:r>
              <w:rPr>
                <w:sz w:val="24"/>
              </w:rPr>
              <w:t>筹建期</w:t>
            </w:r>
          </w:p>
          <w:p>
            <w:pPr>
              <w:adjustRightInd w:val="0"/>
              <w:snapToGrid w:val="0"/>
              <w:spacing w:line="360" w:lineRule="auto"/>
              <w:ind w:firstLine="480" w:firstLineChars="200"/>
              <w:rPr>
                <w:sz w:val="24"/>
              </w:rPr>
            </w:pPr>
            <w:r>
              <w:rPr>
                <w:rFonts w:hint="eastAsia"/>
                <w:sz w:val="24"/>
              </w:rPr>
              <w:t>a.</w:t>
            </w:r>
            <w:r>
              <w:rPr>
                <w:sz w:val="24"/>
              </w:rPr>
              <w:t>确保环评报告</w:t>
            </w:r>
            <w:r>
              <w:rPr>
                <w:rFonts w:hint="eastAsia"/>
                <w:sz w:val="24"/>
              </w:rPr>
              <w:t>表</w:t>
            </w:r>
            <w:r>
              <w:rPr>
                <w:sz w:val="24"/>
              </w:rPr>
              <w:t>及其批复中有关环保措施纳入工程设计文件。</w:t>
            </w:r>
          </w:p>
          <w:p>
            <w:pPr>
              <w:adjustRightInd w:val="0"/>
              <w:snapToGrid w:val="0"/>
              <w:spacing w:line="360" w:lineRule="auto"/>
              <w:ind w:firstLine="480" w:firstLineChars="200"/>
              <w:rPr>
                <w:sz w:val="24"/>
              </w:rPr>
            </w:pPr>
            <w:r>
              <w:rPr>
                <w:rFonts w:hint="eastAsia"/>
                <w:sz w:val="24"/>
              </w:rPr>
              <w:t>b.</w:t>
            </w:r>
            <w:r>
              <w:rPr>
                <w:sz w:val="24"/>
              </w:rPr>
              <w:t>确保环境保护条款列入招标文件及合同文件。</w:t>
            </w:r>
          </w:p>
          <w:p>
            <w:pPr>
              <w:adjustRightInd w:val="0"/>
              <w:snapToGrid w:val="0"/>
              <w:spacing w:line="360" w:lineRule="auto"/>
              <w:ind w:firstLine="480" w:firstLineChars="200"/>
              <w:rPr>
                <w:sz w:val="24"/>
              </w:rPr>
            </w:pPr>
            <w:r>
              <w:rPr>
                <w:rFonts w:hint="eastAsia"/>
                <w:sz w:val="24"/>
              </w:rPr>
              <w:t>c.</w:t>
            </w:r>
            <w:r>
              <w:rPr>
                <w:sz w:val="24"/>
              </w:rPr>
              <w:t>筹建环境管理机构，并对环境管理人员进行培训。</w:t>
            </w:r>
          </w:p>
          <w:p>
            <w:pPr>
              <w:adjustRightInd w:val="0"/>
              <w:snapToGrid w:val="0"/>
              <w:spacing w:line="360" w:lineRule="auto"/>
              <w:ind w:firstLine="480" w:firstLineChars="200"/>
              <w:rPr>
                <w:sz w:val="24"/>
              </w:rPr>
            </w:pPr>
            <w:r>
              <w:rPr>
                <w:rFonts w:hint="eastAsia"/>
                <w:sz w:val="24"/>
              </w:rPr>
              <w:t>d.</w:t>
            </w:r>
            <w:r>
              <w:rPr>
                <w:sz w:val="24"/>
              </w:rPr>
              <w:t>根据工程特点，制定出完善的工程环境保护规章制度与管理方法。</w:t>
            </w:r>
          </w:p>
          <w:p>
            <w:pPr>
              <w:adjustRightInd w:val="0"/>
              <w:snapToGrid w:val="0"/>
              <w:spacing w:line="360" w:lineRule="auto"/>
              <w:ind w:firstLine="480" w:firstLineChars="200"/>
              <w:rPr>
                <w:sz w:val="24"/>
              </w:rPr>
            </w:pPr>
            <w:r>
              <w:rPr>
                <w:rFonts w:hint="eastAsia" w:ascii="宋体" w:hAnsi="宋体" w:cs="宋体"/>
                <w:sz w:val="24"/>
              </w:rPr>
              <w:t>②</w:t>
            </w:r>
            <w:r>
              <w:rPr>
                <w:sz w:val="24"/>
              </w:rPr>
              <w:t>施工期</w:t>
            </w:r>
          </w:p>
          <w:p>
            <w:pPr>
              <w:adjustRightInd w:val="0"/>
              <w:snapToGrid w:val="0"/>
              <w:spacing w:line="360" w:lineRule="auto"/>
              <w:ind w:firstLine="480" w:firstLineChars="200"/>
              <w:rPr>
                <w:sz w:val="24"/>
              </w:rPr>
            </w:pPr>
            <w:r>
              <w:rPr>
                <w:rFonts w:hint="eastAsia"/>
                <w:sz w:val="24"/>
              </w:rPr>
              <w:t>a.</w:t>
            </w:r>
            <w:r>
              <w:rPr>
                <w:sz w:val="24"/>
              </w:rPr>
              <w:t>贯彻执行国家有关环境保护方针、政策及法规条例。</w:t>
            </w:r>
          </w:p>
          <w:p>
            <w:pPr>
              <w:adjustRightInd w:val="0"/>
              <w:snapToGrid w:val="0"/>
              <w:spacing w:line="360" w:lineRule="auto"/>
              <w:ind w:firstLine="480" w:firstLineChars="200"/>
              <w:rPr>
                <w:sz w:val="24"/>
              </w:rPr>
            </w:pPr>
            <w:r>
              <w:rPr>
                <w:sz w:val="24"/>
              </w:rPr>
              <w:t>b</w:t>
            </w:r>
            <w:r>
              <w:rPr>
                <w:rFonts w:hint="eastAsia"/>
                <w:sz w:val="24"/>
              </w:rPr>
              <w:t>.</w:t>
            </w:r>
            <w:r>
              <w:rPr>
                <w:sz w:val="24"/>
              </w:rPr>
              <w:t>加强工程环境监测管理，审定监测计划，委托具有相应资质的环境监测等专业机构实施环境监测计划。</w:t>
            </w:r>
          </w:p>
          <w:p>
            <w:pPr>
              <w:adjustRightInd w:val="0"/>
              <w:snapToGrid w:val="0"/>
              <w:spacing w:line="360" w:lineRule="auto"/>
              <w:ind w:firstLine="480" w:firstLineChars="200"/>
              <w:rPr>
                <w:sz w:val="24"/>
              </w:rPr>
            </w:pPr>
            <w:r>
              <w:rPr>
                <w:sz w:val="24"/>
              </w:rPr>
              <w:t>c</w:t>
            </w:r>
            <w:r>
              <w:rPr>
                <w:rFonts w:hint="eastAsia"/>
                <w:sz w:val="24"/>
              </w:rPr>
              <w:t>.</w:t>
            </w:r>
            <w:r>
              <w:rPr>
                <w:sz w:val="24"/>
              </w:rPr>
              <w:t>加强工程环境监理，委托有相应资质单位执行工程建设环境监理。</w:t>
            </w:r>
          </w:p>
          <w:p>
            <w:pPr>
              <w:adjustRightInd w:val="0"/>
              <w:snapToGrid w:val="0"/>
              <w:spacing w:line="360" w:lineRule="auto"/>
              <w:ind w:firstLine="480" w:firstLineChars="200"/>
              <w:rPr>
                <w:sz w:val="24"/>
              </w:rPr>
            </w:pPr>
            <w:r>
              <w:rPr>
                <w:sz w:val="24"/>
              </w:rPr>
              <w:t>d</w:t>
            </w:r>
            <w:r>
              <w:rPr>
                <w:rFonts w:hint="eastAsia"/>
                <w:sz w:val="24"/>
              </w:rPr>
              <w:t>.</w:t>
            </w:r>
            <w:r>
              <w:rPr>
                <w:sz w:val="24"/>
              </w:rPr>
              <w:t>组织实施工程环境保护规划，并监督、检查环境保护措施的执行情况和环保经费的使用情况，保证各项环保措施能按环保“三同时”的原则执行。</w:t>
            </w:r>
          </w:p>
          <w:p>
            <w:pPr>
              <w:adjustRightInd w:val="0"/>
              <w:snapToGrid w:val="0"/>
              <w:spacing w:line="360" w:lineRule="auto"/>
              <w:ind w:firstLine="480" w:firstLineChars="200"/>
              <w:rPr>
                <w:sz w:val="24"/>
              </w:rPr>
            </w:pPr>
            <w:r>
              <w:rPr>
                <w:sz w:val="24"/>
              </w:rPr>
              <w:t>e.协调处理工程引起的环境污染事故和环境纠纷。</w:t>
            </w:r>
          </w:p>
          <w:p>
            <w:pPr>
              <w:adjustRightInd w:val="0"/>
              <w:snapToGrid w:val="0"/>
              <w:spacing w:line="360" w:lineRule="auto"/>
              <w:ind w:firstLine="480" w:firstLineChars="200"/>
              <w:rPr>
                <w:sz w:val="24"/>
              </w:rPr>
            </w:pPr>
            <w:r>
              <w:rPr>
                <w:sz w:val="24"/>
              </w:rPr>
              <w:t>f</w:t>
            </w:r>
            <w:r>
              <w:rPr>
                <w:rFonts w:hint="eastAsia"/>
                <w:sz w:val="24"/>
              </w:rPr>
              <w:t>.</w:t>
            </w:r>
            <w:r>
              <w:rPr>
                <w:sz w:val="24"/>
              </w:rPr>
              <w:t>加强环境保护的宣传教育和技术培训，提高人们的环境保护意识和参与意识，工程环境管理人员的技术水平。</w:t>
            </w:r>
          </w:p>
          <w:p>
            <w:pPr>
              <w:adjustRightInd w:val="0"/>
              <w:snapToGrid w:val="0"/>
              <w:spacing w:line="360" w:lineRule="auto"/>
              <w:ind w:firstLine="480" w:firstLineChars="200"/>
              <w:rPr>
                <w:sz w:val="24"/>
              </w:rPr>
            </w:pPr>
            <w:r>
              <w:rPr>
                <w:rFonts w:hint="eastAsia" w:ascii="宋体" w:hAnsi="宋体" w:cs="宋体"/>
                <w:sz w:val="24"/>
              </w:rPr>
              <w:t>③</w:t>
            </w:r>
            <w:r>
              <w:rPr>
                <w:sz w:val="24"/>
              </w:rPr>
              <w:t>运行期</w:t>
            </w:r>
          </w:p>
          <w:p>
            <w:pPr>
              <w:adjustRightInd w:val="0"/>
              <w:snapToGrid w:val="0"/>
              <w:spacing w:line="360" w:lineRule="auto"/>
              <w:ind w:firstLine="480" w:firstLineChars="200"/>
              <w:rPr>
                <w:sz w:val="24"/>
              </w:rPr>
            </w:pPr>
            <w:r>
              <w:rPr>
                <w:sz w:val="24"/>
              </w:rPr>
              <w:t>运行期环境管理工作由建设单位负责，主要工作任务为：制定环境管理办法和制度，贯彻执行国家及地方环境保护法律、法规及方针政策，进行运行期的风险管控，负责环境保护宣传。</w:t>
            </w:r>
          </w:p>
          <w:p>
            <w:pPr>
              <w:pStyle w:val="18"/>
              <w:jc w:val="both"/>
            </w:pPr>
            <w:r>
              <w:rPr>
                <w:rFonts w:hint="eastAsia"/>
              </w:rPr>
              <w:t>二、</w:t>
            </w:r>
            <w:r>
              <w:t>环境监理</w:t>
            </w:r>
          </w:p>
          <w:p>
            <w:pPr>
              <w:adjustRightInd w:val="0"/>
              <w:snapToGrid w:val="0"/>
              <w:spacing w:line="360" w:lineRule="auto"/>
              <w:ind w:firstLine="480" w:firstLineChars="200"/>
              <w:rPr>
                <w:sz w:val="24"/>
              </w:rPr>
            </w:pPr>
            <w:r>
              <w:rPr>
                <w:sz w:val="24"/>
              </w:rPr>
              <w:t>由建设单位委托具有环境监理资质的机构承担，依照合同条款及国家环境保护法律、法规、政策要求，根据环境监测数据及巡查结果，监督、审查和评估施工单位各项环保措施执行情况，及时发现、纠正违反合同环保条款及国家环保要求的施工行为。</w:t>
            </w:r>
          </w:p>
          <w:p>
            <w:pPr>
              <w:adjustRightInd w:val="0"/>
              <w:snapToGrid w:val="0"/>
              <w:spacing w:line="360" w:lineRule="auto"/>
              <w:ind w:firstLine="480" w:firstLineChars="200"/>
              <w:rPr>
                <w:sz w:val="24"/>
              </w:rPr>
            </w:pPr>
            <w:r>
              <w:rPr>
                <w:sz w:val="24"/>
              </w:rPr>
              <w:t>监理工作的主要目的是落实各项环保措施，将工程施工产生的不利影响降低到可接受的程度，监督检查工程建设的环境保护工作，及时了解和收集掌握施工区的各类环境信息，进行分类管理和及时反馈，协调与工程建设各有关部门之间的关系。</w:t>
            </w:r>
          </w:p>
          <w:p>
            <w:pPr>
              <w:adjustRightInd w:val="0"/>
              <w:snapToGrid w:val="0"/>
              <w:spacing w:line="360" w:lineRule="auto"/>
              <w:ind w:firstLine="480" w:firstLineChars="200"/>
              <w:rPr>
                <w:sz w:val="24"/>
              </w:rPr>
            </w:pPr>
            <w:r>
              <w:rPr>
                <w:sz w:val="24"/>
              </w:rPr>
              <w:t>工程环境监理范围包括工程建设区，施工作业区域、生活营地和施工区场内交通道路等。监理人员应按照国家或地方环境标准和招标文件中的环境保护条款，监督检查工程建设的环境保护工作；及时了解和收集掌握施工区的各类环境信息，并对信息进行分类、反馈、处理和储存管理，便于监理决策和协调工程建设各有关参与方的环境保护工作；协调业主与承包商、业主、设计单位与工程建设各有关部门之间的关系。</w:t>
            </w:r>
          </w:p>
          <w:p>
            <w:pPr>
              <w:pStyle w:val="18"/>
              <w:jc w:val="both"/>
            </w:pPr>
            <w:r>
              <w:rPr>
                <w:rFonts w:hint="eastAsia"/>
              </w:rPr>
              <w:t>三、</w:t>
            </w:r>
            <w:r>
              <w:t>环境监测</w:t>
            </w:r>
          </w:p>
          <w:p>
            <w:pPr>
              <w:adjustRightInd w:val="0"/>
              <w:snapToGrid w:val="0"/>
              <w:spacing w:line="360" w:lineRule="auto"/>
              <w:ind w:firstLine="480" w:firstLineChars="200"/>
              <w:rPr>
                <w:sz w:val="24"/>
              </w:rPr>
            </w:pPr>
            <w:r>
              <w:rPr>
                <w:rFonts w:hint="eastAsia"/>
                <w:sz w:val="24"/>
              </w:rPr>
              <w:t>（1）水环境</w:t>
            </w:r>
            <w:r>
              <w:rPr>
                <w:sz w:val="24"/>
              </w:rPr>
              <w:t>监测</w:t>
            </w:r>
          </w:p>
          <w:p>
            <w:pPr>
              <w:adjustRightInd w:val="0"/>
              <w:snapToGrid w:val="0"/>
              <w:spacing w:line="360" w:lineRule="auto"/>
              <w:ind w:firstLine="480" w:firstLineChars="200"/>
              <w:rPr>
                <w:sz w:val="24"/>
              </w:rPr>
            </w:pPr>
            <w:r>
              <w:rPr>
                <w:rFonts w:hint="eastAsia"/>
                <w:sz w:val="24"/>
              </w:rPr>
              <w:t>①施工期环境监测</w:t>
            </w:r>
          </w:p>
          <w:p>
            <w:pPr>
              <w:adjustRightInd w:val="0"/>
              <w:snapToGrid w:val="0"/>
              <w:spacing w:line="360" w:lineRule="auto"/>
              <w:ind w:firstLine="480" w:firstLineChars="200"/>
              <w:rPr>
                <w:sz w:val="24"/>
              </w:rPr>
            </w:pPr>
            <w:r>
              <w:rPr>
                <w:sz w:val="24"/>
              </w:rPr>
              <w:t>施工期水环境监测以水质监测为主，主要对施工期生产废水和生活污水进行监测</w:t>
            </w:r>
            <w:r>
              <w:rPr>
                <w:rFonts w:hint="eastAsia"/>
                <w:sz w:val="24"/>
              </w:rPr>
              <w:t>，</w:t>
            </w:r>
            <w:r>
              <w:rPr>
                <w:sz w:val="24"/>
              </w:rPr>
              <w:t>本工程</w:t>
            </w:r>
            <w:r>
              <w:rPr>
                <w:rFonts w:hint="eastAsia"/>
                <w:sz w:val="24"/>
              </w:rPr>
              <w:t>施工期</w:t>
            </w:r>
            <w:r>
              <w:rPr>
                <w:sz w:val="24"/>
              </w:rPr>
              <w:t>水环境监测计划见表</w:t>
            </w:r>
            <w:r>
              <w:rPr>
                <w:rFonts w:hint="eastAsia"/>
                <w:sz w:val="24"/>
              </w:rPr>
              <w:t>1</w:t>
            </w:r>
            <w:r>
              <w:rPr>
                <w:sz w:val="24"/>
              </w:rPr>
              <w:t>1。</w:t>
            </w:r>
          </w:p>
          <w:p>
            <w:pPr>
              <w:jc w:val="left"/>
              <w:rPr>
                <w:rFonts w:ascii="黑体" w:hAnsi="黑体" w:eastAsia="黑体"/>
                <w:sz w:val="24"/>
              </w:rPr>
            </w:pPr>
            <w:r>
              <w:rPr>
                <w:rFonts w:ascii="黑体" w:hAnsi="黑体" w:eastAsia="黑体"/>
                <w:sz w:val="24"/>
              </w:rPr>
              <w:t>表</w:t>
            </w:r>
            <w:r>
              <w:rPr>
                <w:rFonts w:eastAsia="黑体"/>
                <w:sz w:val="24"/>
              </w:rPr>
              <w:t>11</w:t>
            </w:r>
            <w:r>
              <w:rPr>
                <w:rFonts w:ascii="黑体" w:hAnsi="黑体" w:eastAsia="黑体"/>
                <w:sz w:val="24"/>
              </w:rPr>
              <w:t xml:space="preserve">                              </w:t>
            </w:r>
            <w:r>
              <w:rPr>
                <w:rFonts w:hint="eastAsia" w:ascii="黑体" w:hAnsi="黑体" w:eastAsia="黑体"/>
                <w:sz w:val="24"/>
              </w:rPr>
              <w:t>施工期</w:t>
            </w:r>
            <w:r>
              <w:rPr>
                <w:rFonts w:ascii="黑体" w:hAnsi="黑体" w:eastAsia="黑体"/>
                <w:sz w:val="24"/>
              </w:rPr>
              <w:t>地表水环境环境监测计划表</w:t>
            </w:r>
          </w:p>
          <w:tbl>
            <w:tblPr>
              <w:tblStyle w:val="21"/>
              <w:tblW w:w="93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6"/>
              <w:gridCol w:w="1369"/>
              <w:gridCol w:w="1761"/>
              <w:gridCol w:w="3334"/>
              <w:gridCol w:w="23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85" w:type="dxa"/>
                  <w:gridSpan w:val="2"/>
                  <w:shd w:val="clear" w:color="auto" w:fill="auto"/>
                  <w:vAlign w:val="center"/>
                </w:tcPr>
                <w:p>
                  <w:pPr>
                    <w:widowControl/>
                    <w:jc w:val="center"/>
                    <w:rPr>
                      <w:bCs/>
                      <w:kern w:val="0"/>
                      <w:szCs w:val="21"/>
                    </w:rPr>
                  </w:pPr>
                  <w:r>
                    <w:rPr>
                      <w:bCs/>
                      <w:kern w:val="0"/>
                      <w:szCs w:val="21"/>
                    </w:rPr>
                    <w:t>项目</w:t>
                  </w:r>
                </w:p>
              </w:tc>
              <w:tc>
                <w:tcPr>
                  <w:tcW w:w="1761" w:type="dxa"/>
                  <w:shd w:val="clear" w:color="auto" w:fill="auto"/>
                  <w:vAlign w:val="center"/>
                </w:tcPr>
                <w:p>
                  <w:pPr>
                    <w:widowControl/>
                    <w:jc w:val="center"/>
                    <w:rPr>
                      <w:bCs/>
                      <w:kern w:val="0"/>
                      <w:szCs w:val="21"/>
                    </w:rPr>
                  </w:pPr>
                  <w:r>
                    <w:rPr>
                      <w:bCs/>
                      <w:kern w:val="0"/>
                      <w:szCs w:val="21"/>
                    </w:rPr>
                    <w:t>监测点位</w:t>
                  </w:r>
                </w:p>
              </w:tc>
              <w:tc>
                <w:tcPr>
                  <w:tcW w:w="3334" w:type="dxa"/>
                  <w:shd w:val="clear" w:color="auto" w:fill="auto"/>
                  <w:vAlign w:val="center"/>
                </w:tcPr>
                <w:p>
                  <w:pPr>
                    <w:widowControl/>
                    <w:jc w:val="center"/>
                    <w:rPr>
                      <w:bCs/>
                      <w:kern w:val="0"/>
                      <w:szCs w:val="21"/>
                    </w:rPr>
                  </w:pPr>
                  <w:r>
                    <w:rPr>
                      <w:bCs/>
                      <w:kern w:val="0"/>
                      <w:szCs w:val="21"/>
                    </w:rPr>
                    <w:t>监测内容</w:t>
                  </w:r>
                </w:p>
              </w:tc>
              <w:tc>
                <w:tcPr>
                  <w:tcW w:w="2336" w:type="dxa"/>
                  <w:shd w:val="clear" w:color="auto" w:fill="auto"/>
                  <w:vAlign w:val="center"/>
                </w:tcPr>
                <w:p>
                  <w:pPr>
                    <w:widowControl/>
                    <w:jc w:val="center"/>
                    <w:rPr>
                      <w:bCs/>
                      <w:kern w:val="0"/>
                      <w:szCs w:val="21"/>
                    </w:rPr>
                  </w:pPr>
                  <w:r>
                    <w:rPr>
                      <w:bCs/>
                      <w:kern w:val="0"/>
                      <w:szCs w:val="21"/>
                    </w:rPr>
                    <w:t>监测频率及时间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1885" w:type="dxa"/>
                  <w:gridSpan w:val="2"/>
                  <w:shd w:val="clear" w:color="auto" w:fill="auto"/>
                  <w:vAlign w:val="center"/>
                </w:tcPr>
                <w:p>
                  <w:pPr>
                    <w:widowControl/>
                    <w:jc w:val="center"/>
                    <w:rPr>
                      <w:kern w:val="0"/>
                      <w:szCs w:val="21"/>
                    </w:rPr>
                  </w:pPr>
                  <w:r>
                    <w:rPr>
                      <w:rFonts w:hint="eastAsia"/>
                      <w:kern w:val="0"/>
                      <w:szCs w:val="21"/>
                    </w:rPr>
                    <w:t>地表水水质</w:t>
                  </w:r>
                </w:p>
              </w:tc>
              <w:tc>
                <w:tcPr>
                  <w:tcW w:w="1761" w:type="dxa"/>
                  <w:shd w:val="clear" w:color="auto" w:fill="auto"/>
                  <w:vAlign w:val="center"/>
                </w:tcPr>
                <w:p>
                  <w:pPr>
                    <w:widowControl/>
                    <w:jc w:val="center"/>
                    <w:rPr>
                      <w:kern w:val="0"/>
                      <w:szCs w:val="21"/>
                    </w:rPr>
                  </w:pPr>
                  <w:r>
                    <w:rPr>
                      <w:rFonts w:hint="eastAsia"/>
                      <w:kern w:val="0"/>
                      <w:szCs w:val="21"/>
                    </w:rPr>
                    <w:t>红山嘴水库坝址上游500</w:t>
                  </w:r>
                  <w:r>
                    <w:rPr>
                      <w:kern w:val="0"/>
                      <w:szCs w:val="21"/>
                    </w:rPr>
                    <w:t>m</w:t>
                  </w:r>
                  <w:r>
                    <w:rPr>
                      <w:rFonts w:hint="eastAsia"/>
                      <w:kern w:val="0"/>
                      <w:szCs w:val="21"/>
                    </w:rPr>
                    <w:t>及坝址</w:t>
                  </w:r>
                  <w:r>
                    <w:rPr>
                      <w:kern w:val="0"/>
                      <w:szCs w:val="21"/>
                    </w:rPr>
                    <w:t>下游</w:t>
                  </w:r>
                  <w:r>
                    <w:rPr>
                      <w:rFonts w:hint="eastAsia"/>
                      <w:kern w:val="0"/>
                      <w:szCs w:val="21"/>
                    </w:rPr>
                    <w:t>1</w:t>
                  </w:r>
                  <w:r>
                    <w:rPr>
                      <w:kern w:val="0"/>
                      <w:szCs w:val="21"/>
                    </w:rPr>
                    <w:t>km</w:t>
                  </w:r>
                  <w:r>
                    <w:rPr>
                      <w:rFonts w:hint="eastAsia"/>
                      <w:kern w:val="0"/>
                      <w:szCs w:val="21"/>
                    </w:rPr>
                    <w:t>断面</w:t>
                  </w:r>
                </w:p>
              </w:tc>
              <w:tc>
                <w:tcPr>
                  <w:tcW w:w="3334" w:type="dxa"/>
                  <w:shd w:val="clear" w:color="auto" w:fill="auto"/>
                  <w:noWrap/>
                  <w:vAlign w:val="center"/>
                </w:tcPr>
                <w:p>
                  <w:pPr>
                    <w:widowControl/>
                    <w:jc w:val="center"/>
                    <w:rPr>
                      <w:kern w:val="0"/>
                      <w:szCs w:val="21"/>
                    </w:rPr>
                  </w:pPr>
                  <w:r>
                    <w:rPr>
                      <w:szCs w:val="21"/>
                    </w:rPr>
                    <w:t>水温、pH、溶解氧、高锰酸盐指数、化学需氧量、五日生化需氧量、氨氮、</w:t>
                  </w:r>
                  <w:r>
                    <w:rPr>
                      <w:rFonts w:hint="eastAsia"/>
                      <w:szCs w:val="21"/>
                    </w:rPr>
                    <w:t>总氮、</w:t>
                  </w:r>
                  <w:r>
                    <w:rPr>
                      <w:szCs w:val="21"/>
                    </w:rPr>
                    <w:t>总磷、铜、锌、氟化物、砷、硒、汞、镉、铅、氰化物、六价铬、硫化物、石油类，共21项。</w:t>
                  </w:r>
                </w:p>
              </w:tc>
              <w:tc>
                <w:tcPr>
                  <w:tcW w:w="2336" w:type="dxa"/>
                  <w:shd w:val="clear" w:color="auto" w:fill="auto"/>
                  <w:vAlign w:val="center"/>
                </w:tcPr>
                <w:p>
                  <w:pPr>
                    <w:widowControl/>
                    <w:jc w:val="center"/>
                    <w:rPr>
                      <w:kern w:val="0"/>
                      <w:szCs w:val="21"/>
                    </w:rPr>
                  </w:pPr>
                  <w:r>
                    <w:rPr>
                      <w:szCs w:val="21"/>
                    </w:rPr>
                    <w:t>施工期每年丰、平、枯水期各监测一次</w:t>
                  </w:r>
                  <w:r>
                    <w:rPr>
                      <w:rFonts w:hint="eastAsia"/>
                      <w:szCs w:val="21"/>
                    </w:rPr>
                    <w:t>，每次监测1天，每天一个水样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6" w:type="dxa"/>
                  <w:vMerge w:val="restart"/>
                  <w:shd w:val="clear" w:color="auto" w:fill="auto"/>
                  <w:vAlign w:val="center"/>
                </w:tcPr>
                <w:p>
                  <w:pPr>
                    <w:widowControl/>
                    <w:jc w:val="center"/>
                    <w:rPr>
                      <w:kern w:val="0"/>
                      <w:szCs w:val="21"/>
                    </w:rPr>
                  </w:pPr>
                  <w:r>
                    <w:rPr>
                      <w:kern w:val="0"/>
                      <w:szCs w:val="21"/>
                    </w:rPr>
                    <w:t>废污水监测</w:t>
                  </w:r>
                </w:p>
              </w:tc>
              <w:tc>
                <w:tcPr>
                  <w:tcW w:w="1369" w:type="dxa"/>
                  <w:shd w:val="clear" w:color="auto" w:fill="auto"/>
                  <w:vAlign w:val="center"/>
                </w:tcPr>
                <w:p>
                  <w:pPr>
                    <w:widowControl/>
                    <w:jc w:val="center"/>
                    <w:rPr>
                      <w:kern w:val="0"/>
                      <w:szCs w:val="21"/>
                    </w:rPr>
                  </w:pPr>
                  <w:r>
                    <w:rPr>
                      <w:kern w:val="0"/>
                      <w:szCs w:val="21"/>
                    </w:rPr>
                    <w:t>砂石料加工系统废水</w:t>
                  </w:r>
                </w:p>
              </w:tc>
              <w:tc>
                <w:tcPr>
                  <w:tcW w:w="1761" w:type="dxa"/>
                  <w:shd w:val="clear" w:color="auto" w:fill="auto"/>
                  <w:vAlign w:val="center"/>
                </w:tcPr>
                <w:p>
                  <w:pPr>
                    <w:widowControl/>
                    <w:jc w:val="center"/>
                    <w:rPr>
                      <w:kern w:val="0"/>
                      <w:szCs w:val="21"/>
                    </w:rPr>
                  </w:pPr>
                  <w:r>
                    <w:rPr>
                      <w:kern w:val="0"/>
                      <w:szCs w:val="21"/>
                    </w:rPr>
                    <w:t>砂石料加工系统水处理装置</w:t>
                  </w:r>
                  <w:r>
                    <w:rPr>
                      <w:rFonts w:hint="eastAsia"/>
                      <w:kern w:val="0"/>
                      <w:szCs w:val="21"/>
                    </w:rPr>
                    <w:t>进</w:t>
                  </w:r>
                  <w:r>
                    <w:rPr>
                      <w:kern w:val="0"/>
                      <w:szCs w:val="21"/>
                    </w:rPr>
                    <w:t>出口</w:t>
                  </w:r>
                  <w:r>
                    <w:rPr>
                      <w:rFonts w:hint="eastAsia"/>
                      <w:kern w:val="0"/>
                      <w:szCs w:val="21"/>
                    </w:rPr>
                    <w:t>，共</w:t>
                  </w:r>
                  <w:r>
                    <w:rPr>
                      <w:kern w:val="0"/>
                      <w:szCs w:val="21"/>
                    </w:rPr>
                    <w:t>2</w:t>
                  </w:r>
                  <w:r>
                    <w:rPr>
                      <w:rFonts w:hint="eastAsia"/>
                      <w:kern w:val="0"/>
                      <w:szCs w:val="21"/>
                    </w:rPr>
                    <w:t>处</w:t>
                  </w:r>
                </w:p>
              </w:tc>
              <w:tc>
                <w:tcPr>
                  <w:tcW w:w="3334" w:type="dxa"/>
                  <w:shd w:val="clear" w:color="auto" w:fill="auto"/>
                  <w:noWrap/>
                  <w:vAlign w:val="center"/>
                </w:tcPr>
                <w:p>
                  <w:pPr>
                    <w:widowControl/>
                    <w:jc w:val="center"/>
                    <w:rPr>
                      <w:kern w:val="0"/>
                      <w:szCs w:val="21"/>
                    </w:rPr>
                  </w:pPr>
                  <w:r>
                    <w:rPr>
                      <w:kern w:val="0"/>
                      <w:szCs w:val="21"/>
                    </w:rPr>
                    <w:t>SS</w:t>
                  </w:r>
                  <w:r>
                    <w:rPr>
                      <w:rFonts w:hint="eastAsia"/>
                      <w:kern w:val="0"/>
                      <w:szCs w:val="21"/>
                    </w:rPr>
                    <w:t>、</w:t>
                  </w:r>
                  <w:r>
                    <w:rPr>
                      <w:kern w:val="0"/>
                      <w:szCs w:val="21"/>
                    </w:rPr>
                    <w:t>废水流量</w:t>
                  </w:r>
                </w:p>
              </w:tc>
              <w:tc>
                <w:tcPr>
                  <w:tcW w:w="2336" w:type="dxa"/>
                  <w:vMerge w:val="restart"/>
                  <w:shd w:val="clear" w:color="auto" w:fill="auto"/>
                  <w:vAlign w:val="center"/>
                </w:tcPr>
                <w:p>
                  <w:pPr>
                    <w:jc w:val="center"/>
                    <w:rPr>
                      <w:kern w:val="0"/>
                      <w:szCs w:val="21"/>
                    </w:rPr>
                  </w:pPr>
                  <w:r>
                    <w:rPr>
                      <w:rFonts w:hint="eastAsia"/>
                      <w:szCs w:val="21"/>
                    </w:rPr>
                    <w:t>废水产生</w:t>
                  </w:r>
                  <w:r>
                    <w:rPr>
                      <w:szCs w:val="21"/>
                    </w:rPr>
                    <w:t>期间每季度监测</w:t>
                  </w:r>
                  <w:r>
                    <w:rPr>
                      <w:rFonts w:hint="eastAsia"/>
                      <w:szCs w:val="21"/>
                    </w:rPr>
                    <w:t>1</w:t>
                  </w:r>
                  <w:r>
                    <w:rPr>
                      <w:szCs w:val="21"/>
                    </w:rPr>
                    <w:t>期，每期监测1天，每天监测1次</w:t>
                  </w:r>
                  <w:r>
                    <w:rPr>
                      <w:rFonts w:hint="eastAsia"/>
                      <w:szCs w:val="21"/>
                    </w:rPr>
                    <w:t>。</w:t>
                  </w:r>
                  <w:r>
                    <w:rPr>
                      <w:kern w:val="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6" w:type="dxa"/>
                  <w:vMerge w:val="continue"/>
                  <w:shd w:val="clear" w:color="auto" w:fill="auto"/>
                  <w:vAlign w:val="center"/>
                </w:tcPr>
                <w:p>
                  <w:pPr>
                    <w:widowControl/>
                    <w:jc w:val="center"/>
                    <w:rPr>
                      <w:kern w:val="0"/>
                      <w:szCs w:val="21"/>
                    </w:rPr>
                  </w:pPr>
                </w:p>
              </w:tc>
              <w:tc>
                <w:tcPr>
                  <w:tcW w:w="1369" w:type="dxa"/>
                  <w:shd w:val="clear" w:color="auto" w:fill="auto"/>
                  <w:noWrap/>
                  <w:vAlign w:val="center"/>
                </w:tcPr>
                <w:p>
                  <w:pPr>
                    <w:widowControl/>
                    <w:jc w:val="center"/>
                    <w:rPr>
                      <w:kern w:val="0"/>
                      <w:szCs w:val="21"/>
                    </w:rPr>
                  </w:pPr>
                  <w:r>
                    <w:rPr>
                      <w:kern w:val="0"/>
                      <w:szCs w:val="21"/>
                    </w:rPr>
                    <w:t>混凝土拌和系统废水</w:t>
                  </w:r>
                </w:p>
              </w:tc>
              <w:tc>
                <w:tcPr>
                  <w:tcW w:w="1761" w:type="dxa"/>
                  <w:shd w:val="clear" w:color="auto" w:fill="auto"/>
                  <w:noWrap/>
                  <w:vAlign w:val="center"/>
                </w:tcPr>
                <w:p>
                  <w:pPr>
                    <w:widowControl/>
                    <w:jc w:val="center"/>
                    <w:rPr>
                      <w:kern w:val="0"/>
                      <w:szCs w:val="21"/>
                    </w:rPr>
                  </w:pPr>
                  <w:r>
                    <w:rPr>
                      <w:kern w:val="0"/>
                      <w:szCs w:val="21"/>
                    </w:rPr>
                    <w:t>混凝土拌和系统废水处理装置进出口</w:t>
                  </w:r>
                  <w:r>
                    <w:rPr>
                      <w:rFonts w:hint="eastAsia"/>
                      <w:kern w:val="0"/>
                      <w:szCs w:val="21"/>
                    </w:rPr>
                    <w:t>，共2处</w:t>
                  </w:r>
                </w:p>
              </w:tc>
              <w:tc>
                <w:tcPr>
                  <w:tcW w:w="3334" w:type="dxa"/>
                  <w:shd w:val="clear" w:color="auto" w:fill="auto"/>
                  <w:noWrap/>
                  <w:vAlign w:val="center"/>
                </w:tcPr>
                <w:p>
                  <w:pPr>
                    <w:widowControl/>
                    <w:jc w:val="center"/>
                    <w:rPr>
                      <w:kern w:val="0"/>
                      <w:szCs w:val="21"/>
                    </w:rPr>
                  </w:pPr>
                  <w:r>
                    <w:rPr>
                      <w:kern w:val="0"/>
                      <w:szCs w:val="21"/>
                    </w:rPr>
                    <w:t>pH、SS</w:t>
                  </w:r>
                  <w:r>
                    <w:rPr>
                      <w:rFonts w:hint="eastAsia"/>
                      <w:kern w:val="0"/>
                      <w:szCs w:val="21"/>
                    </w:rPr>
                    <w:t>、</w:t>
                  </w:r>
                  <w:r>
                    <w:rPr>
                      <w:kern w:val="0"/>
                      <w:szCs w:val="21"/>
                    </w:rPr>
                    <w:t>废水流量</w:t>
                  </w:r>
                </w:p>
              </w:tc>
              <w:tc>
                <w:tcPr>
                  <w:tcW w:w="2336" w:type="dxa"/>
                  <w:vMerge w:val="continue"/>
                  <w:shd w:val="clear" w:color="auto" w:fill="auto"/>
                  <w:vAlign w:val="center"/>
                </w:tcPr>
                <w:p>
                  <w:pPr>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6" w:type="dxa"/>
                  <w:vMerge w:val="continue"/>
                  <w:shd w:val="clear" w:color="auto" w:fill="auto"/>
                  <w:vAlign w:val="center"/>
                </w:tcPr>
                <w:p>
                  <w:pPr>
                    <w:widowControl/>
                    <w:jc w:val="center"/>
                    <w:rPr>
                      <w:kern w:val="0"/>
                      <w:szCs w:val="21"/>
                    </w:rPr>
                  </w:pPr>
                </w:p>
              </w:tc>
              <w:tc>
                <w:tcPr>
                  <w:tcW w:w="1369" w:type="dxa"/>
                  <w:shd w:val="clear" w:color="auto" w:fill="auto"/>
                  <w:vAlign w:val="center"/>
                </w:tcPr>
                <w:p>
                  <w:pPr>
                    <w:widowControl/>
                    <w:jc w:val="center"/>
                    <w:rPr>
                      <w:kern w:val="0"/>
                      <w:szCs w:val="21"/>
                    </w:rPr>
                  </w:pPr>
                  <w:r>
                    <w:rPr>
                      <w:kern w:val="0"/>
                      <w:szCs w:val="21"/>
                    </w:rPr>
                    <w:t>含油废水</w:t>
                  </w:r>
                </w:p>
              </w:tc>
              <w:tc>
                <w:tcPr>
                  <w:tcW w:w="1761" w:type="dxa"/>
                  <w:shd w:val="clear" w:color="auto" w:fill="auto"/>
                  <w:vAlign w:val="center"/>
                </w:tcPr>
                <w:p>
                  <w:pPr>
                    <w:widowControl/>
                    <w:jc w:val="center"/>
                    <w:rPr>
                      <w:kern w:val="0"/>
                      <w:szCs w:val="21"/>
                    </w:rPr>
                  </w:pPr>
                  <w:r>
                    <w:rPr>
                      <w:kern w:val="0"/>
                      <w:szCs w:val="21"/>
                    </w:rPr>
                    <w:t>机械</w:t>
                  </w:r>
                  <w:r>
                    <w:rPr>
                      <w:rFonts w:hint="eastAsia"/>
                      <w:kern w:val="0"/>
                      <w:szCs w:val="21"/>
                    </w:rPr>
                    <w:t>修配</w:t>
                  </w:r>
                  <w:r>
                    <w:rPr>
                      <w:kern w:val="0"/>
                      <w:szCs w:val="21"/>
                    </w:rPr>
                    <w:t>保养站含油废水处理设施</w:t>
                  </w:r>
                  <w:r>
                    <w:rPr>
                      <w:rFonts w:hint="eastAsia"/>
                      <w:kern w:val="0"/>
                      <w:szCs w:val="21"/>
                    </w:rPr>
                    <w:t>进出</w:t>
                  </w:r>
                  <w:r>
                    <w:rPr>
                      <w:kern w:val="0"/>
                      <w:szCs w:val="21"/>
                    </w:rPr>
                    <w:t>口</w:t>
                  </w:r>
                  <w:r>
                    <w:rPr>
                      <w:rFonts w:hint="eastAsia"/>
                      <w:kern w:val="0"/>
                      <w:szCs w:val="21"/>
                    </w:rPr>
                    <w:t>，共2处</w:t>
                  </w:r>
                </w:p>
              </w:tc>
              <w:tc>
                <w:tcPr>
                  <w:tcW w:w="3334" w:type="dxa"/>
                  <w:shd w:val="clear" w:color="auto" w:fill="auto"/>
                  <w:vAlign w:val="center"/>
                </w:tcPr>
                <w:p>
                  <w:pPr>
                    <w:widowControl/>
                    <w:jc w:val="center"/>
                    <w:rPr>
                      <w:kern w:val="0"/>
                      <w:szCs w:val="21"/>
                    </w:rPr>
                  </w:pPr>
                  <w:r>
                    <w:rPr>
                      <w:kern w:val="0"/>
                      <w:szCs w:val="21"/>
                    </w:rPr>
                    <w:t>SS、石油类、COD</w:t>
                  </w:r>
                  <w:r>
                    <w:rPr>
                      <w:kern w:val="0"/>
                      <w:szCs w:val="21"/>
                      <w:vertAlign w:val="subscript"/>
                    </w:rPr>
                    <w:t>Cr</w:t>
                  </w:r>
                  <w:r>
                    <w:rPr>
                      <w:kern w:val="0"/>
                      <w:szCs w:val="21"/>
                    </w:rPr>
                    <w:t>、废水流量</w:t>
                  </w:r>
                </w:p>
              </w:tc>
              <w:tc>
                <w:tcPr>
                  <w:tcW w:w="2336" w:type="dxa"/>
                  <w:vMerge w:val="continue"/>
                  <w:shd w:val="clear" w:color="auto" w:fill="auto"/>
                  <w:vAlign w:val="center"/>
                </w:tcPr>
                <w:p>
                  <w:pPr>
                    <w:widowControl/>
                    <w:jc w:val="center"/>
                    <w:rPr>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rPr>
              <w:tc>
                <w:tcPr>
                  <w:tcW w:w="516" w:type="dxa"/>
                  <w:vMerge w:val="continue"/>
                  <w:shd w:val="clear" w:color="auto" w:fill="auto"/>
                  <w:vAlign w:val="center"/>
                </w:tcPr>
                <w:p>
                  <w:pPr>
                    <w:widowControl/>
                    <w:jc w:val="center"/>
                    <w:rPr>
                      <w:kern w:val="0"/>
                      <w:szCs w:val="21"/>
                    </w:rPr>
                  </w:pPr>
                </w:p>
              </w:tc>
              <w:tc>
                <w:tcPr>
                  <w:tcW w:w="1369" w:type="dxa"/>
                  <w:shd w:val="clear" w:color="auto" w:fill="auto"/>
                  <w:vAlign w:val="center"/>
                </w:tcPr>
                <w:p>
                  <w:pPr>
                    <w:widowControl/>
                    <w:jc w:val="center"/>
                    <w:rPr>
                      <w:kern w:val="0"/>
                      <w:szCs w:val="21"/>
                    </w:rPr>
                  </w:pPr>
                  <w:r>
                    <w:rPr>
                      <w:kern w:val="0"/>
                      <w:szCs w:val="21"/>
                    </w:rPr>
                    <w:t>生活污水</w:t>
                  </w:r>
                </w:p>
              </w:tc>
              <w:tc>
                <w:tcPr>
                  <w:tcW w:w="1761" w:type="dxa"/>
                  <w:shd w:val="clear" w:color="auto" w:fill="auto"/>
                  <w:vAlign w:val="center"/>
                </w:tcPr>
                <w:p>
                  <w:pPr>
                    <w:widowControl/>
                    <w:jc w:val="center"/>
                    <w:rPr>
                      <w:kern w:val="0"/>
                      <w:szCs w:val="21"/>
                    </w:rPr>
                  </w:pPr>
                  <w:r>
                    <w:rPr>
                      <w:kern w:val="0"/>
                      <w:szCs w:val="21"/>
                    </w:rPr>
                    <w:t>施工生产生活区污水处理装置</w:t>
                  </w:r>
                  <w:r>
                    <w:rPr>
                      <w:rFonts w:hint="eastAsia"/>
                      <w:kern w:val="0"/>
                      <w:szCs w:val="21"/>
                    </w:rPr>
                    <w:t>进</w:t>
                  </w:r>
                  <w:r>
                    <w:rPr>
                      <w:kern w:val="0"/>
                      <w:szCs w:val="21"/>
                    </w:rPr>
                    <w:t>出水口，共2处</w:t>
                  </w:r>
                </w:p>
              </w:tc>
              <w:tc>
                <w:tcPr>
                  <w:tcW w:w="3334" w:type="dxa"/>
                  <w:shd w:val="clear" w:color="auto" w:fill="auto"/>
                  <w:vAlign w:val="center"/>
                </w:tcPr>
                <w:p>
                  <w:pPr>
                    <w:widowControl/>
                    <w:jc w:val="center"/>
                    <w:rPr>
                      <w:kern w:val="0"/>
                      <w:szCs w:val="21"/>
                    </w:rPr>
                  </w:pPr>
                  <w:r>
                    <w:rPr>
                      <w:kern w:val="0"/>
                      <w:szCs w:val="21"/>
                    </w:rPr>
                    <w:t>pH、COD、BOD</w:t>
                  </w:r>
                  <w:r>
                    <w:rPr>
                      <w:kern w:val="0"/>
                      <w:szCs w:val="21"/>
                      <w:vertAlign w:val="subscript"/>
                    </w:rPr>
                    <w:t>5</w:t>
                  </w:r>
                  <w:r>
                    <w:rPr>
                      <w:kern w:val="0"/>
                      <w:szCs w:val="21"/>
                    </w:rPr>
                    <w:t>、SS、氨氮、粪大肠菌群</w:t>
                  </w:r>
                  <w:r>
                    <w:rPr>
                      <w:rFonts w:hint="eastAsia"/>
                      <w:kern w:val="0"/>
                      <w:szCs w:val="21"/>
                    </w:rPr>
                    <w:t>、污水</w:t>
                  </w:r>
                  <w:r>
                    <w:rPr>
                      <w:kern w:val="0"/>
                      <w:szCs w:val="21"/>
                    </w:rPr>
                    <w:t>流量</w:t>
                  </w:r>
                </w:p>
              </w:tc>
              <w:tc>
                <w:tcPr>
                  <w:tcW w:w="2336" w:type="dxa"/>
                  <w:shd w:val="clear" w:color="auto" w:fill="auto"/>
                  <w:vAlign w:val="center"/>
                </w:tcPr>
                <w:p>
                  <w:pPr>
                    <w:widowControl/>
                    <w:jc w:val="center"/>
                    <w:rPr>
                      <w:kern w:val="0"/>
                      <w:szCs w:val="21"/>
                    </w:rPr>
                  </w:pPr>
                  <w:r>
                    <w:rPr>
                      <w:rFonts w:hint="eastAsia"/>
                      <w:szCs w:val="21"/>
                    </w:rPr>
                    <w:t>生活污水产生期间</w:t>
                  </w:r>
                  <w:r>
                    <w:rPr>
                      <w:szCs w:val="21"/>
                    </w:rPr>
                    <w:t>每季度</w:t>
                  </w:r>
                  <w:r>
                    <w:rPr>
                      <w:rFonts w:hint="eastAsia"/>
                      <w:szCs w:val="21"/>
                    </w:rPr>
                    <w:t>监测1</w:t>
                  </w:r>
                  <w:r>
                    <w:rPr>
                      <w:szCs w:val="21"/>
                    </w:rPr>
                    <w:t>次，每期监测1天，取20:00</w:t>
                  </w:r>
                  <w:r>
                    <w:rPr>
                      <w:rFonts w:hint="eastAsia"/>
                      <w:szCs w:val="21"/>
                    </w:rPr>
                    <w:t>水</w:t>
                  </w:r>
                  <w:r>
                    <w:rPr>
                      <w:szCs w:val="21"/>
                    </w:rPr>
                    <w:t>样</w:t>
                  </w:r>
                </w:p>
              </w:tc>
            </w:tr>
          </w:tbl>
          <w:p>
            <w:pPr>
              <w:adjustRightInd w:val="0"/>
              <w:snapToGrid w:val="0"/>
              <w:spacing w:line="360" w:lineRule="auto"/>
              <w:ind w:firstLine="480" w:firstLineChars="200"/>
              <w:rPr>
                <w:sz w:val="24"/>
              </w:rPr>
            </w:pPr>
          </w:p>
          <w:p>
            <w:pPr>
              <w:adjustRightInd w:val="0"/>
              <w:snapToGrid w:val="0"/>
              <w:spacing w:line="360" w:lineRule="auto"/>
              <w:ind w:firstLine="480" w:firstLineChars="200"/>
              <w:rPr>
                <w:sz w:val="24"/>
              </w:rPr>
            </w:pPr>
            <w:r>
              <w:rPr>
                <w:rFonts w:hint="eastAsia"/>
                <w:sz w:val="24"/>
              </w:rPr>
              <w:t>②</w:t>
            </w:r>
            <w:r>
              <w:rPr>
                <w:sz w:val="24"/>
              </w:rPr>
              <w:t>运行期水环境监测</w:t>
            </w:r>
          </w:p>
          <w:p>
            <w:pPr>
              <w:adjustRightInd w:val="0"/>
              <w:snapToGrid w:val="0"/>
              <w:spacing w:line="360" w:lineRule="auto"/>
              <w:ind w:firstLine="480" w:firstLineChars="200"/>
              <w:rPr>
                <w:sz w:val="24"/>
              </w:rPr>
            </w:pPr>
            <w:r>
              <w:rPr>
                <w:rFonts w:hint="eastAsia"/>
                <w:sz w:val="24"/>
              </w:rPr>
              <w:t>运行期环境监测主要为地表水环境监测，具体监测点位及监测项目如下。</w:t>
            </w:r>
          </w:p>
          <w:p>
            <w:pPr>
              <w:adjustRightInd w:val="0"/>
              <w:snapToGrid w:val="0"/>
              <w:spacing w:line="360" w:lineRule="auto"/>
              <w:ind w:firstLine="480" w:firstLineChars="200"/>
              <w:rPr>
                <w:sz w:val="24"/>
              </w:rPr>
            </w:pPr>
            <w:r>
              <w:rPr>
                <w:rFonts w:hint="eastAsia"/>
                <w:sz w:val="24"/>
              </w:rPr>
              <w:t>A</w:t>
            </w:r>
            <w:r>
              <w:rPr>
                <w:sz w:val="24"/>
              </w:rPr>
              <w:t>.监测断面与采样点</w:t>
            </w:r>
          </w:p>
          <w:p>
            <w:pPr>
              <w:adjustRightInd w:val="0"/>
              <w:snapToGrid w:val="0"/>
              <w:spacing w:line="360" w:lineRule="auto"/>
              <w:ind w:firstLine="480" w:firstLineChars="200"/>
              <w:rPr>
                <w:sz w:val="24"/>
              </w:rPr>
            </w:pPr>
            <w:r>
              <w:rPr>
                <w:sz w:val="24"/>
              </w:rPr>
              <w:t>共布设2个监测断面，分别为</w:t>
            </w:r>
            <w:r>
              <w:rPr>
                <w:rFonts w:hint="eastAsia"/>
                <w:sz w:val="24"/>
              </w:rPr>
              <w:t>红山嘴水库</w:t>
            </w:r>
            <w:r>
              <w:rPr>
                <w:sz w:val="24"/>
              </w:rPr>
              <w:t>工程</w:t>
            </w:r>
            <w:r>
              <w:rPr>
                <w:rFonts w:hint="eastAsia"/>
                <w:sz w:val="24"/>
              </w:rPr>
              <w:t>入库断面和出库断面</w:t>
            </w:r>
            <w:r>
              <w:rPr>
                <w:sz w:val="24"/>
              </w:rPr>
              <w:t>。</w:t>
            </w:r>
          </w:p>
          <w:p>
            <w:pPr>
              <w:adjustRightInd w:val="0"/>
              <w:snapToGrid w:val="0"/>
              <w:spacing w:line="360" w:lineRule="auto"/>
              <w:ind w:firstLine="480" w:firstLineChars="200"/>
              <w:rPr>
                <w:sz w:val="24"/>
              </w:rPr>
            </w:pPr>
            <w:r>
              <w:rPr>
                <w:rFonts w:hint="eastAsia"/>
                <w:sz w:val="24"/>
              </w:rPr>
              <w:t>B</w:t>
            </w:r>
            <w:r>
              <w:rPr>
                <w:sz w:val="24"/>
              </w:rPr>
              <w:t>.监测项目</w:t>
            </w:r>
          </w:p>
          <w:p>
            <w:pPr>
              <w:adjustRightInd w:val="0"/>
              <w:snapToGrid w:val="0"/>
              <w:spacing w:line="360" w:lineRule="auto"/>
              <w:ind w:firstLine="480" w:firstLineChars="200"/>
              <w:rPr>
                <w:sz w:val="24"/>
              </w:rPr>
            </w:pPr>
            <w:r>
              <w:rPr>
                <w:sz w:val="24"/>
              </w:rPr>
              <w:t>监测项目包括：pH、溶解氧、高锰酸盐指数、COD</w:t>
            </w:r>
            <w:r>
              <w:rPr>
                <w:sz w:val="24"/>
                <w:vertAlign w:val="subscript"/>
              </w:rPr>
              <w:t>Cr</w:t>
            </w:r>
            <w:r>
              <w:rPr>
                <w:sz w:val="24"/>
              </w:rPr>
              <w:t>、BOD</w:t>
            </w:r>
            <w:r>
              <w:rPr>
                <w:sz w:val="24"/>
                <w:vertAlign w:val="subscript"/>
              </w:rPr>
              <w:t>5</w:t>
            </w:r>
            <w:r>
              <w:rPr>
                <w:sz w:val="24"/>
              </w:rPr>
              <w:t>、氨氮、总磷、总氮、氟化物、铜、锌、硒、砷、汞、镉、六价铬、铅、氰化物、挥发酚、石油类、阴离子表面活性剂</w:t>
            </w:r>
            <w:r>
              <w:rPr>
                <w:rFonts w:hint="eastAsia"/>
                <w:sz w:val="24"/>
              </w:rPr>
              <w:t>、水温、流量</w:t>
            </w:r>
            <w:r>
              <w:rPr>
                <w:sz w:val="24"/>
              </w:rPr>
              <w:t>。</w:t>
            </w:r>
          </w:p>
          <w:p>
            <w:pPr>
              <w:adjustRightInd w:val="0"/>
              <w:snapToGrid w:val="0"/>
              <w:spacing w:line="360" w:lineRule="auto"/>
              <w:ind w:firstLine="480" w:firstLineChars="200"/>
              <w:rPr>
                <w:sz w:val="24"/>
              </w:rPr>
            </w:pPr>
            <w:r>
              <w:rPr>
                <w:rFonts w:hint="eastAsia"/>
                <w:sz w:val="24"/>
              </w:rPr>
              <w:t>C</w:t>
            </w:r>
            <w:r>
              <w:rPr>
                <w:sz w:val="24"/>
              </w:rPr>
              <w:t>.监测时间与频次</w:t>
            </w:r>
          </w:p>
          <w:p>
            <w:pPr>
              <w:adjustRightInd w:val="0"/>
              <w:snapToGrid w:val="0"/>
              <w:spacing w:line="360" w:lineRule="auto"/>
              <w:ind w:firstLine="480" w:firstLineChars="200"/>
              <w:rPr>
                <w:sz w:val="24"/>
              </w:rPr>
            </w:pPr>
            <w:r>
              <w:rPr>
                <w:rFonts w:hint="eastAsia"/>
                <w:sz w:val="24"/>
              </w:rPr>
              <w:t>每年的丰、平、枯三期进行，</w:t>
            </w:r>
            <w:r>
              <w:rPr>
                <w:sz w:val="24"/>
              </w:rPr>
              <w:t>每期采样两次，每次时间间隔大于5d。</w:t>
            </w:r>
          </w:p>
          <w:p>
            <w:pPr>
              <w:adjustRightInd w:val="0"/>
              <w:snapToGrid w:val="0"/>
              <w:spacing w:line="360" w:lineRule="auto"/>
              <w:ind w:firstLine="480" w:firstLineChars="200"/>
              <w:rPr>
                <w:sz w:val="24"/>
              </w:rPr>
            </w:pPr>
            <w:r>
              <w:rPr>
                <w:rFonts w:hint="eastAsia"/>
                <w:sz w:val="24"/>
              </w:rPr>
              <w:t>③工程</w:t>
            </w:r>
            <w:r>
              <w:rPr>
                <w:sz w:val="24"/>
              </w:rPr>
              <w:t>管理区生活污水监测</w:t>
            </w:r>
          </w:p>
          <w:p>
            <w:pPr>
              <w:adjustRightInd w:val="0"/>
              <w:snapToGrid w:val="0"/>
              <w:spacing w:line="360" w:lineRule="auto"/>
              <w:ind w:firstLine="480" w:firstLineChars="200"/>
              <w:rPr>
                <w:sz w:val="24"/>
              </w:rPr>
            </w:pPr>
            <w:r>
              <w:rPr>
                <w:sz w:val="24"/>
              </w:rPr>
              <w:t>对工程管理区的生活污水处理</w:t>
            </w:r>
            <w:r>
              <w:rPr>
                <w:rFonts w:hint="eastAsia"/>
                <w:sz w:val="24"/>
              </w:rPr>
              <w:t>系统进出</w:t>
            </w:r>
            <w:r>
              <w:rPr>
                <w:sz w:val="24"/>
              </w:rPr>
              <w:t>水质进行监测。监测项目、监测周期、监测时段及频次见表</w:t>
            </w:r>
            <w:r>
              <w:rPr>
                <w:rFonts w:hint="eastAsia"/>
                <w:sz w:val="24"/>
              </w:rPr>
              <w:t>1</w:t>
            </w:r>
            <w:r>
              <w:rPr>
                <w:sz w:val="24"/>
              </w:rPr>
              <w:t>2</w:t>
            </w:r>
            <w:r>
              <w:rPr>
                <w:rFonts w:hint="eastAsia"/>
                <w:sz w:val="24"/>
              </w:rPr>
              <w:t>。</w:t>
            </w:r>
          </w:p>
          <w:p>
            <w:pPr>
              <w:jc w:val="left"/>
              <w:rPr>
                <w:rFonts w:ascii="黑体" w:hAnsi="黑体" w:eastAsia="黑体"/>
                <w:sz w:val="24"/>
              </w:rPr>
            </w:pPr>
            <w:r>
              <w:rPr>
                <w:rFonts w:ascii="黑体" w:hAnsi="黑体" w:eastAsia="黑体"/>
                <w:sz w:val="24"/>
              </w:rPr>
              <w:t>表</w:t>
            </w:r>
            <w:r>
              <w:rPr>
                <w:rFonts w:eastAsia="黑体"/>
                <w:sz w:val="24"/>
              </w:rPr>
              <w:t xml:space="preserve">12 </w:t>
            </w:r>
            <w:r>
              <w:rPr>
                <w:rFonts w:ascii="黑体" w:hAnsi="黑体" w:eastAsia="黑体"/>
                <w:sz w:val="24"/>
              </w:rPr>
              <w:t xml:space="preserve">                    运行期工程管理区生活污水监测技术要求一览表</w:t>
            </w:r>
          </w:p>
          <w:tbl>
            <w:tblPr>
              <w:tblStyle w:val="21"/>
              <w:tblW w:w="931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30"/>
              <w:gridCol w:w="1915"/>
              <w:gridCol w:w="2944"/>
              <w:gridCol w:w="3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5" w:hRule="atLeast"/>
                <w:jc w:val="center"/>
              </w:trPr>
              <w:tc>
                <w:tcPr>
                  <w:tcW w:w="1330" w:type="dxa"/>
                  <w:vAlign w:val="center"/>
                </w:tcPr>
                <w:p>
                  <w:pPr>
                    <w:autoSpaceDE w:val="0"/>
                    <w:autoSpaceDN w:val="0"/>
                    <w:jc w:val="center"/>
                    <w:textAlignment w:val="baseline"/>
                    <w:rPr>
                      <w:szCs w:val="21"/>
                    </w:rPr>
                  </w:pPr>
                  <w:r>
                    <w:rPr>
                      <w:szCs w:val="21"/>
                    </w:rPr>
                    <w:t>分区</w:t>
                  </w:r>
                </w:p>
              </w:tc>
              <w:tc>
                <w:tcPr>
                  <w:tcW w:w="1915" w:type="dxa"/>
                  <w:vAlign w:val="center"/>
                </w:tcPr>
                <w:p>
                  <w:pPr>
                    <w:autoSpaceDE w:val="0"/>
                    <w:autoSpaceDN w:val="0"/>
                    <w:jc w:val="center"/>
                    <w:textAlignment w:val="baseline"/>
                    <w:rPr>
                      <w:szCs w:val="21"/>
                    </w:rPr>
                  </w:pPr>
                  <w:r>
                    <w:rPr>
                      <w:szCs w:val="21"/>
                    </w:rPr>
                    <w:t>监测点位</w:t>
                  </w:r>
                </w:p>
              </w:tc>
              <w:tc>
                <w:tcPr>
                  <w:tcW w:w="2944" w:type="dxa"/>
                  <w:vAlign w:val="center"/>
                </w:tcPr>
                <w:p>
                  <w:pPr>
                    <w:autoSpaceDE w:val="0"/>
                    <w:autoSpaceDN w:val="0"/>
                    <w:jc w:val="center"/>
                    <w:textAlignment w:val="baseline"/>
                    <w:rPr>
                      <w:szCs w:val="21"/>
                    </w:rPr>
                  </w:pPr>
                  <w:r>
                    <w:rPr>
                      <w:szCs w:val="21"/>
                    </w:rPr>
                    <w:t>监测参数</w:t>
                  </w:r>
                </w:p>
              </w:tc>
              <w:tc>
                <w:tcPr>
                  <w:tcW w:w="3127" w:type="dxa"/>
                  <w:vAlign w:val="center"/>
                </w:tcPr>
                <w:p>
                  <w:pPr>
                    <w:autoSpaceDE w:val="0"/>
                    <w:autoSpaceDN w:val="0"/>
                    <w:jc w:val="center"/>
                    <w:textAlignment w:val="baseline"/>
                    <w:rPr>
                      <w:szCs w:val="21"/>
                    </w:rPr>
                  </w:pPr>
                  <w:r>
                    <w:rPr>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983" w:hRule="atLeast"/>
                <w:jc w:val="center"/>
              </w:trPr>
              <w:tc>
                <w:tcPr>
                  <w:tcW w:w="1330" w:type="dxa"/>
                  <w:vAlign w:val="center"/>
                </w:tcPr>
                <w:p>
                  <w:pPr>
                    <w:autoSpaceDE w:val="0"/>
                    <w:autoSpaceDN w:val="0"/>
                    <w:jc w:val="center"/>
                    <w:textAlignment w:val="baseline"/>
                    <w:rPr>
                      <w:szCs w:val="21"/>
                    </w:rPr>
                  </w:pPr>
                  <w:r>
                    <w:rPr>
                      <w:szCs w:val="21"/>
                    </w:rPr>
                    <w:t>永久管理区</w:t>
                  </w:r>
                </w:p>
              </w:tc>
              <w:tc>
                <w:tcPr>
                  <w:tcW w:w="1915" w:type="dxa"/>
                  <w:vAlign w:val="center"/>
                </w:tcPr>
                <w:p>
                  <w:pPr>
                    <w:autoSpaceDE w:val="0"/>
                    <w:autoSpaceDN w:val="0"/>
                    <w:jc w:val="center"/>
                    <w:textAlignment w:val="baseline"/>
                    <w:rPr>
                      <w:szCs w:val="21"/>
                    </w:rPr>
                  </w:pPr>
                  <w:r>
                    <w:rPr>
                      <w:szCs w:val="21"/>
                    </w:rPr>
                    <w:t>生活污水处理设施进水口、出水口</w:t>
                  </w:r>
                </w:p>
              </w:tc>
              <w:tc>
                <w:tcPr>
                  <w:tcW w:w="2944" w:type="dxa"/>
                  <w:vAlign w:val="center"/>
                </w:tcPr>
                <w:p>
                  <w:pPr>
                    <w:autoSpaceDE w:val="0"/>
                    <w:autoSpaceDN w:val="0"/>
                    <w:jc w:val="center"/>
                    <w:textAlignment w:val="baseline"/>
                    <w:rPr>
                      <w:szCs w:val="21"/>
                    </w:rPr>
                  </w:pPr>
                  <w:r>
                    <w:rPr>
                      <w:szCs w:val="21"/>
                    </w:rPr>
                    <w:t>pH、</w:t>
                  </w:r>
                  <w:r>
                    <w:rPr>
                      <w:rFonts w:hint="eastAsia"/>
                      <w:szCs w:val="21"/>
                    </w:rPr>
                    <w:t>悬浮物</w:t>
                  </w:r>
                  <w:r>
                    <w:rPr>
                      <w:szCs w:val="21"/>
                    </w:rPr>
                    <w:t>、</w:t>
                  </w:r>
                  <w:r>
                    <w:rPr>
                      <w:rFonts w:hint="eastAsia"/>
                      <w:szCs w:val="21"/>
                    </w:rPr>
                    <w:t>化学需氧量</w:t>
                  </w:r>
                  <w:r>
                    <w:rPr>
                      <w:szCs w:val="21"/>
                    </w:rPr>
                    <w:t>、</w:t>
                  </w:r>
                  <w:r>
                    <w:rPr>
                      <w:rFonts w:hint="eastAsia"/>
                      <w:szCs w:val="21"/>
                    </w:rPr>
                    <w:t>氨氮</w:t>
                  </w:r>
                  <w:r>
                    <w:rPr>
                      <w:szCs w:val="21"/>
                    </w:rPr>
                    <w:t>、总氮、</w:t>
                  </w:r>
                  <w:r>
                    <w:rPr>
                      <w:rFonts w:hint="eastAsia"/>
                      <w:szCs w:val="21"/>
                    </w:rPr>
                    <w:t>粪大肠菌群</w:t>
                  </w:r>
                  <w:r>
                    <w:rPr>
                      <w:szCs w:val="21"/>
                    </w:rPr>
                    <w:t>、</w:t>
                  </w:r>
                  <w:r>
                    <w:rPr>
                      <w:rFonts w:hint="eastAsia"/>
                      <w:szCs w:val="21"/>
                    </w:rPr>
                    <w:t>动植物油</w:t>
                  </w:r>
                  <w:r>
                    <w:rPr>
                      <w:szCs w:val="21"/>
                    </w:rPr>
                    <w:t>、污水流量</w:t>
                  </w:r>
                </w:p>
              </w:tc>
              <w:tc>
                <w:tcPr>
                  <w:tcW w:w="3127" w:type="dxa"/>
                  <w:vAlign w:val="center"/>
                </w:tcPr>
                <w:p>
                  <w:pPr>
                    <w:autoSpaceDE w:val="0"/>
                    <w:autoSpaceDN w:val="0"/>
                    <w:jc w:val="center"/>
                    <w:textAlignment w:val="baseline"/>
                    <w:rPr>
                      <w:szCs w:val="21"/>
                    </w:rPr>
                  </w:pPr>
                  <w:r>
                    <w:rPr>
                      <w:szCs w:val="21"/>
                    </w:rPr>
                    <w:t>在工程竣工后连续监测3年，每年二期，冬夏各一期，每期监测1次，每次同步连续调查取样3～4d，每个取样点每天至少取样1次。</w:t>
                  </w:r>
                </w:p>
              </w:tc>
            </w:tr>
          </w:tbl>
          <w:p>
            <w:pPr>
              <w:adjustRightInd w:val="0"/>
              <w:snapToGrid w:val="0"/>
              <w:spacing w:line="360" w:lineRule="auto"/>
              <w:ind w:firstLine="480" w:firstLineChars="200"/>
              <w:rPr>
                <w:sz w:val="24"/>
              </w:rPr>
            </w:pPr>
            <w:r>
              <w:rPr>
                <w:rFonts w:hint="eastAsia"/>
                <w:sz w:val="24"/>
              </w:rPr>
              <w:t>（</w:t>
            </w:r>
            <w:r>
              <w:rPr>
                <w:sz w:val="24"/>
              </w:rPr>
              <w:t>2）</w:t>
            </w:r>
            <w:r>
              <w:rPr>
                <w:rFonts w:hint="eastAsia"/>
                <w:sz w:val="24"/>
              </w:rPr>
              <w:t>水生生态</w:t>
            </w:r>
            <w:r>
              <w:rPr>
                <w:sz w:val="24"/>
              </w:rPr>
              <w:t>监测</w:t>
            </w:r>
          </w:p>
          <w:p>
            <w:pPr>
              <w:adjustRightInd w:val="0"/>
              <w:snapToGrid w:val="0"/>
              <w:spacing w:line="360" w:lineRule="auto"/>
              <w:ind w:firstLine="480" w:firstLineChars="200"/>
              <w:rPr>
                <w:sz w:val="24"/>
              </w:rPr>
            </w:pPr>
            <w:r>
              <w:rPr>
                <w:rFonts w:hint="eastAsia"/>
                <w:sz w:val="24"/>
              </w:rPr>
              <w:t>①监测范围</w:t>
            </w:r>
          </w:p>
          <w:p>
            <w:pPr>
              <w:adjustRightInd w:val="0"/>
              <w:snapToGrid w:val="0"/>
              <w:spacing w:line="360" w:lineRule="auto"/>
              <w:ind w:firstLine="480" w:firstLineChars="200"/>
              <w:rPr>
                <w:sz w:val="24"/>
              </w:rPr>
            </w:pPr>
            <w:r>
              <w:rPr>
                <w:rFonts w:hint="eastAsia"/>
                <w:sz w:val="24"/>
              </w:rPr>
              <w:t>水生生态监测范围整个东城河</w:t>
            </w:r>
            <w:r>
              <w:rPr>
                <w:sz w:val="24"/>
              </w:rPr>
              <w:t>干支流河段</w:t>
            </w:r>
            <w:r>
              <w:rPr>
                <w:rFonts w:hint="eastAsia"/>
                <w:sz w:val="24"/>
              </w:rPr>
              <w:t>。</w:t>
            </w:r>
          </w:p>
          <w:p>
            <w:pPr>
              <w:adjustRightInd w:val="0"/>
              <w:snapToGrid w:val="0"/>
              <w:spacing w:line="360" w:lineRule="auto"/>
              <w:ind w:firstLine="480" w:firstLineChars="200"/>
              <w:rPr>
                <w:sz w:val="24"/>
              </w:rPr>
            </w:pPr>
            <w:r>
              <w:rPr>
                <w:rFonts w:hint="eastAsia"/>
                <w:sz w:val="24"/>
              </w:rPr>
              <w:t>水生生物资源调查根据河流生态特点，以区域性调查为主，不设固定调查断面。</w:t>
            </w:r>
          </w:p>
          <w:p>
            <w:pPr>
              <w:adjustRightInd w:val="0"/>
              <w:snapToGrid w:val="0"/>
              <w:spacing w:line="360" w:lineRule="auto"/>
              <w:ind w:firstLine="480" w:firstLineChars="200"/>
              <w:rPr>
                <w:sz w:val="24"/>
              </w:rPr>
            </w:pPr>
            <w:r>
              <w:rPr>
                <w:rFonts w:hint="eastAsia"/>
                <w:sz w:val="24"/>
              </w:rPr>
              <w:t>②监测内容</w:t>
            </w:r>
          </w:p>
          <w:p>
            <w:pPr>
              <w:adjustRightInd w:val="0"/>
              <w:snapToGrid w:val="0"/>
              <w:spacing w:line="360" w:lineRule="auto"/>
              <w:ind w:firstLine="480" w:firstLineChars="200"/>
              <w:rPr>
                <w:sz w:val="24"/>
              </w:rPr>
            </w:pPr>
            <w:r>
              <w:rPr>
                <w:rFonts w:hint="eastAsia"/>
                <w:sz w:val="24"/>
              </w:rPr>
              <w:t>A</w:t>
            </w:r>
            <w:r>
              <w:rPr>
                <w:sz w:val="24"/>
              </w:rPr>
              <w:t>.</w:t>
            </w:r>
            <w:r>
              <w:rPr>
                <w:rFonts w:hint="eastAsia"/>
                <w:sz w:val="24"/>
              </w:rPr>
              <w:t>水生生境要素监测</w:t>
            </w:r>
          </w:p>
          <w:p>
            <w:pPr>
              <w:adjustRightInd w:val="0"/>
              <w:snapToGrid w:val="0"/>
              <w:spacing w:line="360" w:lineRule="auto"/>
              <w:ind w:firstLine="480" w:firstLineChars="200"/>
              <w:rPr>
                <w:sz w:val="24"/>
              </w:rPr>
            </w:pPr>
            <w:r>
              <w:rPr>
                <w:rFonts w:hint="eastAsia"/>
                <w:sz w:val="24"/>
              </w:rPr>
              <w:t>河流水生生境要素的监测可结合水环境监测计划进行。</w:t>
            </w:r>
          </w:p>
          <w:p>
            <w:pPr>
              <w:adjustRightInd w:val="0"/>
              <w:snapToGrid w:val="0"/>
              <w:spacing w:line="360" w:lineRule="auto"/>
              <w:ind w:firstLine="480" w:firstLineChars="200"/>
              <w:rPr>
                <w:sz w:val="24"/>
              </w:rPr>
            </w:pPr>
            <w:r>
              <w:rPr>
                <w:rFonts w:hint="eastAsia"/>
                <w:sz w:val="24"/>
              </w:rPr>
              <w:t>B</w:t>
            </w:r>
            <w:r>
              <w:rPr>
                <w:sz w:val="24"/>
              </w:rPr>
              <w:t>.</w:t>
            </w:r>
            <w:r>
              <w:rPr>
                <w:rFonts w:hint="eastAsia"/>
                <w:sz w:val="24"/>
              </w:rPr>
              <w:t>水生生物监测</w:t>
            </w:r>
          </w:p>
          <w:p>
            <w:pPr>
              <w:adjustRightInd w:val="0"/>
              <w:snapToGrid w:val="0"/>
              <w:spacing w:line="360" w:lineRule="auto"/>
              <w:ind w:firstLine="480" w:firstLineChars="200"/>
              <w:rPr>
                <w:sz w:val="24"/>
              </w:rPr>
            </w:pPr>
            <w:r>
              <w:rPr>
                <w:rFonts w:hint="eastAsia"/>
                <w:sz w:val="24"/>
              </w:rPr>
              <w:t>浮游植物、浮游动物、底栖动物、水生维管束植物的种类、分布密度、生物量与水温及流态等的变化关系。</w:t>
            </w:r>
          </w:p>
          <w:p>
            <w:pPr>
              <w:adjustRightInd w:val="0"/>
              <w:snapToGrid w:val="0"/>
              <w:spacing w:line="360" w:lineRule="auto"/>
              <w:ind w:firstLine="480" w:firstLineChars="200"/>
              <w:rPr>
                <w:sz w:val="24"/>
              </w:rPr>
            </w:pPr>
            <w:r>
              <w:rPr>
                <w:sz w:val="24"/>
              </w:rPr>
              <w:t>C.</w:t>
            </w:r>
            <w:r>
              <w:rPr>
                <w:rFonts w:hint="eastAsia"/>
                <w:sz w:val="24"/>
              </w:rPr>
              <w:t>鱼类种群动态及群落组成变化</w:t>
            </w:r>
          </w:p>
          <w:p>
            <w:pPr>
              <w:adjustRightInd w:val="0"/>
              <w:snapToGrid w:val="0"/>
              <w:spacing w:line="360" w:lineRule="auto"/>
              <w:ind w:firstLine="480" w:firstLineChars="200"/>
              <w:rPr>
                <w:sz w:val="24"/>
              </w:rPr>
            </w:pPr>
            <w:r>
              <w:rPr>
                <w:rFonts w:hint="eastAsia"/>
                <w:sz w:val="24"/>
              </w:rPr>
              <w:t>鱼类的种类组成、种群结构、资源量的时空分布及累积变化效应，重点监测红山嘴</w:t>
            </w:r>
            <w:r>
              <w:rPr>
                <w:sz w:val="24"/>
              </w:rPr>
              <w:t>水库</w:t>
            </w:r>
            <w:r>
              <w:rPr>
                <w:rFonts w:hint="eastAsia"/>
                <w:sz w:val="24"/>
              </w:rPr>
              <w:t>库区及以上流水河段和具有重要生境的支流分布的鱼类种群动态及群落构成的变化趋势，分析鱼类种类的重现度变化趋势。分析具有重要生境支流与干流鱼类种类的重现度变化趋势。</w:t>
            </w:r>
          </w:p>
          <w:p>
            <w:pPr>
              <w:adjustRightInd w:val="0"/>
              <w:snapToGrid w:val="0"/>
              <w:spacing w:line="360" w:lineRule="auto"/>
              <w:ind w:firstLine="480" w:firstLineChars="200"/>
              <w:rPr>
                <w:sz w:val="24"/>
              </w:rPr>
            </w:pPr>
            <w:r>
              <w:rPr>
                <w:rFonts w:hint="eastAsia"/>
                <w:sz w:val="24"/>
              </w:rPr>
              <w:t>③监测时段或频率</w:t>
            </w:r>
          </w:p>
          <w:p>
            <w:pPr>
              <w:adjustRightInd w:val="0"/>
              <w:snapToGrid w:val="0"/>
              <w:spacing w:line="360" w:lineRule="auto"/>
              <w:ind w:firstLine="480" w:firstLineChars="200"/>
              <w:rPr>
                <w:sz w:val="24"/>
              </w:rPr>
            </w:pPr>
            <w:r>
              <w:rPr>
                <w:rFonts w:hint="eastAsia"/>
                <w:sz w:val="24"/>
              </w:rPr>
              <w:t>工程施工期，监测1次；工程建成</w:t>
            </w:r>
            <w:r>
              <w:rPr>
                <w:sz w:val="24"/>
              </w:rPr>
              <w:t>后</w:t>
            </w:r>
            <w:r>
              <w:rPr>
                <w:rFonts w:hint="eastAsia"/>
                <w:sz w:val="24"/>
              </w:rPr>
              <w:t>，每2个水文年监测1次，视情况调整监测周期或停止监测。</w:t>
            </w:r>
          </w:p>
          <w:p>
            <w:pPr>
              <w:adjustRightInd w:val="0"/>
              <w:snapToGrid w:val="0"/>
              <w:spacing w:line="360" w:lineRule="auto"/>
              <w:ind w:firstLine="480" w:firstLineChars="200"/>
              <w:rPr>
                <w:sz w:val="24"/>
              </w:rPr>
            </w:pPr>
            <w:r>
              <w:rPr>
                <w:rFonts w:hint="eastAsia"/>
                <w:sz w:val="24"/>
              </w:rPr>
              <w:t>水生生态要素、浮游动植物、底栖动物在5月和8月各监测一次。水质监测按淡水渔业水质标准项目进行监测，每季节1次，全年共4次。鱼类种群动态监测在4月～6月、8月～10月进行，每次20天左右。鱼类产卵场监测在4月～6月进行，年监测天数不少于60天。栖息地保护水域的效果监测在春、秋季各监测一次。监测时段频次及要素构成还应随工程的建设运转和实施进程作相应调整。</w:t>
            </w:r>
          </w:p>
          <w:p>
            <w:pPr>
              <w:adjustRightInd w:val="0"/>
              <w:snapToGrid w:val="0"/>
              <w:spacing w:line="360" w:lineRule="auto"/>
              <w:ind w:firstLine="480" w:firstLineChars="200"/>
              <w:rPr>
                <w:sz w:val="24"/>
              </w:rPr>
            </w:pPr>
            <w:r>
              <w:rPr>
                <w:rFonts w:hint="eastAsia"/>
                <w:sz w:val="24"/>
              </w:rPr>
              <w:t>④监测方法</w:t>
            </w:r>
          </w:p>
          <w:p>
            <w:pPr>
              <w:adjustRightInd w:val="0"/>
              <w:snapToGrid w:val="0"/>
              <w:spacing w:line="360" w:lineRule="auto"/>
              <w:ind w:firstLine="480" w:firstLineChars="200"/>
              <w:rPr>
                <w:sz w:val="24"/>
              </w:rPr>
            </w:pPr>
            <w:r>
              <w:rPr>
                <w:rFonts w:hint="eastAsia"/>
                <w:sz w:val="24"/>
              </w:rPr>
              <w:t>A</w:t>
            </w:r>
            <w:r>
              <w:rPr>
                <w:sz w:val="24"/>
              </w:rPr>
              <w:t>.</w:t>
            </w:r>
            <w:r>
              <w:rPr>
                <w:rFonts w:hint="eastAsia"/>
                <w:sz w:val="24"/>
              </w:rPr>
              <w:t>生境描述</w:t>
            </w:r>
          </w:p>
          <w:p>
            <w:pPr>
              <w:adjustRightInd w:val="0"/>
              <w:snapToGrid w:val="0"/>
              <w:spacing w:line="360" w:lineRule="auto"/>
              <w:ind w:firstLine="480" w:firstLineChars="200"/>
              <w:rPr>
                <w:sz w:val="24"/>
              </w:rPr>
            </w:pPr>
            <w:r>
              <w:rPr>
                <w:rFonts w:hint="eastAsia"/>
                <w:sz w:val="24"/>
              </w:rPr>
              <w:t>用文字对土著鱼类的生境进行描述，通常包括位置、地形地貌、河流宽度、水流状态、地质、生物背景（浮游植物、浮游动物、底栖动物和水生植物等）、其它标志性特征等信息。生境描述还应综合历史资料、访问资料等。对同一生境进行多次调查时，只进行补充。生境描述需要图片资料。</w:t>
            </w:r>
          </w:p>
          <w:p>
            <w:pPr>
              <w:adjustRightInd w:val="0"/>
              <w:snapToGrid w:val="0"/>
              <w:spacing w:line="360" w:lineRule="auto"/>
              <w:ind w:firstLine="480" w:firstLineChars="200"/>
              <w:rPr>
                <w:sz w:val="24"/>
              </w:rPr>
            </w:pPr>
            <w:r>
              <w:rPr>
                <w:rFonts w:hint="eastAsia"/>
                <w:sz w:val="24"/>
              </w:rPr>
              <w:t>B</w:t>
            </w:r>
            <w:r>
              <w:rPr>
                <w:sz w:val="24"/>
              </w:rPr>
              <w:t>.</w:t>
            </w:r>
            <w:r>
              <w:rPr>
                <w:rFonts w:hint="eastAsia"/>
                <w:sz w:val="24"/>
              </w:rPr>
              <w:t>水质参数</w:t>
            </w:r>
          </w:p>
          <w:p>
            <w:pPr>
              <w:adjustRightInd w:val="0"/>
              <w:snapToGrid w:val="0"/>
              <w:spacing w:line="360" w:lineRule="auto"/>
              <w:ind w:firstLine="480" w:firstLineChars="200"/>
              <w:rPr>
                <w:sz w:val="24"/>
              </w:rPr>
            </w:pPr>
            <w:r>
              <w:rPr>
                <w:rFonts w:hint="eastAsia"/>
                <w:sz w:val="24"/>
              </w:rPr>
              <w:t>气温和水温用水银温度计测量，溶氧用专用溶氧仪测量。</w:t>
            </w:r>
          </w:p>
          <w:p>
            <w:pPr>
              <w:adjustRightInd w:val="0"/>
              <w:snapToGrid w:val="0"/>
              <w:spacing w:line="360" w:lineRule="auto"/>
              <w:ind w:firstLine="480" w:firstLineChars="200"/>
              <w:rPr>
                <w:sz w:val="24"/>
              </w:rPr>
            </w:pPr>
            <w:r>
              <w:rPr>
                <w:rFonts w:hint="eastAsia"/>
                <w:sz w:val="24"/>
              </w:rPr>
              <w:t>C</w:t>
            </w:r>
            <w:r>
              <w:rPr>
                <w:sz w:val="24"/>
              </w:rPr>
              <w:t>.</w:t>
            </w:r>
            <w:r>
              <w:rPr>
                <w:rFonts w:hint="eastAsia"/>
                <w:sz w:val="24"/>
              </w:rPr>
              <w:t>水质、水位与水流速度</w:t>
            </w:r>
          </w:p>
          <w:p>
            <w:pPr>
              <w:spacing w:line="360" w:lineRule="auto"/>
              <w:ind w:firstLine="480" w:firstLineChars="200"/>
              <w:rPr>
                <w:sz w:val="24"/>
              </w:rPr>
            </w:pPr>
            <w:r>
              <w:rPr>
                <w:rFonts w:hint="eastAsia"/>
                <w:sz w:val="24"/>
              </w:rPr>
              <w:t>采用《渔业用水环境质量标准》（GB1607-1989）作为水质分类标准，水位涨落通过岸边标志估计，流速则通过表面漂浮物漂移速度估计。水温部门资料来源则是重要的。</w:t>
            </w:r>
          </w:p>
          <w:p>
            <w:pPr>
              <w:spacing w:line="360" w:lineRule="auto"/>
              <w:ind w:firstLine="480" w:firstLineChars="200"/>
              <w:rPr>
                <w:sz w:val="24"/>
              </w:rPr>
            </w:pPr>
            <w:r>
              <w:rPr>
                <w:rFonts w:hint="eastAsia"/>
                <w:sz w:val="24"/>
              </w:rPr>
              <w:t>D.水生生物及鱼类</w:t>
            </w:r>
          </w:p>
          <w:p>
            <w:pPr>
              <w:spacing w:line="360" w:lineRule="auto"/>
              <w:ind w:firstLine="480" w:firstLineChars="200"/>
              <w:rPr>
                <w:sz w:val="24"/>
              </w:rPr>
            </w:pPr>
            <w:r>
              <w:rPr>
                <w:rFonts w:hint="eastAsia"/>
                <w:sz w:val="24"/>
              </w:rPr>
              <w:t>在各监测点采集水生生物及鱼类样本，依据调查手册进行水生生物样本的定性、定量分析，采用鱼类生物学调查方法，进行土著鱼类的生物学测量、解剖，获得土著鱼类的生长、摄食及繁殖等生物学资料，并汇总分析，形成年度监测报告，提交业主。通过施工期的监测，可以获得相对完整的本工程建设前的水生生物背景资料，以便与工程运行后的情况进行对比分析，更加全面的了解和掌握本工程建设对水生生态的影响。</w:t>
            </w:r>
          </w:p>
          <w:p>
            <w:pPr>
              <w:spacing w:line="360" w:lineRule="auto"/>
              <w:ind w:firstLine="480" w:firstLineChars="200"/>
              <w:rPr>
                <w:sz w:val="24"/>
              </w:rPr>
            </w:pPr>
            <w:r>
              <w:rPr>
                <w:rFonts w:hint="eastAsia"/>
                <w:sz w:val="24"/>
              </w:rPr>
              <w:t>（3）土壤</w:t>
            </w:r>
            <w:r>
              <w:rPr>
                <w:sz w:val="24"/>
              </w:rPr>
              <w:t>环境监测</w:t>
            </w:r>
          </w:p>
          <w:p>
            <w:pPr>
              <w:spacing w:line="360" w:lineRule="auto"/>
              <w:ind w:firstLine="480" w:firstLineChars="200"/>
              <w:rPr>
                <w:sz w:val="24"/>
              </w:rPr>
            </w:pPr>
            <w:r>
              <w:rPr>
                <w:rFonts w:hint="eastAsia"/>
                <w:sz w:val="24"/>
              </w:rPr>
              <w:t>①监测点位</w:t>
            </w:r>
          </w:p>
          <w:p>
            <w:pPr>
              <w:spacing w:line="360" w:lineRule="auto"/>
              <w:ind w:firstLine="480" w:firstLineChars="200"/>
              <w:rPr>
                <w:sz w:val="24"/>
              </w:rPr>
            </w:pPr>
            <w:r>
              <w:rPr>
                <w:rFonts w:hint="eastAsia"/>
                <w:sz w:val="24"/>
              </w:rPr>
              <w:t>根据工程特点，拟在工程坝址下游施工区布置监测点位1处，库区周边布置监测点3处，共4处。</w:t>
            </w:r>
          </w:p>
          <w:p>
            <w:pPr>
              <w:spacing w:line="360" w:lineRule="auto"/>
              <w:ind w:firstLine="480" w:firstLineChars="200"/>
              <w:rPr>
                <w:sz w:val="24"/>
              </w:rPr>
            </w:pPr>
            <w:r>
              <w:rPr>
                <w:rFonts w:hint="eastAsia"/>
                <w:sz w:val="24"/>
              </w:rPr>
              <w:t>②监测项目</w:t>
            </w:r>
          </w:p>
          <w:p>
            <w:pPr>
              <w:spacing w:line="360" w:lineRule="auto"/>
              <w:ind w:firstLine="480" w:firstLineChars="200"/>
              <w:rPr>
                <w:sz w:val="24"/>
              </w:rPr>
            </w:pPr>
            <w:r>
              <w:rPr>
                <w:rFonts w:hint="eastAsia"/>
                <w:sz w:val="24"/>
              </w:rPr>
              <w:t>监测项目包括：pH、土壤含盐量（SSC）、镉、汞、砷、铅、铬、铜、镍、锌、阳离子交换量、氧化还原电位、饱和导水率、土壤容重、孔隙度等，同时，各监测点采样时还需补充调查采样点地区地下水埋深、地下水溶解性固体（TDS）。</w:t>
            </w:r>
          </w:p>
          <w:p>
            <w:pPr>
              <w:spacing w:line="360" w:lineRule="auto"/>
              <w:ind w:firstLine="480" w:firstLineChars="200"/>
              <w:rPr>
                <w:sz w:val="24"/>
              </w:rPr>
            </w:pPr>
            <w:r>
              <w:rPr>
                <w:rFonts w:hint="eastAsia"/>
                <w:sz w:val="24"/>
              </w:rPr>
              <w:t>③监测时间与频次</w:t>
            </w:r>
          </w:p>
          <w:p>
            <w:pPr>
              <w:spacing w:line="360" w:lineRule="auto"/>
              <w:ind w:firstLine="480" w:firstLineChars="200"/>
              <w:rPr>
                <w:sz w:val="24"/>
              </w:rPr>
            </w:pPr>
            <w:r>
              <w:rPr>
                <w:rFonts w:hint="eastAsia"/>
                <w:sz w:val="24"/>
              </w:rPr>
              <w:t>监测时段分为施工期和运行期，具体时段为6～8月；工程施工期监测1次；工程运行初期的5年内监测1次，运行中、后期视情况确定监测周期或停止监测。</w:t>
            </w:r>
          </w:p>
          <w:p>
            <w:pPr>
              <w:spacing w:line="360" w:lineRule="auto"/>
              <w:ind w:firstLine="480" w:firstLineChars="200"/>
              <w:rPr>
                <w:sz w:val="24"/>
              </w:rPr>
            </w:pPr>
            <w:r>
              <w:rPr>
                <w:rFonts w:hint="eastAsia"/>
                <w:sz w:val="24"/>
              </w:rPr>
              <w:t>（4）环境</w:t>
            </w:r>
            <w:r>
              <w:rPr>
                <w:sz w:val="24"/>
              </w:rPr>
              <w:t>空气和声环境监测</w:t>
            </w:r>
          </w:p>
          <w:p>
            <w:pPr>
              <w:spacing w:line="360" w:lineRule="auto"/>
              <w:ind w:firstLine="480" w:firstLineChars="200"/>
              <w:rPr>
                <w:sz w:val="24"/>
              </w:rPr>
            </w:pPr>
            <w:r>
              <w:rPr>
                <w:rFonts w:hint="eastAsia"/>
                <w:sz w:val="24"/>
              </w:rPr>
              <w:t>施工期开展环境空气质量、</w:t>
            </w:r>
            <w:r>
              <w:rPr>
                <w:sz w:val="24"/>
              </w:rPr>
              <w:t>声环境质量</w:t>
            </w:r>
            <w:r>
              <w:rPr>
                <w:rFonts w:hint="eastAsia"/>
                <w:sz w:val="24"/>
              </w:rPr>
              <w:t>监测。监测点位、项目、频次要求见表</w:t>
            </w:r>
            <w:r>
              <w:rPr>
                <w:sz w:val="24"/>
              </w:rPr>
              <w:t>13</w:t>
            </w:r>
            <w:r>
              <w:rPr>
                <w:rFonts w:hint="eastAsia"/>
                <w:sz w:val="24"/>
              </w:rPr>
              <w:t>。</w:t>
            </w:r>
          </w:p>
          <w:p>
            <w:pPr>
              <w:jc w:val="left"/>
              <w:rPr>
                <w:rFonts w:ascii="黑体" w:hAnsi="黑体" w:eastAsia="黑体"/>
                <w:sz w:val="24"/>
              </w:rPr>
            </w:pPr>
            <w:r>
              <w:rPr>
                <w:rFonts w:ascii="黑体" w:hAnsi="黑体" w:eastAsia="黑体"/>
                <w:sz w:val="24"/>
              </w:rPr>
              <w:t>表</w:t>
            </w:r>
            <w:r>
              <w:rPr>
                <w:rFonts w:eastAsia="黑体"/>
                <w:sz w:val="24"/>
              </w:rPr>
              <w:t>13</w:t>
            </w:r>
            <w:r>
              <w:rPr>
                <w:rFonts w:ascii="黑体" w:hAnsi="黑体" w:eastAsia="黑体"/>
                <w:sz w:val="24"/>
              </w:rPr>
              <w:t xml:space="preserve">                              </w:t>
            </w:r>
            <w:r>
              <w:rPr>
                <w:rFonts w:hint="eastAsia" w:ascii="黑体" w:hAnsi="黑体" w:eastAsia="黑体"/>
                <w:sz w:val="24"/>
              </w:rPr>
              <w:t>施工期环境空气</w:t>
            </w:r>
            <w:r>
              <w:rPr>
                <w:rFonts w:ascii="黑体" w:hAnsi="黑体" w:eastAsia="黑体"/>
                <w:sz w:val="24"/>
              </w:rPr>
              <w:t>和声环境环境监测计划表</w:t>
            </w:r>
          </w:p>
          <w:tbl>
            <w:tblPr>
              <w:tblStyle w:val="21"/>
              <w:tblW w:w="9312" w:type="dxa"/>
              <w:jc w:val="center"/>
              <w:tblInd w:w="0" w:type="dxa"/>
              <w:tblLayout w:type="fixed"/>
              <w:tblCellMar>
                <w:top w:w="0" w:type="dxa"/>
                <w:left w:w="108" w:type="dxa"/>
                <w:bottom w:w="0" w:type="dxa"/>
                <w:right w:w="108" w:type="dxa"/>
              </w:tblCellMar>
            </w:tblPr>
            <w:tblGrid>
              <w:gridCol w:w="729"/>
              <w:gridCol w:w="1927"/>
              <w:gridCol w:w="1761"/>
              <w:gridCol w:w="2208"/>
              <w:gridCol w:w="2687"/>
            </w:tblGrid>
            <w:tr>
              <w:tblPrEx>
                <w:tblLayout w:type="fixed"/>
                <w:tblCellMar>
                  <w:top w:w="0" w:type="dxa"/>
                  <w:left w:w="108" w:type="dxa"/>
                  <w:bottom w:w="0" w:type="dxa"/>
                  <w:right w:w="108" w:type="dxa"/>
                </w:tblCellMar>
              </w:tblPrEx>
              <w:trPr>
                <w:trHeight w:val="20" w:hRule="atLeast"/>
                <w:jc w:val="center"/>
              </w:trPr>
              <w:tc>
                <w:tcPr>
                  <w:tcW w:w="72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bCs/>
                      <w:kern w:val="0"/>
                      <w:szCs w:val="21"/>
                    </w:rPr>
                  </w:pPr>
                  <w:r>
                    <w:rPr>
                      <w:bCs/>
                      <w:kern w:val="0"/>
                      <w:szCs w:val="21"/>
                    </w:rPr>
                    <w:t>编号</w:t>
                  </w:r>
                </w:p>
              </w:tc>
              <w:tc>
                <w:tcPr>
                  <w:tcW w:w="1927" w:type="dxa"/>
                  <w:tcBorders>
                    <w:top w:val="single" w:color="auto" w:sz="4" w:space="0"/>
                    <w:left w:val="nil"/>
                    <w:bottom w:val="single" w:color="auto" w:sz="4" w:space="0"/>
                    <w:right w:val="single" w:color="auto" w:sz="4" w:space="0"/>
                  </w:tcBorders>
                  <w:shd w:val="clear" w:color="auto" w:fill="auto"/>
                  <w:vAlign w:val="center"/>
                </w:tcPr>
                <w:p>
                  <w:pPr>
                    <w:widowControl/>
                    <w:jc w:val="center"/>
                    <w:rPr>
                      <w:bCs/>
                      <w:kern w:val="0"/>
                      <w:szCs w:val="21"/>
                    </w:rPr>
                  </w:pPr>
                  <w:r>
                    <w:rPr>
                      <w:bCs/>
                      <w:kern w:val="0"/>
                      <w:szCs w:val="21"/>
                    </w:rPr>
                    <w:t>项目</w:t>
                  </w:r>
                </w:p>
              </w:tc>
              <w:tc>
                <w:tcPr>
                  <w:tcW w:w="1761" w:type="dxa"/>
                  <w:tcBorders>
                    <w:top w:val="single" w:color="auto" w:sz="4" w:space="0"/>
                    <w:left w:val="nil"/>
                    <w:bottom w:val="single" w:color="auto" w:sz="4" w:space="0"/>
                    <w:right w:val="single" w:color="auto" w:sz="4" w:space="0"/>
                  </w:tcBorders>
                  <w:shd w:val="clear" w:color="auto" w:fill="auto"/>
                  <w:vAlign w:val="center"/>
                </w:tcPr>
                <w:p>
                  <w:pPr>
                    <w:widowControl/>
                    <w:jc w:val="center"/>
                    <w:rPr>
                      <w:bCs/>
                      <w:kern w:val="0"/>
                      <w:szCs w:val="21"/>
                    </w:rPr>
                  </w:pPr>
                  <w:r>
                    <w:rPr>
                      <w:bCs/>
                      <w:kern w:val="0"/>
                      <w:szCs w:val="21"/>
                    </w:rPr>
                    <w:t>监测点位</w:t>
                  </w:r>
                </w:p>
              </w:tc>
              <w:tc>
                <w:tcPr>
                  <w:tcW w:w="2208" w:type="dxa"/>
                  <w:tcBorders>
                    <w:top w:val="single" w:color="auto" w:sz="4" w:space="0"/>
                    <w:left w:val="nil"/>
                    <w:bottom w:val="single" w:color="auto" w:sz="4" w:space="0"/>
                    <w:right w:val="single" w:color="auto" w:sz="4" w:space="0"/>
                  </w:tcBorders>
                  <w:shd w:val="clear" w:color="auto" w:fill="auto"/>
                  <w:vAlign w:val="center"/>
                </w:tcPr>
                <w:p>
                  <w:pPr>
                    <w:widowControl/>
                    <w:jc w:val="center"/>
                    <w:rPr>
                      <w:bCs/>
                      <w:kern w:val="0"/>
                      <w:szCs w:val="21"/>
                    </w:rPr>
                  </w:pPr>
                  <w:r>
                    <w:rPr>
                      <w:bCs/>
                      <w:kern w:val="0"/>
                      <w:szCs w:val="21"/>
                    </w:rPr>
                    <w:t>监测内容</w:t>
                  </w:r>
                </w:p>
              </w:tc>
              <w:tc>
                <w:tcPr>
                  <w:tcW w:w="2687" w:type="dxa"/>
                  <w:tcBorders>
                    <w:top w:val="single" w:color="auto" w:sz="4" w:space="0"/>
                    <w:left w:val="nil"/>
                    <w:bottom w:val="single" w:color="auto" w:sz="4" w:space="0"/>
                    <w:right w:val="single" w:color="auto" w:sz="4" w:space="0"/>
                  </w:tcBorders>
                  <w:shd w:val="clear" w:color="auto" w:fill="auto"/>
                  <w:vAlign w:val="center"/>
                </w:tcPr>
                <w:p>
                  <w:pPr>
                    <w:widowControl/>
                    <w:jc w:val="center"/>
                    <w:rPr>
                      <w:bCs/>
                      <w:kern w:val="0"/>
                      <w:szCs w:val="21"/>
                    </w:rPr>
                  </w:pPr>
                  <w:r>
                    <w:rPr>
                      <w:bCs/>
                      <w:kern w:val="0"/>
                      <w:szCs w:val="21"/>
                    </w:rPr>
                    <w:t>监测频率及时间</w:t>
                  </w:r>
                </w:p>
              </w:tc>
            </w:tr>
            <w:tr>
              <w:tblPrEx>
                <w:tblLayout w:type="fixed"/>
                <w:tblCellMar>
                  <w:top w:w="0" w:type="dxa"/>
                  <w:left w:w="108" w:type="dxa"/>
                  <w:bottom w:w="0" w:type="dxa"/>
                  <w:right w:w="108" w:type="dxa"/>
                </w:tblCellMar>
              </w:tblPrEx>
              <w:trPr>
                <w:trHeight w:val="20" w:hRule="atLeast"/>
                <w:jc w:val="center"/>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1</w:t>
                  </w:r>
                </w:p>
              </w:tc>
              <w:tc>
                <w:tcPr>
                  <w:tcW w:w="192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大气环境</w:t>
                  </w:r>
                </w:p>
              </w:tc>
              <w:tc>
                <w:tcPr>
                  <w:tcW w:w="176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施工生活区和</w:t>
                  </w:r>
                  <w:r>
                    <w:rPr>
                      <w:kern w:val="0"/>
                      <w:szCs w:val="21"/>
                    </w:rPr>
                    <w:t>鸡心梁村居民点，共2个监测点</w:t>
                  </w:r>
                </w:p>
              </w:tc>
              <w:tc>
                <w:tcPr>
                  <w:tcW w:w="22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TSP、PM</w:t>
                  </w:r>
                  <w:r>
                    <w:rPr>
                      <w:kern w:val="0"/>
                      <w:szCs w:val="21"/>
                      <w:vertAlign w:val="subscript"/>
                    </w:rPr>
                    <w:t>10</w:t>
                  </w:r>
                </w:p>
              </w:tc>
              <w:tc>
                <w:tcPr>
                  <w:tcW w:w="268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施工期每季度监测1次，每次连续监测3天</w:t>
                  </w:r>
                </w:p>
              </w:tc>
            </w:tr>
            <w:tr>
              <w:tblPrEx>
                <w:tblLayout w:type="fixed"/>
                <w:tblCellMar>
                  <w:top w:w="0" w:type="dxa"/>
                  <w:left w:w="108" w:type="dxa"/>
                  <w:bottom w:w="0" w:type="dxa"/>
                  <w:right w:w="108" w:type="dxa"/>
                </w:tblCellMar>
              </w:tblPrEx>
              <w:trPr>
                <w:trHeight w:val="20" w:hRule="atLeast"/>
                <w:jc w:val="center"/>
              </w:trPr>
              <w:tc>
                <w:tcPr>
                  <w:tcW w:w="729" w:type="dxa"/>
                  <w:tcBorders>
                    <w:top w:val="nil"/>
                    <w:left w:val="single" w:color="auto" w:sz="4" w:space="0"/>
                    <w:bottom w:val="single" w:color="auto" w:sz="4" w:space="0"/>
                    <w:right w:val="single" w:color="auto" w:sz="4" w:space="0"/>
                  </w:tcBorders>
                  <w:shd w:val="clear" w:color="auto" w:fill="auto"/>
                  <w:vAlign w:val="center"/>
                </w:tcPr>
                <w:p>
                  <w:pPr>
                    <w:widowControl/>
                    <w:jc w:val="center"/>
                    <w:rPr>
                      <w:kern w:val="0"/>
                      <w:szCs w:val="21"/>
                    </w:rPr>
                  </w:pPr>
                  <w:r>
                    <w:rPr>
                      <w:kern w:val="0"/>
                      <w:szCs w:val="21"/>
                    </w:rPr>
                    <w:t>2</w:t>
                  </w:r>
                </w:p>
              </w:tc>
              <w:tc>
                <w:tcPr>
                  <w:tcW w:w="1927" w:type="dxa"/>
                  <w:tcBorders>
                    <w:top w:val="single" w:color="auto" w:sz="4" w:space="0"/>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声环境</w:t>
                  </w:r>
                </w:p>
              </w:tc>
              <w:tc>
                <w:tcPr>
                  <w:tcW w:w="1761"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rFonts w:hint="eastAsia"/>
                      <w:kern w:val="0"/>
                      <w:szCs w:val="21"/>
                    </w:rPr>
                    <w:t>施工生活区和鸡心梁村</w:t>
                  </w:r>
                  <w:r>
                    <w:rPr>
                      <w:kern w:val="0"/>
                      <w:szCs w:val="21"/>
                    </w:rPr>
                    <w:t>居民点，共2个监测点</w:t>
                  </w:r>
                </w:p>
              </w:tc>
              <w:tc>
                <w:tcPr>
                  <w:tcW w:w="2208"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等效连续A声级</w:t>
                  </w:r>
                </w:p>
              </w:tc>
              <w:tc>
                <w:tcPr>
                  <w:tcW w:w="2687" w:type="dxa"/>
                  <w:tcBorders>
                    <w:top w:val="nil"/>
                    <w:left w:val="nil"/>
                    <w:bottom w:val="single" w:color="auto" w:sz="4" w:space="0"/>
                    <w:right w:val="single" w:color="auto" w:sz="4" w:space="0"/>
                  </w:tcBorders>
                  <w:shd w:val="clear" w:color="auto" w:fill="auto"/>
                  <w:vAlign w:val="center"/>
                </w:tcPr>
                <w:p>
                  <w:pPr>
                    <w:widowControl/>
                    <w:jc w:val="center"/>
                    <w:rPr>
                      <w:kern w:val="0"/>
                      <w:szCs w:val="21"/>
                    </w:rPr>
                  </w:pPr>
                  <w:r>
                    <w:rPr>
                      <w:kern w:val="0"/>
                      <w:szCs w:val="21"/>
                    </w:rPr>
                    <w:t>施工期每季监测1</w:t>
                  </w:r>
                  <w:r>
                    <w:rPr>
                      <w:rFonts w:hint="eastAsia"/>
                      <w:kern w:val="0"/>
                      <w:szCs w:val="21"/>
                    </w:rPr>
                    <w:t>天</w:t>
                  </w:r>
                  <w:r>
                    <w:rPr>
                      <w:kern w:val="0"/>
                      <w:szCs w:val="21"/>
                    </w:rPr>
                    <w:t>；每天监测时段10：00、14：00、22：00</w:t>
                  </w:r>
                </w:p>
              </w:tc>
            </w:tr>
          </w:tbl>
          <w:p>
            <w:pPr>
              <w:spacing w:line="360" w:lineRule="auto"/>
              <w:ind w:firstLine="480" w:firstLineChars="200"/>
              <w:rPr>
                <w:sz w:val="24"/>
              </w:rPr>
            </w:pPr>
          </w:p>
          <w:p>
            <w:pPr>
              <w:spacing w:line="360" w:lineRule="auto"/>
              <w:rPr>
                <w:b/>
                <w:sz w:val="24"/>
              </w:rPr>
            </w:pPr>
          </w:p>
          <w:p>
            <w:pPr>
              <w:spacing w:line="360" w:lineRule="auto"/>
              <w:rPr>
                <w:b/>
                <w:sz w:val="24"/>
              </w:rPr>
            </w:pPr>
            <w:r>
              <w:rPr>
                <w:b/>
                <w:sz w:val="24"/>
              </w:rPr>
              <w:t>四、建设项目竣工环境保护验收</w:t>
            </w:r>
          </w:p>
          <w:p>
            <w:pPr>
              <w:adjustRightInd w:val="0"/>
              <w:snapToGrid w:val="0"/>
              <w:spacing w:line="360" w:lineRule="auto"/>
              <w:ind w:firstLine="480" w:firstLineChars="200"/>
              <w:rPr>
                <w:sz w:val="24"/>
              </w:rPr>
            </w:pPr>
            <w:r>
              <w:rPr>
                <w:sz w:val="24"/>
              </w:rPr>
              <w:t>按照《建设项目竣工环境保护验收管理办法》要求，对与建设项目有关的各项环境保护设施，包括为防治污染和保护环境所建成或配备的工程、设备、装置和监测手段，各项生态保护设施，环境影响报告表和有关项目设计文件规定应采取的其它各项环境保护措施进行验收。</w:t>
            </w:r>
          </w:p>
          <w:p>
            <w:pPr>
              <w:adjustRightInd w:val="0"/>
              <w:snapToGrid w:val="0"/>
              <w:spacing w:line="360" w:lineRule="auto"/>
              <w:ind w:firstLine="480" w:firstLineChars="200"/>
              <w:rPr>
                <w:sz w:val="24"/>
              </w:rPr>
            </w:pPr>
            <w:r>
              <w:rPr>
                <w:sz w:val="24"/>
              </w:rPr>
              <w:t>（1）建设单位负责组织单项工程验收、专项环境保护工程验收、工程建设阶段验收。</w:t>
            </w:r>
          </w:p>
          <w:p>
            <w:pPr>
              <w:adjustRightInd w:val="0"/>
              <w:snapToGrid w:val="0"/>
              <w:spacing w:line="360" w:lineRule="auto"/>
              <w:ind w:firstLine="480" w:firstLineChars="200"/>
              <w:rPr>
                <w:sz w:val="24"/>
              </w:rPr>
            </w:pPr>
            <w:r>
              <w:rPr>
                <w:sz w:val="24"/>
              </w:rPr>
              <w:t>（2）建设单位按照“三同时”原则，在主体工程验收时进行专项或综合环境保护验收。</w:t>
            </w:r>
          </w:p>
          <w:p>
            <w:pPr>
              <w:adjustRightInd w:val="0"/>
              <w:snapToGrid w:val="0"/>
              <w:spacing w:line="360" w:lineRule="auto"/>
              <w:ind w:firstLine="480" w:firstLineChars="200"/>
              <w:rPr>
                <w:sz w:val="24"/>
              </w:rPr>
            </w:pPr>
            <w:r>
              <w:rPr>
                <w:sz w:val="24"/>
              </w:rPr>
              <w:t>（3）建设单位按环境保护验收程序。</w:t>
            </w:r>
          </w:p>
          <w:p>
            <w:pPr>
              <w:adjustRightInd w:val="0"/>
              <w:snapToGrid w:val="0"/>
              <w:spacing w:line="360" w:lineRule="auto"/>
              <w:ind w:firstLine="480" w:firstLineChars="200"/>
              <w:rPr>
                <w:kern w:val="0"/>
                <w:sz w:val="24"/>
              </w:rPr>
            </w:pPr>
            <w:r>
              <w:rPr>
                <w:sz w:val="24"/>
              </w:rPr>
              <w:t>（4）工程试运行结束后，建设单位自行或委托具有相应能力的环境影响评价机构编制工程环保竣工验收调查报告。</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121" w:hRule="atLeast"/>
          <w:jc w:val="center"/>
        </w:trPr>
        <w:tc>
          <w:tcPr>
            <w:tcW w:w="426" w:type="dxa"/>
            <w:vAlign w:val="center"/>
          </w:tcPr>
          <w:p>
            <w:pPr>
              <w:adjustRightInd w:val="0"/>
              <w:snapToGrid w:val="0"/>
              <w:jc w:val="center"/>
              <w:rPr>
                <w:rFonts w:ascii="宋体" w:hAnsi="宋体" w:cs="宋体"/>
                <w:bCs/>
                <w:spacing w:val="10"/>
                <w:szCs w:val="21"/>
              </w:rPr>
            </w:pPr>
            <w:r>
              <w:rPr>
                <w:rFonts w:hint="eastAsia" w:ascii="宋体" w:hAnsi="宋体"/>
                <w:bCs/>
                <w:szCs w:val="21"/>
              </w:rPr>
              <w:t>环保投资</w:t>
            </w:r>
          </w:p>
        </w:tc>
        <w:tc>
          <w:tcPr>
            <w:tcW w:w="9542" w:type="dxa"/>
          </w:tcPr>
          <w:p>
            <w:pPr>
              <w:adjustRightInd w:val="0"/>
              <w:snapToGrid w:val="0"/>
              <w:spacing w:before="120" w:beforeLines="50" w:line="360" w:lineRule="auto"/>
              <w:ind w:firstLine="480" w:firstLineChars="200"/>
              <w:rPr>
                <w:sz w:val="24"/>
              </w:rPr>
            </w:pPr>
            <w:r>
              <w:rPr>
                <w:sz w:val="24"/>
              </w:rPr>
              <w:t>本工程环境保护措施投资为803.03万元，</w:t>
            </w:r>
            <w:r>
              <w:rPr>
                <w:rFonts w:hint="eastAsia"/>
                <w:sz w:val="24"/>
              </w:rPr>
              <w:t>占</w:t>
            </w:r>
            <w:r>
              <w:rPr>
                <w:sz w:val="24"/>
              </w:rPr>
              <w:t>工程总投资的3.80%，其中</w:t>
            </w:r>
            <w:r>
              <w:rPr>
                <w:rFonts w:hint="eastAsia"/>
                <w:sz w:val="24"/>
              </w:rPr>
              <w:t>环境保护措施费</w:t>
            </w:r>
            <w:r>
              <w:rPr>
                <w:sz w:val="24"/>
              </w:rPr>
              <w:t>35</w:t>
            </w:r>
            <w:r>
              <w:rPr>
                <w:rFonts w:hint="eastAsia"/>
                <w:sz w:val="24"/>
              </w:rPr>
              <w:t>万元，</w:t>
            </w:r>
            <w:r>
              <w:rPr>
                <w:sz w:val="24"/>
              </w:rPr>
              <w:t>环境监测费162.2万元，仪器设备及安装费147.53万元，环境保护临时措施费160.73万元，独立费用224.56万元，详见表14。</w:t>
            </w:r>
          </w:p>
          <w:p>
            <w:pPr>
              <w:jc w:val="left"/>
              <w:rPr>
                <w:rFonts w:eastAsia="黑体"/>
                <w:szCs w:val="21"/>
              </w:rPr>
            </w:pPr>
            <w:r>
              <w:rPr>
                <w:rFonts w:ascii="黑体" w:hAnsi="黑体" w:eastAsia="黑体"/>
                <w:sz w:val="24"/>
              </w:rPr>
              <w:t>表</w:t>
            </w:r>
            <w:r>
              <w:rPr>
                <w:rFonts w:eastAsia="黑体"/>
                <w:sz w:val="24"/>
              </w:rPr>
              <w:t xml:space="preserve">14 </w:t>
            </w:r>
            <w:r>
              <w:rPr>
                <w:rFonts w:ascii="黑体" w:hAnsi="黑体" w:eastAsia="黑体"/>
                <w:sz w:val="24"/>
              </w:rPr>
              <w:t xml:space="preserve">                         环境保护投资概算表                  单位：万元</w:t>
            </w:r>
          </w:p>
          <w:tbl>
            <w:tblPr>
              <w:tblStyle w:val="21"/>
              <w:tblW w:w="9326" w:type="dxa"/>
              <w:tblInd w:w="0" w:type="dxa"/>
              <w:tblLayout w:type="fixed"/>
              <w:tblCellMar>
                <w:top w:w="0" w:type="dxa"/>
                <w:left w:w="108" w:type="dxa"/>
                <w:bottom w:w="0" w:type="dxa"/>
                <w:right w:w="108" w:type="dxa"/>
              </w:tblCellMar>
            </w:tblPr>
            <w:tblGrid>
              <w:gridCol w:w="741"/>
              <w:gridCol w:w="3871"/>
              <w:gridCol w:w="846"/>
              <w:gridCol w:w="1126"/>
              <w:gridCol w:w="1266"/>
              <w:gridCol w:w="1476"/>
            </w:tblGrid>
            <w:tr>
              <w:tblPrEx>
                <w:tblLayout w:type="fixed"/>
                <w:tblCellMar>
                  <w:top w:w="0" w:type="dxa"/>
                  <w:left w:w="108" w:type="dxa"/>
                  <w:bottom w:w="0" w:type="dxa"/>
                  <w:right w:w="108" w:type="dxa"/>
                </w:tblCellMar>
              </w:tblPrEx>
              <w:trPr>
                <w:trHeight w:val="270" w:hRule="atLeast"/>
              </w:trPr>
              <w:tc>
                <w:tcPr>
                  <w:tcW w:w="741"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序号</w:t>
                  </w:r>
                </w:p>
              </w:tc>
              <w:tc>
                <w:tcPr>
                  <w:tcW w:w="3871"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工程费用或名称</w:t>
                  </w:r>
                </w:p>
              </w:tc>
              <w:tc>
                <w:tcPr>
                  <w:tcW w:w="8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单位</w:t>
                  </w:r>
                </w:p>
              </w:tc>
              <w:tc>
                <w:tcPr>
                  <w:tcW w:w="1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数量</w:t>
                  </w:r>
                </w:p>
              </w:tc>
              <w:tc>
                <w:tcPr>
                  <w:tcW w:w="12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单价（元）</w:t>
                  </w:r>
                </w:p>
              </w:tc>
              <w:tc>
                <w:tcPr>
                  <w:tcW w:w="14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合计（万元）</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第一部分  环境保护措施</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35.00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水质保护</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33.00 </w:t>
                  </w:r>
                </w:p>
              </w:tc>
            </w:tr>
            <w:tr>
              <w:tblPrEx>
                <w:tblLayout w:type="fixed"/>
                <w:tblCellMar>
                  <w:top w:w="0" w:type="dxa"/>
                  <w:left w:w="108" w:type="dxa"/>
                  <w:bottom w:w="0" w:type="dxa"/>
                  <w:right w:w="108" w:type="dxa"/>
                </w:tblCellMar>
              </w:tblPrEx>
              <w:trPr>
                <w:trHeight w:val="28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 xml:space="preserve"> 3.75m</w:t>
                  </w:r>
                  <w:r>
                    <w:rPr>
                      <w:rFonts w:hint="eastAsia" w:cs="宋体"/>
                      <w:kern w:val="0"/>
                      <w:szCs w:val="21"/>
                      <w:vertAlign w:val="superscript"/>
                    </w:rPr>
                    <w:t>3</w:t>
                  </w:r>
                  <w:r>
                    <w:rPr>
                      <w:rFonts w:hint="eastAsia" w:cs="宋体"/>
                      <w:kern w:val="0"/>
                      <w:szCs w:val="21"/>
                    </w:rPr>
                    <w:t>钢筋混凝土化粪池(管理站)</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座</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3.00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蓄水池</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rFonts w:hint="eastAsia" w:cs="宋体"/>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100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30.00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生活垃圾处理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垃圾收集站（成品环保垃圾房）</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个</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2.00 </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第二部分  环境监测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162.20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水环境监测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21.40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施工期水质监测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个</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9.00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施工期生产废水监测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个</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9.60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施工期生活污水监测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个</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3500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2.80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声环境监测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个</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19.20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环境空气监测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个</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4500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21.60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4</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水生生态监测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期</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500000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50.00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5</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土壤监测</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期</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500000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50.00 </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第三部分  仪器设备及安装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147.53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废（污）水处理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72.73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生产废水处理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38.73 </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①</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砂石料加工废水</w:t>
                  </w:r>
                </w:p>
              </w:tc>
              <w:tc>
                <w:tcPr>
                  <w:tcW w:w="846"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25.01 </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污泥提升泵</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4</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14400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5.76</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GW-450型管式静态混合器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33200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3.32</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JY-Ⅱ型加药机</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21700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2.17</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螺旋式砂水分离器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55300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5.53</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回用水泵</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14400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2.88</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刮泥机</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53500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5.35</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②</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混凝土拌和废水处理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2.52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50WQ10-10-0.7潜水排污泵</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12600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2.52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③</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机械保养含油废水处理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8.40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50WQ10-10-0.75潜水排污泵</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14000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5.60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浮子撇油器</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14000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2.80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④</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基坑排水处理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2.80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50WQ10-10-0.75潜水排污泵</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14000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2.80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生活污水处理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34.00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①</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一体化成套处理设备</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22.00 </w:t>
                  </w:r>
                </w:p>
              </w:tc>
            </w:tr>
            <w:tr>
              <w:tblPrEx>
                <w:tblLayout w:type="fixed"/>
                <w:tblCellMar>
                  <w:top w:w="0" w:type="dxa"/>
                  <w:left w:w="108" w:type="dxa"/>
                  <w:bottom w:w="0" w:type="dxa"/>
                  <w:right w:w="108" w:type="dxa"/>
                </w:tblCellMar>
              </w:tblPrEx>
              <w:trPr>
                <w:trHeight w:val="30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xml:space="preserve">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一体化成套处理设备 30m</w:t>
                  </w:r>
                  <w:r>
                    <w:rPr>
                      <w:rFonts w:hint="eastAsia" w:cs="宋体"/>
                      <w:kern w:val="0"/>
                      <w:szCs w:val="21"/>
                      <w:vertAlign w:val="superscript"/>
                    </w:rPr>
                    <w:t>3</w:t>
                  </w:r>
                  <w:r>
                    <w:rPr>
                      <w:rFonts w:hint="eastAsia" w:cs="宋体"/>
                      <w:kern w:val="0"/>
                      <w:szCs w:val="21"/>
                    </w:rPr>
                    <w:t xml:space="preserve">/d（生活区）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套</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150000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15.00 </w:t>
                  </w:r>
                </w:p>
              </w:tc>
            </w:tr>
            <w:tr>
              <w:tblPrEx>
                <w:tblLayout w:type="fixed"/>
                <w:tblCellMar>
                  <w:top w:w="0" w:type="dxa"/>
                  <w:left w:w="108" w:type="dxa"/>
                  <w:bottom w:w="0" w:type="dxa"/>
                  <w:right w:w="108" w:type="dxa"/>
                </w:tblCellMar>
              </w:tblPrEx>
              <w:trPr>
                <w:trHeight w:val="30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xml:space="preserve">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一体化成套处理设备 2.5m</w:t>
                  </w:r>
                  <w:r>
                    <w:rPr>
                      <w:rFonts w:hint="eastAsia" w:cs="宋体"/>
                      <w:kern w:val="0"/>
                      <w:szCs w:val="21"/>
                      <w:vertAlign w:val="superscript"/>
                    </w:rPr>
                    <w:t>3</w:t>
                  </w:r>
                  <w:r>
                    <w:rPr>
                      <w:rFonts w:hint="eastAsia" w:cs="宋体"/>
                      <w:kern w:val="0"/>
                      <w:szCs w:val="21"/>
                    </w:rPr>
                    <w:t xml:space="preserve">/d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套</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70000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7.00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②</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抽粪车</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台</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120000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12.00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环境空气</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12.00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洒水车</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辆</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120000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12.00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固体废物</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12.80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垃圾清运车</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辆</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120000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12.00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垃圾桶（240L）</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个</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800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0.80 </w:t>
                  </w:r>
                </w:p>
              </w:tc>
            </w:tr>
            <w:tr>
              <w:tblPrEx>
                <w:tblLayout w:type="fixed"/>
                <w:tblCellMar>
                  <w:top w:w="0" w:type="dxa"/>
                  <w:left w:w="108" w:type="dxa"/>
                  <w:bottom w:w="0" w:type="dxa"/>
                  <w:right w:w="108" w:type="dxa"/>
                </w:tblCellMar>
              </w:tblPrEx>
              <w:trPr>
                <w:trHeight w:val="28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4</w:t>
                  </w:r>
                </w:p>
              </w:tc>
              <w:tc>
                <w:tcPr>
                  <w:tcW w:w="3871" w:type="dxa"/>
                  <w:tcBorders>
                    <w:top w:val="nil"/>
                    <w:left w:val="nil"/>
                    <w:bottom w:val="single" w:color="auto" w:sz="8" w:space="0"/>
                    <w:right w:val="single" w:color="auto" w:sz="8" w:space="0"/>
                  </w:tcBorders>
                  <w:shd w:val="clear" w:color="auto" w:fill="auto"/>
                  <w:noWrap/>
                  <w:vAlign w:val="center"/>
                </w:tcPr>
                <w:p>
                  <w:pPr>
                    <w:widowControl/>
                    <w:jc w:val="left"/>
                    <w:rPr>
                      <w:rFonts w:cs="宋体"/>
                      <w:kern w:val="0"/>
                      <w:szCs w:val="21"/>
                    </w:rPr>
                  </w:pPr>
                  <w:r>
                    <w:rPr>
                      <w:rFonts w:hint="eastAsia" w:cs="宋体"/>
                      <w:kern w:val="0"/>
                      <w:szCs w:val="21"/>
                    </w:rPr>
                    <w:t>生态流量监测</w:t>
                  </w:r>
                </w:p>
              </w:tc>
              <w:tc>
                <w:tcPr>
                  <w:tcW w:w="846" w:type="dxa"/>
                  <w:tcBorders>
                    <w:top w:val="nil"/>
                    <w:left w:val="nil"/>
                    <w:bottom w:val="single" w:color="auto" w:sz="8" w:space="0"/>
                    <w:right w:val="single" w:color="auto" w:sz="8" w:space="0"/>
                  </w:tcBorders>
                  <w:shd w:val="clear" w:color="auto" w:fill="auto"/>
                  <w:noWrap/>
                  <w:vAlign w:val="center"/>
                </w:tcPr>
                <w:p>
                  <w:pPr>
                    <w:widowControl/>
                    <w:jc w:val="center"/>
                    <w:rPr>
                      <w:kern w:val="0"/>
                      <w:szCs w:val="21"/>
                    </w:rPr>
                  </w:pPr>
                  <w:r>
                    <w:rPr>
                      <w:kern w:val="0"/>
                      <w:szCs w:val="21"/>
                    </w:rPr>
                    <w:t>　</w:t>
                  </w:r>
                </w:p>
              </w:tc>
              <w:tc>
                <w:tcPr>
                  <w:tcW w:w="1126" w:type="dxa"/>
                  <w:tcBorders>
                    <w:top w:val="nil"/>
                    <w:left w:val="nil"/>
                    <w:bottom w:val="single" w:color="auto" w:sz="8" w:space="0"/>
                    <w:right w:val="single" w:color="auto" w:sz="8"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8" w:space="0"/>
                    <w:right w:val="single" w:color="auto" w:sz="8"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8" w:space="0"/>
                    <w:right w:val="single" w:color="auto" w:sz="8" w:space="0"/>
                  </w:tcBorders>
                  <w:shd w:val="clear" w:color="auto" w:fill="auto"/>
                  <w:noWrap/>
                  <w:vAlign w:val="center"/>
                </w:tcPr>
                <w:p>
                  <w:pPr>
                    <w:widowControl/>
                    <w:jc w:val="center"/>
                    <w:rPr>
                      <w:kern w:val="0"/>
                      <w:szCs w:val="21"/>
                    </w:rPr>
                  </w:pPr>
                  <w:r>
                    <w:rPr>
                      <w:kern w:val="0"/>
                      <w:szCs w:val="21"/>
                    </w:rPr>
                    <w:t>50</w:t>
                  </w:r>
                </w:p>
              </w:tc>
            </w:tr>
            <w:tr>
              <w:tblPrEx>
                <w:tblLayout w:type="fixed"/>
                <w:tblCellMar>
                  <w:top w:w="0" w:type="dxa"/>
                  <w:left w:w="108" w:type="dxa"/>
                  <w:bottom w:w="0" w:type="dxa"/>
                  <w:right w:w="108" w:type="dxa"/>
                </w:tblCellMar>
              </w:tblPrEx>
              <w:trPr>
                <w:trHeight w:val="28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8" w:space="0"/>
                    <w:right w:val="single" w:color="auto" w:sz="8" w:space="0"/>
                  </w:tcBorders>
                  <w:shd w:val="clear" w:color="auto" w:fill="auto"/>
                  <w:noWrap/>
                  <w:vAlign w:val="center"/>
                </w:tcPr>
                <w:p>
                  <w:pPr>
                    <w:widowControl/>
                    <w:jc w:val="left"/>
                    <w:rPr>
                      <w:rFonts w:cs="宋体"/>
                      <w:kern w:val="0"/>
                      <w:szCs w:val="21"/>
                    </w:rPr>
                  </w:pPr>
                  <w:r>
                    <w:rPr>
                      <w:rFonts w:hint="eastAsia" w:cs="宋体"/>
                      <w:kern w:val="0"/>
                      <w:szCs w:val="21"/>
                    </w:rPr>
                    <w:t>生态流量监测设备</w:t>
                  </w:r>
                </w:p>
              </w:tc>
              <w:tc>
                <w:tcPr>
                  <w:tcW w:w="846" w:type="dxa"/>
                  <w:tcBorders>
                    <w:top w:val="nil"/>
                    <w:left w:val="nil"/>
                    <w:bottom w:val="single" w:color="auto" w:sz="8" w:space="0"/>
                    <w:right w:val="single" w:color="auto" w:sz="8" w:space="0"/>
                  </w:tcBorders>
                  <w:shd w:val="clear" w:color="auto" w:fill="auto"/>
                  <w:noWrap/>
                  <w:vAlign w:val="center"/>
                </w:tcPr>
                <w:p>
                  <w:pPr>
                    <w:widowControl/>
                    <w:jc w:val="center"/>
                    <w:rPr>
                      <w:rFonts w:cs="宋体"/>
                      <w:kern w:val="0"/>
                      <w:szCs w:val="21"/>
                    </w:rPr>
                  </w:pPr>
                  <w:r>
                    <w:rPr>
                      <w:rFonts w:hint="eastAsia" w:cs="宋体"/>
                      <w:kern w:val="0"/>
                      <w:szCs w:val="21"/>
                    </w:rPr>
                    <w:t>套</w:t>
                  </w:r>
                </w:p>
              </w:tc>
              <w:tc>
                <w:tcPr>
                  <w:tcW w:w="1126" w:type="dxa"/>
                  <w:tcBorders>
                    <w:top w:val="nil"/>
                    <w:left w:val="nil"/>
                    <w:bottom w:val="single" w:color="auto" w:sz="8" w:space="0"/>
                    <w:right w:val="single" w:color="auto" w:sz="8"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8" w:space="0"/>
                    <w:right w:val="single" w:color="auto" w:sz="8" w:space="0"/>
                  </w:tcBorders>
                  <w:shd w:val="clear" w:color="auto" w:fill="auto"/>
                  <w:noWrap/>
                  <w:vAlign w:val="center"/>
                </w:tcPr>
                <w:p>
                  <w:pPr>
                    <w:widowControl/>
                    <w:jc w:val="center"/>
                    <w:rPr>
                      <w:kern w:val="0"/>
                      <w:szCs w:val="21"/>
                    </w:rPr>
                  </w:pPr>
                  <w:r>
                    <w:rPr>
                      <w:kern w:val="0"/>
                      <w:szCs w:val="21"/>
                    </w:rPr>
                    <w:t>500000</w:t>
                  </w:r>
                </w:p>
              </w:tc>
              <w:tc>
                <w:tcPr>
                  <w:tcW w:w="1476" w:type="dxa"/>
                  <w:tcBorders>
                    <w:top w:val="nil"/>
                    <w:left w:val="nil"/>
                    <w:bottom w:val="single" w:color="auto" w:sz="8" w:space="0"/>
                    <w:right w:val="single" w:color="auto" w:sz="8" w:space="0"/>
                  </w:tcBorders>
                  <w:shd w:val="clear" w:color="auto" w:fill="auto"/>
                  <w:noWrap/>
                  <w:vAlign w:val="center"/>
                </w:tcPr>
                <w:p>
                  <w:pPr>
                    <w:widowControl/>
                    <w:jc w:val="center"/>
                    <w:rPr>
                      <w:kern w:val="0"/>
                      <w:szCs w:val="21"/>
                    </w:rPr>
                  </w:pPr>
                  <w:r>
                    <w:rPr>
                      <w:kern w:val="0"/>
                      <w:szCs w:val="21"/>
                    </w:rPr>
                    <w:t>50</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第四部分  环境保护临时措施　</w:t>
                  </w:r>
                </w:p>
              </w:tc>
              <w:tc>
                <w:tcPr>
                  <w:tcW w:w="84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single" w:color="auto" w:sz="4" w:space="0"/>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160.73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废（污）水处理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97.42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生产废水处理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79.92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①</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砂石料加工废水</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43.56 </w:t>
                  </w:r>
                </w:p>
              </w:tc>
            </w:tr>
            <w:tr>
              <w:tblPrEx>
                <w:tblLayout w:type="fixed"/>
                <w:tblCellMar>
                  <w:top w:w="0" w:type="dxa"/>
                  <w:left w:w="108" w:type="dxa"/>
                  <w:bottom w:w="0" w:type="dxa"/>
                  <w:right w:w="108" w:type="dxa"/>
                </w:tblCellMar>
              </w:tblPrEx>
              <w:trPr>
                <w:trHeight w:val="31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土方开挖</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2075.05</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22.04</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4.57 </w:t>
                  </w:r>
                </w:p>
              </w:tc>
            </w:tr>
            <w:tr>
              <w:tblPrEx>
                <w:tblLayout w:type="fixed"/>
                <w:tblCellMar>
                  <w:top w:w="0" w:type="dxa"/>
                  <w:left w:w="108" w:type="dxa"/>
                  <w:bottom w:w="0" w:type="dxa"/>
                  <w:right w:w="108" w:type="dxa"/>
                </w:tblCellMar>
              </w:tblPrEx>
              <w:trPr>
                <w:trHeight w:val="31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土方回填</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1599.85</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36.73</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5.88 </w:t>
                  </w:r>
                </w:p>
              </w:tc>
            </w:tr>
            <w:tr>
              <w:tblPrEx>
                <w:tblLayout w:type="fixed"/>
                <w:tblCellMar>
                  <w:top w:w="0" w:type="dxa"/>
                  <w:left w:w="108" w:type="dxa"/>
                  <w:bottom w:w="0" w:type="dxa"/>
                  <w:right w:w="108" w:type="dxa"/>
                </w:tblCellMar>
              </w:tblPrEx>
              <w:trPr>
                <w:trHeight w:val="31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C25钢筋混凝土</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145.09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623.89</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9.05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钢筋制安</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t</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17.41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9708.92</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16.90 </w:t>
                  </w:r>
                </w:p>
              </w:tc>
            </w:tr>
            <w:tr>
              <w:tblPrEx>
                <w:tblLayout w:type="fixed"/>
                <w:tblCellMar>
                  <w:top w:w="0" w:type="dxa"/>
                  <w:left w:w="108" w:type="dxa"/>
                  <w:bottom w:w="0" w:type="dxa"/>
                  <w:right w:w="108" w:type="dxa"/>
                </w:tblCellMar>
              </w:tblPrEx>
              <w:trPr>
                <w:trHeight w:val="31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C10混凝土垫层</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27.88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594.01</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1.66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运行管理费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月</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2500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5.50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②</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混凝土拌和废水处理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29.08 </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土方开挖</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537.372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22.04</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1.18 </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土方回填</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441.372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36.73</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1.62 </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C25钢筋混凝土</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69.048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623.89</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4.31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钢筋制安</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t</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8.2857</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9708.92</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8.04 </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C10混凝土垫层</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7.176</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594.01</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0.43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运行管理费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月</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2500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13.50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③</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机械保养含油废水处理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7.27 </w:t>
                  </w:r>
                </w:p>
              </w:tc>
            </w:tr>
            <w:tr>
              <w:tblPrEx>
                <w:tblLayout w:type="fixed"/>
                <w:tblCellMar>
                  <w:top w:w="0" w:type="dxa"/>
                  <w:left w:w="108" w:type="dxa"/>
                  <w:bottom w:w="0" w:type="dxa"/>
                  <w:right w:w="108" w:type="dxa"/>
                </w:tblCellMar>
              </w:tblPrEx>
              <w:trPr>
                <w:trHeight w:val="31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土方开挖</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67.15</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22.04</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0.15 </w:t>
                  </w:r>
                </w:p>
              </w:tc>
            </w:tr>
            <w:tr>
              <w:tblPrEx>
                <w:tblLayout w:type="fixed"/>
                <w:tblCellMar>
                  <w:top w:w="0" w:type="dxa"/>
                  <w:left w:w="108" w:type="dxa"/>
                  <w:bottom w:w="0" w:type="dxa"/>
                  <w:right w:w="108" w:type="dxa"/>
                </w:tblCellMar>
              </w:tblPrEx>
              <w:trPr>
                <w:trHeight w:val="31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土方回填</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62.75</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36.73</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0.23 </w:t>
                  </w:r>
                </w:p>
              </w:tc>
            </w:tr>
            <w:tr>
              <w:tblPrEx>
                <w:tblLayout w:type="fixed"/>
                <w:tblCellMar>
                  <w:top w:w="0" w:type="dxa"/>
                  <w:left w:w="108" w:type="dxa"/>
                  <w:bottom w:w="0" w:type="dxa"/>
                  <w:right w:w="108" w:type="dxa"/>
                </w:tblCellMar>
              </w:tblPrEx>
              <w:trPr>
                <w:trHeight w:val="31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C25钢筋混凝土</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7.5</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623.89</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0.47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钢筋制安</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t</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0.9</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9708.92</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0.87 </w:t>
                  </w:r>
                </w:p>
              </w:tc>
            </w:tr>
            <w:tr>
              <w:tblPrEx>
                <w:tblLayout w:type="fixed"/>
                <w:tblCellMar>
                  <w:top w:w="0" w:type="dxa"/>
                  <w:left w:w="108" w:type="dxa"/>
                  <w:bottom w:w="0" w:type="dxa"/>
                  <w:right w:w="108" w:type="dxa"/>
                </w:tblCellMar>
              </w:tblPrEx>
              <w:trPr>
                <w:trHeight w:val="31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C10混凝土垫层</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m</w:t>
                  </w:r>
                  <w:r>
                    <w:rPr>
                      <w:kern w:val="0"/>
                      <w:szCs w:val="21"/>
                      <w:vertAlign w:val="superscript"/>
                    </w:rPr>
                    <w:t>3</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0.92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594.01</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0.05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运行管理费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月</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2500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5.50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生活污水处理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17.50 </w:t>
                  </w:r>
                </w:p>
              </w:tc>
            </w:tr>
            <w:tr>
              <w:tblPrEx>
                <w:tblLayout w:type="fixed"/>
                <w:tblCellMar>
                  <w:top w:w="0" w:type="dxa"/>
                  <w:left w:w="108" w:type="dxa"/>
                  <w:bottom w:w="0" w:type="dxa"/>
                  <w:right w:w="108" w:type="dxa"/>
                </w:tblCellMar>
              </w:tblPrEx>
              <w:trPr>
                <w:trHeight w:val="285"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30m</w:t>
                  </w:r>
                  <w:r>
                    <w:rPr>
                      <w:rFonts w:hint="eastAsia" w:cs="宋体"/>
                      <w:kern w:val="0"/>
                      <w:szCs w:val="21"/>
                      <w:vertAlign w:val="superscript"/>
                    </w:rPr>
                    <w:t>3</w:t>
                  </w:r>
                  <w:r>
                    <w:rPr>
                      <w:rFonts w:hint="eastAsia" w:cs="宋体"/>
                      <w:kern w:val="0"/>
                      <w:szCs w:val="21"/>
                    </w:rPr>
                    <w:t>玻璃钢化粪池</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座</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4.00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运行管理费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月</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2500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13.50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粪便污水处理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25.00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移动式真空环保厕所</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座</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25000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25.00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生活垃圾处理</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13.69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垃圾收集站（成品环保垃圾房）</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个</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垃圾清运</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t</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233.8</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11.69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4</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危废处置（暂存、转运）</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16.60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危废处置转运</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次</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6.60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危废暂存间</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座</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100000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10.00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5</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人群健康保护</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7.62 </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卫生清理费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元</w:t>
                  </w:r>
                  <w:r>
                    <w:rPr>
                      <w:kern w:val="0"/>
                      <w:szCs w:val="21"/>
                    </w:rPr>
                    <w:t>/m</w:t>
                  </w:r>
                  <w:r>
                    <w:rPr>
                      <w:kern w:val="0"/>
                      <w:szCs w:val="21"/>
                      <w:vertAlign w:val="superscript"/>
                    </w:rPr>
                    <w:t>2</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13950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0.8</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1.12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施工人员抽样检疫</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人</w:t>
                  </w:r>
                  <w:r>
                    <w:rPr>
                      <w:kern w:val="0"/>
                      <w:szCs w:val="21"/>
                    </w:rPr>
                    <w:t>·</w:t>
                  </w:r>
                  <w:r>
                    <w:rPr>
                      <w:rFonts w:hint="eastAsia" w:cs="宋体"/>
                      <w:kern w:val="0"/>
                      <w:szCs w:val="21"/>
                    </w:rPr>
                    <w:t>次</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51</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400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2.04 </w:t>
                  </w:r>
                </w:p>
              </w:tc>
            </w:tr>
            <w:tr>
              <w:tblPrEx>
                <w:tblLayout w:type="fixed"/>
                <w:tblCellMar>
                  <w:top w:w="0" w:type="dxa"/>
                  <w:left w:w="108" w:type="dxa"/>
                  <w:bottom w:w="0" w:type="dxa"/>
                  <w:right w:w="108" w:type="dxa"/>
                </w:tblCellMar>
              </w:tblPrEx>
              <w:trPr>
                <w:trHeight w:val="33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卫生防疫</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元</w:t>
                  </w:r>
                  <w:r>
                    <w:rPr>
                      <w:kern w:val="0"/>
                      <w:szCs w:val="21"/>
                    </w:rPr>
                    <w:t>/m</w:t>
                  </w:r>
                  <w:r>
                    <w:rPr>
                      <w:kern w:val="0"/>
                      <w:szCs w:val="21"/>
                      <w:vertAlign w:val="superscript"/>
                    </w:rPr>
                    <w:t>2</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13950</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3.2</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4.46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6</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环境保护宣传</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0.40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宣传牌</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块</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800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0.40 </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第一至四部分合计</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505.46 </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第五部分  独立费用　</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224.56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建设管理费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47.69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环境管理人员经常费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10.11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环境保护宣传及技术培训费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7.58 </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竣工环保验收技术服务费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30</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环境监理费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月·人</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22</w:t>
                  </w:r>
                  <w:r>
                    <w:rPr>
                      <w:rFonts w:hint="eastAsia"/>
                      <w:kern w:val="0"/>
                      <w:szCs w:val="21"/>
                    </w:rPr>
                    <w:t>月</w:t>
                  </w:r>
                  <w:r>
                    <w:rPr>
                      <w:kern w:val="0"/>
                      <w:szCs w:val="21"/>
                    </w:rPr>
                    <w:t>·2</w:t>
                  </w:r>
                  <w:r>
                    <w:rPr>
                      <w:rFonts w:hint="eastAsia"/>
                      <w:kern w:val="0"/>
                      <w:szCs w:val="21"/>
                    </w:rPr>
                    <w:t>人</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15000</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66</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科研勘测设计咨询费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110.87</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(1)</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科研及特殊专项费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5.05</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(2)</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环评报告表编制费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30</w:t>
                  </w:r>
                </w:p>
              </w:tc>
            </w:tr>
            <w:tr>
              <w:tblPrEx>
                <w:tblLayout w:type="fixed"/>
                <w:tblCellMar>
                  <w:top w:w="0" w:type="dxa"/>
                  <w:left w:w="108" w:type="dxa"/>
                  <w:bottom w:w="0" w:type="dxa"/>
                  <w:right w:w="108" w:type="dxa"/>
                </w:tblCellMar>
              </w:tblPrEx>
              <w:trPr>
                <w:trHeight w:val="270" w:hRule="atLeast"/>
              </w:trPr>
              <w:tc>
                <w:tcPr>
                  <w:tcW w:w="741" w:type="dxa"/>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(3)</w:t>
                  </w:r>
                </w:p>
              </w:tc>
              <w:tc>
                <w:tcPr>
                  <w:tcW w:w="3871" w:type="dxa"/>
                  <w:tcBorders>
                    <w:top w:val="nil"/>
                    <w:left w:val="nil"/>
                    <w:bottom w:val="single" w:color="auto" w:sz="4" w:space="0"/>
                    <w:right w:val="single" w:color="auto" w:sz="4" w:space="0"/>
                  </w:tcBorders>
                  <w:shd w:val="clear" w:color="auto" w:fill="auto"/>
                  <w:noWrap/>
                  <w:vAlign w:val="center"/>
                </w:tcPr>
                <w:p>
                  <w:pPr>
                    <w:widowControl/>
                    <w:jc w:val="left"/>
                    <w:rPr>
                      <w:rFonts w:cs="宋体"/>
                      <w:kern w:val="0"/>
                      <w:szCs w:val="21"/>
                    </w:rPr>
                  </w:pPr>
                  <w:r>
                    <w:rPr>
                      <w:rFonts w:hint="eastAsia" w:cs="宋体"/>
                      <w:kern w:val="0"/>
                      <w:szCs w:val="21"/>
                    </w:rPr>
                    <w:t>环境保护勘察设计费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75.82</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一至五部分之和</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730.02 </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基本预备费</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73.00</w:t>
                  </w:r>
                </w:p>
              </w:tc>
            </w:tr>
            <w:tr>
              <w:tblPrEx>
                <w:tblLayout w:type="fixed"/>
                <w:tblCellMar>
                  <w:top w:w="0" w:type="dxa"/>
                  <w:left w:w="108" w:type="dxa"/>
                  <w:bottom w:w="0" w:type="dxa"/>
                  <w:right w:w="108" w:type="dxa"/>
                </w:tblCellMar>
              </w:tblPrEx>
              <w:trPr>
                <w:trHeight w:val="270" w:hRule="atLeast"/>
              </w:trPr>
              <w:tc>
                <w:tcPr>
                  <w:tcW w:w="4612" w:type="dxa"/>
                  <w:gridSpan w:val="2"/>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left"/>
                    <w:rPr>
                      <w:rFonts w:cs="宋体"/>
                      <w:kern w:val="0"/>
                      <w:szCs w:val="21"/>
                    </w:rPr>
                  </w:pPr>
                  <w:r>
                    <w:rPr>
                      <w:rFonts w:hint="eastAsia" w:cs="宋体"/>
                      <w:kern w:val="0"/>
                      <w:szCs w:val="21"/>
                    </w:rPr>
                    <w:t>本次环保投资</w:t>
                  </w:r>
                </w:p>
              </w:tc>
              <w:tc>
                <w:tcPr>
                  <w:tcW w:w="84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12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266" w:type="dxa"/>
                  <w:tcBorders>
                    <w:top w:val="nil"/>
                    <w:left w:val="nil"/>
                    <w:bottom w:val="single" w:color="auto" w:sz="4" w:space="0"/>
                    <w:right w:val="single" w:color="auto" w:sz="4" w:space="0"/>
                  </w:tcBorders>
                  <w:shd w:val="clear" w:color="auto" w:fill="auto"/>
                  <w:noWrap/>
                  <w:vAlign w:val="center"/>
                </w:tcPr>
                <w:p>
                  <w:pPr>
                    <w:widowControl/>
                    <w:jc w:val="center"/>
                    <w:rPr>
                      <w:rFonts w:cs="宋体"/>
                      <w:kern w:val="0"/>
                      <w:szCs w:val="21"/>
                    </w:rPr>
                  </w:pPr>
                  <w:r>
                    <w:rPr>
                      <w:rFonts w:hint="eastAsia" w:cs="宋体"/>
                      <w:kern w:val="0"/>
                      <w:szCs w:val="21"/>
                    </w:rPr>
                    <w:t>　</w:t>
                  </w:r>
                </w:p>
              </w:tc>
              <w:tc>
                <w:tcPr>
                  <w:tcW w:w="1476" w:type="dxa"/>
                  <w:tcBorders>
                    <w:top w:val="nil"/>
                    <w:left w:val="nil"/>
                    <w:bottom w:val="single" w:color="auto" w:sz="4" w:space="0"/>
                    <w:right w:val="single" w:color="auto" w:sz="4" w:space="0"/>
                  </w:tcBorders>
                  <w:shd w:val="clear" w:color="auto" w:fill="auto"/>
                  <w:noWrap/>
                  <w:vAlign w:val="center"/>
                </w:tcPr>
                <w:p>
                  <w:pPr>
                    <w:widowControl/>
                    <w:jc w:val="center"/>
                    <w:rPr>
                      <w:kern w:val="0"/>
                      <w:szCs w:val="21"/>
                    </w:rPr>
                  </w:pPr>
                  <w:r>
                    <w:rPr>
                      <w:kern w:val="0"/>
                      <w:szCs w:val="21"/>
                    </w:rPr>
                    <w:t xml:space="preserve">803.03 </w:t>
                  </w:r>
                </w:p>
              </w:tc>
            </w:tr>
          </w:tbl>
          <w:p>
            <w:pPr>
              <w:adjustRightInd w:val="0"/>
              <w:snapToGrid w:val="0"/>
              <w:spacing w:line="480" w:lineRule="exact"/>
              <w:rPr>
                <w:rFonts w:ascii="宋体" w:hAnsi="宋体" w:cs="宋体"/>
                <w:bCs/>
                <w:spacing w:val="10"/>
                <w:szCs w:val="21"/>
              </w:rPr>
            </w:pPr>
          </w:p>
        </w:tc>
      </w:tr>
    </w:tbl>
    <w:p>
      <w:pPr>
        <w:sectPr>
          <w:pgSz w:w="11907" w:h="16840"/>
          <w:pgMar w:top="1440" w:right="1797" w:bottom="1440" w:left="1797" w:header="851" w:footer="1077" w:gutter="0"/>
          <w:cols w:space="720" w:num="1"/>
          <w:docGrid w:linePitch="312" w:charSpace="0"/>
        </w:sectPr>
      </w:pPr>
    </w:p>
    <w:p>
      <w:pPr>
        <w:pStyle w:val="17"/>
        <w:jc w:val="center"/>
        <w:outlineLvl w:val="0"/>
        <w:rPr>
          <w:rFonts w:ascii="黑体" w:hAnsi="黑体" w:eastAsia="黑体"/>
          <w:snapToGrid w:val="0"/>
          <w:sz w:val="30"/>
          <w:szCs w:val="30"/>
        </w:rPr>
      </w:pPr>
      <w:r>
        <w:rPr>
          <w:rFonts w:hint="eastAsia" w:ascii="黑体" w:hAnsi="黑体" w:eastAsia="黑体"/>
          <w:snapToGrid w:val="0"/>
          <w:sz w:val="30"/>
          <w:szCs w:val="30"/>
        </w:rPr>
        <w:t>六、生态环境保护措施监督检查清单</w:t>
      </w:r>
    </w:p>
    <w:tbl>
      <w:tblPr>
        <w:tblStyle w:val="21"/>
        <w:tblW w:w="8522"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2328"/>
        <w:gridCol w:w="2125"/>
        <w:gridCol w:w="1796"/>
        <w:gridCol w:w="8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Merge w:val="restart"/>
            <w:tcBorders>
              <w:tl2br w:val="single" w:color="auto" w:sz="4" w:space="0"/>
            </w:tcBorders>
          </w:tcPr>
          <w:p>
            <w:pPr>
              <w:pStyle w:val="17"/>
              <w:adjustRightInd w:val="0"/>
              <w:snapToGrid w:val="0"/>
              <w:spacing w:before="72" w:beforeLines="30" w:beforeAutospacing="0" w:after="0" w:afterAutospacing="0"/>
              <w:outlineLvl w:val="0"/>
              <w:rPr>
                <w:rFonts w:ascii="黑体" w:hAnsi="黑体" w:eastAsia="黑体" w:cs="宋体"/>
                <w:kern w:val="2"/>
                <w:sz w:val="21"/>
                <w:szCs w:val="21"/>
              </w:rPr>
            </w:pPr>
          </w:p>
          <w:p>
            <w:pPr>
              <w:pStyle w:val="17"/>
              <w:adjustRightInd w:val="0"/>
              <w:snapToGrid w:val="0"/>
              <w:spacing w:before="72" w:beforeLines="30" w:beforeAutospacing="0" w:after="0" w:afterAutospacing="0"/>
              <w:outlineLvl w:val="0"/>
              <w:rPr>
                <w:rFonts w:ascii="黑体" w:hAnsi="黑体" w:eastAsia="黑体" w:cs="宋体"/>
                <w:kern w:val="2"/>
                <w:sz w:val="21"/>
                <w:szCs w:val="21"/>
              </w:rPr>
            </w:pPr>
            <w:r>
              <w:rPr>
                <w:rFonts w:hint="eastAsia" w:ascii="黑体" w:hAnsi="黑体" w:eastAsia="黑体" w:cs="宋体"/>
                <w:kern w:val="2"/>
                <w:sz w:val="21"/>
                <w:szCs w:val="21"/>
              </w:rPr>
              <w:t xml:space="preserve">       内容</w:t>
            </w:r>
          </w:p>
          <w:p>
            <w:pPr>
              <w:pStyle w:val="17"/>
              <w:adjustRightInd w:val="0"/>
              <w:snapToGrid w:val="0"/>
              <w:spacing w:before="0" w:beforeAutospacing="0" w:after="0" w:afterAutospacing="0" w:line="14" w:lineRule="auto"/>
              <w:outlineLvl w:val="0"/>
              <w:rPr>
                <w:rFonts w:ascii="黑体" w:hAnsi="黑体" w:eastAsia="黑体" w:cs="宋体"/>
                <w:kern w:val="2"/>
                <w:sz w:val="135"/>
                <w:szCs w:val="21"/>
              </w:rPr>
            </w:pPr>
            <w:r>
              <w:rPr>
                <w:rFonts w:hint="eastAsia" w:ascii="黑体" w:hAnsi="黑体" w:eastAsia="黑体" w:cs="宋体"/>
                <w:kern w:val="2"/>
                <w:sz w:val="21"/>
                <w:szCs w:val="21"/>
              </w:rPr>
              <w:t xml:space="preserve"> </w:t>
            </w:r>
            <w:r>
              <w:rPr>
                <w:rFonts w:hint="eastAsia" w:ascii="黑体" w:hAnsi="黑体" w:eastAsia="黑体" w:cs="宋体"/>
                <w:kern w:val="2"/>
                <w:sz w:val="135"/>
                <w:szCs w:val="21"/>
              </w:rPr>
              <w:t xml:space="preserve"> </w:t>
            </w:r>
          </w:p>
          <w:p>
            <w:pPr>
              <w:pStyle w:val="17"/>
              <w:adjustRightInd w:val="0"/>
              <w:snapToGrid w:val="0"/>
              <w:spacing w:before="0" w:beforeAutospacing="0" w:after="0" w:afterAutospacing="0"/>
              <w:outlineLvl w:val="0"/>
              <w:rPr>
                <w:rFonts w:ascii="黑体" w:hAnsi="黑体" w:eastAsia="黑体" w:cs="宋体"/>
                <w:kern w:val="2"/>
                <w:sz w:val="21"/>
                <w:szCs w:val="21"/>
              </w:rPr>
            </w:pPr>
            <w:r>
              <w:rPr>
                <w:rFonts w:hint="eastAsia" w:ascii="黑体" w:hAnsi="黑体" w:eastAsia="黑体" w:cs="宋体"/>
                <w:kern w:val="2"/>
                <w:sz w:val="21"/>
                <w:szCs w:val="21"/>
              </w:rPr>
              <w:t>要素</w:t>
            </w:r>
          </w:p>
        </w:tc>
        <w:tc>
          <w:tcPr>
            <w:tcW w:w="4453" w:type="dxa"/>
            <w:gridSpan w:val="2"/>
            <w:vAlign w:val="center"/>
          </w:tcPr>
          <w:p>
            <w:pPr>
              <w:pStyle w:val="17"/>
              <w:adjustRightInd w:val="0"/>
              <w:snapToGrid w:val="0"/>
              <w:spacing w:before="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施工期</w:t>
            </w:r>
          </w:p>
        </w:tc>
        <w:tc>
          <w:tcPr>
            <w:tcW w:w="2602" w:type="dxa"/>
            <w:gridSpan w:val="2"/>
            <w:vAlign w:val="center"/>
          </w:tcPr>
          <w:p>
            <w:pPr>
              <w:pStyle w:val="17"/>
              <w:adjustRightInd w:val="0"/>
              <w:snapToGrid w:val="0"/>
              <w:spacing w:before="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Merge w:val="continue"/>
          </w:tcPr>
          <w:p>
            <w:pPr>
              <w:pStyle w:val="17"/>
              <w:adjustRightInd w:val="0"/>
              <w:snapToGrid w:val="0"/>
              <w:spacing w:before="0" w:beforeAutospacing="0" w:after="0" w:afterAutospacing="0"/>
              <w:ind w:firstLine="840"/>
              <w:jc w:val="center"/>
              <w:outlineLvl w:val="0"/>
              <w:rPr>
                <w:rFonts w:ascii="黑体" w:hAnsi="黑体" w:eastAsia="黑体" w:cs="宋体"/>
                <w:kern w:val="2"/>
                <w:sz w:val="21"/>
                <w:szCs w:val="21"/>
              </w:rPr>
            </w:pPr>
          </w:p>
        </w:tc>
        <w:tc>
          <w:tcPr>
            <w:tcW w:w="2328" w:type="dxa"/>
            <w:vAlign w:val="center"/>
          </w:tcPr>
          <w:p>
            <w:pPr>
              <w:pStyle w:val="17"/>
              <w:adjustRightInd w:val="0"/>
              <w:snapToGrid w:val="0"/>
              <w:spacing w:before="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环境保护措施</w:t>
            </w:r>
          </w:p>
        </w:tc>
        <w:tc>
          <w:tcPr>
            <w:tcW w:w="2125" w:type="dxa"/>
            <w:vAlign w:val="center"/>
          </w:tcPr>
          <w:p>
            <w:pPr>
              <w:pStyle w:val="17"/>
              <w:adjustRightInd w:val="0"/>
              <w:snapToGrid w:val="0"/>
              <w:spacing w:before="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验收要求</w:t>
            </w:r>
          </w:p>
        </w:tc>
        <w:tc>
          <w:tcPr>
            <w:tcW w:w="1796" w:type="dxa"/>
            <w:vAlign w:val="center"/>
          </w:tcPr>
          <w:p>
            <w:pPr>
              <w:pStyle w:val="17"/>
              <w:adjustRightInd w:val="0"/>
              <w:snapToGrid w:val="0"/>
              <w:spacing w:before="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环境保护措施</w:t>
            </w:r>
          </w:p>
        </w:tc>
        <w:tc>
          <w:tcPr>
            <w:tcW w:w="806" w:type="dxa"/>
            <w:vAlign w:val="center"/>
          </w:tcPr>
          <w:p>
            <w:pPr>
              <w:pStyle w:val="17"/>
              <w:adjustRightInd w:val="0"/>
              <w:snapToGrid w:val="0"/>
              <w:spacing w:before="0" w:beforeAutospacing="0" w:after="0" w:afterAutospacing="0"/>
              <w:jc w:val="center"/>
              <w:outlineLvl w:val="0"/>
              <w:rPr>
                <w:rFonts w:ascii="黑体" w:hAnsi="黑体" w:eastAsia="黑体" w:cs="宋体"/>
                <w:kern w:val="2"/>
                <w:sz w:val="21"/>
                <w:szCs w:val="21"/>
              </w:rPr>
            </w:pPr>
            <w:r>
              <w:rPr>
                <w:rFonts w:hint="eastAsia" w:ascii="黑体" w:hAnsi="黑体" w:eastAsia="黑体" w:cs="宋体"/>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陆生生态</w:t>
            </w:r>
          </w:p>
        </w:tc>
        <w:tc>
          <w:tcPr>
            <w:tcW w:w="2328" w:type="dxa"/>
            <w:vAlign w:val="center"/>
          </w:tcPr>
          <w:p>
            <w:pPr>
              <w:adjustRightInd w:val="0"/>
              <w:snapToGrid w:val="0"/>
              <w:rPr>
                <w:szCs w:val="21"/>
              </w:rPr>
            </w:pPr>
            <w:r>
              <w:rPr>
                <w:rFonts w:hint="eastAsia" w:ascii="宋体" w:hAnsi="宋体" w:cs="宋体"/>
                <w:szCs w:val="21"/>
              </w:rPr>
              <w:t>①</w:t>
            </w:r>
            <w:r>
              <w:rPr>
                <w:szCs w:val="21"/>
              </w:rPr>
              <w:t>为避免对野生动物的影响，在施工期加强生态保护的宣传教育，以宣传册、标志牌等形式，对工作人员、特别是施工人员及时进行宣传教育。</w:t>
            </w:r>
          </w:p>
          <w:p>
            <w:pPr>
              <w:adjustRightInd w:val="0"/>
              <w:snapToGrid w:val="0"/>
              <w:rPr>
                <w:szCs w:val="21"/>
              </w:rPr>
            </w:pPr>
            <w:r>
              <w:rPr>
                <w:rFonts w:hint="eastAsia" w:ascii="宋体" w:hAnsi="宋体" w:cs="宋体"/>
                <w:szCs w:val="21"/>
              </w:rPr>
              <w:t>②</w:t>
            </w:r>
            <w:r>
              <w:rPr>
                <w:szCs w:val="21"/>
              </w:rPr>
              <w:t>建立生态破坏惩罚制度，严禁施工人员非法猎捕野生动物；并根据施工总平面布置图，确定施工用地范围，进行标桩划界，利用彩条旗划定施工活动范围，禁止施工人员进入非施工占地区域，避免对施工区附近非施工占地区域陆生植物造成破坏；严禁烟火、狩猎和垂钓等活动。</w:t>
            </w:r>
          </w:p>
          <w:p>
            <w:pPr>
              <w:adjustRightInd w:val="0"/>
              <w:snapToGrid w:val="0"/>
              <w:rPr>
                <w:szCs w:val="21"/>
              </w:rPr>
            </w:pPr>
            <w:r>
              <w:rPr>
                <w:rFonts w:hint="eastAsia" w:ascii="宋体" w:hAnsi="宋体" w:cs="宋体"/>
                <w:szCs w:val="21"/>
              </w:rPr>
              <w:t>③</w:t>
            </w:r>
            <w:r>
              <w:rPr>
                <w:szCs w:val="21"/>
              </w:rPr>
              <w:t>工程建成运行后要加强库区管理，广泛宣传野生动物保护的各种法律法规，提高水库运行管理人员的野生动物保护意识，形成人人保护野生动物资源的良好风气。</w:t>
            </w:r>
          </w:p>
          <w:p>
            <w:pPr>
              <w:adjustRightInd w:val="0"/>
              <w:snapToGrid w:val="0"/>
              <w:rPr>
                <w:szCs w:val="21"/>
              </w:rPr>
            </w:pPr>
            <w:r>
              <w:rPr>
                <w:rFonts w:hint="eastAsia" w:ascii="宋体" w:hAnsi="宋体" w:cs="宋体"/>
                <w:szCs w:val="21"/>
              </w:rPr>
              <w:t>④</w:t>
            </w:r>
            <w:r>
              <w:rPr>
                <w:szCs w:val="21"/>
              </w:rPr>
              <w:t>禁止施工人员野外用火，使对野生动物的干扰降至最低程度。</w:t>
            </w:r>
          </w:p>
          <w:p>
            <w:pPr>
              <w:adjustRightInd w:val="0"/>
              <w:snapToGrid w:val="0"/>
              <w:rPr>
                <w:szCs w:val="21"/>
              </w:rPr>
            </w:pPr>
            <w:r>
              <w:rPr>
                <w:rFonts w:hint="eastAsia" w:ascii="宋体" w:hAnsi="宋体" w:cs="宋体"/>
                <w:szCs w:val="21"/>
              </w:rPr>
              <w:t>⑤</w:t>
            </w:r>
            <w:r>
              <w:rPr>
                <w:szCs w:val="21"/>
              </w:rPr>
              <w:t>优化</w:t>
            </w:r>
            <w:r>
              <w:rPr>
                <w:rFonts w:hint="eastAsia"/>
                <w:szCs w:val="21"/>
              </w:rPr>
              <w:t>红山嘴</w:t>
            </w:r>
            <w:r>
              <w:rPr>
                <w:szCs w:val="21"/>
              </w:rPr>
              <w:t>水库工程施工组织设计，即要遵循尽量少占地的原则，减少对植被的破坏。</w:t>
            </w:r>
          </w:p>
          <w:p>
            <w:pPr>
              <w:adjustRightInd w:val="0"/>
              <w:snapToGrid w:val="0"/>
              <w:rPr>
                <w:szCs w:val="21"/>
              </w:rPr>
            </w:pPr>
            <w:r>
              <w:rPr>
                <w:szCs w:val="21"/>
              </w:rPr>
              <w:t>本次工程占地应按照《大中型水利水电工程建设征地补偿和移民安置条例》中的相关规定予以补偿。</w:t>
            </w:r>
          </w:p>
          <w:p>
            <w:pPr>
              <w:adjustRightInd w:val="0"/>
              <w:snapToGrid w:val="0"/>
              <w:rPr>
                <w:szCs w:val="21"/>
              </w:rPr>
            </w:pPr>
            <w:r>
              <w:rPr>
                <w:rFonts w:hint="eastAsia" w:ascii="宋体" w:hAnsi="宋体" w:cs="宋体"/>
                <w:szCs w:val="21"/>
              </w:rPr>
              <w:t>⑥</w:t>
            </w:r>
            <w:r>
              <w:rPr>
                <w:szCs w:val="21"/>
              </w:rPr>
              <w:t>对施工便道实施严格管理，在施工期间控制工程车辆运行速度，禁止社会其他车辆进入，并在施工结束后及时封闭施工便道，以利于植被恢复。</w:t>
            </w:r>
          </w:p>
          <w:p>
            <w:pPr>
              <w:adjustRightInd w:val="0"/>
              <w:snapToGrid w:val="0"/>
              <w:rPr>
                <w:szCs w:val="21"/>
              </w:rPr>
            </w:pPr>
            <w:r>
              <w:rPr>
                <w:rFonts w:hint="eastAsia" w:ascii="宋体" w:hAnsi="宋体" w:cs="宋体"/>
                <w:szCs w:val="21"/>
              </w:rPr>
              <w:t>⑦</w:t>
            </w:r>
            <w:r>
              <w:rPr>
                <w:szCs w:val="21"/>
              </w:rPr>
              <w:t>工程建设过程中做好施工期防护和后期的生态修复，料场开采过程中应严格限定料场开采范围，按稳定边坡开挖，筛分弃料堆置于指定地点。</w:t>
            </w:r>
            <w:r>
              <w:rPr>
                <w:rFonts w:hint="eastAsia"/>
                <w:szCs w:val="21"/>
              </w:rPr>
              <w:t>临时弃渣区在施工结束后，进行土地平整；永久弃渣场区在施工结束后进行土地平整，并撒播草籽恢复地表植被，草籽选址狗牙根、早熟禾混合草种，撒播面积为</w:t>
            </w:r>
            <w:r>
              <w:rPr>
                <w:szCs w:val="21"/>
              </w:rPr>
              <w:t>16.51hm</w:t>
            </w:r>
            <w:r>
              <w:rPr>
                <w:szCs w:val="21"/>
                <w:vertAlign w:val="superscript"/>
              </w:rPr>
              <w:t>2</w:t>
            </w:r>
            <w:r>
              <w:rPr>
                <w:rFonts w:hint="eastAsia"/>
                <w:szCs w:val="21"/>
              </w:rPr>
              <w:t>；在工程管理区等区域采取绿化措施美化环境，提高区域植被覆盖率。</w:t>
            </w:r>
          </w:p>
          <w:p>
            <w:pPr>
              <w:adjustRightInd w:val="0"/>
              <w:snapToGrid w:val="0"/>
              <w:rPr>
                <w:szCs w:val="21"/>
              </w:rPr>
            </w:pPr>
            <w:r>
              <w:rPr>
                <w:rFonts w:hint="eastAsia" w:ascii="宋体" w:hAnsi="宋体" w:cs="宋体"/>
                <w:szCs w:val="21"/>
              </w:rPr>
              <w:t>⑧</w:t>
            </w:r>
            <w:r>
              <w:rPr>
                <w:rFonts w:hint="eastAsia"/>
                <w:szCs w:val="21"/>
              </w:rPr>
              <w:t>结合水土保持方案现有成果，项目建设区内大部分区域植物措施以自然恢复为主，在工程永久办公生活区域内，实施植物措施。具体恢复措施为：工程运行管理站永久建筑物周边进行土地整治和改良后，管理站绿化采用植树、植草坪等措施，绿化面积为0.06hm</w:t>
            </w:r>
            <w:r>
              <w:rPr>
                <w:rFonts w:hint="eastAsia"/>
                <w:szCs w:val="21"/>
                <w:vertAlign w:val="superscript"/>
              </w:rPr>
              <w:t>2</w:t>
            </w:r>
            <w:r>
              <w:rPr>
                <w:rFonts w:hint="eastAsia"/>
                <w:szCs w:val="21"/>
              </w:rPr>
              <w:t>。植物措施最终应以获批的红山嘴工程水土保持方案报告书为准。</w:t>
            </w:r>
          </w:p>
        </w:tc>
        <w:tc>
          <w:tcPr>
            <w:tcW w:w="2125" w:type="dxa"/>
            <w:vAlign w:val="center"/>
          </w:tcPr>
          <w:p>
            <w:pPr>
              <w:adjustRightInd w:val="0"/>
              <w:snapToGrid w:val="0"/>
              <w:rPr>
                <w:rFonts w:ascii="宋体" w:hAnsi="宋体" w:cs="宋体"/>
                <w:szCs w:val="21"/>
              </w:rPr>
            </w:pPr>
          </w:p>
        </w:tc>
        <w:tc>
          <w:tcPr>
            <w:tcW w:w="1796" w:type="dxa"/>
            <w:vAlign w:val="center"/>
          </w:tcPr>
          <w:p>
            <w:pPr>
              <w:adjustRightInd w:val="0"/>
              <w:snapToGrid w:val="0"/>
              <w:rPr>
                <w:rFonts w:ascii="宋体" w:hAnsi="宋体" w:cs="宋体"/>
                <w:szCs w:val="21"/>
              </w:rPr>
            </w:pPr>
            <w:r>
              <w:rPr>
                <w:rFonts w:hint="eastAsia" w:ascii="宋体" w:hAnsi="宋体" w:cs="宋体"/>
                <w:szCs w:val="21"/>
              </w:rPr>
              <w:t>①加强对改复建道路的管理，在道路上设置车辆限速牌、野生动物标识牌等。</w:t>
            </w:r>
          </w:p>
          <w:p>
            <w:pPr>
              <w:adjustRightInd w:val="0"/>
              <w:snapToGrid w:val="0"/>
              <w:rPr>
                <w:rFonts w:ascii="宋体" w:hAnsi="宋体" w:cs="宋体"/>
                <w:szCs w:val="21"/>
              </w:rPr>
            </w:pPr>
            <w:r>
              <w:rPr>
                <w:rFonts w:hint="eastAsia" w:ascii="宋体" w:hAnsi="宋体" w:cs="宋体"/>
                <w:szCs w:val="21"/>
              </w:rPr>
              <w:t>②在工程管理区等区域结合水保措施采取绿化措施美化环境，提高区域植被覆盖率。</w:t>
            </w:r>
          </w:p>
          <w:p>
            <w:pPr>
              <w:adjustRightInd w:val="0"/>
              <w:snapToGrid w:val="0"/>
              <w:rPr>
                <w:rFonts w:ascii="宋体" w:hAnsi="宋体" w:cs="宋体"/>
                <w:szCs w:val="21"/>
              </w:rPr>
            </w:pPr>
            <w:r>
              <w:rPr>
                <w:rFonts w:hint="eastAsia" w:ascii="宋体" w:hAnsi="宋体" w:cs="宋体"/>
                <w:szCs w:val="21"/>
              </w:rPr>
              <w:t>③在运行管理区设置警示牌，同时广泛宣传野生动物保护的各种法律法规，提高运行管理人员的野生动物保护意识，形成人人保护野生动物资源的良好风气。</w:t>
            </w:r>
          </w:p>
          <w:p>
            <w:pPr>
              <w:adjustRightInd w:val="0"/>
              <w:snapToGrid w:val="0"/>
              <w:rPr>
                <w:rFonts w:ascii="宋体" w:hAnsi="宋体" w:cs="宋体"/>
                <w:szCs w:val="21"/>
              </w:rPr>
            </w:pPr>
            <w:r>
              <w:rPr>
                <w:rFonts w:hint="eastAsia" w:ascii="宋体" w:hAnsi="宋体" w:cs="宋体"/>
                <w:szCs w:val="21"/>
              </w:rPr>
              <w:t>④结合水土保持措施，在建设区域采取土地平整及植被措施，结合立地条件种植该区域的原生种或适生种，提高区域植被覆盖度，减少沙区面积，控制周边沙源的流动和产生。</w:t>
            </w: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水生生态</w:t>
            </w:r>
          </w:p>
        </w:tc>
        <w:tc>
          <w:tcPr>
            <w:tcW w:w="2328" w:type="dxa"/>
            <w:vAlign w:val="center"/>
          </w:tcPr>
          <w:p>
            <w:pPr>
              <w:adjustRightInd w:val="0"/>
              <w:snapToGrid w:val="0"/>
              <w:rPr>
                <w:rFonts w:ascii="宋体" w:hAnsi="宋体" w:cs="宋体"/>
                <w:szCs w:val="21"/>
              </w:rPr>
            </w:pPr>
            <w:r>
              <w:rPr>
                <w:rFonts w:hint="eastAsia" w:ascii="宋体" w:hAnsi="宋体" w:cs="宋体"/>
                <w:szCs w:val="21"/>
              </w:rPr>
              <w:t>①加强对施工人员进行水生生态保护意义的宣传，并制定相关规定、条例，严禁施工人员采用钓、网以及炸鱼等方式捕捞鱼类。对违反上述规定的施工人员，进行一定的经济处罚。</w:t>
            </w:r>
          </w:p>
          <w:p>
            <w:pPr>
              <w:adjustRightInd w:val="0"/>
              <w:snapToGrid w:val="0"/>
              <w:rPr>
                <w:rFonts w:ascii="宋体" w:hAnsi="宋体" w:cs="宋体"/>
                <w:szCs w:val="21"/>
              </w:rPr>
            </w:pPr>
            <w:r>
              <w:rPr>
                <w:rFonts w:hint="eastAsia" w:ascii="宋体" w:hAnsi="宋体" w:cs="宋体"/>
                <w:szCs w:val="21"/>
              </w:rPr>
              <w:t>②加强废水处理措施及管理，避免污废水排入河道，对鱼类生存环境产生影响。</w:t>
            </w:r>
          </w:p>
          <w:p>
            <w:pPr>
              <w:adjustRightInd w:val="0"/>
              <w:snapToGrid w:val="0"/>
              <w:rPr>
                <w:rFonts w:ascii="宋体" w:hAnsi="宋体" w:cs="宋体"/>
                <w:szCs w:val="21"/>
              </w:rPr>
            </w:pPr>
            <w:r>
              <w:rPr>
                <w:rFonts w:hint="eastAsia" w:ascii="宋体" w:hAnsi="宋体" w:cs="宋体"/>
                <w:szCs w:val="21"/>
              </w:rPr>
              <w:t>③对围堰内的鱼类及时进行捕捞、暂养或放归。</w:t>
            </w:r>
          </w:p>
          <w:p>
            <w:pPr>
              <w:adjustRightInd w:val="0"/>
              <w:snapToGrid w:val="0"/>
              <w:rPr>
                <w:rFonts w:ascii="宋体" w:hAnsi="宋体" w:cs="宋体"/>
                <w:szCs w:val="21"/>
              </w:rPr>
            </w:pPr>
            <w:r>
              <w:rPr>
                <w:rFonts w:hint="eastAsia" w:ascii="宋体" w:hAnsi="宋体" w:cs="宋体"/>
                <w:szCs w:val="21"/>
              </w:rPr>
              <w:t>④合理安排下闸蓄水期，尽量避开鱼类主要繁殖期；初期蓄水时，坝下河段水量明显减少，鱼类会较集中甚至出现搁浅，应事先安排人员巡查，禁止初期蓄水期坝下减水河段捕鱼，对搁浅的鱼类及时采取救护措施。</w:t>
            </w:r>
          </w:p>
        </w:tc>
        <w:tc>
          <w:tcPr>
            <w:tcW w:w="2125" w:type="dxa"/>
            <w:vAlign w:val="center"/>
          </w:tcPr>
          <w:p>
            <w:pPr>
              <w:adjustRightInd w:val="0"/>
              <w:snapToGrid w:val="0"/>
              <w:rPr>
                <w:rFonts w:ascii="宋体" w:hAnsi="宋体" w:cs="宋体"/>
                <w:szCs w:val="21"/>
              </w:rPr>
            </w:pPr>
          </w:p>
        </w:tc>
        <w:tc>
          <w:tcPr>
            <w:tcW w:w="1796" w:type="dxa"/>
            <w:vAlign w:val="center"/>
          </w:tcPr>
          <w:p>
            <w:pPr>
              <w:adjustRightInd w:val="0"/>
              <w:snapToGrid w:val="0"/>
              <w:rPr>
                <w:rFonts w:ascii="宋体" w:hAnsi="宋体" w:cs="宋体"/>
                <w:szCs w:val="21"/>
              </w:rPr>
            </w:pPr>
            <w:r>
              <w:rPr>
                <w:rFonts w:hint="eastAsia" w:ascii="宋体" w:hAnsi="宋体" w:cs="宋体"/>
                <w:szCs w:val="21"/>
              </w:rPr>
              <w:t>①应保证红山嘴水库坝址断面生态流量均能得到下泄，改善和维护水生生境条件；</w:t>
            </w:r>
          </w:p>
          <w:p>
            <w:pPr>
              <w:adjustRightInd w:val="0"/>
              <w:snapToGrid w:val="0"/>
              <w:rPr>
                <w:rFonts w:ascii="宋体" w:hAnsi="宋体" w:cs="宋体"/>
                <w:szCs w:val="21"/>
              </w:rPr>
            </w:pPr>
            <w:r>
              <w:rPr>
                <w:rFonts w:hint="eastAsia" w:ascii="宋体" w:hAnsi="宋体" w:cs="宋体"/>
                <w:szCs w:val="21"/>
              </w:rPr>
              <w:t>②建立下泄流量监控系统，确保生态流量的泄放措施可行、可靠，保证河道不断流；加强河流断面水文观测，如发现下泄生态流量不能满足鱼类生存需求，应及时调整。</w:t>
            </w:r>
          </w:p>
          <w:p>
            <w:pPr>
              <w:adjustRightInd w:val="0"/>
              <w:snapToGrid w:val="0"/>
              <w:rPr>
                <w:rFonts w:ascii="宋体" w:hAnsi="宋体" w:cs="宋体"/>
                <w:szCs w:val="21"/>
              </w:rPr>
            </w:pPr>
            <w:r>
              <w:rPr>
                <w:rFonts w:hint="eastAsia" w:ascii="宋体" w:hAnsi="宋体" w:cs="宋体"/>
                <w:szCs w:val="21"/>
              </w:rPr>
              <w:t>③将库尾以上河段划为鱼类栖息地保护河段，常年禁止一切渔业活动，严格限制栖息地保护范围内水资源开发等涉水工程建设。</w:t>
            </w: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地表水环境</w:t>
            </w:r>
          </w:p>
        </w:tc>
        <w:tc>
          <w:tcPr>
            <w:tcW w:w="2328" w:type="dxa"/>
            <w:vAlign w:val="center"/>
          </w:tcPr>
          <w:p>
            <w:pPr>
              <w:adjustRightInd w:val="0"/>
              <w:snapToGrid w:val="0"/>
              <w:rPr>
                <w:szCs w:val="21"/>
              </w:rPr>
            </w:pPr>
            <w:r>
              <w:rPr>
                <w:rFonts w:hint="eastAsia" w:ascii="宋体" w:hAnsi="宋体" w:cs="宋体"/>
                <w:szCs w:val="21"/>
              </w:rPr>
              <w:t>①</w:t>
            </w:r>
            <w:r>
              <w:rPr>
                <w:szCs w:val="21"/>
              </w:rPr>
              <w:t>采用絮凝沉淀法对砂石加工废水进行处理，处理后回用</w:t>
            </w:r>
            <w:r>
              <w:rPr>
                <w:rFonts w:hint="eastAsia"/>
                <w:szCs w:val="21"/>
              </w:rPr>
              <w:t>，</w:t>
            </w:r>
            <w:r>
              <w:rPr>
                <w:szCs w:val="21"/>
              </w:rPr>
              <w:t>严禁外排。</w:t>
            </w:r>
          </w:p>
          <w:p>
            <w:pPr>
              <w:adjustRightInd w:val="0"/>
              <w:snapToGrid w:val="0"/>
              <w:rPr>
                <w:szCs w:val="21"/>
              </w:rPr>
            </w:pPr>
            <w:r>
              <w:rPr>
                <w:rFonts w:hint="eastAsia" w:ascii="宋体" w:hAnsi="宋体" w:cs="宋体"/>
                <w:szCs w:val="21"/>
              </w:rPr>
              <w:t>②</w:t>
            </w:r>
            <w:r>
              <w:rPr>
                <w:szCs w:val="21"/>
              </w:rPr>
              <w:t>混凝土拌和废水采用中和沉淀法处理工艺，处理后回用，禁止外排。</w:t>
            </w:r>
          </w:p>
          <w:p>
            <w:pPr>
              <w:adjustRightInd w:val="0"/>
              <w:snapToGrid w:val="0"/>
              <w:rPr>
                <w:szCs w:val="21"/>
              </w:rPr>
            </w:pPr>
            <w:r>
              <w:rPr>
                <w:rFonts w:hint="eastAsia" w:ascii="宋体" w:hAnsi="宋体" w:cs="宋体"/>
                <w:szCs w:val="21"/>
              </w:rPr>
              <w:t>③</w:t>
            </w:r>
            <w:r>
              <w:rPr>
                <w:szCs w:val="21"/>
              </w:rPr>
              <w:t>采用小型隔油池对机械</w:t>
            </w:r>
            <w:r>
              <w:rPr>
                <w:rFonts w:hint="eastAsia"/>
                <w:szCs w:val="21"/>
              </w:rPr>
              <w:t>修配</w:t>
            </w:r>
            <w:r>
              <w:rPr>
                <w:szCs w:val="21"/>
              </w:rPr>
              <w:t>保养</w:t>
            </w:r>
            <w:r>
              <w:rPr>
                <w:rFonts w:hint="eastAsia"/>
                <w:szCs w:val="21"/>
              </w:rPr>
              <w:t>站</w:t>
            </w:r>
            <w:r>
              <w:rPr>
                <w:szCs w:val="21"/>
              </w:rPr>
              <w:t>含油废水进行处理后</w:t>
            </w:r>
            <w:r>
              <w:rPr>
                <w:rFonts w:hint="eastAsia"/>
                <w:szCs w:val="21"/>
              </w:rPr>
              <w:t>用于场地</w:t>
            </w:r>
            <w:r>
              <w:rPr>
                <w:szCs w:val="21"/>
              </w:rPr>
              <w:t>内洒水降尘，严禁外排。</w:t>
            </w:r>
          </w:p>
          <w:p>
            <w:pPr>
              <w:adjustRightInd w:val="0"/>
              <w:snapToGrid w:val="0"/>
              <w:rPr>
                <w:rFonts w:ascii="宋体" w:hAnsi="宋体" w:cs="宋体"/>
                <w:szCs w:val="21"/>
              </w:rPr>
            </w:pPr>
            <w:r>
              <w:rPr>
                <w:rFonts w:hint="eastAsia" w:ascii="宋体" w:hAnsi="宋体" w:cs="宋体"/>
                <w:szCs w:val="21"/>
              </w:rPr>
              <w:t>④</w:t>
            </w:r>
            <w:r>
              <w:rPr>
                <w:szCs w:val="21"/>
              </w:rPr>
              <w:t>生活污水采用化粪池+一体化污水处理设施进行处理后</w:t>
            </w:r>
            <w:r>
              <w:rPr>
                <w:rFonts w:hint="eastAsia"/>
                <w:szCs w:val="21"/>
              </w:rPr>
              <w:t>综合回用</w:t>
            </w:r>
            <w:r>
              <w:rPr>
                <w:kern w:val="0"/>
                <w:szCs w:val="21"/>
                <w:lang w:val="zh-CN"/>
              </w:rPr>
              <w:t>，严禁外排。</w:t>
            </w:r>
          </w:p>
        </w:tc>
        <w:tc>
          <w:tcPr>
            <w:tcW w:w="2125" w:type="dxa"/>
            <w:vAlign w:val="center"/>
          </w:tcPr>
          <w:p>
            <w:pPr>
              <w:adjustRightInd w:val="0"/>
              <w:snapToGrid w:val="0"/>
              <w:rPr>
                <w:szCs w:val="21"/>
              </w:rPr>
            </w:pPr>
            <w:r>
              <w:rPr>
                <w:rFonts w:hint="eastAsia" w:ascii="宋体" w:hAnsi="宋体" w:cs="宋体"/>
                <w:szCs w:val="21"/>
              </w:rPr>
              <w:t>①</w:t>
            </w:r>
            <w:r>
              <w:rPr>
                <w:szCs w:val="21"/>
              </w:rPr>
              <w:t>砂石料加工废水处理后全部回用于砂石料加工系统，处理标准按《水电工程砂石加工系统设计规范》（DL/T5098-2010）。</w:t>
            </w:r>
          </w:p>
          <w:p>
            <w:pPr>
              <w:adjustRightInd w:val="0"/>
              <w:snapToGrid w:val="0"/>
              <w:rPr>
                <w:szCs w:val="21"/>
              </w:rPr>
            </w:pPr>
            <w:r>
              <w:rPr>
                <w:rFonts w:hint="eastAsia" w:ascii="宋体" w:hAnsi="宋体" w:cs="宋体"/>
                <w:szCs w:val="21"/>
              </w:rPr>
              <w:t>②</w:t>
            </w:r>
            <w:r>
              <w:rPr>
                <w:szCs w:val="21"/>
              </w:rPr>
              <w:t>混凝土拌和废水处理后满足《水工混凝土施工规范》（SL677-2014）对混凝土养护用水水质要求。</w:t>
            </w:r>
          </w:p>
          <w:p>
            <w:pPr>
              <w:adjustRightInd w:val="0"/>
              <w:snapToGrid w:val="0"/>
              <w:rPr>
                <w:szCs w:val="21"/>
              </w:rPr>
            </w:pPr>
            <w:r>
              <w:rPr>
                <w:rFonts w:hint="eastAsia" w:ascii="宋体" w:hAnsi="宋体" w:cs="宋体"/>
                <w:szCs w:val="21"/>
              </w:rPr>
              <w:t>③</w:t>
            </w:r>
            <w:r>
              <w:rPr>
                <w:szCs w:val="21"/>
              </w:rPr>
              <w:t>施工期生活污水处理后的水质参照新疆《农村生活污水处理排放标准》（DB654275-2019）中用于生态恢复治理的出水水质控制B级标准</w:t>
            </w:r>
            <w:r>
              <w:rPr>
                <w:rFonts w:hint="eastAsia"/>
                <w:szCs w:val="21"/>
              </w:rPr>
              <w:t>。</w:t>
            </w:r>
          </w:p>
        </w:tc>
        <w:tc>
          <w:tcPr>
            <w:tcW w:w="1796" w:type="dxa"/>
            <w:vAlign w:val="center"/>
          </w:tcPr>
          <w:p>
            <w:pPr>
              <w:adjustRightInd w:val="0"/>
              <w:snapToGrid w:val="0"/>
              <w:rPr>
                <w:rFonts w:ascii="宋体" w:hAnsi="宋体" w:cs="宋体"/>
                <w:szCs w:val="21"/>
              </w:rPr>
            </w:pPr>
            <w:r>
              <w:rPr>
                <w:rFonts w:hint="eastAsia" w:ascii="宋体" w:hAnsi="宋体" w:cs="宋体"/>
                <w:szCs w:val="21"/>
              </w:rPr>
              <w:t>（1）水资源管理措施</w:t>
            </w:r>
          </w:p>
          <w:p>
            <w:pPr>
              <w:adjustRightInd w:val="0"/>
              <w:snapToGrid w:val="0"/>
              <w:rPr>
                <w:rFonts w:ascii="宋体" w:hAnsi="宋体" w:cs="宋体"/>
                <w:szCs w:val="21"/>
              </w:rPr>
            </w:pPr>
            <w:r>
              <w:rPr>
                <w:rFonts w:hint="eastAsia" w:ascii="宋体" w:hAnsi="宋体" w:cs="宋体"/>
                <w:szCs w:val="21"/>
              </w:rPr>
              <w:t>①东城河流域地表水、地下水水供水量应该严格遵从《昌吉州用水总量控制方案》的限额指标，进一步优化水资源配置和水资源开发利用率。在流域内从事水资源开发、利用、节约、保护、管理的单位和个人，应当遵守相关的水资源管理条例和规章制度。水资源调度实行用水总量控制、定额管理，以供定需，统一调度的原则。</w:t>
            </w:r>
          </w:p>
          <w:p>
            <w:pPr>
              <w:adjustRightInd w:val="0"/>
              <w:snapToGrid w:val="0"/>
              <w:rPr>
                <w:rFonts w:ascii="宋体" w:hAnsi="宋体" w:cs="宋体"/>
                <w:szCs w:val="21"/>
              </w:rPr>
            </w:pPr>
            <w:r>
              <w:rPr>
                <w:rFonts w:hint="eastAsia" w:ascii="宋体" w:hAnsi="宋体" w:cs="宋体"/>
                <w:szCs w:val="21"/>
              </w:rPr>
              <w:t>②严格按照水资源配置方案拟定的东城灌区供水量引水，采取有力措施加强引水口取水管理，避免超引水。</w:t>
            </w:r>
          </w:p>
          <w:p>
            <w:pPr>
              <w:adjustRightInd w:val="0"/>
              <w:snapToGrid w:val="0"/>
              <w:rPr>
                <w:rFonts w:ascii="宋体" w:hAnsi="宋体" w:cs="宋体"/>
                <w:szCs w:val="21"/>
              </w:rPr>
            </w:pPr>
            <w:r>
              <w:rPr>
                <w:rFonts w:hint="eastAsia" w:ascii="宋体" w:hAnsi="宋体" w:cs="宋体"/>
                <w:szCs w:val="21"/>
              </w:rPr>
              <w:t>（2）红山嘴水库运行期水质保护措施</w:t>
            </w:r>
          </w:p>
          <w:p>
            <w:pPr>
              <w:adjustRightInd w:val="0"/>
              <w:snapToGrid w:val="0"/>
              <w:rPr>
                <w:rFonts w:ascii="宋体" w:hAnsi="宋体" w:cs="宋体"/>
                <w:szCs w:val="21"/>
              </w:rPr>
            </w:pPr>
            <w:r>
              <w:rPr>
                <w:rFonts w:hint="eastAsia" w:ascii="宋体" w:hAnsi="宋体" w:cs="宋体"/>
                <w:szCs w:val="21"/>
              </w:rPr>
              <w:t>①为保护红山嘴水库水质，须做好以下预防保护工作：在水库蓄水前必须对水库库底进行清理，按照</w:t>
            </w:r>
            <w:r>
              <w:rPr>
                <w:rFonts w:hint="eastAsia" w:cs="宋体"/>
                <w:szCs w:val="21"/>
              </w:rPr>
              <w:t>《水利水电工程库底清理设计规范》(SL664</w:t>
            </w:r>
            <w:r>
              <w:rPr>
                <w:rFonts w:cs="宋体"/>
                <w:szCs w:val="21"/>
              </w:rPr>
              <w:t>-</w:t>
            </w:r>
            <w:r>
              <w:rPr>
                <w:rFonts w:hint="eastAsia" w:cs="宋体"/>
                <w:szCs w:val="21"/>
              </w:rPr>
              <w:t>2014)</w:t>
            </w:r>
            <w:r>
              <w:rPr>
                <w:rFonts w:hint="eastAsia" w:ascii="宋体" w:hAnsi="宋体" w:cs="宋体"/>
                <w:szCs w:val="21"/>
              </w:rPr>
              <w:t>规定执行，具体要求如下：对库区建筑物进行拆除；对拆除建筑物、构筑物后所残留的易漂浮废旧材料，以及残余的植物枝桠、枯木等在蓄水前应运出库外。</w:t>
            </w:r>
          </w:p>
          <w:p>
            <w:pPr>
              <w:adjustRightInd w:val="0"/>
              <w:snapToGrid w:val="0"/>
              <w:rPr>
                <w:rFonts w:ascii="宋体" w:hAnsi="宋体" w:cs="宋体"/>
                <w:szCs w:val="21"/>
              </w:rPr>
            </w:pPr>
            <w:r>
              <w:rPr>
                <w:rFonts w:hint="eastAsia" w:ascii="宋体" w:hAnsi="宋体" w:cs="宋体"/>
                <w:szCs w:val="21"/>
              </w:rPr>
              <w:t>②作为下游供水灌区的水源点，建议加强红山嘴水库库区水质管理，禁止以下活动：新建、扩建、改建与供水设施和保护水源无关的项目；向水体排放污染物、设置排污口；从事网箱养殖、垂钓、游泳、放养畜禽；挖沙、取土；设置油库。制定库区水污染防治管理办法；做好宣传工作，提高全民水资源、水环境保护意识。</w:t>
            </w:r>
          </w:p>
          <w:p>
            <w:pPr>
              <w:adjustRightInd w:val="0"/>
              <w:snapToGrid w:val="0"/>
              <w:rPr>
                <w:rFonts w:ascii="宋体" w:hAnsi="宋体" w:cs="宋体"/>
                <w:szCs w:val="21"/>
              </w:rPr>
            </w:pPr>
            <w:r>
              <w:rPr>
                <w:rFonts w:hint="eastAsia" w:ascii="宋体" w:hAnsi="宋体" w:cs="宋体"/>
                <w:szCs w:val="21"/>
              </w:rPr>
              <w:t>（3）坝址下游河段水质保护措施</w:t>
            </w:r>
          </w:p>
          <w:p>
            <w:pPr>
              <w:adjustRightInd w:val="0"/>
              <w:snapToGrid w:val="0"/>
              <w:rPr>
                <w:rFonts w:ascii="宋体" w:hAnsi="宋体" w:cs="宋体"/>
                <w:szCs w:val="21"/>
              </w:rPr>
            </w:pPr>
            <w:r>
              <w:rPr>
                <w:rFonts w:hint="eastAsia" w:ascii="宋体" w:hAnsi="宋体" w:cs="宋体"/>
                <w:szCs w:val="21"/>
              </w:rPr>
              <w:t>坝址下游河段面源污染主要来自农村生活污水及农药化肥的使用、分散式饲养牲畜废水等，对面源污染的防控主要从以下几方面着手：</w:t>
            </w:r>
          </w:p>
          <w:p>
            <w:pPr>
              <w:adjustRightInd w:val="0"/>
              <w:snapToGrid w:val="0"/>
              <w:rPr>
                <w:rFonts w:ascii="宋体" w:hAnsi="宋体" w:cs="宋体"/>
                <w:szCs w:val="21"/>
              </w:rPr>
            </w:pPr>
            <w:r>
              <w:rPr>
                <w:rFonts w:hint="eastAsia" w:ascii="宋体" w:hAnsi="宋体" w:cs="宋体"/>
                <w:szCs w:val="21"/>
              </w:rPr>
              <w:t>①大力推进村落环境综合整治，建立村落污水处理设施，有效控制农村生活污染；②加强农业管理，积极发展生态农业，调整农业结构和耕作方式，科学合理使用农药、化肥。加强水资源利用管理工作，限额控制用水量，减少农田排水量；③加强畜禽粪便处理和资源化利用，减少畜禽养殖污染。</w:t>
            </w:r>
          </w:p>
          <w:p>
            <w:pPr>
              <w:adjustRightInd w:val="0"/>
              <w:snapToGrid w:val="0"/>
              <w:rPr>
                <w:rFonts w:ascii="宋体" w:hAnsi="宋体" w:cs="宋体"/>
                <w:szCs w:val="21"/>
              </w:rPr>
            </w:pPr>
            <w:r>
              <w:rPr>
                <w:rFonts w:hint="eastAsia" w:ascii="宋体" w:hAnsi="宋体" w:cs="宋体"/>
                <w:szCs w:val="21"/>
              </w:rPr>
              <w:t>（</w:t>
            </w:r>
            <w:r>
              <w:rPr>
                <w:rFonts w:ascii="宋体" w:hAnsi="宋体" w:cs="宋体"/>
                <w:szCs w:val="21"/>
              </w:rPr>
              <w:t>4</w:t>
            </w:r>
            <w:r>
              <w:rPr>
                <w:rFonts w:hint="eastAsia" w:ascii="宋体" w:hAnsi="宋体" w:cs="宋体"/>
                <w:szCs w:val="21"/>
              </w:rPr>
              <w:t>）生态</w:t>
            </w:r>
            <w:r>
              <w:rPr>
                <w:rFonts w:ascii="宋体" w:hAnsi="宋体" w:cs="宋体"/>
                <w:szCs w:val="21"/>
              </w:rPr>
              <w:t>流量保证措施</w:t>
            </w:r>
          </w:p>
          <w:p>
            <w:pPr>
              <w:adjustRightInd w:val="0"/>
              <w:snapToGrid w:val="0"/>
              <w:rPr>
                <w:rFonts w:ascii="宋体" w:hAnsi="宋体" w:cs="宋体"/>
                <w:szCs w:val="21"/>
              </w:rPr>
            </w:pPr>
            <w:r>
              <w:rPr>
                <w:rFonts w:hint="eastAsia" w:ascii="宋体" w:hAnsi="宋体" w:cs="宋体"/>
                <w:szCs w:val="21"/>
              </w:rPr>
              <w:t>根据主体设计，水库蓄水初期通过导流洞下泄生态流量；运行期采用导流放水冲沙涵洞上设置的人畜、工业供水及生态放水管后设置的分水管下泄生态流量。在控制断面布设在线监测系统进行实时在线监控，保证坝址断面生态流量下泄，防止超引水。开展长期跟踪监测，并根据监测效果进行评估，实时调整水库调度运行或减少灌区引水量，以确保生态流量能够足额下泄。</w:t>
            </w:r>
          </w:p>
          <w:p>
            <w:pPr>
              <w:adjustRightInd w:val="0"/>
              <w:snapToGrid w:val="0"/>
              <w:rPr>
                <w:rFonts w:ascii="宋体" w:hAnsi="宋体" w:cs="宋体"/>
                <w:szCs w:val="21"/>
              </w:rPr>
            </w:pPr>
            <w:r>
              <w:rPr>
                <w:rFonts w:hint="eastAsia" w:ascii="宋体" w:hAnsi="宋体" w:cs="宋体"/>
                <w:szCs w:val="21"/>
              </w:rPr>
              <w:t>（</w:t>
            </w:r>
            <w:r>
              <w:rPr>
                <w:rFonts w:ascii="宋体" w:hAnsi="宋体" w:cs="宋体"/>
                <w:szCs w:val="21"/>
              </w:rPr>
              <w:t>5</w:t>
            </w:r>
            <w:r>
              <w:rPr>
                <w:rFonts w:hint="eastAsia" w:ascii="宋体" w:hAnsi="宋体" w:cs="宋体"/>
                <w:szCs w:val="21"/>
              </w:rPr>
              <w:t>）</w:t>
            </w:r>
            <w:r>
              <w:rPr>
                <w:szCs w:val="21"/>
              </w:rPr>
              <w:t>生活污水采用化粪池+一体化污水处理设施进行处理后</w:t>
            </w:r>
            <w:r>
              <w:rPr>
                <w:rFonts w:hint="eastAsia"/>
                <w:szCs w:val="21"/>
              </w:rPr>
              <w:t>综合回用</w:t>
            </w:r>
            <w:r>
              <w:rPr>
                <w:kern w:val="0"/>
                <w:szCs w:val="21"/>
                <w:lang w:val="zh-CN"/>
              </w:rPr>
              <w:t>，严禁外排。</w:t>
            </w:r>
          </w:p>
        </w:tc>
        <w:tc>
          <w:tcPr>
            <w:tcW w:w="806" w:type="dxa"/>
            <w:vAlign w:val="center"/>
          </w:tcPr>
          <w:p>
            <w:pPr>
              <w:adjustRightInd w:val="0"/>
              <w:snapToGrid w:val="0"/>
              <w:rPr>
                <w:rFonts w:ascii="宋体" w:hAnsi="宋体" w:cs="宋体"/>
                <w:szCs w:val="21"/>
              </w:rPr>
            </w:pPr>
            <w:r>
              <w:rPr>
                <w:szCs w:val="21"/>
              </w:rPr>
              <w:t>运行期生活污水处理后的水质参照新疆《农村生活污水处理排放标准》（DB654275-2019）中用于生态恢复治理的出水水质控制B级标准</w:t>
            </w:r>
            <w:r>
              <w:rPr>
                <w:rFonts w:hint="eastAsia"/>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土壤环境</w:t>
            </w:r>
          </w:p>
        </w:tc>
        <w:tc>
          <w:tcPr>
            <w:tcW w:w="2328" w:type="dxa"/>
            <w:vAlign w:val="center"/>
          </w:tcPr>
          <w:p>
            <w:pPr>
              <w:adjustRightInd w:val="0"/>
              <w:snapToGrid w:val="0"/>
              <w:rPr>
                <w:rFonts w:ascii="宋体" w:hAnsi="宋体" w:cs="宋体"/>
                <w:szCs w:val="21"/>
              </w:rPr>
            </w:pPr>
            <w:r>
              <w:rPr>
                <w:rFonts w:hint="eastAsia" w:ascii="宋体" w:hAnsi="宋体" w:cs="宋体"/>
                <w:szCs w:val="21"/>
              </w:rPr>
              <w:t>①</w:t>
            </w:r>
            <w:r>
              <w:rPr>
                <w:rFonts w:ascii="宋体" w:hAnsi="宋体" w:cs="宋体"/>
                <w:szCs w:val="21"/>
              </w:rPr>
              <w:t>严格限定施工范围，采取“彩条旗”限界等临时措施限定施工机械行驶路线，禁止施工人员进入非施工占地区域，使对土壤环境的破坏作用降至最低程度。</w:t>
            </w:r>
          </w:p>
          <w:p>
            <w:pPr>
              <w:adjustRightInd w:val="0"/>
              <w:snapToGrid w:val="0"/>
              <w:rPr>
                <w:rFonts w:ascii="宋体" w:hAnsi="宋体" w:cs="宋体"/>
                <w:szCs w:val="21"/>
              </w:rPr>
            </w:pPr>
            <w:r>
              <w:rPr>
                <w:rFonts w:hint="eastAsia" w:ascii="宋体" w:hAnsi="宋体" w:cs="宋体"/>
                <w:szCs w:val="21"/>
              </w:rPr>
              <w:t>②</w:t>
            </w:r>
            <w:r>
              <w:rPr>
                <w:rFonts w:ascii="宋体" w:hAnsi="宋体" w:cs="宋体"/>
                <w:szCs w:val="21"/>
              </w:rPr>
              <w:t>加强废污水管理，所有工程废污水及生活污水均须处理后回用，严禁乱排，避免对周边土壤造成污染。</w:t>
            </w:r>
          </w:p>
          <w:p>
            <w:pPr>
              <w:adjustRightInd w:val="0"/>
              <w:snapToGrid w:val="0"/>
              <w:rPr>
                <w:rFonts w:ascii="宋体" w:hAnsi="宋体" w:cs="宋体"/>
                <w:szCs w:val="21"/>
              </w:rPr>
            </w:pPr>
            <w:r>
              <w:rPr>
                <w:rFonts w:hint="eastAsia" w:ascii="宋体" w:hAnsi="宋体" w:cs="宋体"/>
                <w:szCs w:val="21"/>
              </w:rPr>
              <w:t>③</w:t>
            </w:r>
            <w:r>
              <w:rPr>
                <w:rFonts w:ascii="宋体" w:hAnsi="宋体" w:cs="宋体"/>
                <w:szCs w:val="21"/>
              </w:rPr>
              <w:t>施工结束后，结合水土保持措施，对施工临时占地区采取土地平整、覆土及植被恢复措施，为扰动区土壤的恢复创造有利条件。</w:t>
            </w:r>
          </w:p>
        </w:tc>
        <w:tc>
          <w:tcPr>
            <w:tcW w:w="2125" w:type="dxa"/>
            <w:vAlign w:val="center"/>
          </w:tcPr>
          <w:p>
            <w:pPr>
              <w:adjustRightInd w:val="0"/>
              <w:snapToGrid w:val="0"/>
              <w:rPr>
                <w:szCs w:val="21"/>
              </w:rPr>
            </w:pPr>
            <w:r>
              <w:rPr>
                <w:szCs w:val="21"/>
              </w:rPr>
              <w:t>风险筛选值和管制值采用《土壤环境质量建设用地土壤污染风险管控标准（试行）》（GB36600-2018）中第二类用地标准。工程占地区外土地执行《土壤环境质量农用地土壤污染风险管控标准（试行）》（GB15618-2018）表一和表三中的农用地筛选值和风险管控值。</w:t>
            </w:r>
          </w:p>
        </w:tc>
        <w:tc>
          <w:tcPr>
            <w:tcW w:w="1796" w:type="dxa"/>
            <w:vAlign w:val="center"/>
          </w:tcPr>
          <w:p>
            <w:pPr>
              <w:adjustRightInd w:val="0"/>
              <w:snapToGrid w:val="0"/>
              <w:rPr>
                <w:rFonts w:ascii="宋体" w:hAnsi="宋体" w:cs="宋体"/>
                <w:szCs w:val="21"/>
              </w:rPr>
            </w:pP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声环境</w:t>
            </w:r>
          </w:p>
        </w:tc>
        <w:tc>
          <w:tcPr>
            <w:tcW w:w="2328" w:type="dxa"/>
            <w:vAlign w:val="center"/>
          </w:tcPr>
          <w:p>
            <w:pPr>
              <w:adjustRightInd w:val="0"/>
              <w:snapToGrid w:val="0"/>
              <w:rPr>
                <w:szCs w:val="21"/>
              </w:rPr>
            </w:pPr>
            <w:r>
              <w:rPr>
                <w:szCs w:val="21"/>
              </w:rPr>
              <w:t>从声源上降低噪声：</w:t>
            </w:r>
          </w:p>
          <w:p>
            <w:pPr>
              <w:adjustRightInd w:val="0"/>
              <w:snapToGrid w:val="0"/>
              <w:rPr>
                <w:szCs w:val="21"/>
              </w:rPr>
            </w:pPr>
            <w:r>
              <w:rPr>
                <w:rFonts w:hint="eastAsia" w:ascii="宋体" w:hAnsi="宋体" w:cs="宋体"/>
                <w:szCs w:val="21"/>
              </w:rPr>
              <w:t>①</w:t>
            </w:r>
            <w:r>
              <w:rPr>
                <w:szCs w:val="21"/>
              </w:rPr>
              <w:t>采用符合相关噪声标准要求的</w:t>
            </w:r>
            <w:r>
              <w:rPr>
                <w:rFonts w:hint="eastAsia"/>
                <w:szCs w:val="21"/>
              </w:rPr>
              <w:t>砂石料加工</w:t>
            </w:r>
            <w:r>
              <w:rPr>
                <w:szCs w:val="21"/>
              </w:rPr>
              <w:t>设备、混凝土拌和设备，加强设备维护保养，保持设备润滑，减少运行噪声。</w:t>
            </w:r>
          </w:p>
          <w:p>
            <w:pPr>
              <w:adjustRightInd w:val="0"/>
              <w:snapToGrid w:val="0"/>
              <w:rPr>
                <w:szCs w:val="21"/>
              </w:rPr>
            </w:pPr>
            <w:r>
              <w:rPr>
                <w:rFonts w:hint="eastAsia" w:ascii="宋体" w:hAnsi="宋体" w:cs="宋体"/>
                <w:szCs w:val="21"/>
              </w:rPr>
              <w:t>②</w:t>
            </w:r>
            <w:r>
              <w:rPr>
                <w:szCs w:val="21"/>
              </w:rPr>
              <w:t>对一些振动强烈的机械设备，有选择地使用减振机座。</w:t>
            </w:r>
          </w:p>
          <w:p>
            <w:pPr>
              <w:adjustRightInd w:val="0"/>
              <w:snapToGrid w:val="0"/>
              <w:rPr>
                <w:szCs w:val="21"/>
              </w:rPr>
            </w:pPr>
            <w:r>
              <w:rPr>
                <w:rFonts w:hint="eastAsia" w:ascii="宋体" w:hAnsi="宋体" w:cs="宋体"/>
                <w:szCs w:val="21"/>
              </w:rPr>
              <w:t>③</w:t>
            </w:r>
            <w:r>
              <w:rPr>
                <w:szCs w:val="21"/>
              </w:rPr>
              <w:t>使用的车辆必须符合《汽车定置噪声限值》（GB16170-1996）和</w:t>
            </w:r>
            <w:r>
              <w:rPr>
                <w:rFonts w:hint="eastAsia"/>
                <w:szCs w:val="21"/>
              </w:rPr>
              <w:t>《汽车加速行驶车外噪声限值及测量方法》(GB1495-2020)</w:t>
            </w:r>
            <w:r>
              <w:rPr>
                <w:szCs w:val="21"/>
              </w:rPr>
              <w:t>，并尽量选用低噪声车辆，加强车辆维修养护；经过生活区路段设限速、禁鸣标志，夜间禁止鸣笛。</w:t>
            </w:r>
          </w:p>
          <w:p>
            <w:pPr>
              <w:adjustRightInd w:val="0"/>
              <w:snapToGrid w:val="0"/>
              <w:rPr>
                <w:szCs w:val="21"/>
              </w:rPr>
            </w:pPr>
            <w:r>
              <w:rPr>
                <w:rFonts w:hint="eastAsia" w:ascii="宋体" w:hAnsi="宋体" w:cs="宋体"/>
                <w:szCs w:val="21"/>
              </w:rPr>
              <w:t>④</w:t>
            </w:r>
            <w:r>
              <w:rPr>
                <w:szCs w:val="21"/>
              </w:rPr>
              <w:t>加强场内施工道路养护，保持施工道路路面平整。</w:t>
            </w:r>
          </w:p>
          <w:p>
            <w:pPr>
              <w:adjustRightInd w:val="0"/>
              <w:snapToGrid w:val="0"/>
              <w:rPr>
                <w:szCs w:val="21"/>
              </w:rPr>
            </w:pPr>
            <w:r>
              <w:rPr>
                <w:rFonts w:hint="eastAsia" w:ascii="宋体" w:hAnsi="宋体" w:cs="宋体"/>
                <w:szCs w:val="21"/>
              </w:rPr>
              <w:t>⑤</w:t>
            </w:r>
            <w:r>
              <w:rPr>
                <w:szCs w:val="21"/>
              </w:rPr>
              <w:t>合理安排车辆运输时间，车辆经过当地县乡集镇道路应避开中午和晚间，并控制车速，以免影响当地居民休息。</w:t>
            </w:r>
          </w:p>
          <w:p>
            <w:pPr>
              <w:adjustRightInd w:val="0"/>
              <w:snapToGrid w:val="0"/>
              <w:rPr>
                <w:szCs w:val="21"/>
              </w:rPr>
            </w:pPr>
            <w:r>
              <w:rPr>
                <w:rFonts w:hint="eastAsia"/>
                <w:szCs w:val="21"/>
              </w:rPr>
              <w:t>受声</w:t>
            </w:r>
            <w:r>
              <w:rPr>
                <w:szCs w:val="21"/>
              </w:rPr>
              <w:t>者防护措施：采取轮班制，适当缩短</w:t>
            </w:r>
            <w:r>
              <w:rPr>
                <w:rFonts w:hint="eastAsia"/>
                <w:szCs w:val="21"/>
              </w:rPr>
              <w:t>砂石料</w:t>
            </w:r>
            <w:r>
              <w:rPr>
                <w:szCs w:val="21"/>
              </w:rPr>
              <w:t>加工</w:t>
            </w:r>
            <w:r>
              <w:rPr>
                <w:rFonts w:hint="eastAsia"/>
                <w:szCs w:val="21"/>
              </w:rPr>
              <w:t>系统</w:t>
            </w:r>
            <w:r>
              <w:rPr>
                <w:szCs w:val="21"/>
              </w:rPr>
              <w:t>、混凝土拌和站操作人员工作时长，防止其听力受损。必须处在高噪声环境中作业的施工人员应加强个人防护措施，降低作业噪声。</w:t>
            </w:r>
          </w:p>
        </w:tc>
        <w:tc>
          <w:tcPr>
            <w:tcW w:w="2125" w:type="dxa"/>
            <w:vAlign w:val="center"/>
          </w:tcPr>
          <w:p>
            <w:pPr>
              <w:autoSpaceDE w:val="0"/>
              <w:autoSpaceDN w:val="0"/>
              <w:adjustRightInd w:val="0"/>
              <w:jc w:val="left"/>
              <w:rPr>
                <w:szCs w:val="21"/>
              </w:rPr>
            </w:pPr>
            <w:r>
              <w:rPr>
                <w:szCs w:val="21"/>
              </w:rPr>
              <w:t>《建筑施工场界环境噪声排放标准》（GB12523-2011）</w:t>
            </w:r>
          </w:p>
        </w:tc>
        <w:tc>
          <w:tcPr>
            <w:tcW w:w="1796" w:type="dxa"/>
            <w:vAlign w:val="center"/>
          </w:tcPr>
          <w:p>
            <w:pPr>
              <w:adjustRightInd w:val="0"/>
              <w:snapToGrid w:val="0"/>
              <w:rPr>
                <w:rFonts w:ascii="宋体" w:hAnsi="宋体" w:cs="宋体"/>
                <w:szCs w:val="21"/>
              </w:rPr>
            </w:pP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振动</w:t>
            </w:r>
          </w:p>
        </w:tc>
        <w:tc>
          <w:tcPr>
            <w:tcW w:w="2328" w:type="dxa"/>
            <w:vAlign w:val="center"/>
          </w:tcPr>
          <w:p>
            <w:pPr>
              <w:adjustRightInd w:val="0"/>
              <w:snapToGrid w:val="0"/>
              <w:rPr>
                <w:szCs w:val="21"/>
              </w:rPr>
            </w:pPr>
            <w:r>
              <w:rPr>
                <w:szCs w:val="21"/>
              </w:rPr>
              <w:t>无</w:t>
            </w:r>
          </w:p>
        </w:tc>
        <w:tc>
          <w:tcPr>
            <w:tcW w:w="2125" w:type="dxa"/>
            <w:vAlign w:val="center"/>
          </w:tcPr>
          <w:p>
            <w:pPr>
              <w:adjustRightInd w:val="0"/>
              <w:snapToGrid w:val="0"/>
              <w:rPr>
                <w:rFonts w:ascii="宋体" w:hAnsi="宋体" w:cs="宋体"/>
                <w:szCs w:val="21"/>
              </w:rPr>
            </w:pPr>
          </w:p>
        </w:tc>
        <w:tc>
          <w:tcPr>
            <w:tcW w:w="1796" w:type="dxa"/>
            <w:vAlign w:val="center"/>
          </w:tcPr>
          <w:p>
            <w:pPr>
              <w:adjustRightInd w:val="0"/>
              <w:snapToGrid w:val="0"/>
              <w:rPr>
                <w:rFonts w:ascii="宋体" w:hAnsi="宋体" w:cs="宋体"/>
                <w:szCs w:val="21"/>
              </w:rPr>
            </w:pP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大气环境</w:t>
            </w:r>
          </w:p>
        </w:tc>
        <w:tc>
          <w:tcPr>
            <w:tcW w:w="2328" w:type="dxa"/>
            <w:vAlign w:val="center"/>
          </w:tcPr>
          <w:p>
            <w:pPr>
              <w:adjustRightInd w:val="0"/>
              <w:snapToGrid w:val="0"/>
              <w:rPr>
                <w:szCs w:val="21"/>
              </w:rPr>
            </w:pPr>
            <w:r>
              <w:rPr>
                <w:rFonts w:hint="eastAsia" w:ascii="宋体" w:hAnsi="宋体" w:cs="宋体"/>
                <w:szCs w:val="21"/>
              </w:rPr>
              <w:t>①</w:t>
            </w:r>
            <w:r>
              <w:rPr>
                <w:szCs w:val="21"/>
              </w:rPr>
              <w:t>在多粉尘作业面配备人员及设备进行定时洒水。洒水次数及用水量根据天气情况和场地扬尘情况确定，洒水面积应尽量覆盖施工区域所有干燥裸露面。若出现大风天气时，禁止进行土方和拆除施工等易产生扬尘污染的施工作业。</w:t>
            </w:r>
          </w:p>
          <w:p>
            <w:pPr>
              <w:adjustRightInd w:val="0"/>
              <w:snapToGrid w:val="0"/>
              <w:rPr>
                <w:szCs w:val="21"/>
              </w:rPr>
            </w:pPr>
            <w:r>
              <w:rPr>
                <w:rFonts w:hint="eastAsia" w:ascii="宋体" w:hAnsi="宋体" w:cs="宋体"/>
                <w:szCs w:val="21"/>
              </w:rPr>
              <w:t>②</w:t>
            </w:r>
            <w:r>
              <w:rPr>
                <w:szCs w:val="21"/>
              </w:rPr>
              <w:t>施工弃土弃渣等及时运送至</w:t>
            </w:r>
            <w:r>
              <w:rPr>
                <w:rFonts w:hint="eastAsia"/>
                <w:szCs w:val="21"/>
              </w:rPr>
              <w:t>弃渣场</w:t>
            </w:r>
            <w:r>
              <w:rPr>
                <w:szCs w:val="21"/>
              </w:rPr>
              <w:t>，减少临时堆放，落实水土保持措施。</w:t>
            </w:r>
          </w:p>
          <w:p>
            <w:pPr>
              <w:adjustRightInd w:val="0"/>
              <w:snapToGrid w:val="0"/>
              <w:rPr>
                <w:szCs w:val="21"/>
              </w:rPr>
            </w:pPr>
            <w:r>
              <w:rPr>
                <w:rFonts w:hint="eastAsia" w:ascii="宋体" w:hAnsi="宋体" w:cs="宋体"/>
                <w:szCs w:val="21"/>
              </w:rPr>
              <w:t>③</w:t>
            </w:r>
            <w:r>
              <w:rPr>
                <w:szCs w:val="21"/>
              </w:rPr>
              <w:t>对粉状物原材料堆放区进行防尘网苫盖。</w:t>
            </w:r>
          </w:p>
          <w:p>
            <w:pPr>
              <w:adjustRightInd w:val="0"/>
              <w:snapToGrid w:val="0"/>
              <w:rPr>
                <w:szCs w:val="21"/>
              </w:rPr>
            </w:pPr>
            <w:r>
              <w:rPr>
                <w:rFonts w:hint="eastAsia"/>
                <w:szCs w:val="21"/>
              </w:rPr>
              <w:t>④对</w:t>
            </w:r>
            <w:r>
              <w:rPr>
                <w:szCs w:val="21"/>
              </w:rPr>
              <w:t>砂石料</w:t>
            </w:r>
            <w:r>
              <w:rPr>
                <w:rFonts w:hint="eastAsia"/>
                <w:szCs w:val="21"/>
              </w:rPr>
              <w:t>加工</w:t>
            </w:r>
            <w:r>
              <w:rPr>
                <w:szCs w:val="21"/>
              </w:rPr>
              <w:t>系统、混凝土拌和系统等</w:t>
            </w:r>
            <w:r>
              <w:rPr>
                <w:rFonts w:hint="eastAsia"/>
                <w:szCs w:val="21"/>
              </w:rPr>
              <w:t>生产</w:t>
            </w:r>
            <w:r>
              <w:rPr>
                <w:szCs w:val="21"/>
              </w:rPr>
              <w:t>系统产生的粉尘和废气等</w:t>
            </w:r>
            <w:r>
              <w:rPr>
                <w:rFonts w:hint="eastAsia"/>
                <w:szCs w:val="21"/>
              </w:rPr>
              <w:t>进行</w:t>
            </w:r>
            <w:r>
              <w:rPr>
                <w:szCs w:val="21"/>
              </w:rPr>
              <w:t>消减和</w:t>
            </w:r>
            <w:r>
              <w:rPr>
                <w:rFonts w:hint="eastAsia"/>
                <w:szCs w:val="21"/>
              </w:rPr>
              <w:t>控制</w:t>
            </w:r>
            <w:r>
              <w:rPr>
                <w:szCs w:val="21"/>
              </w:rPr>
              <w:t>。</w:t>
            </w:r>
          </w:p>
          <w:p>
            <w:pPr>
              <w:adjustRightInd w:val="0"/>
              <w:snapToGrid w:val="0"/>
              <w:rPr>
                <w:szCs w:val="21"/>
              </w:rPr>
            </w:pPr>
            <w:r>
              <w:rPr>
                <w:rFonts w:hint="eastAsia" w:ascii="宋体" w:hAnsi="宋体" w:cs="宋体"/>
                <w:szCs w:val="21"/>
              </w:rPr>
              <w:t>⑤</w:t>
            </w:r>
            <w:r>
              <w:rPr>
                <w:szCs w:val="21"/>
              </w:rPr>
              <w:t>及时清扫交通道路路面粉尘，定时进行洒水降尘工作，洒水降尘道路主要为车辆施工道路。洒水次数及用水量根据天气情况和道路扬尘产生情况确定，施工期在无雨日对汽车行驶路面勤洒水，重要交通干道加强洒水频率。</w:t>
            </w:r>
          </w:p>
          <w:p>
            <w:pPr>
              <w:adjustRightInd w:val="0"/>
              <w:snapToGrid w:val="0"/>
              <w:rPr>
                <w:szCs w:val="21"/>
              </w:rPr>
            </w:pPr>
            <w:r>
              <w:rPr>
                <w:rFonts w:hint="eastAsia" w:ascii="宋体" w:hAnsi="宋体" w:cs="宋体"/>
                <w:szCs w:val="21"/>
              </w:rPr>
              <w:t>⑥</w:t>
            </w:r>
            <w:r>
              <w:rPr>
                <w:szCs w:val="21"/>
              </w:rPr>
              <w:t>在施工生产生活区等路段设置限速标志，以减轻交通扬尘对施工人员的影响。</w:t>
            </w:r>
          </w:p>
          <w:p>
            <w:pPr>
              <w:adjustRightInd w:val="0"/>
              <w:snapToGrid w:val="0"/>
              <w:rPr>
                <w:szCs w:val="21"/>
              </w:rPr>
            </w:pPr>
            <w:r>
              <w:rPr>
                <w:rFonts w:hint="eastAsia" w:ascii="宋体" w:hAnsi="宋体" w:cs="宋体"/>
                <w:szCs w:val="21"/>
              </w:rPr>
              <w:t>⑦</w:t>
            </w:r>
            <w:r>
              <w:rPr>
                <w:szCs w:val="21"/>
              </w:rPr>
              <w:t>做好运输车辆的密封和车辆保洁，减少因弃渣、砂、土的外泄造成的扬尘污染。运送土石方等道路材料的运货车，应用蓬布或塑料布覆盖，或用编织袋分装堆码；运送水泥等细颗粒材料的车辆应采用密封储罐车；装卸、堆放中应防止物料流散并经常清洗运输车辆。</w:t>
            </w:r>
          </w:p>
        </w:tc>
        <w:tc>
          <w:tcPr>
            <w:tcW w:w="2125" w:type="dxa"/>
            <w:vAlign w:val="center"/>
          </w:tcPr>
          <w:p>
            <w:pPr>
              <w:autoSpaceDE w:val="0"/>
              <w:autoSpaceDN w:val="0"/>
              <w:adjustRightInd w:val="0"/>
              <w:jc w:val="left"/>
              <w:rPr>
                <w:szCs w:val="21"/>
              </w:rPr>
            </w:pPr>
            <w:r>
              <w:rPr>
                <w:szCs w:val="21"/>
              </w:rPr>
              <w:t>《大气污染物综合排放标准》</w:t>
            </w:r>
          </w:p>
          <w:p>
            <w:pPr>
              <w:adjustRightInd w:val="0"/>
              <w:snapToGrid w:val="0"/>
              <w:rPr>
                <w:rFonts w:ascii="宋体" w:hAnsi="宋体" w:cs="宋体"/>
                <w:szCs w:val="21"/>
              </w:rPr>
            </w:pPr>
            <w:r>
              <w:rPr>
                <w:szCs w:val="21"/>
              </w:rPr>
              <w:t>（GB16297-1996）</w:t>
            </w:r>
          </w:p>
        </w:tc>
        <w:tc>
          <w:tcPr>
            <w:tcW w:w="1796" w:type="dxa"/>
            <w:vAlign w:val="center"/>
          </w:tcPr>
          <w:p>
            <w:pPr>
              <w:adjustRightInd w:val="0"/>
              <w:snapToGrid w:val="0"/>
              <w:rPr>
                <w:rFonts w:ascii="宋体" w:hAnsi="宋体" w:cs="宋体"/>
                <w:szCs w:val="21"/>
              </w:rPr>
            </w:pP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固体废物</w:t>
            </w:r>
          </w:p>
        </w:tc>
        <w:tc>
          <w:tcPr>
            <w:tcW w:w="2328" w:type="dxa"/>
            <w:vAlign w:val="center"/>
          </w:tcPr>
          <w:p>
            <w:pPr>
              <w:adjustRightInd w:val="0"/>
              <w:snapToGrid w:val="0"/>
              <w:rPr>
                <w:szCs w:val="21"/>
              </w:rPr>
            </w:pPr>
            <w:r>
              <w:rPr>
                <w:rFonts w:hint="eastAsia"/>
                <w:szCs w:val="21"/>
              </w:rPr>
              <w:t>①施工期应对各施工单位产生的危险废物进行排查，摸清产生环节、危险废物类型、产生量，按照《危险废物贮存污染控制标准》（GB18597-</w:t>
            </w:r>
            <w:r>
              <w:rPr>
                <w:szCs w:val="21"/>
              </w:rPr>
              <w:t>2023</w:t>
            </w:r>
            <w:r>
              <w:rPr>
                <w:rFonts w:hint="eastAsia"/>
                <w:szCs w:val="21"/>
              </w:rPr>
              <w:t>）及其修改单的要求在施工生产区附近设置危险废物暂存间。</w:t>
            </w:r>
          </w:p>
          <w:p>
            <w:pPr>
              <w:adjustRightInd w:val="0"/>
              <w:snapToGrid w:val="0"/>
              <w:rPr>
                <w:szCs w:val="21"/>
              </w:rPr>
            </w:pPr>
            <w:r>
              <w:rPr>
                <w:rFonts w:hint="eastAsia"/>
                <w:szCs w:val="21"/>
              </w:rPr>
              <w:t>②收集、贮存、运输、处置危险废物的设施、场所，危险废物的容器和包装物必须设置危险废物识别标志。</w:t>
            </w:r>
          </w:p>
          <w:p>
            <w:pPr>
              <w:adjustRightInd w:val="0"/>
              <w:snapToGrid w:val="0"/>
              <w:rPr>
                <w:szCs w:val="21"/>
              </w:rPr>
            </w:pPr>
            <w:r>
              <w:rPr>
                <w:rFonts w:hint="eastAsia"/>
                <w:szCs w:val="21"/>
              </w:rPr>
              <w:t>③建立危险废物管理制度，不同种类危险废物分类堆放，张贴标识，转入或转出均应做好相应记录及台账。</w:t>
            </w:r>
          </w:p>
          <w:p>
            <w:pPr>
              <w:adjustRightInd w:val="0"/>
              <w:snapToGrid w:val="0"/>
              <w:rPr>
                <w:szCs w:val="21"/>
              </w:rPr>
            </w:pPr>
            <w:r>
              <w:rPr>
                <w:rFonts w:hint="eastAsia"/>
                <w:szCs w:val="21"/>
              </w:rPr>
              <w:t>④定期对危险废物进行转移，转移必须按照国家有关规定实施危险废物转移联单制度，具体按《危险废物转移联单管理办法》执行。</w:t>
            </w:r>
          </w:p>
          <w:p>
            <w:pPr>
              <w:adjustRightInd w:val="0"/>
              <w:snapToGrid w:val="0"/>
              <w:rPr>
                <w:szCs w:val="21"/>
              </w:rPr>
            </w:pPr>
            <w:r>
              <w:rPr>
                <w:rFonts w:hint="eastAsia"/>
                <w:szCs w:val="21"/>
              </w:rPr>
              <w:t>⑤危险废物运输应由持有危险废物经营许可证的单位按照其许可证的经营范围组织实施，承担危险废物运输的单位应获得交通运输部门颁发的危险货物运输资质。</w:t>
            </w:r>
          </w:p>
        </w:tc>
        <w:tc>
          <w:tcPr>
            <w:tcW w:w="2125" w:type="dxa"/>
            <w:vAlign w:val="center"/>
          </w:tcPr>
          <w:p>
            <w:pPr>
              <w:adjustRightInd w:val="0"/>
              <w:snapToGrid w:val="0"/>
              <w:rPr>
                <w:rFonts w:ascii="宋体" w:hAnsi="宋体" w:cs="宋体"/>
                <w:szCs w:val="21"/>
              </w:rPr>
            </w:pPr>
          </w:p>
        </w:tc>
        <w:tc>
          <w:tcPr>
            <w:tcW w:w="1796" w:type="dxa"/>
            <w:vAlign w:val="center"/>
          </w:tcPr>
          <w:p>
            <w:pPr>
              <w:adjustRightInd w:val="0"/>
              <w:snapToGrid w:val="0"/>
              <w:rPr>
                <w:rFonts w:ascii="宋体" w:hAnsi="宋体" w:cs="宋体"/>
                <w:szCs w:val="21"/>
              </w:rPr>
            </w:pPr>
            <w:r>
              <w:rPr>
                <w:rFonts w:hint="eastAsia" w:ascii="宋体" w:hAnsi="宋体" w:cs="宋体"/>
                <w:szCs w:val="21"/>
              </w:rPr>
              <w:t>将生活垃圾集中收集后，定期清运至当地主管部门指定的场所进行统一处理。</w:t>
            </w: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电磁环境</w:t>
            </w:r>
          </w:p>
        </w:tc>
        <w:tc>
          <w:tcPr>
            <w:tcW w:w="2328" w:type="dxa"/>
            <w:vAlign w:val="center"/>
          </w:tcPr>
          <w:p>
            <w:pPr>
              <w:adjustRightInd w:val="0"/>
              <w:snapToGrid w:val="0"/>
              <w:rPr>
                <w:szCs w:val="21"/>
              </w:rPr>
            </w:pPr>
            <w:r>
              <w:rPr>
                <w:szCs w:val="21"/>
              </w:rPr>
              <w:t>无</w:t>
            </w:r>
          </w:p>
        </w:tc>
        <w:tc>
          <w:tcPr>
            <w:tcW w:w="2125" w:type="dxa"/>
            <w:vAlign w:val="center"/>
          </w:tcPr>
          <w:p>
            <w:pPr>
              <w:adjustRightInd w:val="0"/>
              <w:snapToGrid w:val="0"/>
              <w:rPr>
                <w:rFonts w:ascii="宋体" w:hAnsi="宋体" w:cs="宋体"/>
                <w:szCs w:val="21"/>
              </w:rPr>
            </w:pPr>
          </w:p>
        </w:tc>
        <w:tc>
          <w:tcPr>
            <w:tcW w:w="1796" w:type="dxa"/>
            <w:vAlign w:val="center"/>
          </w:tcPr>
          <w:p>
            <w:pPr>
              <w:adjustRightInd w:val="0"/>
              <w:snapToGrid w:val="0"/>
              <w:rPr>
                <w:rFonts w:ascii="宋体" w:hAnsi="宋体" w:cs="宋体"/>
                <w:szCs w:val="21"/>
              </w:rPr>
            </w:pP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环境风险</w:t>
            </w:r>
          </w:p>
        </w:tc>
        <w:tc>
          <w:tcPr>
            <w:tcW w:w="2328" w:type="dxa"/>
            <w:vAlign w:val="center"/>
          </w:tcPr>
          <w:p>
            <w:pPr>
              <w:adjustRightInd w:val="0"/>
              <w:snapToGrid w:val="0"/>
              <w:rPr>
                <w:szCs w:val="21"/>
              </w:rPr>
            </w:pPr>
            <w:r>
              <w:rPr>
                <w:rFonts w:hint="eastAsia"/>
                <w:szCs w:val="21"/>
              </w:rPr>
              <w:t>（1）油料储运风险防范措施</w:t>
            </w:r>
          </w:p>
          <w:p>
            <w:pPr>
              <w:adjustRightInd w:val="0"/>
              <w:snapToGrid w:val="0"/>
              <w:rPr>
                <w:szCs w:val="21"/>
              </w:rPr>
            </w:pPr>
            <w:r>
              <w:rPr>
                <w:rFonts w:hint="eastAsia"/>
                <w:szCs w:val="21"/>
              </w:rPr>
              <w:t>①建立以工程建设安全和环保领导小组为核心的责任制，层层签订责任书，明确各级安全和环保人员应承担的环境风险管理责任。</w:t>
            </w:r>
          </w:p>
          <w:p>
            <w:pPr>
              <w:adjustRightInd w:val="0"/>
              <w:snapToGrid w:val="0"/>
              <w:rPr>
                <w:szCs w:val="21"/>
              </w:rPr>
            </w:pPr>
            <w:r>
              <w:rPr>
                <w:rFonts w:hint="eastAsia"/>
                <w:szCs w:val="21"/>
              </w:rPr>
              <w:t>②安全和环保领导小组应加强各施工队伍的环境风险意识宣传教育，并与运输油料的承包方签订事故责任合同，确保运输风险减缓措施得到落实。</w:t>
            </w:r>
          </w:p>
          <w:p>
            <w:pPr>
              <w:adjustRightInd w:val="0"/>
              <w:snapToGrid w:val="0"/>
              <w:rPr>
                <w:szCs w:val="21"/>
              </w:rPr>
            </w:pPr>
            <w:r>
              <w:rPr>
                <w:rFonts w:hint="eastAsia"/>
                <w:szCs w:val="21"/>
              </w:rPr>
              <w:t>③油料的运输、储存必须事先申请并经公安、环保等有关部门批准、登记，达到相关标准要求。</w:t>
            </w:r>
          </w:p>
          <w:p>
            <w:pPr>
              <w:adjustRightInd w:val="0"/>
              <w:snapToGrid w:val="0"/>
              <w:rPr>
                <w:szCs w:val="21"/>
              </w:rPr>
            </w:pPr>
            <w:r>
              <w:rPr>
                <w:rFonts w:hint="eastAsia"/>
                <w:szCs w:val="21"/>
              </w:rPr>
              <w:t>④加强运输人员环境污染事故安全知识教育，运输人员应严格遵守易燃、易爆等危险货物运输的有关规定，具体包括《汽车危险货物运输规则》、《汽车危险货物运输、装卸作业规程》。</w:t>
            </w:r>
          </w:p>
          <w:p>
            <w:pPr>
              <w:adjustRightInd w:val="0"/>
              <w:snapToGrid w:val="0"/>
              <w:rPr>
                <w:szCs w:val="21"/>
              </w:rPr>
            </w:pPr>
            <w:r>
              <w:rPr>
                <w:rFonts w:hint="eastAsia"/>
                <w:szCs w:val="21"/>
              </w:rPr>
              <w:t>⑤油料运输、储存采用密闭性能优越的储油罐，确保不造成环境危害。</w:t>
            </w:r>
          </w:p>
          <w:p>
            <w:pPr>
              <w:adjustRightInd w:val="0"/>
              <w:snapToGrid w:val="0"/>
              <w:rPr>
                <w:szCs w:val="21"/>
              </w:rPr>
            </w:pPr>
            <w:r>
              <w:rPr>
                <w:rFonts w:hint="eastAsia"/>
                <w:szCs w:val="21"/>
              </w:rPr>
              <w:t>⑥对加油操作人员开展技能培训，规范加油行为，具备基本的加油及风险防范常识。</w:t>
            </w:r>
          </w:p>
          <w:p>
            <w:pPr>
              <w:adjustRightInd w:val="0"/>
              <w:snapToGrid w:val="0"/>
              <w:rPr>
                <w:szCs w:val="21"/>
              </w:rPr>
            </w:pPr>
            <w:r>
              <w:rPr>
                <w:rFonts w:hint="eastAsia"/>
                <w:szCs w:val="21"/>
              </w:rPr>
              <w:t>⑦定期检查储存场所的各类电气开关和线路，防止由于设备老化、短路而成为事故隐患。</w:t>
            </w:r>
          </w:p>
          <w:p>
            <w:pPr>
              <w:adjustRightInd w:val="0"/>
              <w:snapToGrid w:val="0"/>
              <w:rPr>
                <w:szCs w:val="21"/>
              </w:rPr>
            </w:pPr>
            <w:r>
              <w:rPr>
                <w:rFonts w:hint="eastAsia"/>
                <w:szCs w:val="21"/>
              </w:rPr>
              <w:t>⑧配备必需的消防器材，并定期更换，以保证消防器材在任何时候均处于有效状态。</w:t>
            </w:r>
          </w:p>
          <w:p>
            <w:pPr>
              <w:adjustRightInd w:val="0"/>
              <w:snapToGrid w:val="0"/>
              <w:rPr>
                <w:szCs w:val="21"/>
              </w:rPr>
            </w:pPr>
            <w:r>
              <w:rPr>
                <w:rFonts w:hint="eastAsia"/>
                <w:szCs w:val="21"/>
              </w:rPr>
              <w:t>⑨对施工机械进行定期维修保养，避免发生溢油事故，配备足够的油污染净化、清理器材和防护设备，如吸油毯、吸油毡、吸油机等。若施工期施工机械发生泄漏事故，在有关部门的指导和配合下，及时采取浮油拦截和吸附措施，直至油污染消除。</w:t>
            </w:r>
          </w:p>
          <w:p>
            <w:pPr>
              <w:adjustRightInd w:val="0"/>
              <w:snapToGrid w:val="0"/>
              <w:rPr>
                <w:szCs w:val="21"/>
              </w:rPr>
            </w:pPr>
            <w:r>
              <w:rPr>
                <w:rFonts w:hint="eastAsia"/>
                <w:szCs w:val="21"/>
              </w:rPr>
              <w:t>（2）河流水质污染环境风险防范措施</w:t>
            </w:r>
          </w:p>
          <w:p>
            <w:pPr>
              <w:adjustRightInd w:val="0"/>
              <w:snapToGrid w:val="0"/>
              <w:rPr>
                <w:szCs w:val="21"/>
              </w:rPr>
            </w:pPr>
            <w:r>
              <w:rPr>
                <w:rFonts w:hint="eastAsia"/>
                <w:szCs w:val="21"/>
              </w:rPr>
              <w:t>①为防范生产废水事故排放，按照“三同时”原则，在各施工生产设施开始施工前，即按照本环评提出的要求修建废水处理设施。</w:t>
            </w:r>
          </w:p>
          <w:p>
            <w:pPr>
              <w:adjustRightInd w:val="0"/>
              <w:snapToGrid w:val="0"/>
              <w:rPr>
                <w:szCs w:val="21"/>
              </w:rPr>
            </w:pPr>
            <w:r>
              <w:rPr>
                <w:rFonts w:hint="eastAsia"/>
                <w:szCs w:val="21"/>
              </w:rPr>
              <w:t>②砂石料加工系统废水排放量较大，生产过程中需要对砂石加工系统废水处理设备定期维护修理；在每班末进行设备检查，保证正常运转，每月两次安排全面检修。当上述设备出现事故，运行中断时，应立即停止砂石料加工生产。</w:t>
            </w:r>
          </w:p>
          <w:p>
            <w:pPr>
              <w:adjustRightInd w:val="0"/>
              <w:snapToGrid w:val="0"/>
              <w:rPr>
                <w:szCs w:val="21"/>
              </w:rPr>
            </w:pPr>
            <w:r>
              <w:rPr>
                <w:rFonts w:hint="eastAsia"/>
                <w:szCs w:val="21"/>
              </w:rPr>
              <w:t>③混凝土拌和废水处理设施简单，处理设备多为土建设施，仅需配备潜水排污泵，用于废水及清水抽排。生产过程中应保证处理设施处于一用一备状态；一套设施发生故障后，应立即启用备用设施，并及时对故障设施进行修缮。此外，应定期停工对处理设施进行全面检修，及时发现故障，尽快维修。一旦废水处理设施发生故障，不能正常运行处理时，要立即停止混凝土拌和系统施工作业，待废水处理设施恢复正常运转后再施工。</w:t>
            </w:r>
          </w:p>
          <w:p>
            <w:pPr>
              <w:adjustRightInd w:val="0"/>
              <w:snapToGrid w:val="0"/>
              <w:rPr>
                <w:szCs w:val="21"/>
              </w:rPr>
            </w:pPr>
            <w:r>
              <w:rPr>
                <w:rFonts w:hint="eastAsia"/>
                <w:szCs w:val="21"/>
              </w:rPr>
              <w:t>④为防范生活污水事故排放对河流水质的影响，应切实落实本环评提出的生活污水处理措施，各处理设施应定期检修排查，及时发现设备问题，进行修缮，并预留紧急备用设备，及时更换，处理后的废水按要求排放。</w:t>
            </w:r>
          </w:p>
          <w:p>
            <w:pPr>
              <w:adjustRightInd w:val="0"/>
              <w:snapToGrid w:val="0"/>
              <w:rPr>
                <w:szCs w:val="21"/>
              </w:rPr>
            </w:pPr>
            <w:r>
              <w:rPr>
                <w:rFonts w:hint="eastAsia"/>
                <w:szCs w:val="21"/>
              </w:rPr>
              <w:t>⑤废污水处理系统的运行管理人员应加强对处理系统的巡视和水质监控，定期检查，确保各处理池能够正常蓄水，并及时清理各池，确保有足够容积处理来水；保证各类废水的处理设施都能正常运转发挥作用。</w:t>
            </w:r>
          </w:p>
          <w:p>
            <w:pPr>
              <w:adjustRightInd w:val="0"/>
              <w:snapToGrid w:val="0"/>
              <w:rPr>
                <w:szCs w:val="21"/>
              </w:rPr>
            </w:pPr>
            <w:r>
              <w:rPr>
                <w:rFonts w:hint="eastAsia"/>
                <w:szCs w:val="21"/>
              </w:rPr>
              <w:t>（3）水库溃坝环境风险防范措施</w:t>
            </w:r>
          </w:p>
          <w:p>
            <w:pPr>
              <w:adjustRightInd w:val="0"/>
              <w:snapToGrid w:val="0"/>
              <w:rPr>
                <w:szCs w:val="21"/>
              </w:rPr>
            </w:pPr>
            <w:r>
              <w:rPr>
                <w:rFonts w:hint="eastAsia"/>
                <w:szCs w:val="21"/>
              </w:rPr>
              <w:t>①建议建设单位尽快委托开展《红山嘴水库大坝安全管理应急预案》和《红山嘴水库大坝溃决洪水风险图报告》。</w:t>
            </w:r>
          </w:p>
          <w:p>
            <w:pPr>
              <w:adjustRightInd w:val="0"/>
              <w:snapToGrid w:val="0"/>
              <w:rPr>
                <w:szCs w:val="21"/>
              </w:rPr>
            </w:pPr>
            <w:r>
              <w:rPr>
                <w:rFonts w:hint="eastAsia"/>
                <w:szCs w:val="21"/>
              </w:rPr>
              <w:t>②如果有特殊情况发生，要提前降低库水位和库容，让库水位低于警戒线；要快速、合理疏散可能会受到洪水威胁的居民，保证其安全；对大坝局部区域进行加固，提高大坝强度；在重要生活设施附近修建防护工程，保证其正常运行。</w:t>
            </w:r>
          </w:p>
        </w:tc>
        <w:tc>
          <w:tcPr>
            <w:tcW w:w="2125" w:type="dxa"/>
            <w:vAlign w:val="center"/>
          </w:tcPr>
          <w:p>
            <w:pPr>
              <w:adjustRightInd w:val="0"/>
              <w:snapToGrid w:val="0"/>
              <w:rPr>
                <w:rFonts w:ascii="宋体" w:hAnsi="宋体" w:cs="宋体"/>
                <w:szCs w:val="21"/>
              </w:rPr>
            </w:pPr>
          </w:p>
        </w:tc>
        <w:tc>
          <w:tcPr>
            <w:tcW w:w="1796" w:type="dxa"/>
            <w:vAlign w:val="center"/>
          </w:tcPr>
          <w:p>
            <w:pPr>
              <w:adjustRightInd w:val="0"/>
              <w:snapToGrid w:val="0"/>
              <w:rPr>
                <w:rFonts w:ascii="宋体" w:hAnsi="宋体" w:cs="宋体"/>
                <w:szCs w:val="21"/>
              </w:rPr>
            </w:pP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环境监测</w:t>
            </w:r>
          </w:p>
        </w:tc>
        <w:tc>
          <w:tcPr>
            <w:tcW w:w="2328" w:type="dxa"/>
            <w:vAlign w:val="center"/>
          </w:tcPr>
          <w:p>
            <w:pPr>
              <w:adjustRightInd w:val="0"/>
              <w:snapToGrid w:val="0"/>
              <w:rPr>
                <w:szCs w:val="21"/>
              </w:rPr>
            </w:pPr>
            <w:r>
              <w:rPr>
                <w:szCs w:val="21"/>
              </w:rPr>
              <w:t>对水环境、</w:t>
            </w:r>
            <w:r>
              <w:rPr>
                <w:rFonts w:hint="eastAsia"/>
                <w:szCs w:val="21"/>
              </w:rPr>
              <w:t>水生</w:t>
            </w:r>
            <w:r>
              <w:rPr>
                <w:szCs w:val="21"/>
              </w:rPr>
              <w:t>生态</w:t>
            </w:r>
            <w:r>
              <w:rPr>
                <w:rFonts w:hint="eastAsia"/>
                <w:szCs w:val="21"/>
              </w:rPr>
              <w:t>、</w:t>
            </w:r>
            <w:r>
              <w:rPr>
                <w:szCs w:val="21"/>
              </w:rPr>
              <w:t>土壤环境、大气环境和声环境进行监测</w:t>
            </w:r>
          </w:p>
        </w:tc>
        <w:tc>
          <w:tcPr>
            <w:tcW w:w="2125" w:type="dxa"/>
            <w:vAlign w:val="center"/>
          </w:tcPr>
          <w:p>
            <w:pPr>
              <w:adjustRightInd w:val="0"/>
              <w:snapToGrid w:val="0"/>
              <w:rPr>
                <w:rFonts w:ascii="宋体" w:hAnsi="宋体" w:cs="宋体"/>
                <w:szCs w:val="21"/>
              </w:rPr>
            </w:pPr>
          </w:p>
        </w:tc>
        <w:tc>
          <w:tcPr>
            <w:tcW w:w="1796" w:type="dxa"/>
            <w:vAlign w:val="center"/>
          </w:tcPr>
          <w:p>
            <w:pPr>
              <w:adjustRightInd w:val="0"/>
              <w:snapToGrid w:val="0"/>
              <w:rPr>
                <w:rFonts w:ascii="宋体" w:hAnsi="宋体" w:cs="宋体"/>
                <w:szCs w:val="21"/>
              </w:rPr>
            </w:pPr>
          </w:p>
        </w:tc>
        <w:tc>
          <w:tcPr>
            <w:tcW w:w="806" w:type="dxa"/>
            <w:vAlign w:val="center"/>
          </w:tcPr>
          <w:p>
            <w:pPr>
              <w:adjustRightInd w:val="0"/>
              <w:snapToGrid w:val="0"/>
              <w:rPr>
                <w:rFonts w:ascii="宋体" w:hAnsi="宋体" w:cs="宋体"/>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0" w:hRule="atLeast"/>
          <w:jc w:val="center"/>
        </w:trPr>
        <w:tc>
          <w:tcPr>
            <w:tcW w:w="1467" w:type="dxa"/>
            <w:vAlign w:val="center"/>
          </w:tcPr>
          <w:p>
            <w:pPr>
              <w:adjustRightInd w:val="0"/>
              <w:snapToGrid w:val="0"/>
              <w:jc w:val="center"/>
              <w:rPr>
                <w:rFonts w:ascii="宋体" w:hAnsi="宋体" w:cs="宋体"/>
                <w:szCs w:val="21"/>
              </w:rPr>
            </w:pPr>
            <w:r>
              <w:rPr>
                <w:rFonts w:hint="eastAsia" w:ascii="宋体" w:hAnsi="宋体" w:cs="宋体"/>
                <w:szCs w:val="21"/>
              </w:rPr>
              <w:t>其他</w:t>
            </w:r>
          </w:p>
        </w:tc>
        <w:tc>
          <w:tcPr>
            <w:tcW w:w="2328" w:type="dxa"/>
            <w:vAlign w:val="center"/>
          </w:tcPr>
          <w:p>
            <w:pPr>
              <w:adjustRightInd w:val="0"/>
              <w:snapToGrid w:val="0"/>
              <w:rPr>
                <w:rFonts w:ascii="宋体" w:hAnsi="宋体" w:cs="宋体"/>
                <w:szCs w:val="21"/>
              </w:rPr>
            </w:pPr>
          </w:p>
        </w:tc>
        <w:tc>
          <w:tcPr>
            <w:tcW w:w="2125" w:type="dxa"/>
            <w:vAlign w:val="center"/>
          </w:tcPr>
          <w:p>
            <w:pPr>
              <w:adjustRightInd w:val="0"/>
              <w:snapToGrid w:val="0"/>
              <w:rPr>
                <w:rFonts w:ascii="宋体" w:hAnsi="宋体" w:cs="宋体"/>
                <w:szCs w:val="21"/>
              </w:rPr>
            </w:pPr>
          </w:p>
        </w:tc>
        <w:tc>
          <w:tcPr>
            <w:tcW w:w="1796" w:type="dxa"/>
            <w:vAlign w:val="center"/>
          </w:tcPr>
          <w:p>
            <w:pPr>
              <w:adjustRightInd w:val="0"/>
              <w:snapToGrid w:val="0"/>
              <w:rPr>
                <w:rFonts w:ascii="宋体" w:hAnsi="宋体" w:cs="宋体"/>
                <w:szCs w:val="21"/>
              </w:rPr>
            </w:pPr>
          </w:p>
        </w:tc>
        <w:tc>
          <w:tcPr>
            <w:tcW w:w="806" w:type="dxa"/>
            <w:vAlign w:val="center"/>
          </w:tcPr>
          <w:p>
            <w:pPr>
              <w:adjustRightInd w:val="0"/>
              <w:snapToGrid w:val="0"/>
              <w:rPr>
                <w:rFonts w:ascii="宋体" w:hAnsi="宋体" w:cs="宋体"/>
                <w:szCs w:val="21"/>
              </w:rPr>
            </w:pPr>
          </w:p>
        </w:tc>
      </w:tr>
    </w:tbl>
    <w:p/>
    <w:p>
      <w:pPr>
        <w:pStyle w:val="17"/>
        <w:spacing w:before="0" w:beforeAutospacing="0" w:line="14" w:lineRule="auto"/>
        <w:jc w:val="center"/>
        <w:outlineLvl w:val="0"/>
        <w:rPr>
          <w:rFonts w:ascii="黑体" w:hAnsi="黑体" w:eastAsia="黑体"/>
          <w:snapToGrid w:val="0"/>
          <w:sz w:val="30"/>
          <w:szCs w:val="30"/>
        </w:rPr>
      </w:pPr>
      <w:r>
        <w:rPr>
          <w:rFonts w:ascii="黑体" w:hAnsi="黑体" w:eastAsia="黑体"/>
          <w:snapToGrid w:val="0"/>
          <w:sz w:val="30"/>
          <w:szCs w:val="30"/>
        </w:rPr>
        <w:br w:type="page"/>
      </w:r>
    </w:p>
    <w:p>
      <w:pPr>
        <w:pStyle w:val="17"/>
        <w:spacing w:before="192" w:beforeLines="80" w:beforeAutospacing="0"/>
        <w:jc w:val="center"/>
        <w:outlineLvl w:val="0"/>
        <w:rPr>
          <w:rFonts w:ascii="黑体" w:hAnsi="黑体" w:eastAsia="黑体"/>
          <w:snapToGrid w:val="0"/>
          <w:sz w:val="30"/>
          <w:szCs w:val="30"/>
        </w:rPr>
      </w:pPr>
      <w:r>
        <w:rPr>
          <w:rFonts w:hint="eastAsia" w:ascii="黑体" w:hAnsi="黑体" w:eastAsia="黑体"/>
          <w:snapToGrid w:val="0"/>
          <w:sz w:val="30"/>
          <w:szCs w:val="30"/>
        </w:rPr>
        <w:t>七、结论</w:t>
      </w:r>
    </w:p>
    <w:tbl>
      <w:tblPr>
        <w:tblStyle w:val="21"/>
        <w:tblW w:w="9289"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349" w:hRule="atLeast"/>
          <w:jc w:val="center"/>
        </w:trPr>
        <w:tc>
          <w:tcPr>
            <w:tcW w:w="9289" w:type="dxa"/>
          </w:tcPr>
          <w:p>
            <w:pPr>
              <w:pStyle w:val="63"/>
              <w:ind w:firstLine="480"/>
              <w:jc w:val="both"/>
              <w:rPr>
                <w:lang w:eastAsia="zh-CN"/>
              </w:rPr>
            </w:pPr>
            <w:r>
              <w:rPr>
                <w:rFonts w:hint="eastAsia"/>
                <w:lang w:eastAsia="zh-CN"/>
              </w:rPr>
              <w:t>红山嘴水库</w:t>
            </w:r>
            <w:r>
              <w:rPr>
                <w:lang w:eastAsia="zh-CN"/>
              </w:rPr>
              <w:t>工程为东城河流域规划</w:t>
            </w:r>
            <w:r>
              <w:rPr>
                <w:rFonts w:hint="eastAsia"/>
                <w:lang w:eastAsia="zh-CN"/>
              </w:rPr>
              <w:t>推荐</w:t>
            </w:r>
            <w:r>
              <w:rPr>
                <w:lang w:eastAsia="zh-CN"/>
              </w:rPr>
              <w:t>的重大水工程，被列入《</w:t>
            </w:r>
            <w:r>
              <w:rPr>
                <w:rFonts w:hint="eastAsia"/>
                <w:lang w:eastAsia="zh-CN"/>
              </w:rPr>
              <w:t>新疆</w:t>
            </w:r>
            <w:r>
              <w:rPr>
                <w:lang w:eastAsia="zh-CN"/>
              </w:rPr>
              <w:t>维吾尔自治区“</w:t>
            </w:r>
            <w:r>
              <w:rPr>
                <w:rFonts w:hint="eastAsia"/>
                <w:lang w:eastAsia="zh-CN"/>
              </w:rPr>
              <w:t>十四五</w:t>
            </w:r>
            <w:r>
              <w:rPr>
                <w:lang w:eastAsia="zh-CN"/>
              </w:rPr>
              <w:t>”</w:t>
            </w:r>
            <w:r>
              <w:rPr>
                <w:rFonts w:hint="eastAsia"/>
                <w:lang w:eastAsia="zh-CN"/>
              </w:rPr>
              <w:t>水安全</w:t>
            </w:r>
            <w:r>
              <w:rPr>
                <w:lang w:eastAsia="zh-CN"/>
              </w:rPr>
              <w:t>保障规划》</w:t>
            </w:r>
            <w:r>
              <w:rPr>
                <w:rFonts w:hint="eastAsia"/>
                <w:lang w:eastAsia="zh-CN"/>
              </w:rPr>
              <w:t>中</w:t>
            </w:r>
            <w:r>
              <w:rPr>
                <w:lang w:eastAsia="zh-CN"/>
              </w:rPr>
              <w:t>的小型水库项目。</w:t>
            </w:r>
          </w:p>
          <w:p>
            <w:pPr>
              <w:pStyle w:val="63"/>
              <w:ind w:firstLine="480"/>
              <w:jc w:val="both"/>
            </w:pPr>
            <w:r>
              <w:rPr>
                <w:rFonts w:hint="eastAsia"/>
                <w:lang w:eastAsia="zh-CN"/>
              </w:rPr>
              <w:t>红山嘴</w:t>
            </w:r>
            <w:r>
              <w:rPr>
                <w:lang w:eastAsia="zh-CN"/>
              </w:rPr>
              <w:t>水库</w:t>
            </w:r>
            <w:r>
              <w:rPr>
                <w:rFonts w:hint="eastAsia"/>
                <w:lang w:eastAsia="zh-CN"/>
              </w:rPr>
              <w:t>工程</w:t>
            </w:r>
            <w:r>
              <w:rPr>
                <w:lang w:eastAsia="zh-CN"/>
              </w:rPr>
              <w:t>是东城河流域水资源调配的</w:t>
            </w:r>
            <w:r>
              <w:rPr>
                <w:rFonts w:hint="eastAsia"/>
                <w:lang w:eastAsia="zh-CN"/>
              </w:rPr>
              <w:t>重要</w:t>
            </w:r>
            <w:r>
              <w:rPr>
                <w:lang w:eastAsia="zh-CN"/>
              </w:rPr>
              <w:t>工程，设计水平年，东城河流域通过落实最严格水资源管理制度</w:t>
            </w:r>
            <w:r>
              <w:rPr>
                <w:rFonts w:hint="eastAsia"/>
                <w:lang w:eastAsia="zh-CN"/>
              </w:rPr>
              <w:t>、</w:t>
            </w:r>
            <w:r>
              <w:rPr>
                <w:lang w:eastAsia="zh-CN"/>
              </w:rPr>
              <w:t>推广高效节水等措施，确保</w:t>
            </w:r>
            <w:r>
              <w:rPr>
                <w:rFonts w:hint="eastAsia"/>
                <w:lang w:eastAsia="zh-CN"/>
              </w:rPr>
              <w:t>灌区</w:t>
            </w:r>
            <w:r>
              <w:rPr>
                <w:lang w:eastAsia="zh-CN"/>
              </w:rPr>
              <w:t>社会经济用水总量较现状年</w:t>
            </w:r>
            <w:r>
              <w:rPr>
                <w:rFonts w:hint="eastAsia"/>
                <w:lang w:eastAsia="zh-CN"/>
              </w:rPr>
              <w:t>减少</w:t>
            </w:r>
            <w:r>
              <w:rPr>
                <w:lang w:eastAsia="zh-CN"/>
              </w:rPr>
              <w:t>并控制</w:t>
            </w:r>
            <w:r>
              <w:rPr>
                <w:rFonts w:hint="eastAsia"/>
                <w:lang w:eastAsia="zh-CN"/>
              </w:rPr>
              <w:t>于</w:t>
            </w:r>
            <w:r>
              <w:rPr>
                <w:lang w:eastAsia="zh-CN"/>
              </w:rPr>
              <w:t>“</w:t>
            </w:r>
            <w:r>
              <w:rPr>
                <w:rFonts w:hint="eastAsia"/>
                <w:lang w:eastAsia="zh-CN"/>
              </w:rPr>
              <w:t>三条红线</w:t>
            </w:r>
            <w:r>
              <w:rPr>
                <w:lang w:eastAsia="zh-CN"/>
              </w:rPr>
              <w:t>”</w:t>
            </w:r>
            <w:r>
              <w:rPr>
                <w:rFonts w:hint="eastAsia"/>
                <w:lang w:eastAsia="zh-CN"/>
              </w:rPr>
              <w:t>用水</w:t>
            </w:r>
            <w:r>
              <w:rPr>
                <w:lang w:eastAsia="zh-CN"/>
              </w:rPr>
              <w:t>总量指标范围</w:t>
            </w:r>
            <w:r>
              <w:rPr>
                <w:rFonts w:hint="eastAsia"/>
                <w:lang w:eastAsia="zh-CN"/>
              </w:rPr>
              <w:t>内。</w:t>
            </w:r>
            <w:r>
              <w:rPr>
                <w:lang w:eastAsia="zh-CN"/>
              </w:rPr>
              <w:t>红山嘴</w:t>
            </w:r>
            <w:r>
              <w:rPr>
                <w:rFonts w:hint="eastAsia"/>
                <w:lang w:eastAsia="zh-CN"/>
              </w:rPr>
              <w:t>水库</w:t>
            </w:r>
            <w:r>
              <w:rPr>
                <w:lang w:eastAsia="zh-CN"/>
              </w:rPr>
              <w:t>建成后，通过有效控制和分配水资源，调蓄增加</w:t>
            </w:r>
            <w:r>
              <w:rPr>
                <w:rFonts w:hint="eastAsia"/>
                <w:lang w:eastAsia="zh-CN"/>
              </w:rPr>
              <w:t>灌区</w:t>
            </w:r>
            <w:r>
              <w:rPr>
                <w:lang w:eastAsia="zh-CN"/>
              </w:rPr>
              <w:t>供水水量，改善灌区灌溉供水条件</w:t>
            </w:r>
            <w:r>
              <w:rPr>
                <w:rFonts w:hint="eastAsia"/>
                <w:lang w:eastAsia="zh-CN"/>
              </w:rPr>
              <w:t>；</w:t>
            </w:r>
            <w:r>
              <w:rPr>
                <w:lang w:eastAsia="zh-CN"/>
              </w:rPr>
              <w:t>保证水库坝址断面下泄生态流量，</w:t>
            </w:r>
            <w:r>
              <w:rPr>
                <w:rFonts w:hint="eastAsia"/>
                <w:lang w:eastAsia="zh-CN"/>
              </w:rPr>
              <w:t>缓解</w:t>
            </w:r>
            <w:r>
              <w:rPr>
                <w:lang w:eastAsia="zh-CN"/>
              </w:rPr>
              <w:t>社会经济用水挤占生态用水的状况。</w:t>
            </w:r>
            <w:r>
              <w:t>工程的实施</w:t>
            </w:r>
            <w:r>
              <w:rPr>
                <w:rFonts w:hint="eastAsia"/>
              </w:rPr>
              <w:t>可基本解决下游灌区缺水问题，解决了下游农业季节性缺水的问题，提高下游灌区用水的保证率，对推动木垒县农业发展、促进区域经济发展、改善人民生活都具有积极意义</w:t>
            </w:r>
            <w:r>
              <w:t>。</w:t>
            </w:r>
          </w:p>
          <w:p>
            <w:pPr>
              <w:pStyle w:val="63"/>
              <w:ind w:firstLine="480"/>
              <w:jc w:val="both"/>
              <w:rPr>
                <w:lang w:eastAsia="zh-CN"/>
              </w:rPr>
            </w:pPr>
            <w:r>
              <w:rPr>
                <w:rFonts w:hint="eastAsia"/>
                <w:lang w:eastAsia="zh-CN"/>
              </w:rPr>
              <w:t>对</w:t>
            </w:r>
            <w:r>
              <w:rPr>
                <w:lang w:eastAsia="zh-CN"/>
              </w:rPr>
              <w:t>环境的不利影响主要表现在：相比现状，工程运行后水文情势变化对评价河段土著鱼类</w:t>
            </w:r>
            <w:r>
              <w:rPr>
                <w:rFonts w:hint="eastAsia"/>
                <w:lang w:eastAsia="zh-CN"/>
              </w:rPr>
              <w:t>的</w:t>
            </w:r>
            <w:r>
              <w:rPr>
                <w:lang w:eastAsia="zh-CN"/>
              </w:rPr>
              <w:t>影响</w:t>
            </w:r>
            <w:r>
              <w:rPr>
                <w:rFonts w:hint="eastAsia"/>
                <w:lang w:eastAsia="zh-CN"/>
              </w:rPr>
              <w:t>、工程</w:t>
            </w:r>
            <w:r>
              <w:rPr>
                <w:lang w:eastAsia="zh-CN"/>
              </w:rPr>
              <w:t>永久占地及水库淹没将造成</w:t>
            </w:r>
            <w:r>
              <w:rPr>
                <w:rFonts w:hint="eastAsia"/>
                <w:lang w:eastAsia="zh-CN"/>
              </w:rPr>
              <w:t>占地区</w:t>
            </w:r>
            <w:r>
              <w:rPr>
                <w:lang w:eastAsia="zh-CN"/>
              </w:rPr>
              <w:t>植被生物量的一次性损失</w:t>
            </w:r>
            <w:r>
              <w:rPr>
                <w:rFonts w:hint="eastAsia"/>
                <w:lang w:eastAsia="zh-CN"/>
              </w:rPr>
              <w:t>和</w:t>
            </w:r>
            <w:r>
              <w:rPr>
                <w:lang w:eastAsia="zh-CN"/>
              </w:rPr>
              <w:t>对建设区野生动物的影响以及施工期的影响。</w:t>
            </w:r>
          </w:p>
          <w:p>
            <w:pPr>
              <w:pStyle w:val="63"/>
              <w:ind w:firstLine="480"/>
              <w:jc w:val="both"/>
              <w:rPr>
                <w:lang w:eastAsia="zh-CN"/>
              </w:rPr>
            </w:pPr>
            <w:r>
              <w:rPr>
                <w:rFonts w:hint="eastAsia"/>
                <w:lang w:eastAsia="zh-CN"/>
              </w:rPr>
              <w:t>本次</w:t>
            </w:r>
            <w:r>
              <w:rPr>
                <w:lang w:eastAsia="zh-CN"/>
              </w:rPr>
              <w:t>提出</w:t>
            </w:r>
            <w:r>
              <w:rPr>
                <w:rFonts w:hint="eastAsia"/>
                <w:lang w:eastAsia="zh-CN"/>
              </w:rPr>
              <w:t>：</w:t>
            </w:r>
            <w:r>
              <w:rPr>
                <w:lang w:eastAsia="zh-CN"/>
              </w:rPr>
              <w:t>实施</w:t>
            </w:r>
            <w:r>
              <w:rPr>
                <w:rFonts w:hint="eastAsia"/>
                <w:lang w:eastAsia="zh-CN"/>
              </w:rPr>
              <w:t>最严格</w:t>
            </w:r>
            <w:r>
              <w:rPr>
                <w:lang w:eastAsia="zh-CN"/>
              </w:rPr>
              <w:t>的水资源管理制度，</w:t>
            </w:r>
            <w:r>
              <w:rPr>
                <w:rFonts w:hint="eastAsia"/>
                <w:lang w:eastAsia="zh-CN"/>
              </w:rPr>
              <w:t>严格</w:t>
            </w:r>
            <w:r>
              <w:rPr>
                <w:lang w:eastAsia="zh-CN"/>
              </w:rPr>
              <w:t>控制流域灌区社会经济用水总量</w:t>
            </w:r>
            <w:r>
              <w:rPr>
                <w:rFonts w:hint="eastAsia"/>
                <w:lang w:eastAsia="zh-CN"/>
              </w:rPr>
              <w:t>；保证</w:t>
            </w:r>
            <w:r>
              <w:rPr>
                <w:lang w:eastAsia="zh-CN"/>
              </w:rPr>
              <w:t>河道生态流量，保证下游下泄水量满足生态需水需求；将红山嘴水库库尾及以上水域</w:t>
            </w:r>
            <w:r>
              <w:rPr>
                <w:rFonts w:hint="eastAsia"/>
                <w:lang w:eastAsia="zh-CN"/>
              </w:rPr>
              <w:t>划为</w:t>
            </w:r>
            <w:r>
              <w:rPr>
                <w:lang w:eastAsia="zh-CN"/>
              </w:rPr>
              <w:t>鱼类栖息地保护</w:t>
            </w:r>
            <w:r>
              <w:rPr>
                <w:rFonts w:hint="eastAsia"/>
                <w:lang w:eastAsia="zh-CN"/>
              </w:rPr>
              <w:t>河段；结合</w:t>
            </w:r>
            <w:r>
              <w:rPr>
                <w:lang w:eastAsia="zh-CN"/>
              </w:rPr>
              <w:t>水保措施采取绿化</w:t>
            </w:r>
            <w:r>
              <w:rPr>
                <w:rFonts w:hint="eastAsia"/>
                <w:lang w:eastAsia="zh-CN"/>
              </w:rPr>
              <w:t>措施</w:t>
            </w:r>
            <w:r>
              <w:rPr>
                <w:lang w:eastAsia="zh-CN"/>
              </w:rPr>
              <w:t>提高植被覆盖率，</w:t>
            </w:r>
            <w:r>
              <w:rPr>
                <w:rFonts w:hint="eastAsia"/>
                <w:lang w:eastAsia="zh-CN"/>
              </w:rPr>
              <w:t>设置</w:t>
            </w:r>
            <w:r>
              <w:rPr>
                <w:lang w:eastAsia="zh-CN"/>
              </w:rPr>
              <w:t>警示牌</w:t>
            </w:r>
            <w:r>
              <w:rPr>
                <w:rFonts w:hint="eastAsia"/>
                <w:lang w:eastAsia="zh-CN"/>
              </w:rPr>
              <w:t>、宣传野生动物保护的各种法律法规等</w:t>
            </w:r>
            <w:r>
              <w:rPr>
                <w:lang w:eastAsia="zh-CN"/>
              </w:rPr>
              <w:t>保护区域内野生动物</w:t>
            </w:r>
            <w:r>
              <w:rPr>
                <w:rFonts w:hint="eastAsia"/>
                <w:lang w:eastAsia="zh-CN"/>
              </w:rPr>
              <w:t>；</w:t>
            </w:r>
            <w:r>
              <w:rPr>
                <w:lang w:eastAsia="zh-CN"/>
              </w:rPr>
              <w:t>对施工期</w:t>
            </w:r>
            <w:r>
              <w:rPr>
                <w:rFonts w:hint="eastAsia"/>
                <w:lang w:eastAsia="zh-CN"/>
              </w:rPr>
              <w:t>“三废”及</w:t>
            </w:r>
            <w:r>
              <w:rPr>
                <w:lang w:eastAsia="zh-CN"/>
              </w:rPr>
              <w:t>噪声采取措施进行防治。</w:t>
            </w:r>
            <w:r>
              <w:rPr>
                <w:rFonts w:hint="eastAsia"/>
                <w:lang w:eastAsia="zh-CN"/>
              </w:rPr>
              <w:t>根据预测</w:t>
            </w:r>
            <w:r>
              <w:rPr>
                <w:lang w:eastAsia="zh-CN"/>
              </w:rPr>
              <w:t>评价结果</w:t>
            </w:r>
            <w:r>
              <w:rPr>
                <w:rFonts w:hint="eastAsia"/>
                <w:lang w:eastAsia="zh-CN"/>
              </w:rPr>
              <w:t>和环保措施布局制定了环境监理、各环境要素监测方案。在采取相应的环境保护措施后，可使工程建设的不利影响得以减缓，使环境影响降低在自然与社会环境可承受的限度内。</w:t>
            </w:r>
          </w:p>
          <w:p>
            <w:pPr>
              <w:pStyle w:val="63"/>
              <w:ind w:firstLine="480"/>
              <w:jc w:val="both"/>
              <w:rPr>
                <w:szCs w:val="21"/>
              </w:rPr>
            </w:pPr>
            <w:r>
              <w:rPr>
                <w:lang w:eastAsia="zh-CN"/>
              </w:rPr>
              <w:t>从环境保护的角度综合分析</w:t>
            </w:r>
            <w:r>
              <w:rPr>
                <w:rFonts w:hint="eastAsia"/>
                <w:lang w:eastAsia="zh-CN"/>
              </w:rPr>
              <w:t>，只要认真落实各项环境保护措施和环境监测方案，加强环境保护管理和监督，在建设和运行过程中注重对自然生态环境的保护，本工程无重大环境制约因素，建设可行。</w:t>
            </w:r>
          </w:p>
        </w:tc>
      </w:tr>
    </w:tbl>
    <w:p>
      <w:pPr>
        <w:rPr>
          <w:rFonts w:ascii="宋体"/>
        </w:rPr>
      </w:pPr>
    </w:p>
    <w:p>
      <w:pPr>
        <w:pStyle w:val="17"/>
        <w:adjustRightInd w:val="0"/>
        <w:snapToGrid w:val="0"/>
        <w:spacing w:before="0" w:beforeAutospacing="0" w:after="0" w:afterAutospacing="0" w:line="648" w:lineRule="auto"/>
        <w:outlineLvl w:val="0"/>
        <w:rPr>
          <w:rFonts w:cs="宋体"/>
          <w:szCs w:val="21"/>
        </w:rPr>
      </w:pPr>
    </w:p>
    <w:sectPr>
      <w:pgSz w:w="11906" w:h="16838"/>
      <w:pgMar w:top="1440" w:right="1800" w:bottom="1440" w:left="1800" w:header="851" w:footer="1077"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MS Mincho">
    <w:altName w:val="Yu Gothic UI"/>
    <w:panose1 w:val="02020609040205080304"/>
    <w:charset w:val="80"/>
    <w:family w:val="modern"/>
    <w:pitch w:val="default"/>
    <w:sig w:usb0="00000000" w:usb1="00000000" w:usb2="00000012" w:usb3="00000000" w:csb0="0002009F"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framePr w:wrap="around" w:vAnchor="text" w:hAnchor="margin" w:xAlign="outside" w:y="1"/>
      <w:rPr>
        <w:rStyle w:val="24"/>
        <w:rFonts w:ascii="宋体" w:hAnsi="宋体"/>
        <w:sz w:val="28"/>
        <w:szCs w:val="28"/>
      </w:rPr>
    </w:pPr>
    <w:r>
      <w:rPr>
        <w:rStyle w:val="24"/>
        <w:rFonts w:hint="eastAsia" w:ascii="宋体" w:hAnsi="宋体"/>
        <w:sz w:val="28"/>
        <w:szCs w:val="28"/>
      </w:rPr>
      <w:t>—</w:t>
    </w:r>
    <w:r>
      <w:rPr>
        <w:rStyle w:val="24"/>
        <w:rFonts w:hint="eastAsia" w:ascii="宋体" w:hAnsi="宋体"/>
        <w:sz w:val="20"/>
        <w:szCs w:val="20"/>
      </w:rPr>
      <w:t xml:space="preserve">  </w:t>
    </w:r>
    <w:r>
      <w:rPr>
        <w:rFonts w:ascii="宋体" w:hAnsi="宋体"/>
        <w:sz w:val="26"/>
        <w:szCs w:val="26"/>
      </w:rPr>
      <w:fldChar w:fldCharType="begin"/>
    </w:r>
    <w:r>
      <w:rPr>
        <w:rStyle w:val="24"/>
        <w:rFonts w:ascii="宋体" w:hAnsi="宋体"/>
        <w:sz w:val="26"/>
        <w:szCs w:val="26"/>
      </w:rPr>
      <w:instrText xml:space="preserve">PAGE  </w:instrText>
    </w:r>
    <w:r>
      <w:rPr>
        <w:rFonts w:ascii="宋体" w:hAnsi="宋体"/>
        <w:sz w:val="26"/>
        <w:szCs w:val="26"/>
      </w:rPr>
      <w:fldChar w:fldCharType="separate"/>
    </w:r>
    <w:r>
      <w:rPr>
        <w:rStyle w:val="24"/>
        <w:rFonts w:ascii="宋体" w:hAnsi="宋体"/>
        <w:sz w:val="26"/>
        <w:szCs w:val="26"/>
      </w:rPr>
      <w:t>2</w:t>
    </w:r>
    <w:r>
      <w:rPr>
        <w:rFonts w:ascii="宋体" w:hAnsi="宋体"/>
        <w:sz w:val="26"/>
        <w:szCs w:val="26"/>
      </w:rPr>
      <w:fldChar w:fldCharType="end"/>
    </w:r>
    <w:r>
      <w:rPr>
        <w:rStyle w:val="24"/>
        <w:rFonts w:hint="eastAsia" w:ascii="宋体" w:hAnsi="宋体"/>
        <w:sz w:val="20"/>
        <w:szCs w:val="20"/>
      </w:rPr>
      <w:t xml:space="preserve">  </w:t>
    </w:r>
    <w:r>
      <w:rPr>
        <w:rStyle w:val="24"/>
        <w:rFonts w:hint="eastAsia" w:ascii="宋体" w:hAnsi="宋体"/>
        <w:sz w:val="28"/>
        <w:szCs w:val="28"/>
      </w:rPr>
      <w:t>—</w:t>
    </w:r>
  </w:p>
  <w:p>
    <w:pPr>
      <w:pStyle w:val="14"/>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8A3C48"/>
    <w:multiLevelType w:val="multilevel"/>
    <w:tmpl w:val="058A3C48"/>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abstractNum w:abstractNumId="1">
    <w:nsid w:val="56106B44"/>
    <w:multiLevelType w:val="multilevel"/>
    <w:tmpl w:val="56106B44"/>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60" w:hanging="440"/>
      </w:pPr>
    </w:lvl>
    <w:lvl w:ilvl="2" w:tentative="0">
      <w:start w:val="1"/>
      <w:numFmt w:val="lowerRoman"/>
      <w:lvlText w:val="%3."/>
      <w:lvlJc w:val="right"/>
      <w:pPr>
        <w:ind w:left="1800" w:hanging="440"/>
      </w:pPr>
    </w:lvl>
    <w:lvl w:ilvl="3" w:tentative="0">
      <w:start w:val="1"/>
      <w:numFmt w:val="decimal"/>
      <w:lvlText w:val="%4."/>
      <w:lvlJc w:val="left"/>
      <w:pPr>
        <w:ind w:left="2240" w:hanging="440"/>
      </w:pPr>
    </w:lvl>
    <w:lvl w:ilvl="4" w:tentative="0">
      <w:start w:val="1"/>
      <w:numFmt w:val="lowerLetter"/>
      <w:lvlText w:val="%5)"/>
      <w:lvlJc w:val="left"/>
      <w:pPr>
        <w:ind w:left="2680" w:hanging="440"/>
      </w:pPr>
    </w:lvl>
    <w:lvl w:ilvl="5" w:tentative="0">
      <w:start w:val="1"/>
      <w:numFmt w:val="lowerRoman"/>
      <w:lvlText w:val="%6."/>
      <w:lvlJc w:val="right"/>
      <w:pPr>
        <w:ind w:left="3120" w:hanging="440"/>
      </w:pPr>
    </w:lvl>
    <w:lvl w:ilvl="6" w:tentative="0">
      <w:start w:val="1"/>
      <w:numFmt w:val="decimal"/>
      <w:lvlText w:val="%7."/>
      <w:lvlJc w:val="left"/>
      <w:pPr>
        <w:ind w:left="3560" w:hanging="440"/>
      </w:pPr>
    </w:lvl>
    <w:lvl w:ilvl="7" w:tentative="0">
      <w:start w:val="1"/>
      <w:numFmt w:val="lowerLetter"/>
      <w:lvlText w:val="%8)"/>
      <w:lvlJc w:val="left"/>
      <w:pPr>
        <w:ind w:left="4000" w:hanging="440"/>
      </w:pPr>
    </w:lvl>
    <w:lvl w:ilvl="8" w:tentative="0">
      <w:start w:val="1"/>
      <w:numFmt w:val="lowerRoman"/>
      <w:lvlText w:val="%9."/>
      <w:lvlJc w:val="right"/>
      <w:pPr>
        <w:ind w:left="444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dmMGNiM2U2MDY1NmQzMmUzMjFjYTFmYzk5ZGQzMzUifQ=="/>
  </w:docVars>
  <w:rsids>
    <w:rsidRoot w:val="00A14947"/>
    <w:rsid w:val="00000995"/>
    <w:rsid w:val="00001CED"/>
    <w:rsid w:val="00001E67"/>
    <w:rsid w:val="00003CD8"/>
    <w:rsid w:val="00011397"/>
    <w:rsid w:val="00012027"/>
    <w:rsid w:val="00013155"/>
    <w:rsid w:val="00014965"/>
    <w:rsid w:val="0001523A"/>
    <w:rsid w:val="000161DF"/>
    <w:rsid w:val="00016ECB"/>
    <w:rsid w:val="00020A8B"/>
    <w:rsid w:val="0002230C"/>
    <w:rsid w:val="0002421B"/>
    <w:rsid w:val="000269F6"/>
    <w:rsid w:val="00031939"/>
    <w:rsid w:val="00031FBF"/>
    <w:rsid w:val="00032D25"/>
    <w:rsid w:val="00033FB3"/>
    <w:rsid w:val="0003623C"/>
    <w:rsid w:val="00041BB7"/>
    <w:rsid w:val="00043701"/>
    <w:rsid w:val="000449E7"/>
    <w:rsid w:val="000463A9"/>
    <w:rsid w:val="00047675"/>
    <w:rsid w:val="000518C3"/>
    <w:rsid w:val="0005219D"/>
    <w:rsid w:val="00054212"/>
    <w:rsid w:val="00054B6F"/>
    <w:rsid w:val="00055482"/>
    <w:rsid w:val="0005568F"/>
    <w:rsid w:val="00056073"/>
    <w:rsid w:val="000560A4"/>
    <w:rsid w:val="00056D50"/>
    <w:rsid w:val="00060E34"/>
    <w:rsid w:val="0006153D"/>
    <w:rsid w:val="00061B1F"/>
    <w:rsid w:val="0006216B"/>
    <w:rsid w:val="00062920"/>
    <w:rsid w:val="00062B31"/>
    <w:rsid w:val="0006356C"/>
    <w:rsid w:val="00063A17"/>
    <w:rsid w:val="000643A8"/>
    <w:rsid w:val="000655F0"/>
    <w:rsid w:val="000664DB"/>
    <w:rsid w:val="00066BA0"/>
    <w:rsid w:val="00070AC2"/>
    <w:rsid w:val="0007127D"/>
    <w:rsid w:val="00071AE5"/>
    <w:rsid w:val="000731D8"/>
    <w:rsid w:val="00073E5C"/>
    <w:rsid w:val="00074783"/>
    <w:rsid w:val="000756CE"/>
    <w:rsid w:val="00075CFC"/>
    <w:rsid w:val="000801E0"/>
    <w:rsid w:val="00082A29"/>
    <w:rsid w:val="000830FB"/>
    <w:rsid w:val="0008331D"/>
    <w:rsid w:val="00083C18"/>
    <w:rsid w:val="0008404D"/>
    <w:rsid w:val="00084250"/>
    <w:rsid w:val="00086874"/>
    <w:rsid w:val="00092899"/>
    <w:rsid w:val="0009298A"/>
    <w:rsid w:val="0009748A"/>
    <w:rsid w:val="00097E86"/>
    <w:rsid w:val="000A178E"/>
    <w:rsid w:val="000A2242"/>
    <w:rsid w:val="000A4A72"/>
    <w:rsid w:val="000A557E"/>
    <w:rsid w:val="000B058F"/>
    <w:rsid w:val="000B0E24"/>
    <w:rsid w:val="000B22E3"/>
    <w:rsid w:val="000B5B6A"/>
    <w:rsid w:val="000B693F"/>
    <w:rsid w:val="000B7EA9"/>
    <w:rsid w:val="000C09AC"/>
    <w:rsid w:val="000C0A63"/>
    <w:rsid w:val="000C2C08"/>
    <w:rsid w:val="000C3A04"/>
    <w:rsid w:val="000C437E"/>
    <w:rsid w:val="000C4393"/>
    <w:rsid w:val="000C722C"/>
    <w:rsid w:val="000D2EF3"/>
    <w:rsid w:val="000D3E37"/>
    <w:rsid w:val="000D5294"/>
    <w:rsid w:val="000E01AC"/>
    <w:rsid w:val="000E02B2"/>
    <w:rsid w:val="000E3687"/>
    <w:rsid w:val="000E4821"/>
    <w:rsid w:val="000E5004"/>
    <w:rsid w:val="000E5F16"/>
    <w:rsid w:val="000E7222"/>
    <w:rsid w:val="000E73A0"/>
    <w:rsid w:val="000F0298"/>
    <w:rsid w:val="000F0CB6"/>
    <w:rsid w:val="000F114F"/>
    <w:rsid w:val="000F285C"/>
    <w:rsid w:val="000F2B18"/>
    <w:rsid w:val="000F2DCC"/>
    <w:rsid w:val="000F3660"/>
    <w:rsid w:val="000F3B72"/>
    <w:rsid w:val="000F3E7B"/>
    <w:rsid w:val="000F3F8E"/>
    <w:rsid w:val="000F4452"/>
    <w:rsid w:val="000F46EF"/>
    <w:rsid w:val="000F4FB8"/>
    <w:rsid w:val="000F6AEA"/>
    <w:rsid w:val="000F6AF7"/>
    <w:rsid w:val="000F6DA1"/>
    <w:rsid w:val="000F701B"/>
    <w:rsid w:val="000F7BCF"/>
    <w:rsid w:val="001000D9"/>
    <w:rsid w:val="00100C74"/>
    <w:rsid w:val="0010516B"/>
    <w:rsid w:val="001056A0"/>
    <w:rsid w:val="00111143"/>
    <w:rsid w:val="001123B1"/>
    <w:rsid w:val="00113C3D"/>
    <w:rsid w:val="00114352"/>
    <w:rsid w:val="00115279"/>
    <w:rsid w:val="0011580F"/>
    <w:rsid w:val="00115E9B"/>
    <w:rsid w:val="00117459"/>
    <w:rsid w:val="0011749A"/>
    <w:rsid w:val="00117CEE"/>
    <w:rsid w:val="00120A96"/>
    <w:rsid w:val="00120C78"/>
    <w:rsid w:val="00120F81"/>
    <w:rsid w:val="0012111B"/>
    <w:rsid w:val="00121E7C"/>
    <w:rsid w:val="00122BF7"/>
    <w:rsid w:val="001243B4"/>
    <w:rsid w:val="00127A68"/>
    <w:rsid w:val="00131EED"/>
    <w:rsid w:val="00132334"/>
    <w:rsid w:val="00133F25"/>
    <w:rsid w:val="001344C5"/>
    <w:rsid w:val="00134679"/>
    <w:rsid w:val="001353C1"/>
    <w:rsid w:val="0013726B"/>
    <w:rsid w:val="00140522"/>
    <w:rsid w:val="00140B13"/>
    <w:rsid w:val="00141B68"/>
    <w:rsid w:val="00145119"/>
    <w:rsid w:val="001464B9"/>
    <w:rsid w:val="001466DA"/>
    <w:rsid w:val="0015337F"/>
    <w:rsid w:val="00153618"/>
    <w:rsid w:val="00153A0F"/>
    <w:rsid w:val="00154DE1"/>
    <w:rsid w:val="00155676"/>
    <w:rsid w:val="001558FE"/>
    <w:rsid w:val="00155B40"/>
    <w:rsid w:val="00157435"/>
    <w:rsid w:val="00160682"/>
    <w:rsid w:val="00160A10"/>
    <w:rsid w:val="001626AE"/>
    <w:rsid w:val="00163CD2"/>
    <w:rsid w:val="00163EEA"/>
    <w:rsid w:val="00164286"/>
    <w:rsid w:val="00164AEC"/>
    <w:rsid w:val="00164CCF"/>
    <w:rsid w:val="00167A07"/>
    <w:rsid w:val="00167BAE"/>
    <w:rsid w:val="0017009F"/>
    <w:rsid w:val="001703B7"/>
    <w:rsid w:val="0017046A"/>
    <w:rsid w:val="001704A3"/>
    <w:rsid w:val="00171D78"/>
    <w:rsid w:val="00174B98"/>
    <w:rsid w:val="0017504D"/>
    <w:rsid w:val="00177422"/>
    <w:rsid w:val="00177E51"/>
    <w:rsid w:val="001802CB"/>
    <w:rsid w:val="00182410"/>
    <w:rsid w:val="00182CB5"/>
    <w:rsid w:val="00182E28"/>
    <w:rsid w:val="001844B6"/>
    <w:rsid w:val="00184F10"/>
    <w:rsid w:val="00185546"/>
    <w:rsid w:val="00185A59"/>
    <w:rsid w:val="0019146B"/>
    <w:rsid w:val="00191851"/>
    <w:rsid w:val="00192BD5"/>
    <w:rsid w:val="00194398"/>
    <w:rsid w:val="001945D6"/>
    <w:rsid w:val="001948C6"/>
    <w:rsid w:val="00196238"/>
    <w:rsid w:val="001964E7"/>
    <w:rsid w:val="00196BF1"/>
    <w:rsid w:val="001A2265"/>
    <w:rsid w:val="001A3919"/>
    <w:rsid w:val="001A4366"/>
    <w:rsid w:val="001A5BB7"/>
    <w:rsid w:val="001A6321"/>
    <w:rsid w:val="001A7D2A"/>
    <w:rsid w:val="001B16EE"/>
    <w:rsid w:val="001B18D4"/>
    <w:rsid w:val="001B21D2"/>
    <w:rsid w:val="001B2DDC"/>
    <w:rsid w:val="001B2F8E"/>
    <w:rsid w:val="001B574C"/>
    <w:rsid w:val="001B6363"/>
    <w:rsid w:val="001B65B5"/>
    <w:rsid w:val="001B6E7B"/>
    <w:rsid w:val="001B7C06"/>
    <w:rsid w:val="001C0AF9"/>
    <w:rsid w:val="001C155A"/>
    <w:rsid w:val="001C3267"/>
    <w:rsid w:val="001C3D91"/>
    <w:rsid w:val="001C4077"/>
    <w:rsid w:val="001C48C0"/>
    <w:rsid w:val="001C594E"/>
    <w:rsid w:val="001C5BBE"/>
    <w:rsid w:val="001C5CEE"/>
    <w:rsid w:val="001C6422"/>
    <w:rsid w:val="001C64A8"/>
    <w:rsid w:val="001C703C"/>
    <w:rsid w:val="001D0D8E"/>
    <w:rsid w:val="001D13BD"/>
    <w:rsid w:val="001D2CF7"/>
    <w:rsid w:val="001D6726"/>
    <w:rsid w:val="001D7184"/>
    <w:rsid w:val="001D7C3A"/>
    <w:rsid w:val="001D7C8D"/>
    <w:rsid w:val="001D7D3C"/>
    <w:rsid w:val="001E0635"/>
    <w:rsid w:val="001E0A6C"/>
    <w:rsid w:val="001E1AEE"/>
    <w:rsid w:val="001E1BDC"/>
    <w:rsid w:val="001E2B2D"/>
    <w:rsid w:val="001E2F1F"/>
    <w:rsid w:val="001E3A7A"/>
    <w:rsid w:val="001E6C95"/>
    <w:rsid w:val="001F0BAF"/>
    <w:rsid w:val="001F2FA2"/>
    <w:rsid w:val="001F3163"/>
    <w:rsid w:val="001F3347"/>
    <w:rsid w:val="001F4440"/>
    <w:rsid w:val="001F6864"/>
    <w:rsid w:val="001F69E4"/>
    <w:rsid w:val="001F7104"/>
    <w:rsid w:val="00203493"/>
    <w:rsid w:val="00203716"/>
    <w:rsid w:val="002047E0"/>
    <w:rsid w:val="00206A65"/>
    <w:rsid w:val="00206D63"/>
    <w:rsid w:val="002108D6"/>
    <w:rsid w:val="002114F5"/>
    <w:rsid w:val="00212D31"/>
    <w:rsid w:val="00212FAA"/>
    <w:rsid w:val="002130C7"/>
    <w:rsid w:val="0021556F"/>
    <w:rsid w:val="002172DB"/>
    <w:rsid w:val="002209CA"/>
    <w:rsid w:val="00220EBB"/>
    <w:rsid w:val="002218A8"/>
    <w:rsid w:val="002222A0"/>
    <w:rsid w:val="0022306D"/>
    <w:rsid w:val="002255B3"/>
    <w:rsid w:val="00225A7B"/>
    <w:rsid w:val="00226574"/>
    <w:rsid w:val="002278EC"/>
    <w:rsid w:val="0023109A"/>
    <w:rsid w:val="002311CF"/>
    <w:rsid w:val="00234F12"/>
    <w:rsid w:val="002351B9"/>
    <w:rsid w:val="002356BC"/>
    <w:rsid w:val="002357C7"/>
    <w:rsid w:val="002367C4"/>
    <w:rsid w:val="00240787"/>
    <w:rsid w:val="00244745"/>
    <w:rsid w:val="00244E80"/>
    <w:rsid w:val="0024536B"/>
    <w:rsid w:val="00245E28"/>
    <w:rsid w:val="00247744"/>
    <w:rsid w:val="0025150B"/>
    <w:rsid w:val="0025245B"/>
    <w:rsid w:val="00252C88"/>
    <w:rsid w:val="00252CA5"/>
    <w:rsid w:val="00254901"/>
    <w:rsid w:val="00255998"/>
    <w:rsid w:val="00255A6E"/>
    <w:rsid w:val="0025679E"/>
    <w:rsid w:val="00256D9A"/>
    <w:rsid w:val="00257265"/>
    <w:rsid w:val="00257875"/>
    <w:rsid w:val="00260C68"/>
    <w:rsid w:val="00261523"/>
    <w:rsid w:val="002617C0"/>
    <w:rsid w:val="00263F18"/>
    <w:rsid w:val="002648B0"/>
    <w:rsid w:val="00266A3C"/>
    <w:rsid w:val="00271C25"/>
    <w:rsid w:val="00272432"/>
    <w:rsid w:val="00273002"/>
    <w:rsid w:val="002737B9"/>
    <w:rsid w:val="00275271"/>
    <w:rsid w:val="0027535E"/>
    <w:rsid w:val="00275AA6"/>
    <w:rsid w:val="002807D5"/>
    <w:rsid w:val="00281219"/>
    <w:rsid w:val="00282CCD"/>
    <w:rsid w:val="002835ED"/>
    <w:rsid w:val="002874A3"/>
    <w:rsid w:val="00290038"/>
    <w:rsid w:val="0029010F"/>
    <w:rsid w:val="002920EF"/>
    <w:rsid w:val="00292D2D"/>
    <w:rsid w:val="00294FD3"/>
    <w:rsid w:val="00295873"/>
    <w:rsid w:val="002967C1"/>
    <w:rsid w:val="002A168C"/>
    <w:rsid w:val="002A2861"/>
    <w:rsid w:val="002A2C48"/>
    <w:rsid w:val="002A33F6"/>
    <w:rsid w:val="002A3A2A"/>
    <w:rsid w:val="002A3EED"/>
    <w:rsid w:val="002A4A39"/>
    <w:rsid w:val="002A4CA5"/>
    <w:rsid w:val="002A548D"/>
    <w:rsid w:val="002A5A17"/>
    <w:rsid w:val="002A6425"/>
    <w:rsid w:val="002A69B4"/>
    <w:rsid w:val="002A7BA3"/>
    <w:rsid w:val="002B2199"/>
    <w:rsid w:val="002B39EA"/>
    <w:rsid w:val="002B49E2"/>
    <w:rsid w:val="002B53F0"/>
    <w:rsid w:val="002B7B00"/>
    <w:rsid w:val="002B7C44"/>
    <w:rsid w:val="002C0CBC"/>
    <w:rsid w:val="002C1388"/>
    <w:rsid w:val="002C147A"/>
    <w:rsid w:val="002C22F1"/>
    <w:rsid w:val="002C26F2"/>
    <w:rsid w:val="002C2E53"/>
    <w:rsid w:val="002C3C6A"/>
    <w:rsid w:val="002C4034"/>
    <w:rsid w:val="002C42E0"/>
    <w:rsid w:val="002C4B9A"/>
    <w:rsid w:val="002C4EBD"/>
    <w:rsid w:val="002C5572"/>
    <w:rsid w:val="002C5FD7"/>
    <w:rsid w:val="002C6C0E"/>
    <w:rsid w:val="002D033F"/>
    <w:rsid w:val="002D42DB"/>
    <w:rsid w:val="002D45F3"/>
    <w:rsid w:val="002D474F"/>
    <w:rsid w:val="002D4759"/>
    <w:rsid w:val="002D571D"/>
    <w:rsid w:val="002D6038"/>
    <w:rsid w:val="002D6E79"/>
    <w:rsid w:val="002D7094"/>
    <w:rsid w:val="002D7FF8"/>
    <w:rsid w:val="002E1F3A"/>
    <w:rsid w:val="002E298A"/>
    <w:rsid w:val="002E578B"/>
    <w:rsid w:val="002E626B"/>
    <w:rsid w:val="002E79A6"/>
    <w:rsid w:val="002F0168"/>
    <w:rsid w:val="002F02A4"/>
    <w:rsid w:val="002F101D"/>
    <w:rsid w:val="002F272B"/>
    <w:rsid w:val="002F2A03"/>
    <w:rsid w:val="002F4B2D"/>
    <w:rsid w:val="002F56C4"/>
    <w:rsid w:val="002F60D3"/>
    <w:rsid w:val="002F6951"/>
    <w:rsid w:val="002F7C6D"/>
    <w:rsid w:val="0030254B"/>
    <w:rsid w:val="003027E4"/>
    <w:rsid w:val="0030332C"/>
    <w:rsid w:val="00305ED1"/>
    <w:rsid w:val="00307060"/>
    <w:rsid w:val="00310B31"/>
    <w:rsid w:val="00310D09"/>
    <w:rsid w:val="003119D3"/>
    <w:rsid w:val="00312296"/>
    <w:rsid w:val="0031295C"/>
    <w:rsid w:val="00312D10"/>
    <w:rsid w:val="00312DF8"/>
    <w:rsid w:val="0031340E"/>
    <w:rsid w:val="00313C74"/>
    <w:rsid w:val="0031496A"/>
    <w:rsid w:val="00315422"/>
    <w:rsid w:val="00316464"/>
    <w:rsid w:val="00320030"/>
    <w:rsid w:val="0032073A"/>
    <w:rsid w:val="00320A61"/>
    <w:rsid w:val="00321B14"/>
    <w:rsid w:val="00321D8E"/>
    <w:rsid w:val="00321FF5"/>
    <w:rsid w:val="0032269A"/>
    <w:rsid w:val="00322E9D"/>
    <w:rsid w:val="00323762"/>
    <w:rsid w:val="00325D53"/>
    <w:rsid w:val="00326288"/>
    <w:rsid w:val="00326936"/>
    <w:rsid w:val="00330300"/>
    <w:rsid w:val="00332319"/>
    <w:rsid w:val="00332D92"/>
    <w:rsid w:val="003330CA"/>
    <w:rsid w:val="00333293"/>
    <w:rsid w:val="00333812"/>
    <w:rsid w:val="00334996"/>
    <w:rsid w:val="00335DAC"/>
    <w:rsid w:val="00336969"/>
    <w:rsid w:val="00336C40"/>
    <w:rsid w:val="00336C52"/>
    <w:rsid w:val="0033730D"/>
    <w:rsid w:val="003374F5"/>
    <w:rsid w:val="00337EC0"/>
    <w:rsid w:val="00340EEA"/>
    <w:rsid w:val="00341B3E"/>
    <w:rsid w:val="00341B42"/>
    <w:rsid w:val="0034272C"/>
    <w:rsid w:val="00343CE5"/>
    <w:rsid w:val="00345154"/>
    <w:rsid w:val="0034560E"/>
    <w:rsid w:val="003467DD"/>
    <w:rsid w:val="003502D4"/>
    <w:rsid w:val="00350523"/>
    <w:rsid w:val="0035119E"/>
    <w:rsid w:val="0035122C"/>
    <w:rsid w:val="003526F7"/>
    <w:rsid w:val="00352975"/>
    <w:rsid w:val="00354E8C"/>
    <w:rsid w:val="003555A2"/>
    <w:rsid w:val="00355C2C"/>
    <w:rsid w:val="003561D3"/>
    <w:rsid w:val="00356868"/>
    <w:rsid w:val="00362907"/>
    <w:rsid w:val="00363463"/>
    <w:rsid w:val="00363E2C"/>
    <w:rsid w:val="0036485B"/>
    <w:rsid w:val="00364C08"/>
    <w:rsid w:val="003660D7"/>
    <w:rsid w:val="003732F1"/>
    <w:rsid w:val="00373B0D"/>
    <w:rsid w:val="00374252"/>
    <w:rsid w:val="003754F6"/>
    <w:rsid w:val="00376988"/>
    <w:rsid w:val="00377C51"/>
    <w:rsid w:val="00381739"/>
    <w:rsid w:val="00381A72"/>
    <w:rsid w:val="00390468"/>
    <w:rsid w:val="00391CD3"/>
    <w:rsid w:val="003927FC"/>
    <w:rsid w:val="00395DFD"/>
    <w:rsid w:val="003969B8"/>
    <w:rsid w:val="00396DDF"/>
    <w:rsid w:val="003A08D2"/>
    <w:rsid w:val="003A0AA2"/>
    <w:rsid w:val="003A108C"/>
    <w:rsid w:val="003A1948"/>
    <w:rsid w:val="003A1F05"/>
    <w:rsid w:val="003A6071"/>
    <w:rsid w:val="003A6991"/>
    <w:rsid w:val="003B152A"/>
    <w:rsid w:val="003B2949"/>
    <w:rsid w:val="003B2C3E"/>
    <w:rsid w:val="003B3841"/>
    <w:rsid w:val="003B545B"/>
    <w:rsid w:val="003B5DDA"/>
    <w:rsid w:val="003B6DB8"/>
    <w:rsid w:val="003B7464"/>
    <w:rsid w:val="003C011D"/>
    <w:rsid w:val="003C0458"/>
    <w:rsid w:val="003C113E"/>
    <w:rsid w:val="003C1145"/>
    <w:rsid w:val="003C4401"/>
    <w:rsid w:val="003C4E51"/>
    <w:rsid w:val="003D074B"/>
    <w:rsid w:val="003D26F9"/>
    <w:rsid w:val="003D3B05"/>
    <w:rsid w:val="003D3EE9"/>
    <w:rsid w:val="003D4512"/>
    <w:rsid w:val="003D4D33"/>
    <w:rsid w:val="003D585C"/>
    <w:rsid w:val="003D59A9"/>
    <w:rsid w:val="003D5F82"/>
    <w:rsid w:val="003E014B"/>
    <w:rsid w:val="003E0842"/>
    <w:rsid w:val="003E1E57"/>
    <w:rsid w:val="003E23ED"/>
    <w:rsid w:val="003E5EB0"/>
    <w:rsid w:val="003E6533"/>
    <w:rsid w:val="003E7681"/>
    <w:rsid w:val="003E79AB"/>
    <w:rsid w:val="003E7AE0"/>
    <w:rsid w:val="003F0809"/>
    <w:rsid w:val="003F608D"/>
    <w:rsid w:val="003F611C"/>
    <w:rsid w:val="003F6256"/>
    <w:rsid w:val="003F7337"/>
    <w:rsid w:val="003F755C"/>
    <w:rsid w:val="004008D6"/>
    <w:rsid w:val="00401DCE"/>
    <w:rsid w:val="004029C4"/>
    <w:rsid w:val="00404BD6"/>
    <w:rsid w:val="00405403"/>
    <w:rsid w:val="0040580C"/>
    <w:rsid w:val="004065CE"/>
    <w:rsid w:val="00406F01"/>
    <w:rsid w:val="00407946"/>
    <w:rsid w:val="004104A1"/>
    <w:rsid w:val="00410F7C"/>
    <w:rsid w:val="00411B36"/>
    <w:rsid w:val="00411FCB"/>
    <w:rsid w:val="004121D7"/>
    <w:rsid w:val="004124A4"/>
    <w:rsid w:val="00416D50"/>
    <w:rsid w:val="00416FF6"/>
    <w:rsid w:val="004175CB"/>
    <w:rsid w:val="00417772"/>
    <w:rsid w:val="00420E6A"/>
    <w:rsid w:val="00423871"/>
    <w:rsid w:val="00430B93"/>
    <w:rsid w:val="0043220F"/>
    <w:rsid w:val="00433BDC"/>
    <w:rsid w:val="00433CA9"/>
    <w:rsid w:val="004344FA"/>
    <w:rsid w:val="00434831"/>
    <w:rsid w:val="00434A11"/>
    <w:rsid w:val="0043521D"/>
    <w:rsid w:val="004368F7"/>
    <w:rsid w:val="00437882"/>
    <w:rsid w:val="00442024"/>
    <w:rsid w:val="0044254C"/>
    <w:rsid w:val="00443F6A"/>
    <w:rsid w:val="0044627F"/>
    <w:rsid w:val="00446ADB"/>
    <w:rsid w:val="0045072A"/>
    <w:rsid w:val="00450A17"/>
    <w:rsid w:val="0045460E"/>
    <w:rsid w:val="00456507"/>
    <w:rsid w:val="0046144E"/>
    <w:rsid w:val="00462D15"/>
    <w:rsid w:val="00466321"/>
    <w:rsid w:val="004672AF"/>
    <w:rsid w:val="004727B0"/>
    <w:rsid w:val="0047337C"/>
    <w:rsid w:val="00473994"/>
    <w:rsid w:val="00475781"/>
    <w:rsid w:val="0047595F"/>
    <w:rsid w:val="00475D05"/>
    <w:rsid w:val="00475F76"/>
    <w:rsid w:val="004779BA"/>
    <w:rsid w:val="00480247"/>
    <w:rsid w:val="0048081D"/>
    <w:rsid w:val="0048117E"/>
    <w:rsid w:val="0048343D"/>
    <w:rsid w:val="004838D8"/>
    <w:rsid w:val="004854B5"/>
    <w:rsid w:val="004855F6"/>
    <w:rsid w:val="00486F0C"/>
    <w:rsid w:val="00491E37"/>
    <w:rsid w:val="00491F10"/>
    <w:rsid w:val="00494670"/>
    <w:rsid w:val="00495BC4"/>
    <w:rsid w:val="00496982"/>
    <w:rsid w:val="004A0EB4"/>
    <w:rsid w:val="004A3823"/>
    <w:rsid w:val="004A59BB"/>
    <w:rsid w:val="004A6E6D"/>
    <w:rsid w:val="004A7C34"/>
    <w:rsid w:val="004A7EE2"/>
    <w:rsid w:val="004B0CA9"/>
    <w:rsid w:val="004B1364"/>
    <w:rsid w:val="004B14DB"/>
    <w:rsid w:val="004B1F4E"/>
    <w:rsid w:val="004B43A3"/>
    <w:rsid w:val="004B4C49"/>
    <w:rsid w:val="004B58A5"/>
    <w:rsid w:val="004B5D08"/>
    <w:rsid w:val="004B63D9"/>
    <w:rsid w:val="004B6441"/>
    <w:rsid w:val="004B6914"/>
    <w:rsid w:val="004C0882"/>
    <w:rsid w:val="004C1762"/>
    <w:rsid w:val="004C31A9"/>
    <w:rsid w:val="004C4E2D"/>
    <w:rsid w:val="004C55BE"/>
    <w:rsid w:val="004C5C44"/>
    <w:rsid w:val="004C5E96"/>
    <w:rsid w:val="004C6D28"/>
    <w:rsid w:val="004D1704"/>
    <w:rsid w:val="004D3C7E"/>
    <w:rsid w:val="004D3EB8"/>
    <w:rsid w:val="004D5752"/>
    <w:rsid w:val="004D5F09"/>
    <w:rsid w:val="004E060B"/>
    <w:rsid w:val="004E1E7A"/>
    <w:rsid w:val="004E2892"/>
    <w:rsid w:val="004E4E8B"/>
    <w:rsid w:val="004E5B30"/>
    <w:rsid w:val="004F0779"/>
    <w:rsid w:val="004F1230"/>
    <w:rsid w:val="004F173F"/>
    <w:rsid w:val="004F177C"/>
    <w:rsid w:val="004F2D76"/>
    <w:rsid w:val="004F2DCE"/>
    <w:rsid w:val="004F44C2"/>
    <w:rsid w:val="004F50A3"/>
    <w:rsid w:val="005011FB"/>
    <w:rsid w:val="005039CB"/>
    <w:rsid w:val="00503ADC"/>
    <w:rsid w:val="00503C00"/>
    <w:rsid w:val="0050492F"/>
    <w:rsid w:val="0050558F"/>
    <w:rsid w:val="005057E0"/>
    <w:rsid w:val="00506286"/>
    <w:rsid w:val="00507085"/>
    <w:rsid w:val="00507D87"/>
    <w:rsid w:val="00507DC9"/>
    <w:rsid w:val="005100E9"/>
    <w:rsid w:val="00510813"/>
    <w:rsid w:val="005109F5"/>
    <w:rsid w:val="00510FBE"/>
    <w:rsid w:val="00511DE0"/>
    <w:rsid w:val="00511DEE"/>
    <w:rsid w:val="00513463"/>
    <w:rsid w:val="0051578F"/>
    <w:rsid w:val="00517CD6"/>
    <w:rsid w:val="00517F02"/>
    <w:rsid w:val="00520D34"/>
    <w:rsid w:val="00521044"/>
    <w:rsid w:val="0052148F"/>
    <w:rsid w:val="005236C4"/>
    <w:rsid w:val="00524415"/>
    <w:rsid w:val="00524547"/>
    <w:rsid w:val="005258A2"/>
    <w:rsid w:val="0052623A"/>
    <w:rsid w:val="00527032"/>
    <w:rsid w:val="005275B8"/>
    <w:rsid w:val="005279ED"/>
    <w:rsid w:val="005304CE"/>
    <w:rsid w:val="00530F7C"/>
    <w:rsid w:val="00532425"/>
    <w:rsid w:val="00532EB3"/>
    <w:rsid w:val="00533B45"/>
    <w:rsid w:val="00534567"/>
    <w:rsid w:val="00534E8A"/>
    <w:rsid w:val="00534F43"/>
    <w:rsid w:val="00535908"/>
    <w:rsid w:val="00535A84"/>
    <w:rsid w:val="00536889"/>
    <w:rsid w:val="00540929"/>
    <w:rsid w:val="0054129F"/>
    <w:rsid w:val="00542E07"/>
    <w:rsid w:val="00542E7E"/>
    <w:rsid w:val="0054584E"/>
    <w:rsid w:val="00547BDC"/>
    <w:rsid w:val="00551A21"/>
    <w:rsid w:val="005548C0"/>
    <w:rsid w:val="00554A7B"/>
    <w:rsid w:val="0055572C"/>
    <w:rsid w:val="00556EF9"/>
    <w:rsid w:val="0055713A"/>
    <w:rsid w:val="00557CAD"/>
    <w:rsid w:val="0056064F"/>
    <w:rsid w:val="00561B84"/>
    <w:rsid w:val="00561DA7"/>
    <w:rsid w:val="0056338A"/>
    <w:rsid w:val="005650AE"/>
    <w:rsid w:val="00566D72"/>
    <w:rsid w:val="0057122C"/>
    <w:rsid w:val="00571D98"/>
    <w:rsid w:val="00571FB4"/>
    <w:rsid w:val="005720AE"/>
    <w:rsid w:val="00572676"/>
    <w:rsid w:val="005729D0"/>
    <w:rsid w:val="005767C0"/>
    <w:rsid w:val="00577454"/>
    <w:rsid w:val="00577A2D"/>
    <w:rsid w:val="0058030D"/>
    <w:rsid w:val="0058147E"/>
    <w:rsid w:val="00582045"/>
    <w:rsid w:val="00583A41"/>
    <w:rsid w:val="005847CF"/>
    <w:rsid w:val="00590AE3"/>
    <w:rsid w:val="005918F1"/>
    <w:rsid w:val="0059362D"/>
    <w:rsid w:val="00595AB6"/>
    <w:rsid w:val="005A06B7"/>
    <w:rsid w:val="005A1759"/>
    <w:rsid w:val="005A28CD"/>
    <w:rsid w:val="005A3737"/>
    <w:rsid w:val="005A481E"/>
    <w:rsid w:val="005A575A"/>
    <w:rsid w:val="005A58CC"/>
    <w:rsid w:val="005A59FA"/>
    <w:rsid w:val="005B1A76"/>
    <w:rsid w:val="005B3296"/>
    <w:rsid w:val="005B658F"/>
    <w:rsid w:val="005C11DC"/>
    <w:rsid w:val="005C1458"/>
    <w:rsid w:val="005C3CAE"/>
    <w:rsid w:val="005C43B9"/>
    <w:rsid w:val="005C5965"/>
    <w:rsid w:val="005C6E6C"/>
    <w:rsid w:val="005C7ABE"/>
    <w:rsid w:val="005C7F86"/>
    <w:rsid w:val="005D0369"/>
    <w:rsid w:val="005D1EC7"/>
    <w:rsid w:val="005D1F1A"/>
    <w:rsid w:val="005D53FE"/>
    <w:rsid w:val="005D7A0F"/>
    <w:rsid w:val="005D7CCD"/>
    <w:rsid w:val="005E0438"/>
    <w:rsid w:val="005E08DD"/>
    <w:rsid w:val="005E1791"/>
    <w:rsid w:val="005E2CE6"/>
    <w:rsid w:val="005E51EE"/>
    <w:rsid w:val="005E6324"/>
    <w:rsid w:val="005E667C"/>
    <w:rsid w:val="005E77F8"/>
    <w:rsid w:val="005F0B24"/>
    <w:rsid w:val="005F228B"/>
    <w:rsid w:val="005F235A"/>
    <w:rsid w:val="005F29CD"/>
    <w:rsid w:val="005F2F07"/>
    <w:rsid w:val="005F30F3"/>
    <w:rsid w:val="005F3E37"/>
    <w:rsid w:val="005F4DFB"/>
    <w:rsid w:val="005F5579"/>
    <w:rsid w:val="005F5A85"/>
    <w:rsid w:val="005F6290"/>
    <w:rsid w:val="005F6CC0"/>
    <w:rsid w:val="005F79B9"/>
    <w:rsid w:val="00600856"/>
    <w:rsid w:val="0060332C"/>
    <w:rsid w:val="00603E5B"/>
    <w:rsid w:val="00604BC8"/>
    <w:rsid w:val="00605138"/>
    <w:rsid w:val="00606004"/>
    <w:rsid w:val="00606E41"/>
    <w:rsid w:val="0061083F"/>
    <w:rsid w:val="00610CEC"/>
    <w:rsid w:val="00610E26"/>
    <w:rsid w:val="006117B9"/>
    <w:rsid w:val="0061193B"/>
    <w:rsid w:val="00611FB0"/>
    <w:rsid w:val="0061300A"/>
    <w:rsid w:val="0061306B"/>
    <w:rsid w:val="0061400A"/>
    <w:rsid w:val="006158D3"/>
    <w:rsid w:val="00615B4C"/>
    <w:rsid w:val="00615B5D"/>
    <w:rsid w:val="006162B6"/>
    <w:rsid w:val="00620A4D"/>
    <w:rsid w:val="0062146F"/>
    <w:rsid w:val="0062383B"/>
    <w:rsid w:val="00624732"/>
    <w:rsid w:val="00624CE9"/>
    <w:rsid w:val="006256B2"/>
    <w:rsid w:val="006308D8"/>
    <w:rsid w:val="00630A1B"/>
    <w:rsid w:val="00633EAB"/>
    <w:rsid w:val="006343AF"/>
    <w:rsid w:val="006343CA"/>
    <w:rsid w:val="0063456D"/>
    <w:rsid w:val="006347A1"/>
    <w:rsid w:val="0063634A"/>
    <w:rsid w:val="006374EE"/>
    <w:rsid w:val="00640BD5"/>
    <w:rsid w:val="00641E50"/>
    <w:rsid w:val="0064250D"/>
    <w:rsid w:val="006429E9"/>
    <w:rsid w:val="00642A4A"/>
    <w:rsid w:val="00642AAA"/>
    <w:rsid w:val="0064445C"/>
    <w:rsid w:val="0064582E"/>
    <w:rsid w:val="006468C0"/>
    <w:rsid w:val="00646F2C"/>
    <w:rsid w:val="00647D48"/>
    <w:rsid w:val="006505A4"/>
    <w:rsid w:val="006535EB"/>
    <w:rsid w:val="006548A5"/>
    <w:rsid w:val="0066149C"/>
    <w:rsid w:val="00661615"/>
    <w:rsid w:val="006628D0"/>
    <w:rsid w:val="00663016"/>
    <w:rsid w:val="006634A3"/>
    <w:rsid w:val="00664A21"/>
    <w:rsid w:val="00664B35"/>
    <w:rsid w:val="00670481"/>
    <w:rsid w:val="006730D0"/>
    <w:rsid w:val="00674605"/>
    <w:rsid w:val="006748B8"/>
    <w:rsid w:val="006754C7"/>
    <w:rsid w:val="00681450"/>
    <w:rsid w:val="00682ABB"/>
    <w:rsid w:val="00682D53"/>
    <w:rsid w:val="00683E86"/>
    <w:rsid w:val="00684FA8"/>
    <w:rsid w:val="0068535B"/>
    <w:rsid w:val="00685BF6"/>
    <w:rsid w:val="0068736E"/>
    <w:rsid w:val="0068794D"/>
    <w:rsid w:val="0069038E"/>
    <w:rsid w:val="0069228E"/>
    <w:rsid w:val="0069290A"/>
    <w:rsid w:val="00696524"/>
    <w:rsid w:val="00697032"/>
    <w:rsid w:val="006975AC"/>
    <w:rsid w:val="006A0891"/>
    <w:rsid w:val="006A15FB"/>
    <w:rsid w:val="006A1B46"/>
    <w:rsid w:val="006A1EF7"/>
    <w:rsid w:val="006A36BD"/>
    <w:rsid w:val="006A3F32"/>
    <w:rsid w:val="006A5FA7"/>
    <w:rsid w:val="006A622B"/>
    <w:rsid w:val="006A6BA0"/>
    <w:rsid w:val="006A72BF"/>
    <w:rsid w:val="006A792B"/>
    <w:rsid w:val="006B117D"/>
    <w:rsid w:val="006B194A"/>
    <w:rsid w:val="006B332A"/>
    <w:rsid w:val="006B33BD"/>
    <w:rsid w:val="006B5C76"/>
    <w:rsid w:val="006B7790"/>
    <w:rsid w:val="006C0403"/>
    <w:rsid w:val="006C3F75"/>
    <w:rsid w:val="006C4117"/>
    <w:rsid w:val="006C5D20"/>
    <w:rsid w:val="006D092D"/>
    <w:rsid w:val="006D170E"/>
    <w:rsid w:val="006D1B05"/>
    <w:rsid w:val="006D21C6"/>
    <w:rsid w:val="006D2A72"/>
    <w:rsid w:val="006E0576"/>
    <w:rsid w:val="006E06AF"/>
    <w:rsid w:val="006E1BD5"/>
    <w:rsid w:val="006E26D5"/>
    <w:rsid w:val="006E5121"/>
    <w:rsid w:val="006E5E0B"/>
    <w:rsid w:val="006F1789"/>
    <w:rsid w:val="006F18BE"/>
    <w:rsid w:val="006F2796"/>
    <w:rsid w:val="006F3DC4"/>
    <w:rsid w:val="006F6B67"/>
    <w:rsid w:val="006F731D"/>
    <w:rsid w:val="006F7FED"/>
    <w:rsid w:val="00701039"/>
    <w:rsid w:val="0070350A"/>
    <w:rsid w:val="0070639A"/>
    <w:rsid w:val="00706C5D"/>
    <w:rsid w:val="007078DC"/>
    <w:rsid w:val="0071063F"/>
    <w:rsid w:val="007118E6"/>
    <w:rsid w:val="007127BC"/>
    <w:rsid w:val="00714819"/>
    <w:rsid w:val="00714C79"/>
    <w:rsid w:val="00716FC0"/>
    <w:rsid w:val="00717348"/>
    <w:rsid w:val="007202CA"/>
    <w:rsid w:val="00720370"/>
    <w:rsid w:val="00720AF6"/>
    <w:rsid w:val="0072103E"/>
    <w:rsid w:val="007225C9"/>
    <w:rsid w:val="00722D85"/>
    <w:rsid w:val="007231B9"/>
    <w:rsid w:val="007232EE"/>
    <w:rsid w:val="00723E55"/>
    <w:rsid w:val="00725F10"/>
    <w:rsid w:val="00726659"/>
    <w:rsid w:val="00731676"/>
    <w:rsid w:val="00732030"/>
    <w:rsid w:val="00734F64"/>
    <w:rsid w:val="00735CD7"/>
    <w:rsid w:val="007365FC"/>
    <w:rsid w:val="007401E1"/>
    <w:rsid w:val="007405F2"/>
    <w:rsid w:val="00740A64"/>
    <w:rsid w:val="007421EA"/>
    <w:rsid w:val="007425FC"/>
    <w:rsid w:val="00743A05"/>
    <w:rsid w:val="00745307"/>
    <w:rsid w:val="00750BBE"/>
    <w:rsid w:val="0075153F"/>
    <w:rsid w:val="00752DA3"/>
    <w:rsid w:val="00753CB5"/>
    <w:rsid w:val="00754034"/>
    <w:rsid w:val="00754BF1"/>
    <w:rsid w:val="00754CB5"/>
    <w:rsid w:val="00754CD2"/>
    <w:rsid w:val="00754F5A"/>
    <w:rsid w:val="00755A30"/>
    <w:rsid w:val="00755E1C"/>
    <w:rsid w:val="00756556"/>
    <w:rsid w:val="00757738"/>
    <w:rsid w:val="0076104C"/>
    <w:rsid w:val="0076132B"/>
    <w:rsid w:val="00761F11"/>
    <w:rsid w:val="007623AE"/>
    <w:rsid w:val="00762B75"/>
    <w:rsid w:val="007634FB"/>
    <w:rsid w:val="00763D18"/>
    <w:rsid w:val="00766018"/>
    <w:rsid w:val="00767067"/>
    <w:rsid w:val="00770A41"/>
    <w:rsid w:val="00770B19"/>
    <w:rsid w:val="00771584"/>
    <w:rsid w:val="00772A8E"/>
    <w:rsid w:val="0077326D"/>
    <w:rsid w:val="0077383A"/>
    <w:rsid w:val="00773A4E"/>
    <w:rsid w:val="007744AC"/>
    <w:rsid w:val="00774763"/>
    <w:rsid w:val="00774FA0"/>
    <w:rsid w:val="007758B1"/>
    <w:rsid w:val="00776620"/>
    <w:rsid w:val="00777B6D"/>
    <w:rsid w:val="0078042F"/>
    <w:rsid w:val="00782911"/>
    <w:rsid w:val="00784855"/>
    <w:rsid w:val="00784F39"/>
    <w:rsid w:val="00784F3D"/>
    <w:rsid w:val="0078545C"/>
    <w:rsid w:val="007869BC"/>
    <w:rsid w:val="007906C4"/>
    <w:rsid w:val="00791D34"/>
    <w:rsid w:val="0079266F"/>
    <w:rsid w:val="00793A1A"/>
    <w:rsid w:val="007940EA"/>
    <w:rsid w:val="007967E8"/>
    <w:rsid w:val="007976C3"/>
    <w:rsid w:val="007A0551"/>
    <w:rsid w:val="007A2EFE"/>
    <w:rsid w:val="007A6057"/>
    <w:rsid w:val="007A63F2"/>
    <w:rsid w:val="007A7478"/>
    <w:rsid w:val="007B001E"/>
    <w:rsid w:val="007B05A0"/>
    <w:rsid w:val="007B1054"/>
    <w:rsid w:val="007B2031"/>
    <w:rsid w:val="007B287C"/>
    <w:rsid w:val="007B68DE"/>
    <w:rsid w:val="007B7135"/>
    <w:rsid w:val="007C11DD"/>
    <w:rsid w:val="007C1857"/>
    <w:rsid w:val="007C2EE1"/>
    <w:rsid w:val="007C4382"/>
    <w:rsid w:val="007C514F"/>
    <w:rsid w:val="007C5D46"/>
    <w:rsid w:val="007C6CC0"/>
    <w:rsid w:val="007D0F95"/>
    <w:rsid w:val="007D193D"/>
    <w:rsid w:val="007D1D0A"/>
    <w:rsid w:val="007D29B6"/>
    <w:rsid w:val="007D42AE"/>
    <w:rsid w:val="007D54C7"/>
    <w:rsid w:val="007D7ECB"/>
    <w:rsid w:val="007D7F7A"/>
    <w:rsid w:val="007D7F9A"/>
    <w:rsid w:val="007E01ED"/>
    <w:rsid w:val="007E1B4D"/>
    <w:rsid w:val="007E25A1"/>
    <w:rsid w:val="007E35EB"/>
    <w:rsid w:val="007E4BD2"/>
    <w:rsid w:val="007E654E"/>
    <w:rsid w:val="007E6DA2"/>
    <w:rsid w:val="007E7145"/>
    <w:rsid w:val="007F2229"/>
    <w:rsid w:val="007F3916"/>
    <w:rsid w:val="007F410B"/>
    <w:rsid w:val="007F4C57"/>
    <w:rsid w:val="007F5EDE"/>
    <w:rsid w:val="007F73B9"/>
    <w:rsid w:val="007F7F64"/>
    <w:rsid w:val="00801179"/>
    <w:rsid w:val="00801786"/>
    <w:rsid w:val="00801F0F"/>
    <w:rsid w:val="00802479"/>
    <w:rsid w:val="00804042"/>
    <w:rsid w:val="00804AFC"/>
    <w:rsid w:val="00805372"/>
    <w:rsid w:val="00805B7B"/>
    <w:rsid w:val="00805D27"/>
    <w:rsid w:val="008063E5"/>
    <w:rsid w:val="00812414"/>
    <w:rsid w:val="0081293E"/>
    <w:rsid w:val="00813289"/>
    <w:rsid w:val="008137E0"/>
    <w:rsid w:val="00813A5F"/>
    <w:rsid w:val="00814FFB"/>
    <w:rsid w:val="00815D7B"/>
    <w:rsid w:val="00815E01"/>
    <w:rsid w:val="00820568"/>
    <w:rsid w:val="008207EE"/>
    <w:rsid w:val="008240F2"/>
    <w:rsid w:val="00824DFA"/>
    <w:rsid w:val="00825AA2"/>
    <w:rsid w:val="0082786D"/>
    <w:rsid w:val="00831A80"/>
    <w:rsid w:val="008332C8"/>
    <w:rsid w:val="008336F5"/>
    <w:rsid w:val="00833743"/>
    <w:rsid w:val="008340A4"/>
    <w:rsid w:val="00836799"/>
    <w:rsid w:val="00837028"/>
    <w:rsid w:val="00837131"/>
    <w:rsid w:val="00837F37"/>
    <w:rsid w:val="008405BA"/>
    <w:rsid w:val="008410AE"/>
    <w:rsid w:val="008413ED"/>
    <w:rsid w:val="00841EEA"/>
    <w:rsid w:val="00842241"/>
    <w:rsid w:val="00845F57"/>
    <w:rsid w:val="0084640D"/>
    <w:rsid w:val="0084706F"/>
    <w:rsid w:val="008475B8"/>
    <w:rsid w:val="0084762C"/>
    <w:rsid w:val="00847A3D"/>
    <w:rsid w:val="00847B3A"/>
    <w:rsid w:val="0085097A"/>
    <w:rsid w:val="008511F5"/>
    <w:rsid w:val="00851CF2"/>
    <w:rsid w:val="008521E0"/>
    <w:rsid w:val="00852559"/>
    <w:rsid w:val="008525B0"/>
    <w:rsid w:val="0085452E"/>
    <w:rsid w:val="00854600"/>
    <w:rsid w:val="008606A7"/>
    <w:rsid w:val="00860F1D"/>
    <w:rsid w:val="00861DE4"/>
    <w:rsid w:val="00862243"/>
    <w:rsid w:val="0086408C"/>
    <w:rsid w:val="008644E1"/>
    <w:rsid w:val="00864666"/>
    <w:rsid w:val="008660E2"/>
    <w:rsid w:val="00867CBC"/>
    <w:rsid w:val="008707D6"/>
    <w:rsid w:val="00871131"/>
    <w:rsid w:val="00871C05"/>
    <w:rsid w:val="0087413F"/>
    <w:rsid w:val="00876C30"/>
    <w:rsid w:val="00877017"/>
    <w:rsid w:val="008773C0"/>
    <w:rsid w:val="00877EBF"/>
    <w:rsid w:val="00880364"/>
    <w:rsid w:val="00880B01"/>
    <w:rsid w:val="00884747"/>
    <w:rsid w:val="00886C4C"/>
    <w:rsid w:val="0088711C"/>
    <w:rsid w:val="00892ECF"/>
    <w:rsid w:val="00892F06"/>
    <w:rsid w:val="00894285"/>
    <w:rsid w:val="0089438A"/>
    <w:rsid w:val="00895730"/>
    <w:rsid w:val="008962E6"/>
    <w:rsid w:val="008972C2"/>
    <w:rsid w:val="008A2C63"/>
    <w:rsid w:val="008A40AE"/>
    <w:rsid w:val="008A4E19"/>
    <w:rsid w:val="008A50AD"/>
    <w:rsid w:val="008A65FB"/>
    <w:rsid w:val="008A67C5"/>
    <w:rsid w:val="008B22E1"/>
    <w:rsid w:val="008B3B61"/>
    <w:rsid w:val="008B3C78"/>
    <w:rsid w:val="008B4AE9"/>
    <w:rsid w:val="008B69B3"/>
    <w:rsid w:val="008B7C7E"/>
    <w:rsid w:val="008C147D"/>
    <w:rsid w:val="008C30AD"/>
    <w:rsid w:val="008C49CA"/>
    <w:rsid w:val="008C4E7D"/>
    <w:rsid w:val="008C6AE8"/>
    <w:rsid w:val="008D068E"/>
    <w:rsid w:val="008D0F7A"/>
    <w:rsid w:val="008D16BB"/>
    <w:rsid w:val="008D1B8D"/>
    <w:rsid w:val="008D29C2"/>
    <w:rsid w:val="008D40D4"/>
    <w:rsid w:val="008D4156"/>
    <w:rsid w:val="008D496B"/>
    <w:rsid w:val="008D63BE"/>
    <w:rsid w:val="008D6E1E"/>
    <w:rsid w:val="008D7EC1"/>
    <w:rsid w:val="008E0CFF"/>
    <w:rsid w:val="008E102C"/>
    <w:rsid w:val="008E1948"/>
    <w:rsid w:val="008E4FDC"/>
    <w:rsid w:val="008E5478"/>
    <w:rsid w:val="008E5D6B"/>
    <w:rsid w:val="008E689B"/>
    <w:rsid w:val="008E76E8"/>
    <w:rsid w:val="008E76F0"/>
    <w:rsid w:val="008F0CD8"/>
    <w:rsid w:val="008F15FE"/>
    <w:rsid w:val="008F20E6"/>
    <w:rsid w:val="008F2A94"/>
    <w:rsid w:val="008F430B"/>
    <w:rsid w:val="008F501F"/>
    <w:rsid w:val="008F5187"/>
    <w:rsid w:val="008F7000"/>
    <w:rsid w:val="008F709C"/>
    <w:rsid w:val="00902B80"/>
    <w:rsid w:val="0090312B"/>
    <w:rsid w:val="00904961"/>
    <w:rsid w:val="00911FEC"/>
    <w:rsid w:val="009122AA"/>
    <w:rsid w:val="009136B2"/>
    <w:rsid w:val="00913CBD"/>
    <w:rsid w:val="0091669A"/>
    <w:rsid w:val="009168AC"/>
    <w:rsid w:val="0091736D"/>
    <w:rsid w:val="009201E1"/>
    <w:rsid w:val="0092067D"/>
    <w:rsid w:val="0092393A"/>
    <w:rsid w:val="00923B21"/>
    <w:rsid w:val="00925ECE"/>
    <w:rsid w:val="00926979"/>
    <w:rsid w:val="00927B32"/>
    <w:rsid w:val="00931001"/>
    <w:rsid w:val="00931863"/>
    <w:rsid w:val="00933524"/>
    <w:rsid w:val="00941177"/>
    <w:rsid w:val="009413A1"/>
    <w:rsid w:val="0094239E"/>
    <w:rsid w:val="0094278D"/>
    <w:rsid w:val="009436D8"/>
    <w:rsid w:val="009521B8"/>
    <w:rsid w:val="00952BA6"/>
    <w:rsid w:val="0095308A"/>
    <w:rsid w:val="00954F5F"/>
    <w:rsid w:val="00955AEE"/>
    <w:rsid w:val="009564E2"/>
    <w:rsid w:val="00956760"/>
    <w:rsid w:val="00956A54"/>
    <w:rsid w:val="00956F14"/>
    <w:rsid w:val="009615A6"/>
    <w:rsid w:val="00961EE0"/>
    <w:rsid w:val="009620FD"/>
    <w:rsid w:val="0096247A"/>
    <w:rsid w:val="00963DC6"/>
    <w:rsid w:val="00965F4B"/>
    <w:rsid w:val="00967B82"/>
    <w:rsid w:val="00970511"/>
    <w:rsid w:val="00970B76"/>
    <w:rsid w:val="00970F8A"/>
    <w:rsid w:val="00971CFD"/>
    <w:rsid w:val="00971FB5"/>
    <w:rsid w:val="00972D2A"/>
    <w:rsid w:val="00974645"/>
    <w:rsid w:val="00975CC5"/>
    <w:rsid w:val="009760B7"/>
    <w:rsid w:val="00976328"/>
    <w:rsid w:val="00976371"/>
    <w:rsid w:val="00976B4E"/>
    <w:rsid w:val="009770A0"/>
    <w:rsid w:val="00977CFD"/>
    <w:rsid w:val="0098055F"/>
    <w:rsid w:val="00980745"/>
    <w:rsid w:val="009810C5"/>
    <w:rsid w:val="00982BD3"/>
    <w:rsid w:val="00983696"/>
    <w:rsid w:val="00984458"/>
    <w:rsid w:val="00985283"/>
    <w:rsid w:val="00987322"/>
    <w:rsid w:val="00991231"/>
    <w:rsid w:val="00994743"/>
    <w:rsid w:val="00994BE2"/>
    <w:rsid w:val="0099650E"/>
    <w:rsid w:val="00997EFB"/>
    <w:rsid w:val="009A0F3B"/>
    <w:rsid w:val="009A1652"/>
    <w:rsid w:val="009A18D6"/>
    <w:rsid w:val="009A2421"/>
    <w:rsid w:val="009A3373"/>
    <w:rsid w:val="009A4055"/>
    <w:rsid w:val="009A423E"/>
    <w:rsid w:val="009A638B"/>
    <w:rsid w:val="009A72C7"/>
    <w:rsid w:val="009B0897"/>
    <w:rsid w:val="009B1708"/>
    <w:rsid w:val="009B1E14"/>
    <w:rsid w:val="009B202C"/>
    <w:rsid w:val="009B225F"/>
    <w:rsid w:val="009B4591"/>
    <w:rsid w:val="009B6474"/>
    <w:rsid w:val="009B73B3"/>
    <w:rsid w:val="009C05A9"/>
    <w:rsid w:val="009C374F"/>
    <w:rsid w:val="009C4E1C"/>
    <w:rsid w:val="009D0097"/>
    <w:rsid w:val="009D0852"/>
    <w:rsid w:val="009D1FBF"/>
    <w:rsid w:val="009D5D36"/>
    <w:rsid w:val="009D6FBD"/>
    <w:rsid w:val="009D7CE5"/>
    <w:rsid w:val="009E094C"/>
    <w:rsid w:val="009E399C"/>
    <w:rsid w:val="009E43C1"/>
    <w:rsid w:val="009E75C0"/>
    <w:rsid w:val="009E7E95"/>
    <w:rsid w:val="009F08C4"/>
    <w:rsid w:val="009F116F"/>
    <w:rsid w:val="009F329E"/>
    <w:rsid w:val="009F3DD3"/>
    <w:rsid w:val="009F5A0E"/>
    <w:rsid w:val="009F7ED3"/>
    <w:rsid w:val="00A00D30"/>
    <w:rsid w:val="00A0345C"/>
    <w:rsid w:val="00A03607"/>
    <w:rsid w:val="00A047FF"/>
    <w:rsid w:val="00A04FEF"/>
    <w:rsid w:val="00A06509"/>
    <w:rsid w:val="00A07884"/>
    <w:rsid w:val="00A11ABE"/>
    <w:rsid w:val="00A122CD"/>
    <w:rsid w:val="00A12A32"/>
    <w:rsid w:val="00A12CA4"/>
    <w:rsid w:val="00A1391D"/>
    <w:rsid w:val="00A14248"/>
    <w:rsid w:val="00A14947"/>
    <w:rsid w:val="00A163A3"/>
    <w:rsid w:val="00A16754"/>
    <w:rsid w:val="00A177D5"/>
    <w:rsid w:val="00A17889"/>
    <w:rsid w:val="00A17EBD"/>
    <w:rsid w:val="00A17EFF"/>
    <w:rsid w:val="00A20E60"/>
    <w:rsid w:val="00A223FC"/>
    <w:rsid w:val="00A2318E"/>
    <w:rsid w:val="00A23DC5"/>
    <w:rsid w:val="00A27B22"/>
    <w:rsid w:val="00A30C0E"/>
    <w:rsid w:val="00A315D7"/>
    <w:rsid w:val="00A31984"/>
    <w:rsid w:val="00A34028"/>
    <w:rsid w:val="00A35568"/>
    <w:rsid w:val="00A3575E"/>
    <w:rsid w:val="00A37056"/>
    <w:rsid w:val="00A40BB2"/>
    <w:rsid w:val="00A410EE"/>
    <w:rsid w:val="00A4358F"/>
    <w:rsid w:val="00A46BBE"/>
    <w:rsid w:val="00A46F67"/>
    <w:rsid w:val="00A47AC9"/>
    <w:rsid w:val="00A50F9A"/>
    <w:rsid w:val="00A52816"/>
    <w:rsid w:val="00A52BA2"/>
    <w:rsid w:val="00A536E3"/>
    <w:rsid w:val="00A54AA1"/>
    <w:rsid w:val="00A55C54"/>
    <w:rsid w:val="00A568FF"/>
    <w:rsid w:val="00A60BF7"/>
    <w:rsid w:val="00A61428"/>
    <w:rsid w:val="00A61496"/>
    <w:rsid w:val="00A61833"/>
    <w:rsid w:val="00A624C6"/>
    <w:rsid w:val="00A63CEC"/>
    <w:rsid w:val="00A64911"/>
    <w:rsid w:val="00A6524F"/>
    <w:rsid w:val="00A6617B"/>
    <w:rsid w:val="00A70003"/>
    <w:rsid w:val="00A7031E"/>
    <w:rsid w:val="00A728B1"/>
    <w:rsid w:val="00A737DD"/>
    <w:rsid w:val="00A763DE"/>
    <w:rsid w:val="00A770C8"/>
    <w:rsid w:val="00A7717E"/>
    <w:rsid w:val="00A773DB"/>
    <w:rsid w:val="00A803D6"/>
    <w:rsid w:val="00A80885"/>
    <w:rsid w:val="00A81282"/>
    <w:rsid w:val="00A8136D"/>
    <w:rsid w:val="00A81DF3"/>
    <w:rsid w:val="00A86536"/>
    <w:rsid w:val="00A8713F"/>
    <w:rsid w:val="00A91167"/>
    <w:rsid w:val="00A9171C"/>
    <w:rsid w:val="00A92FFD"/>
    <w:rsid w:val="00A934D7"/>
    <w:rsid w:val="00A95975"/>
    <w:rsid w:val="00A9708D"/>
    <w:rsid w:val="00A97BF1"/>
    <w:rsid w:val="00AA1052"/>
    <w:rsid w:val="00AA1B4F"/>
    <w:rsid w:val="00AA2512"/>
    <w:rsid w:val="00AA25E3"/>
    <w:rsid w:val="00AA2C17"/>
    <w:rsid w:val="00AA39CE"/>
    <w:rsid w:val="00AA4172"/>
    <w:rsid w:val="00AA576A"/>
    <w:rsid w:val="00AA577D"/>
    <w:rsid w:val="00AA6964"/>
    <w:rsid w:val="00AB07ED"/>
    <w:rsid w:val="00AB1914"/>
    <w:rsid w:val="00AB1BDB"/>
    <w:rsid w:val="00AB2C6C"/>
    <w:rsid w:val="00AB3BF3"/>
    <w:rsid w:val="00AB4C28"/>
    <w:rsid w:val="00AB5330"/>
    <w:rsid w:val="00AB7747"/>
    <w:rsid w:val="00AC2532"/>
    <w:rsid w:val="00AC5A41"/>
    <w:rsid w:val="00AD0E98"/>
    <w:rsid w:val="00AD137D"/>
    <w:rsid w:val="00AD1507"/>
    <w:rsid w:val="00AD162E"/>
    <w:rsid w:val="00AD303E"/>
    <w:rsid w:val="00AD3A57"/>
    <w:rsid w:val="00AD44C9"/>
    <w:rsid w:val="00AD4652"/>
    <w:rsid w:val="00AD5A70"/>
    <w:rsid w:val="00AD6F38"/>
    <w:rsid w:val="00AD738B"/>
    <w:rsid w:val="00AD79E4"/>
    <w:rsid w:val="00AD7D51"/>
    <w:rsid w:val="00AE1BF4"/>
    <w:rsid w:val="00AE247B"/>
    <w:rsid w:val="00AE2DE8"/>
    <w:rsid w:val="00AE5031"/>
    <w:rsid w:val="00AE5D97"/>
    <w:rsid w:val="00AE6794"/>
    <w:rsid w:val="00AE7DC9"/>
    <w:rsid w:val="00AF20E6"/>
    <w:rsid w:val="00AF2AFD"/>
    <w:rsid w:val="00AF3520"/>
    <w:rsid w:val="00AF6A3B"/>
    <w:rsid w:val="00AF7E62"/>
    <w:rsid w:val="00B01110"/>
    <w:rsid w:val="00B01466"/>
    <w:rsid w:val="00B016FD"/>
    <w:rsid w:val="00B01E36"/>
    <w:rsid w:val="00B02262"/>
    <w:rsid w:val="00B03C1B"/>
    <w:rsid w:val="00B03CEC"/>
    <w:rsid w:val="00B03E13"/>
    <w:rsid w:val="00B04FC9"/>
    <w:rsid w:val="00B055A8"/>
    <w:rsid w:val="00B06C7F"/>
    <w:rsid w:val="00B102AB"/>
    <w:rsid w:val="00B10766"/>
    <w:rsid w:val="00B1209F"/>
    <w:rsid w:val="00B12AD0"/>
    <w:rsid w:val="00B12E52"/>
    <w:rsid w:val="00B138F6"/>
    <w:rsid w:val="00B139D4"/>
    <w:rsid w:val="00B20870"/>
    <w:rsid w:val="00B21889"/>
    <w:rsid w:val="00B228D8"/>
    <w:rsid w:val="00B22A8A"/>
    <w:rsid w:val="00B2448E"/>
    <w:rsid w:val="00B24F30"/>
    <w:rsid w:val="00B30077"/>
    <w:rsid w:val="00B31ABF"/>
    <w:rsid w:val="00B31D37"/>
    <w:rsid w:val="00B3318C"/>
    <w:rsid w:val="00B335AE"/>
    <w:rsid w:val="00B33B23"/>
    <w:rsid w:val="00B35665"/>
    <w:rsid w:val="00B35ABF"/>
    <w:rsid w:val="00B35DE4"/>
    <w:rsid w:val="00B36BE0"/>
    <w:rsid w:val="00B36D9E"/>
    <w:rsid w:val="00B37CE1"/>
    <w:rsid w:val="00B407A6"/>
    <w:rsid w:val="00B40ACF"/>
    <w:rsid w:val="00B41D29"/>
    <w:rsid w:val="00B42A07"/>
    <w:rsid w:val="00B43B53"/>
    <w:rsid w:val="00B46BAA"/>
    <w:rsid w:val="00B46C8B"/>
    <w:rsid w:val="00B50B5F"/>
    <w:rsid w:val="00B50C78"/>
    <w:rsid w:val="00B51382"/>
    <w:rsid w:val="00B526F5"/>
    <w:rsid w:val="00B52915"/>
    <w:rsid w:val="00B52B3D"/>
    <w:rsid w:val="00B54128"/>
    <w:rsid w:val="00B55371"/>
    <w:rsid w:val="00B5561C"/>
    <w:rsid w:val="00B55826"/>
    <w:rsid w:val="00B55E03"/>
    <w:rsid w:val="00B560AC"/>
    <w:rsid w:val="00B57808"/>
    <w:rsid w:val="00B60426"/>
    <w:rsid w:val="00B622DD"/>
    <w:rsid w:val="00B63522"/>
    <w:rsid w:val="00B63D96"/>
    <w:rsid w:val="00B65076"/>
    <w:rsid w:val="00B661F7"/>
    <w:rsid w:val="00B67683"/>
    <w:rsid w:val="00B70CE2"/>
    <w:rsid w:val="00B73DCA"/>
    <w:rsid w:val="00B756EB"/>
    <w:rsid w:val="00B76F1D"/>
    <w:rsid w:val="00B772BC"/>
    <w:rsid w:val="00B7732E"/>
    <w:rsid w:val="00B80F3D"/>
    <w:rsid w:val="00B819D5"/>
    <w:rsid w:val="00B81E71"/>
    <w:rsid w:val="00B82A4D"/>
    <w:rsid w:val="00B83B31"/>
    <w:rsid w:val="00B83ED6"/>
    <w:rsid w:val="00B87CC8"/>
    <w:rsid w:val="00B92A19"/>
    <w:rsid w:val="00B94480"/>
    <w:rsid w:val="00B9544C"/>
    <w:rsid w:val="00B96087"/>
    <w:rsid w:val="00B9655A"/>
    <w:rsid w:val="00B97A61"/>
    <w:rsid w:val="00B97F01"/>
    <w:rsid w:val="00BA0563"/>
    <w:rsid w:val="00BA0F84"/>
    <w:rsid w:val="00BA2608"/>
    <w:rsid w:val="00BA29E9"/>
    <w:rsid w:val="00BA4AB9"/>
    <w:rsid w:val="00BA6F83"/>
    <w:rsid w:val="00BA7692"/>
    <w:rsid w:val="00BA771E"/>
    <w:rsid w:val="00BB0A2E"/>
    <w:rsid w:val="00BB0B93"/>
    <w:rsid w:val="00BB2698"/>
    <w:rsid w:val="00BB2E6B"/>
    <w:rsid w:val="00BB3618"/>
    <w:rsid w:val="00BB699F"/>
    <w:rsid w:val="00BC0C9E"/>
    <w:rsid w:val="00BC2AEC"/>
    <w:rsid w:val="00BC3187"/>
    <w:rsid w:val="00BC32DC"/>
    <w:rsid w:val="00BC5321"/>
    <w:rsid w:val="00BC56FD"/>
    <w:rsid w:val="00BD1B51"/>
    <w:rsid w:val="00BD2280"/>
    <w:rsid w:val="00BD276B"/>
    <w:rsid w:val="00BD47F6"/>
    <w:rsid w:val="00BD494B"/>
    <w:rsid w:val="00BD495D"/>
    <w:rsid w:val="00BD4A7F"/>
    <w:rsid w:val="00BD7431"/>
    <w:rsid w:val="00BD7742"/>
    <w:rsid w:val="00BE1670"/>
    <w:rsid w:val="00BE22E0"/>
    <w:rsid w:val="00BE2306"/>
    <w:rsid w:val="00BE312D"/>
    <w:rsid w:val="00BE3BE2"/>
    <w:rsid w:val="00BE3FCA"/>
    <w:rsid w:val="00BE4123"/>
    <w:rsid w:val="00BE460E"/>
    <w:rsid w:val="00BE64F4"/>
    <w:rsid w:val="00BE6E89"/>
    <w:rsid w:val="00BF28D6"/>
    <w:rsid w:val="00BF2C28"/>
    <w:rsid w:val="00BF37D9"/>
    <w:rsid w:val="00BF5DEC"/>
    <w:rsid w:val="00BF5EE5"/>
    <w:rsid w:val="00BF6879"/>
    <w:rsid w:val="00BF696F"/>
    <w:rsid w:val="00BF7E8F"/>
    <w:rsid w:val="00C01312"/>
    <w:rsid w:val="00C033D6"/>
    <w:rsid w:val="00C037F7"/>
    <w:rsid w:val="00C05719"/>
    <w:rsid w:val="00C05F2B"/>
    <w:rsid w:val="00C06AD9"/>
    <w:rsid w:val="00C10578"/>
    <w:rsid w:val="00C105C7"/>
    <w:rsid w:val="00C1064E"/>
    <w:rsid w:val="00C10718"/>
    <w:rsid w:val="00C11514"/>
    <w:rsid w:val="00C140FC"/>
    <w:rsid w:val="00C17D62"/>
    <w:rsid w:val="00C21FDC"/>
    <w:rsid w:val="00C22042"/>
    <w:rsid w:val="00C24EE7"/>
    <w:rsid w:val="00C2596A"/>
    <w:rsid w:val="00C25E80"/>
    <w:rsid w:val="00C271BE"/>
    <w:rsid w:val="00C27425"/>
    <w:rsid w:val="00C31502"/>
    <w:rsid w:val="00C32264"/>
    <w:rsid w:val="00C328FE"/>
    <w:rsid w:val="00C3362A"/>
    <w:rsid w:val="00C33A05"/>
    <w:rsid w:val="00C3462D"/>
    <w:rsid w:val="00C3476F"/>
    <w:rsid w:val="00C3525A"/>
    <w:rsid w:val="00C360DA"/>
    <w:rsid w:val="00C371F2"/>
    <w:rsid w:val="00C40A19"/>
    <w:rsid w:val="00C40D05"/>
    <w:rsid w:val="00C412BD"/>
    <w:rsid w:val="00C41B42"/>
    <w:rsid w:val="00C42500"/>
    <w:rsid w:val="00C4409D"/>
    <w:rsid w:val="00C444AA"/>
    <w:rsid w:val="00C455BE"/>
    <w:rsid w:val="00C46B09"/>
    <w:rsid w:val="00C47CF9"/>
    <w:rsid w:val="00C51E5F"/>
    <w:rsid w:val="00C535DE"/>
    <w:rsid w:val="00C5450E"/>
    <w:rsid w:val="00C5720E"/>
    <w:rsid w:val="00C57FF2"/>
    <w:rsid w:val="00C6191D"/>
    <w:rsid w:val="00C61E4B"/>
    <w:rsid w:val="00C62E3A"/>
    <w:rsid w:val="00C630A1"/>
    <w:rsid w:val="00C635E8"/>
    <w:rsid w:val="00C64503"/>
    <w:rsid w:val="00C64A1F"/>
    <w:rsid w:val="00C64BFF"/>
    <w:rsid w:val="00C65748"/>
    <w:rsid w:val="00C6581D"/>
    <w:rsid w:val="00C65C97"/>
    <w:rsid w:val="00C72861"/>
    <w:rsid w:val="00C72FEB"/>
    <w:rsid w:val="00C763C9"/>
    <w:rsid w:val="00C80057"/>
    <w:rsid w:val="00C82934"/>
    <w:rsid w:val="00C82C79"/>
    <w:rsid w:val="00C84753"/>
    <w:rsid w:val="00C86529"/>
    <w:rsid w:val="00C86691"/>
    <w:rsid w:val="00C873BC"/>
    <w:rsid w:val="00C87724"/>
    <w:rsid w:val="00C9115B"/>
    <w:rsid w:val="00C91611"/>
    <w:rsid w:val="00C93584"/>
    <w:rsid w:val="00C94B00"/>
    <w:rsid w:val="00C9657A"/>
    <w:rsid w:val="00C96A10"/>
    <w:rsid w:val="00C97A23"/>
    <w:rsid w:val="00CA3354"/>
    <w:rsid w:val="00CA3585"/>
    <w:rsid w:val="00CA389E"/>
    <w:rsid w:val="00CA3D5A"/>
    <w:rsid w:val="00CA4C7C"/>
    <w:rsid w:val="00CA54E6"/>
    <w:rsid w:val="00CA74A1"/>
    <w:rsid w:val="00CB0183"/>
    <w:rsid w:val="00CB077A"/>
    <w:rsid w:val="00CB1EA3"/>
    <w:rsid w:val="00CB22BF"/>
    <w:rsid w:val="00CB552C"/>
    <w:rsid w:val="00CB563C"/>
    <w:rsid w:val="00CB6806"/>
    <w:rsid w:val="00CB6A9E"/>
    <w:rsid w:val="00CB79C4"/>
    <w:rsid w:val="00CC6181"/>
    <w:rsid w:val="00CC6543"/>
    <w:rsid w:val="00CC6743"/>
    <w:rsid w:val="00CC6D47"/>
    <w:rsid w:val="00CC6D5D"/>
    <w:rsid w:val="00CD025A"/>
    <w:rsid w:val="00CD1133"/>
    <w:rsid w:val="00CD2921"/>
    <w:rsid w:val="00CD2BCD"/>
    <w:rsid w:val="00CD36AA"/>
    <w:rsid w:val="00CD3791"/>
    <w:rsid w:val="00CD65B0"/>
    <w:rsid w:val="00CD6920"/>
    <w:rsid w:val="00CE01EE"/>
    <w:rsid w:val="00CE02CD"/>
    <w:rsid w:val="00CE08FD"/>
    <w:rsid w:val="00CE0D6E"/>
    <w:rsid w:val="00CE10E9"/>
    <w:rsid w:val="00CE40CE"/>
    <w:rsid w:val="00CE7067"/>
    <w:rsid w:val="00CF105B"/>
    <w:rsid w:val="00CF1756"/>
    <w:rsid w:val="00CF1D7A"/>
    <w:rsid w:val="00CF224D"/>
    <w:rsid w:val="00CF3BEB"/>
    <w:rsid w:val="00CF42DE"/>
    <w:rsid w:val="00D0072E"/>
    <w:rsid w:val="00D015A6"/>
    <w:rsid w:val="00D01B7A"/>
    <w:rsid w:val="00D03822"/>
    <w:rsid w:val="00D06D0B"/>
    <w:rsid w:val="00D12818"/>
    <w:rsid w:val="00D147C3"/>
    <w:rsid w:val="00D1556A"/>
    <w:rsid w:val="00D15727"/>
    <w:rsid w:val="00D16332"/>
    <w:rsid w:val="00D1773E"/>
    <w:rsid w:val="00D17984"/>
    <w:rsid w:val="00D24972"/>
    <w:rsid w:val="00D24C23"/>
    <w:rsid w:val="00D2515E"/>
    <w:rsid w:val="00D271FD"/>
    <w:rsid w:val="00D27B80"/>
    <w:rsid w:val="00D308ED"/>
    <w:rsid w:val="00D30E2A"/>
    <w:rsid w:val="00D320D4"/>
    <w:rsid w:val="00D32E96"/>
    <w:rsid w:val="00D34B51"/>
    <w:rsid w:val="00D35CC8"/>
    <w:rsid w:val="00D40656"/>
    <w:rsid w:val="00D4078B"/>
    <w:rsid w:val="00D427E0"/>
    <w:rsid w:val="00D4437D"/>
    <w:rsid w:val="00D4626E"/>
    <w:rsid w:val="00D50502"/>
    <w:rsid w:val="00D5068D"/>
    <w:rsid w:val="00D52413"/>
    <w:rsid w:val="00D52459"/>
    <w:rsid w:val="00D53913"/>
    <w:rsid w:val="00D55BA4"/>
    <w:rsid w:val="00D56178"/>
    <w:rsid w:val="00D5634C"/>
    <w:rsid w:val="00D56CF0"/>
    <w:rsid w:val="00D56D1F"/>
    <w:rsid w:val="00D56F5C"/>
    <w:rsid w:val="00D6002B"/>
    <w:rsid w:val="00D62B55"/>
    <w:rsid w:val="00D62FD2"/>
    <w:rsid w:val="00D66A4E"/>
    <w:rsid w:val="00D66AEE"/>
    <w:rsid w:val="00D676AE"/>
    <w:rsid w:val="00D704B1"/>
    <w:rsid w:val="00D70B63"/>
    <w:rsid w:val="00D71B04"/>
    <w:rsid w:val="00D71D2A"/>
    <w:rsid w:val="00D72B92"/>
    <w:rsid w:val="00D72ED4"/>
    <w:rsid w:val="00D73F61"/>
    <w:rsid w:val="00D74A81"/>
    <w:rsid w:val="00D754C0"/>
    <w:rsid w:val="00D7577D"/>
    <w:rsid w:val="00D7767E"/>
    <w:rsid w:val="00D776A2"/>
    <w:rsid w:val="00D801C4"/>
    <w:rsid w:val="00D80943"/>
    <w:rsid w:val="00D81F51"/>
    <w:rsid w:val="00D84D72"/>
    <w:rsid w:val="00D90836"/>
    <w:rsid w:val="00D90BE3"/>
    <w:rsid w:val="00D925FE"/>
    <w:rsid w:val="00D93D8A"/>
    <w:rsid w:val="00D93F5F"/>
    <w:rsid w:val="00D957DD"/>
    <w:rsid w:val="00D9588F"/>
    <w:rsid w:val="00D95896"/>
    <w:rsid w:val="00D95CC6"/>
    <w:rsid w:val="00D967D1"/>
    <w:rsid w:val="00D9791C"/>
    <w:rsid w:val="00D97CC7"/>
    <w:rsid w:val="00DA030D"/>
    <w:rsid w:val="00DA2DA3"/>
    <w:rsid w:val="00DA2F3E"/>
    <w:rsid w:val="00DA6615"/>
    <w:rsid w:val="00DA664F"/>
    <w:rsid w:val="00DA76AE"/>
    <w:rsid w:val="00DA7F73"/>
    <w:rsid w:val="00DB07EC"/>
    <w:rsid w:val="00DB181E"/>
    <w:rsid w:val="00DB1C7A"/>
    <w:rsid w:val="00DB1ECF"/>
    <w:rsid w:val="00DB22D2"/>
    <w:rsid w:val="00DB2983"/>
    <w:rsid w:val="00DB30C4"/>
    <w:rsid w:val="00DB343D"/>
    <w:rsid w:val="00DB34F5"/>
    <w:rsid w:val="00DB3B74"/>
    <w:rsid w:val="00DB5579"/>
    <w:rsid w:val="00DB5CFE"/>
    <w:rsid w:val="00DB79C2"/>
    <w:rsid w:val="00DB79E4"/>
    <w:rsid w:val="00DC25CC"/>
    <w:rsid w:val="00DC6275"/>
    <w:rsid w:val="00DC6CC8"/>
    <w:rsid w:val="00DC72A6"/>
    <w:rsid w:val="00DC7971"/>
    <w:rsid w:val="00DD2113"/>
    <w:rsid w:val="00DD265E"/>
    <w:rsid w:val="00DD300B"/>
    <w:rsid w:val="00DD4079"/>
    <w:rsid w:val="00DD649A"/>
    <w:rsid w:val="00DD68F8"/>
    <w:rsid w:val="00DE2128"/>
    <w:rsid w:val="00DE33C2"/>
    <w:rsid w:val="00DE5133"/>
    <w:rsid w:val="00DE674D"/>
    <w:rsid w:val="00DE6C36"/>
    <w:rsid w:val="00DF0C14"/>
    <w:rsid w:val="00DF1930"/>
    <w:rsid w:val="00DF1C51"/>
    <w:rsid w:val="00DF358A"/>
    <w:rsid w:val="00DF514A"/>
    <w:rsid w:val="00DF5C6E"/>
    <w:rsid w:val="00DF657D"/>
    <w:rsid w:val="00E0013D"/>
    <w:rsid w:val="00E0358D"/>
    <w:rsid w:val="00E04DF1"/>
    <w:rsid w:val="00E06327"/>
    <w:rsid w:val="00E0749C"/>
    <w:rsid w:val="00E07B3F"/>
    <w:rsid w:val="00E11EFD"/>
    <w:rsid w:val="00E172E1"/>
    <w:rsid w:val="00E2064B"/>
    <w:rsid w:val="00E2266A"/>
    <w:rsid w:val="00E2274B"/>
    <w:rsid w:val="00E23153"/>
    <w:rsid w:val="00E23861"/>
    <w:rsid w:val="00E24F7C"/>
    <w:rsid w:val="00E25239"/>
    <w:rsid w:val="00E265B1"/>
    <w:rsid w:val="00E275B0"/>
    <w:rsid w:val="00E30BE4"/>
    <w:rsid w:val="00E31AC5"/>
    <w:rsid w:val="00E325BC"/>
    <w:rsid w:val="00E32ED6"/>
    <w:rsid w:val="00E3652B"/>
    <w:rsid w:val="00E368CA"/>
    <w:rsid w:val="00E36EED"/>
    <w:rsid w:val="00E37983"/>
    <w:rsid w:val="00E412D0"/>
    <w:rsid w:val="00E41B87"/>
    <w:rsid w:val="00E41D9C"/>
    <w:rsid w:val="00E42125"/>
    <w:rsid w:val="00E44376"/>
    <w:rsid w:val="00E46A4D"/>
    <w:rsid w:val="00E478C1"/>
    <w:rsid w:val="00E47CDB"/>
    <w:rsid w:val="00E529E2"/>
    <w:rsid w:val="00E52D52"/>
    <w:rsid w:val="00E5363F"/>
    <w:rsid w:val="00E55318"/>
    <w:rsid w:val="00E566BC"/>
    <w:rsid w:val="00E60982"/>
    <w:rsid w:val="00E60C8D"/>
    <w:rsid w:val="00E6162F"/>
    <w:rsid w:val="00E6232A"/>
    <w:rsid w:val="00E6311B"/>
    <w:rsid w:val="00E65579"/>
    <w:rsid w:val="00E65D97"/>
    <w:rsid w:val="00E67EFD"/>
    <w:rsid w:val="00E702DC"/>
    <w:rsid w:val="00E717AD"/>
    <w:rsid w:val="00E71FFB"/>
    <w:rsid w:val="00E76D1D"/>
    <w:rsid w:val="00E806F8"/>
    <w:rsid w:val="00E81C9C"/>
    <w:rsid w:val="00E8766C"/>
    <w:rsid w:val="00E87752"/>
    <w:rsid w:val="00E8793B"/>
    <w:rsid w:val="00E9051C"/>
    <w:rsid w:val="00E90F81"/>
    <w:rsid w:val="00E91928"/>
    <w:rsid w:val="00E91A6D"/>
    <w:rsid w:val="00E9238F"/>
    <w:rsid w:val="00E9242D"/>
    <w:rsid w:val="00E926E7"/>
    <w:rsid w:val="00E95EB4"/>
    <w:rsid w:val="00E96195"/>
    <w:rsid w:val="00E96563"/>
    <w:rsid w:val="00E97347"/>
    <w:rsid w:val="00E9788E"/>
    <w:rsid w:val="00EA48CE"/>
    <w:rsid w:val="00EA551D"/>
    <w:rsid w:val="00EA66D9"/>
    <w:rsid w:val="00EA7613"/>
    <w:rsid w:val="00EA7F06"/>
    <w:rsid w:val="00EB041C"/>
    <w:rsid w:val="00EB14F7"/>
    <w:rsid w:val="00EB27B7"/>
    <w:rsid w:val="00EB2C38"/>
    <w:rsid w:val="00EB38CB"/>
    <w:rsid w:val="00EB3EC2"/>
    <w:rsid w:val="00EB5FA2"/>
    <w:rsid w:val="00EB700D"/>
    <w:rsid w:val="00EC17B6"/>
    <w:rsid w:val="00EC23DE"/>
    <w:rsid w:val="00EC4C91"/>
    <w:rsid w:val="00EC5874"/>
    <w:rsid w:val="00EC698B"/>
    <w:rsid w:val="00EC6F0E"/>
    <w:rsid w:val="00EC75CA"/>
    <w:rsid w:val="00EC7BEE"/>
    <w:rsid w:val="00EC7E31"/>
    <w:rsid w:val="00ED192D"/>
    <w:rsid w:val="00ED30B4"/>
    <w:rsid w:val="00ED31F5"/>
    <w:rsid w:val="00ED6E83"/>
    <w:rsid w:val="00EE1200"/>
    <w:rsid w:val="00EE37C9"/>
    <w:rsid w:val="00EE37F7"/>
    <w:rsid w:val="00EE3F87"/>
    <w:rsid w:val="00EE5062"/>
    <w:rsid w:val="00EE63F2"/>
    <w:rsid w:val="00EE68D1"/>
    <w:rsid w:val="00EF0B2F"/>
    <w:rsid w:val="00EF199C"/>
    <w:rsid w:val="00EF2759"/>
    <w:rsid w:val="00EF2972"/>
    <w:rsid w:val="00EF2CA8"/>
    <w:rsid w:val="00EF2DE5"/>
    <w:rsid w:val="00EF45EB"/>
    <w:rsid w:val="00EF4658"/>
    <w:rsid w:val="00EF5099"/>
    <w:rsid w:val="00EF5252"/>
    <w:rsid w:val="00EF5E33"/>
    <w:rsid w:val="00EF5F9D"/>
    <w:rsid w:val="00F00075"/>
    <w:rsid w:val="00F00B78"/>
    <w:rsid w:val="00F03A70"/>
    <w:rsid w:val="00F07822"/>
    <w:rsid w:val="00F10256"/>
    <w:rsid w:val="00F12402"/>
    <w:rsid w:val="00F13F9E"/>
    <w:rsid w:val="00F155AA"/>
    <w:rsid w:val="00F15C95"/>
    <w:rsid w:val="00F20B9A"/>
    <w:rsid w:val="00F2211F"/>
    <w:rsid w:val="00F22985"/>
    <w:rsid w:val="00F23E24"/>
    <w:rsid w:val="00F241AB"/>
    <w:rsid w:val="00F25CFC"/>
    <w:rsid w:val="00F31382"/>
    <w:rsid w:val="00F33438"/>
    <w:rsid w:val="00F34DCC"/>
    <w:rsid w:val="00F35829"/>
    <w:rsid w:val="00F37665"/>
    <w:rsid w:val="00F37AAB"/>
    <w:rsid w:val="00F37F20"/>
    <w:rsid w:val="00F423AE"/>
    <w:rsid w:val="00F42868"/>
    <w:rsid w:val="00F428BF"/>
    <w:rsid w:val="00F45A88"/>
    <w:rsid w:val="00F45FEF"/>
    <w:rsid w:val="00F465A7"/>
    <w:rsid w:val="00F50A3D"/>
    <w:rsid w:val="00F50B7C"/>
    <w:rsid w:val="00F50F20"/>
    <w:rsid w:val="00F5202D"/>
    <w:rsid w:val="00F520F3"/>
    <w:rsid w:val="00F52650"/>
    <w:rsid w:val="00F52CF6"/>
    <w:rsid w:val="00F54496"/>
    <w:rsid w:val="00F55C55"/>
    <w:rsid w:val="00F560FB"/>
    <w:rsid w:val="00F57E55"/>
    <w:rsid w:val="00F6043B"/>
    <w:rsid w:val="00F61097"/>
    <w:rsid w:val="00F618C8"/>
    <w:rsid w:val="00F632E3"/>
    <w:rsid w:val="00F635D0"/>
    <w:rsid w:val="00F667B8"/>
    <w:rsid w:val="00F70E5C"/>
    <w:rsid w:val="00F74345"/>
    <w:rsid w:val="00F74441"/>
    <w:rsid w:val="00F74BE0"/>
    <w:rsid w:val="00F77812"/>
    <w:rsid w:val="00F77CD5"/>
    <w:rsid w:val="00F77F30"/>
    <w:rsid w:val="00F810AC"/>
    <w:rsid w:val="00F816D6"/>
    <w:rsid w:val="00F816F6"/>
    <w:rsid w:val="00F82589"/>
    <w:rsid w:val="00F8284D"/>
    <w:rsid w:val="00F82B19"/>
    <w:rsid w:val="00F837CD"/>
    <w:rsid w:val="00F85BD2"/>
    <w:rsid w:val="00F90AA7"/>
    <w:rsid w:val="00F9212D"/>
    <w:rsid w:val="00F93AB7"/>
    <w:rsid w:val="00F93C58"/>
    <w:rsid w:val="00F95040"/>
    <w:rsid w:val="00F9590D"/>
    <w:rsid w:val="00F95CC1"/>
    <w:rsid w:val="00F97E7A"/>
    <w:rsid w:val="00FA14F2"/>
    <w:rsid w:val="00FA1CFD"/>
    <w:rsid w:val="00FA301A"/>
    <w:rsid w:val="00FA406A"/>
    <w:rsid w:val="00FA5277"/>
    <w:rsid w:val="00FA5CB6"/>
    <w:rsid w:val="00FA726F"/>
    <w:rsid w:val="00FB069D"/>
    <w:rsid w:val="00FB5F16"/>
    <w:rsid w:val="00FB6A1C"/>
    <w:rsid w:val="00FC15CF"/>
    <w:rsid w:val="00FC2B2D"/>
    <w:rsid w:val="00FC2EE9"/>
    <w:rsid w:val="00FC4BF6"/>
    <w:rsid w:val="00FC66AC"/>
    <w:rsid w:val="00FC7807"/>
    <w:rsid w:val="00FC7972"/>
    <w:rsid w:val="00FD1340"/>
    <w:rsid w:val="00FD18F4"/>
    <w:rsid w:val="00FD1F0B"/>
    <w:rsid w:val="00FD358F"/>
    <w:rsid w:val="00FD39D8"/>
    <w:rsid w:val="00FD3D5B"/>
    <w:rsid w:val="00FD3EBB"/>
    <w:rsid w:val="00FD5A80"/>
    <w:rsid w:val="00FD61A7"/>
    <w:rsid w:val="00FD6406"/>
    <w:rsid w:val="00FD74B4"/>
    <w:rsid w:val="00FE2695"/>
    <w:rsid w:val="00FE383E"/>
    <w:rsid w:val="00FE454F"/>
    <w:rsid w:val="00FE4DDE"/>
    <w:rsid w:val="00FF1764"/>
    <w:rsid w:val="00FF3C59"/>
    <w:rsid w:val="00FF4A1C"/>
    <w:rsid w:val="00FF5173"/>
    <w:rsid w:val="00FF6FCE"/>
    <w:rsid w:val="00FF7518"/>
    <w:rsid w:val="00FF7FD8"/>
    <w:rsid w:val="04DF1E59"/>
    <w:rsid w:val="05742AC8"/>
    <w:rsid w:val="06352F05"/>
    <w:rsid w:val="063E7D85"/>
    <w:rsid w:val="070875E0"/>
    <w:rsid w:val="07293586"/>
    <w:rsid w:val="07295285"/>
    <w:rsid w:val="07770C56"/>
    <w:rsid w:val="07A24F9E"/>
    <w:rsid w:val="092217DD"/>
    <w:rsid w:val="093A7294"/>
    <w:rsid w:val="0BD27BF6"/>
    <w:rsid w:val="0E110D06"/>
    <w:rsid w:val="0F13775A"/>
    <w:rsid w:val="0F9A112B"/>
    <w:rsid w:val="106D2F64"/>
    <w:rsid w:val="10B63710"/>
    <w:rsid w:val="111C2F7A"/>
    <w:rsid w:val="113013DE"/>
    <w:rsid w:val="122B06C2"/>
    <w:rsid w:val="13951726"/>
    <w:rsid w:val="14396509"/>
    <w:rsid w:val="1447165C"/>
    <w:rsid w:val="17735226"/>
    <w:rsid w:val="188E34FD"/>
    <w:rsid w:val="1A1C66C0"/>
    <w:rsid w:val="1A42393B"/>
    <w:rsid w:val="1A80517F"/>
    <w:rsid w:val="1B046F80"/>
    <w:rsid w:val="1B3267B5"/>
    <w:rsid w:val="1BC25DC8"/>
    <w:rsid w:val="1C5E7925"/>
    <w:rsid w:val="1C887FC8"/>
    <w:rsid w:val="1D5F6196"/>
    <w:rsid w:val="1D6132A5"/>
    <w:rsid w:val="1D8E56D5"/>
    <w:rsid w:val="1E7A43DA"/>
    <w:rsid w:val="1EB277FE"/>
    <w:rsid w:val="1FE7539E"/>
    <w:rsid w:val="20963CB8"/>
    <w:rsid w:val="20B07FB6"/>
    <w:rsid w:val="213B74B1"/>
    <w:rsid w:val="215A2310"/>
    <w:rsid w:val="21CB03CB"/>
    <w:rsid w:val="21DE318A"/>
    <w:rsid w:val="21EF5B80"/>
    <w:rsid w:val="22576990"/>
    <w:rsid w:val="229C4EAB"/>
    <w:rsid w:val="252D53FE"/>
    <w:rsid w:val="25EC2D81"/>
    <w:rsid w:val="264528BD"/>
    <w:rsid w:val="27D15DD1"/>
    <w:rsid w:val="28A76295"/>
    <w:rsid w:val="28FE1889"/>
    <w:rsid w:val="29206EB8"/>
    <w:rsid w:val="29E325E0"/>
    <w:rsid w:val="2A452503"/>
    <w:rsid w:val="2BA936A8"/>
    <w:rsid w:val="2C315A5A"/>
    <w:rsid w:val="2D9E56F5"/>
    <w:rsid w:val="2E667F96"/>
    <w:rsid w:val="2E8226AB"/>
    <w:rsid w:val="2F832C79"/>
    <w:rsid w:val="2FEF2D58"/>
    <w:rsid w:val="30391B88"/>
    <w:rsid w:val="30580BC9"/>
    <w:rsid w:val="30D26606"/>
    <w:rsid w:val="311E2ED7"/>
    <w:rsid w:val="315C449C"/>
    <w:rsid w:val="31B82709"/>
    <w:rsid w:val="32400B34"/>
    <w:rsid w:val="329E6876"/>
    <w:rsid w:val="33D934D4"/>
    <w:rsid w:val="33FE2F6A"/>
    <w:rsid w:val="345F7AB1"/>
    <w:rsid w:val="36074A7F"/>
    <w:rsid w:val="367863D7"/>
    <w:rsid w:val="36923549"/>
    <w:rsid w:val="36B75FBF"/>
    <w:rsid w:val="36FB4891"/>
    <w:rsid w:val="38F12CD3"/>
    <w:rsid w:val="38F94775"/>
    <w:rsid w:val="392971ED"/>
    <w:rsid w:val="39372DDD"/>
    <w:rsid w:val="3A6F44A4"/>
    <w:rsid w:val="3B0235FE"/>
    <w:rsid w:val="3B3763D1"/>
    <w:rsid w:val="3CDA245A"/>
    <w:rsid w:val="3CEE0A37"/>
    <w:rsid w:val="3EE7357E"/>
    <w:rsid w:val="3F660E74"/>
    <w:rsid w:val="407A6407"/>
    <w:rsid w:val="423A3BCC"/>
    <w:rsid w:val="433A6FE6"/>
    <w:rsid w:val="4350713C"/>
    <w:rsid w:val="436653E0"/>
    <w:rsid w:val="44CD14E0"/>
    <w:rsid w:val="458946E9"/>
    <w:rsid w:val="46D955A7"/>
    <w:rsid w:val="47133957"/>
    <w:rsid w:val="4779329E"/>
    <w:rsid w:val="47A07E0C"/>
    <w:rsid w:val="4870272E"/>
    <w:rsid w:val="49DC7715"/>
    <w:rsid w:val="4A023139"/>
    <w:rsid w:val="4A7B576F"/>
    <w:rsid w:val="4B960A31"/>
    <w:rsid w:val="4C4A0649"/>
    <w:rsid w:val="4CE470D3"/>
    <w:rsid w:val="4DEC4FB0"/>
    <w:rsid w:val="4E075D8A"/>
    <w:rsid w:val="4F543130"/>
    <w:rsid w:val="4FC62A8C"/>
    <w:rsid w:val="4FE20F0D"/>
    <w:rsid w:val="50504C4B"/>
    <w:rsid w:val="509C6E7C"/>
    <w:rsid w:val="5162104E"/>
    <w:rsid w:val="53A039CC"/>
    <w:rsid w:val="53A1505A"/>
    <w:rsid w:val="54063E08"/>
    <w:rsid w:val="543437E8"/>
    <w:rsid w:val="559B174B"/>
    <w:rsid w:val="55CE0CF4"/>
    <w:rsid w:val="56B22A9C"/>
    <w:rsid w:val="57B72A76"/>
    <w:rsid w:val="5A3C747D"/>
    <w:rsid w:val="5A6E701A"/>
    <w:rsid w:val="5ABE2233"/>
    <w:rsid w:val="5B276D18"/>
    <w:rsid w:val="5BDF5D95"/>
    <w:rsid w:val="5DF87A0F"/>
    <w:rsid w:val="5E226A13"/>
    <w:rsid w:val="5F1A2B43"/>
    <w:rsid w:val="5FB837BB"/>
    <w:rsid w:val="5FFD357A"/>
    <w:rsid w:val="62364782"/>
    <w:rsid w:val="63D40BE9"/>
    <w:rsid w:val="63E0211F"/>
    <w:rsid w:val="65373578"/>
    <w:rsid w:val="673F2C7A"/>
    <w:rsid w:val="67766393"/>
    <w:rsid w:val="681F6961"/>
    <w:rsid w:val="68610A2F"/>
    <w:rsid w:val="68805514"/>
    <w:rsid w:val="694E2071"/>
    <w:rsid w:val="69553A29"/>
    <w:rsid w:val="697A3B33"/>
    <w:rsid w:val="699E2456"/>
    <w:rsid w:val="6B322639"/>
    <w:rsid w:val="6C636C38"/>
    <w:rsid w:val="6DB34098"/>
    <w:rsid w:val="6DB545B6"/>
    <w:rsid w:val="6E4375A0"/>
    <w:rsid w:val="6E514CED"/>
    <w:rsid w:val="6E79491A"/>
    <w:rsid w:val="6EB563D5"/>
    <w:rsid w:val="6F225983"/>
    <w:rsid w:val="6FB87883"/>
    <w:rsid w:val="6FFC5590"/>
    <w:rsid w:val="70301DA3"/>
    <w:rsid w:val="706D1DD0"/>
    <w:rsid w:val="70856B87"/>
    <w:rsid w:val="70D527EE"/>
    <w:rsid w:val="715B5300"/>
    <w:rsid w:val="715F4BD7"/>
    <w:rsid w:val="71D27F8A"/>
    <w:rsid w:val="71F744C6"/>
    <w:rsid w:val="71F960CF"/>
    <w:rsid w:val="72321F46"/>
    <w:rsid w:val="731F5D5E"/>
    <w:rsid w:val="74114958"/>
    <w:rsid w:val="741E793C"/>
    <w:rsid w:val="754B3A5A"/>
    <w:rsid w:val="758D75E2"/>
    <w:rsid w:val="76E00D42"/>
    <w:rsid w:val="77762421"/>
    <w:rsid w:val="780F09F4"/>
    <w:rsid w:val="789C4F47"/>
    <w:rsid w:val="78A90480"/>
    <w:rsid w:val="79811327"/>
    <w:rsid w:val="7A364017"/>
    <w:rsid w:val="7A8265E1"/>
    <w:rsid w:val="7B686D42"/>
    <w:rsid w:val="7B841746"/>
    <w:rsid w:val="7D0239FF"/>
    <w:rsid w:val="7D5E40CD"/>
    <w:rsid w:val="7D693BED"/>
    <w:rsid w:val="7E1171B6"/>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ocked="1"/>
    <w:lsdException w:uiPriority="0" w:name="toc 2" w:locked="1"/>
    <w:lsdException w:uiPriority="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ocked="1"/>
    <w:lsdException w:uiPriority="0" w:name="table of figures"/>
    <w:lsdException w:uiPriority="0" w:name="envelope address"/>
    <w:lsdException w:uiPriority="0" w:name="envelope return"/>
    <w:lsdException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ocked="1"/>
    <w:lsdException w:uiPriority="0" w:name="Closing"/>
    <w:lsdException w:uiPriority="0" w:name="Signature"/>
    <w:lsdException w:uiPriority="1" w:name="Default Paragraph Font"/>
    <w:lsdException w:qFormat="1" w:unhideWhenUsed="0" w:uiPriority="0" w:semiHidden="0" w:name="Body Text"/>
    <w:lsdException w:qFormat="1" w:unhideWhenUsed="0"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ocked="1"/>
    <w:lsdException w:uiPriority="0" w:name="Salutation"/>
    <w:lsdException w:qFormat="1" w:unhideWhenUsed="0" w:uiPriority="0" w:semiHidden="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qFormat="1" w:unhideWhenUsed="0" w:uiPriority="0" w:semiHidden="0" w:name="Body Text Indent 3"/>
    <w:lsdException w:uiPriority="0" w:name="Block Text"/>
    <w:lsdException w:uiPriority="0" w:name="Hyperlink"/>
    <w:lsdException w:uiPriority="0" w:name="FollowedHyperlink"/>
    <w:lsdException w:qFormat="1" w:unhideWhenUsed="0" w:uiPriority="0" w:semiHidden="0" w:name="Strong" w:locked="1"/>
    <w:lsdException w:qFormat="1" w:unhideWhenUsed="0" w:uiPriority="0" w:semiHidden="0" w:name="Emphasis" w:locked="1"/>
    <w:lsdException w:qFormat="1" w:unhideWhenUsed="0" w:uiPriority="0" w:semiHidden="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26"/>
    <w:semiHidden/>
    <w:unhideWhenUsed/>
    <w:qFormat/>
    <w:locked/>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7"/>
    <w:semiHidden/>
    <w:unhideWhenUsed/>
    <w:qFormat/>
    <w:locked/>
    <w:uiPriority w:val="0"/>
    <w:pPr>
      <w:keepNext/>
      <w:keepLines/>
      <w:spacing w:before="260" w:after="260" w:line="416" w:lineRule="auto"/>
      <w:outlineLvl w:val="2"/>
    </w:pPr>
    <w:rPr>
      <w:b/>
      <w:bCs/>
      <w:sz w:val="32"/>
      <w:szCs w:val="32"/>
    </w:rPr>
  </w:style>
  <w:style w:type="paragraph" w:styleId="5">
    <w:name w:val="heading 9"/>
    <w:basedOn w:val="1"/>
    <w:next w:val="1"/>
    <w:link w:val="28"/>
    <w:semiHidden/>
    <w:unhideWhenUsed/>
    <w:qFormat/>
    <w:locked/>
    <w:uiPriority w:val="0"/>
    <w:pPr>
      <w:keepNext/>
      <w:keepLines/>
      <w:spacing w:before="240" w:after="64" w:line="320" w:lineRule="auto"/>
      <w:outlineLvl w:val="8"/>
    </w:pPr>
    <w:rPr>
      <w:rFonts w:asciiTheme="majorHAnsi" w:hAnsiTheme="majorHAnsi" w:eastAsiaTheme="majorEastAsia" w:cstheme="majorBidi"/>
      <w:szCs w:val="21"/>
    </w:rPr>
  </w:style>
  <w:style w:type="character" w:default="1" w:styleId="23">
    <w:name w:val="Default Paragraph Font"/>
    <w:semiHidden/>
    <w:unhideWhenUsed/>
    <w:uiPriority w:val="1"/>
  </w:style>
  <w:style w:type="table" w:default="1" w:styleId="21">
    <w:name w:val="Normal Table"/>
    <w:semiHidden/>
    <w:unhideWhenUsed/>
    <w:uiPriority w:val="99"/>
    <w:tblPr>
      <w:tblLayout w:type="fixed"/>
      <w:tblCellMar>
        <w:top w:w="0" w:type="dxa"/>
        <w:left w:w="108" w:type="dxa"/>
        <w:bottom w:w="0" w:type="dxa"/>
        <w:right w:w="108" w:type="dxa"/>
      </w:tblCellMar>
    </w:tblPr>
  </w:style>
  <w:style w:type="paragraph" w:styleId="6">
    <w:name w:val="Normal Indent"/>
    <w:basedOn w:val="1"/>
    <w:link w:val="69"/>
    <w:qFormat/>
    <w:uiPriority w:val="0"/>
    <w:pPr>
      <w:widowControl/>
      <w:spacing w:line="360" w:lineRule="auto"/>
      <w:ind w:firstLine="200" w:firstLineChars="200"/>
      <w:jc w:val="left"/>
    </w:pPr>
    <w:rPr>
      <w:rFonts w:ascii="宋体" w:hAnsi="宋体" w:cs="宋体"/>
      <w:kern w:val="0"/>
      <w:sz w:val="24"/>
      <w:lang w:val="zh-CN" w:eastAsia="zh-CN"/>
    </w:rPr>
  </w:style>
  <w:style w:type="paragraph" w:styleId="7">
    <w:name w:val="caption"/>
    <w:basedOn w:val="1"/>
    <w:next w:val="1"/>
    <w:semiHidden/>
    <w:unhideWhenUsed/>
    <w:qFormat/>
    <w:locked/>
    <w:uiPriority w:val="0"/>
    <w:rPr>
      <w:rFonts w:eastAsia="黑体" w:asciiTheme="majorHAnsi" w:hAnsiTheme="majorHAnsi" w:cstheme="majorBidi"/>
      <w:sz w:val="20"/>
      <w:szCs w:val="20"/>
    </w:rPr>
  </w:style>
  <w:style w:type="paragraph" w:styleId="8">
    <w:name w:val="Document Map"/>
    <w:basedOn w:val="1"/>
    <w:link w:val="89"/>
    <w:qFormat/>
    <w:uiPriority w:val="0"/>
    <w:rPr>
      <w:rFonts w:ascii="宋体"/>
      <w:sz w:val="18"/>
      <w:szCs w:val="18"/>
    </w:rPr>
  </w:style>
  <w:style w:type="paragraph" w:styleId="9">
    <w:name w:val="annotation text"/>
    <w:basedOn w:val="1"/>
    <w:link w:val="29"/>
    <w:semiHidden/>
    <w:qFormat/>
    <w:uiPriority w:val="0"/>
    <w:pPr>
      <w:jc w:val="left"/>
    </w:pPr>
    <w:rPr>
      <w:kern w:val="0"/>
      <w:sz w:val="20"/>
    </w:rPr>
  </w:style>
  <w:style w:type="paragraph" w:styleId="10">
    <w:name w:val="Body Text"/>
    <w:basedOn w:val="1"/>
    <w:link w:val="30"/>
    <w:qFormat/>
    <w:uiPriority w:val="0"/>
    <w:pPr>
      <w:widowControl/>
      <w:snapToGrid w:val="0"/>
      <w:spacing w:before="60" w:after="160" w:line="259" w:lineRule="auto"/>
      <w:ind w:right="113"/>
    </w:pPr>
    <w:rPr>
      <w:kern w:val="0"/>
      <w:sz w:val="18"/>
      <w:szCs w:val="18"/>
    </w:rPr>
  </w:style>
  <w:style w:type="paragraph" w:styleId="11">
    <w:name w:val="Body Text Indent"/>
    <w:basedOn w:val="1"/>
    <w:link w:val="31"/>
    <w:semiHidden/>
    <w:qFormat/>
    <w:uiPriority w:val="0"/>
    <w:pPr>
      <w:spacing w:after="120"/>
      <w:ind w:left="420" w:leftChars="200"/>
    </w:pPr>
  </w:style>
  <w:style w:type="paragraph" w:styleId="12">
    <w:name w:val="Date"/>
    <w:basedOn w:val="1"/>
    <w:next w:val="1"/>
    <w:link w:val="32"/>
    <w:qFormat/>
    <w:uiPriority w:val="0"/>
    <w:pPr>
      <w:ind w:left="100" w:leftChars="2500"/>
    </w:pPr>
    <w:rPr>
      <w:kern w:val="0"/>
      <w:sz w:val="20"/>
    </w:rPr>
  </w:style>
  <w:style w:type="paragraph" w:styleId="13">
    <w:name w:val="Balloon Text"/>
    <w:basedOn w:val="1"/>
    <w:link w:val="33"/>
    <w:semiHidden/>
    <w:qFormat/>
    <w:uiPriority w:val="0"/>
    <w:rPr>
      <w:sz w:val="18"/>
      <w:szCs w:val="18"/>
    </w:rPr>
  </w:style>
  <w:style w:type="paragraph" w:styleId="14">
    <w:name w:val="footer"/>
    <w:basedOn w:val="1"/>
    <w:link w:val="34"/>
    <w:qFormat/>
    <w:uiPriority w:val="0"/>
    <w:pPr>
      <w:tabs>
        <w:tab w:val="center" w:pos="4153"/>
        <w:tab w:val="right" w:pos="8306"/>
      </w:tabs>
      <w:snapToGrid w:val="0"/>
      <w:jc w:val="left"/>
    </w:pPr>
    <w:rPr>
      <w:sz w:val="18"/>
      <w:szCs w:val="18"/>
    </w:rPr>
  </w:style>
  <w:style w:type="paragraph" w:styleId="15">
    <w:name w:val="header"/>
    <w:basedOn w:val="1"/>
    <w:link w:val="35"/>
    <w:qFormat/>
    <w:uiPriority w:val="0"/>
    <w:pPr>
      <w:pBdr>
        <w:bottom w:val="single" w:color="auto" w:sz="6" w:space="1"/>
      </w:pBdr>
      <w:tabs>
        <w:tab w:val="center" w:pos="4153"/>
        <w:tab w:val="right" w:pos="8306"/>
      </w:tabs>
      <w:snapToGrid w:val="0"/>
      <w:jc w:val="center"/>
    </w:pPr>
    <w:rPr>
      <w:sz w:val="18"/>
      <w:szCs w:val="18"/>
    </w:rPr>
  </w:style>
  <w:style w:type="paragraph" w:styleId="16">
    <w:name w:val="Body Text Indent 3"/>
    <w:basedOn w:val="1"/>
    <w:link w:val="90"/>
    <w:qFormat/>
    <w:uiPriority w:val="0"/>
    <w:pPr>
      <w:widowControl/>
      <w:snapToGrid w:val="0"/>
      <w:spacing w:after="120"/>
      <w:ind w:left="420" w:leftChars="200"/>
      <w:jc w:val="center"/>
    </w:pPr>
    <w:rPr>
      <w:rFonts w:ascii="宋体" w:hAnsi="宋体" w:cs="宋体"/>
      <w:color w:val="000000"/>
      <w:sz w:val="16"/>
      <w:szCs w:val="16"/>
      <w:shd w:val="pct10" w:color="auto" w:fill="FFFFFF"/>
    </w:rPr>
  </w:style>
  <w:style w:type="paragraph" w:styleId="17">
    <w:name w:val="Normal (Web)"/>
    <w:basedOn w:val="1"/>
    <w:link w:val="36"/>
    <w:qFormat/>
    <w:uiPriority w:val="0"/>
    <w:pPr>
      <w:widowControl/>
      <w:spacing w:before="100" w:beforeAutospacing="1" w:after="100" w:afterAutospacing="1"/>
      <w:jc w:val="left"/>
    </w:pPr>
    <w:rPr>
      <w:rFonts w:ascii="宋体" w:hAnsi="宋体"/>
      <w:kern w:val="0"/>
      <w:sz w:val="24"/>
    </w:rPr>
  </w:style>
  <w:style w:type="paragraph" w:styleId="18">
    <w:name w:val="Title"/>
    <w:basedOn w:val="4"/>
    <w:next w:val="4"/>
    <w:link w:val="59"/>
    <w:qFormat/>
    <w:locked/>
    <w:uiPriority w:val="0"/>
    <w:pPr>
      <w:spacing w:before="0" w:after="0" w:line="360" w:lineRule="auto"/>
      <w:jc w:val="left"/>
    </w:pPr>
    <w:rPr>
      <w:bCs w:val="0"/>
      <w:sz w:val="24"/>
    </w:rPr>
  </w:style>
  <w:style w:type="paragraph" w:styleId="19">
    <w:name w:val="annotation subject"/>
    <w:basedOn w:val="9"/>
    <w:next w:val="9"/>
    <w:link w:val="37"/>
    <w:semiHidden/>
    <w:qFormat/>
    <w:uiPriority w:val="0"/>
    <w:rPr>
      <w:b/>
      <w:bCs/>
    </w:rPr>
  </w:style>
  <w:style w:type="paragraph" w:styleId="20">
    <w:name w:val="Body Text First Indent"/>
    <w:basedOn w:val="10"/>
    <w:link w:val="84"/>
    <w:qFormat/>
    <w:uiPriority w:val="0"/>
    <w:pPr>
      <w:widowControl w:val="0"/>
      <w:snapToGrid/>
      <w:spacing w:before="0" w:after="120" w:line="240" w:lineRule="auto"/>
      <w:ind w:right="0" w:firstLine="420" w:firstLineChars="100"/>
    </w:pPr>
    <w:rPr>
      <w:kern w:val="2"/>
      <w:sz w:val="21"/>
      <w:szCs w:val="24"/>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4">
    <w:name w:val="page number"/>
    <w:basedOn w:val="23"/>
    <w:qFormat/>
    <w:uiPriority w:val="0"/>
  </w:style>
  <w:style w:type="character" w:styleId="25">
    <w:name w:val="annotation reference"/>
    <w:basedOn w:val="23"/>
    <w:semiHidden/>
    <w:qFormat/>
    <w:uiPriority w:val="0"/>
    <w:rPr>
      <w:sz w:val="21"/>
    </w:rPr>
  </w:style>
  <w:style w:type="character" w:customStyle="1" w:styleId="26">
    <w:name w:val="标题 2 Char"/>
    <w:basedOn w:val="23"/>
    <w:link w:val="3"/>
    <w:semiHidden/>
    <w:qFormat/>
    <w:uiPriority w:val="0"/>
    <w:rPr>
      <w:rFonts w:asciiTheme="majorHAnsi" w:hAnsiTheme="majorHAnsi" w:eastAsiaTheme="majorEastAsia" w:cstheme="majorBidi"/>
      <w:b/>
      <w:bCs/>
      <w:kern w:val="2"/>
      <w:sz w:val="32"/>
      <w:szCs w:val="32"/>
    </w:rPr>
  </w:style>
  <w:style w:type="character" w:customStyle="1" w:styleId="27">
    <w:name w:val="标题 3 Char"/>
    <w:basedOn w:val="23"/>
    <w:link w:val="4"/>
    <w:semiHidden/>
    <w:qFormat/>
    <w:uiPriority w:val="0"/>
    <w:rPr>
      <w:b/>
      <w:bCs/>
      <w:kern w:val="2"/>
      <w:sz w:val="32"/>
      <w:szCs w:val="32"/>
    </w:rPr>
  </w:style>
  <w:style w:type="character" w:customStyle="1" w:styleId="28">
    <w:name w:val="标题 9 Char1"/>
    <w:basedOn w:val="23"/>
    <w:link w:val="5"/>
    <w:semiHidden/>
    <w:qFormat/>
    <w:uiPriority w:val="0"/>
    <w:rPr>
      <w:rFonts w:asciiTheme="majorHAnsi" w:hAnsiTheme="majorHAnsi" w:eastAsiaTheme="majorEastAsia" w:cstheme="majorBidi"/>
      <w:kern w:val="2"/>
      <w:sz w:val="21"/>
      <w:szCs w:val="21"/>
    </w:rPr>
  </w:style>
  <w:style w:type="character" w:customStyle="1" w:styleId="29">
    <w:name w:val="批注文字 Char"/>
    <w:link w:val="9"/>
    <w:qFormat/>
    <w:locked/>
    <w:uiPriority w:val="0"/>
    <w:rPr>
      <w:rFonts w:ascii="Times New Roman" w:hAnsi="Times New Roman" w:eastAsia="宋体"/>
      <w:sz w:val="24"/>
    </w:rPr>
  </w:style>
  <w:style w:type="character" w:customStyle="1" w:styleId="30">
    <w:name w:val="正文文本 Char"/>
    <w:link w:val="10"/>
    <w:qFormat/>
    <w:locked/>
    <w:uiPriority w:val="0"/>
    <w:rPr>
      <w:sz w:val="18"/>
    </w:rPr>
  </w:style>
  <w:style w:type="character" w:customStyle="1" w:styleId="31">
    <w:name w:val="正文文本缩进 Char"/>
    <w:basedOn w:val="23"/>
    <w:link w:val="11"/>
    <w:qFormat/>
    <w:locked/>
    <w:uiPriority w:val="0"/>
    <w:rPr>
      <w:rFonts w:ascii="Times New Roman" w:hAnsi="Times New Roman" w:eastAsia="宋体" w:cs="Times New Roman"/>
      <w:sz w:val="24"/>
      <w:szCs w:val="24"/>
    </w:rPr>
  </w:style>
  <w:style w:type="character" w:customStyle="1" w:styleId="32">
    <w:name w:val="日期 Char"/>
    <w:link w:val="12"/>
    <w:qFormat/>
    <w:locked/>
    <w:uiPriority w:val="0"/>
    <w:rPr>
      <w:rFonts w:ascii="Times New Roman" w:hAnsi="Times New Roman" w:eastAsia="宋体"/>
      <w:sz w:val="24"/>
    </w:rPr>
  </w:style>
  <w:style w:type="character" w:customStyle="1" w:styleId="33">
    <w:name w:val="批注框文本 Char"/>
    <w:basedOn w:val="23"/>
    <w:link w:val="13"/>
    <w:semiHidden/>
    <w:qFormat/>
    <w:locked/>
    <w:uiPriority w:val="0"/>
    <w:rPr>
      <w:rFonts w:ascii="Times New Roman" w:hAnsi="Times New Roman" w:eastAsia="宋体" w:cs="Times New Roman"/>
      <w:sz w:val="18"/>
      <w:szCs w:val="18"/>
    </w:rPr>
  </w:style>
  <w:style w:type="character" w:customStyle="1" w:styleId="34">
    <w:name w:val="页脚 Char"/>
    <w:basedOn w:val="23"/>
    <w:link w:val="14"/>
    <w:qFormat/>
    <w:locked/>
    <w:uiPriority w:val="0"/>
    <w:rPr>
      <w:rFonts w:cs="Times New Roman"/>
      <w:sz w:val="18"/>
      <w:szCs w:val="18"/>
    </w:rPr>
  </w:style>
  <w:style w:type="character" w:customStyle="1" w:styleId="35">
    <w:name w:val="页眉 Char"/>
    <w:basedOn w:val="23"/>
    <w:link w:val="15"/>
    <w:qFormat/>
    <w:locked/>
    <w:uiPriority w:val="0"/>
    <w:rPr>
      <w:rFonts w:cs="Times New Roman"/>
      <w:sz w:val="18"/>
      <w:szCs w:val="18"/>
    </w:rPr>
  </w:style>
  <w:style w:type="character" w:customStyle="1" w:styleId="36">
    <w:name w:val="普通(网站) Char1"/>
    <w:link w:val="17"/>
    <w:qFormat/>
    <w:locked/>
    <w:uiPriority w:val="0"/>
    <w:rPr>
      <w:rFonts w:ascii="宋体" w:hAnsi="宋体" w:eastAsia="宋体"/>
      <w:sz w:val="24"/>
    </w:rPr>
  </w:style>
  <w:style w:type="character" w:customStyle="1" w:styleId="37">
    <w:name w:val="批注主题 Char"/>
    <w:basedOn w:val="29"/>
    <w:link w:val="19"/>
    <w:semiHidden/>
    <w:qFormat/>
    <w:locked/>
    <w:uiPriority w:val="0"/>
    <w:rPr>
      <w:rFonts w:ascii="Times New Roman" w:hAnsi="Times New Roman" w:eastAsia="宋体" w:cs="Times New Roman"/>
      <w:b/>
      <w:bCs/>
      <w:kern w:val="2"/>
      <w:sz w:val="24"/>
      <w:szCs w:val="24"/>
    </w:rPr>
  </w:style>
  <w:style w:type="character" w:customStyle="1" w:styleId="38">
    <w:name w:val="表格 Char"/>
    <w:link w:val="39"/>
    <w:qFormat/>
    <w:locked/>
    <w:uiPriority w:val="0"/>
    <w:rPr>
      <w:rFonts w:ascii="宋体"/>
      <w:sz w:val="21"/>
    </w:rPr>
  </w:style>
  <w:style w:type="paragraph" w:customStyle="1" w:styleId="39">
    <w:name w:val="表格"/>
    <w:basedOn w:val="1"/>
    <w:next w:val="1"/>
    <w:link w:val="38"/>
    <w:qFormat/>
    <w:uiPriority w:val="0"/>
    <w:pPr>
      <w:adjustRightInd w:val="0"/>
      <w:snapToGrid w:val="0"/>
      <w:spacing w:beforeLines="10" w:afterLines="10" w:line="259" w:lineRule="auto"/>
      <w:jc w:val="center"/>
    </w:pPr>
    <w:rPr>
      <w:rFonts w:ascii="宋体"/>
      <w:kern w:val="0"/>
      <w:sz w:val="20"/>
      <w:szCs w:val="21"/>
    </w:rPr>
  </w:style>
  <w:style w:type="character" w:customStyle="1" w:styleId="40">
    <w:name w:val="批注文字 字符1"/>
    <w:basedOn w:val="23"/>
    <w:semiHidden/>
    <w:qFormat/>
    <w:uiPriority w:val="0"/>
    <w:rPr>
      <w:rFonts w:ascii="Times New Roman" w:hAnsi="Times New Roman" w:eastAsia="宋体" w:cs="Times New Roman"/>
      <w:sz w:val="24"/>
      <w:szCs w:val="24"/>
    </w:rPr>
  </w:style>
  <w:style w:type="character" w:customStyle="1" w:styleId="41">
    <w:name w:val="日期 字符"/>
    <w:basedOn w:val="23"/>
    <w:semiHidden/>
    <w:qFormat/>
    <w:uiPriority w:val="0"/>
    <w:rPr>
      <w:rFonts w:ascii="Times New Roman" w:hAnsi="Times New Roman" w:eastAsia="宋体" w:cs="Times New Roman"/>
      <w:sz w:val="24"/>
      <w:szCs w:val="24"/>
    </w:rPr>
  </w:style>
  <w:style w:type="character" w:customStyle="1" w:styleId="42">
    <w:name w:val="正文文本 字符1"/>
    <w:basedOn w:val="23"/>
    <w:semiHidden/>
    <w:qFormat/>
    <w:uiPriority w:val="0"/>
    <w:rPr>
      <w:rFonts w:ascii="Times New Roman" w:hAnsi="Times New Roman" w:eastAsia="宋体" w:cs="Times New Roman"/>
      <w:sz w:val="24"/>
      <w:szCs w:val="24"/>
    </w:rPr>
  </w:style>
  <w:style w:type="character" w:customStyle="1" w:styleId="43">
    <w:name w:val="普通(网站) Char"/>
    <w:qFormat/>
    <w:locked/>
    <w:uiPriority w:val="0"/>
    <w:rPr>
      <w:rFonts w:ascii="宋体" w:hAnsi="宋体" w:eastAsia="宋体"/>
      <w:sz w:val="24"/>
    </w:rPr>
  </w:style>
  <w:style w:type="paragraph" w:customStyle="1" w:styleId="4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5">
    <w:name w:val="aaa正文h"/>
    <w:basedOn w:val="1"/>
    <w:qFormat/>
    <w:uiPriority w:val="0"/>
    <w:pPr>
      <w:autoSpaceDE w:val="0"/>
      <w:autoSpaceDN w:val="0"/>
      <w:adjustRightInd w:val="0"/>
      <w:snapToGrid w:val="0"/>
      <w:spacing w:line="360" w:lineRule="auto"/>
      <w:ind w:firstLine="200" w:firstLineChars="200"/>
    </w:pPr>
    <w:rPr>
      <w:sz w:val="24"/>
    </w:rPr>
  </w:style>
  <w:style w:type="paragraph" w:customStyle="1" w:styleId="46">
    <w:name w:val="indal表头"/>
    <w:basedOn w:val="7"/>
    <w:next w:val="1"/>
    <w:link w:val="47"/>
    <w:qFormat/>
    <w:uiPriority w:val="0"/>
    <w:pPr>
      <w:keepNext/>
      <w:snapToGrid w:val="0"/>
      <w:spacing w:beforeLines="50" w:line="300" w:lineRule="auto"/>
      <w:ind w:firstLine="200" w:firstLineChars="200"/>
      <w:jc w:val="center"/>
    </w:pPr>
    <w:rPr>
      <w:rFonts w:ascii="Times New Roman" w:hAnsi="Times New Roman" w:cs="Times New Roman"/>
      <w:bCs/>
      <w:sz w:val="21"/>
      <w:szCs w:val="24"/>
    </w:rPr>
  </w:style>
  <w:style w:type="character" w:customStyle="1" w:styleId="47">
    <w:name w:val="indal表头 Char"/>
    <w:link w:val="46"/>
    <w:qFormat/>
    <w:uiPriority w:val="0"/>
    <w:rPr>
      <w:rFonts w:eastAsia="黑体"/>
      <w:bCs/>
      <w:kern w:val="2"/>
      <w:sz w:val="21"/>
      <w:szCs w:val="24"/>
    </w:rPr>
  </w:style>
  <w:style w:type="character" w:customStyle="1" w:styleId="48">
    <w:name w:val="正文1 Char"/>
    <w:link w:val="49"/>
    <w:qFormat/>
    <w:uiPriority w:val="0"/>
    <w:rPr>
      <w:sz w:val="24"/>
      <w:szCs w:val="24"/>
    </w:rPr>
  </w:style>
  <w:style w:type="paragraph" w:customStyle="1" w:styleId="49">
    <w:name w:val="正文1"/>
    <w:basedOn w:val="1"/>
    <w:link w:val="48"/>
    <w:qFormat/>
    <w:uiPriority w:val="0"/>
    <w:pPr>
      <w:spacing w:beforeLines="50" w:line="480" w:lineRule="exact"/>
      <w:ind w:firstLine="200" w:firstLineChars="200"/>
    </w:pPr>
    <w:rPr>
      <w:kern w:val="0"/>
      <w:sz w:val="24"/>
    </w:rPr>
  </w:style>
  <w:style w:type="paragraph" w:customStyle="1" w:styleId="50">
    <w:name w:val="陈正文"/>
    <w:basedOn w:val="1"/>
    <w:link w:val="51"/>
    <w:qFormat/>
    <w:uiPriority w:val="0"/>
    <w:pPr>
      <w:snapToGrid w:val="0"/>
      <w:spacing w:beforeLines="50" w:line="360" w:lineRule="auto"/>
      <w:ind w:firstLine="200" w:firstLineChars="200"/>
    </w:pPr>
    <w:rPr>
      <w:rFonts w:ascii="宋体" w:hAnsi="宋体"/>
      <w:sz w:val="24"/>
    </w:rPr>
  </w:style>
  <w:style w:type="character" w:customStyle="1" w:styleId="51">
    <w:name w:val="陈正文 Char"/>
    <w:link w:val="50"/>
    <w:qFormat/>
    <w:uiPriority w:val="0"/>
    <w:rPr>
      <w:rFonts w:ascii="宋体" w:hAnsi="宋体"/>
      <w:kern w:val="2"/>
      <w:sz w:val="24"/>
      <w:szCs w:val="24"/>
    </w:rPr>
  </w:style>
  <w:style w:type="paragraph" w:customStyle="1" w:styleId="52">
    <w:name w:val="表题"/>
    <w:basedOn w:val="1"/>
    <w:qFormat/>
    <w:uiPriority w:val="0"/>
    <w:pPr>
      <w:spacing w:beforeLines="50" w:line="360" w:lineRule="auto"/>
      <w:ind w:firstLine="200" w:firstLineChars="200"/>
    </w:pPr>
    <w:rPr>
      <w:b/>
      <w:sz w:val="24"/>
    </w:rPr>
  </w:style>
  <w:style w:type="paragraph" w:customStyle="1" w:styleId="53">
    <w:name w:val="aaa表格文字h"/>
    <w:basedOn w:val="1"/>
    <w:qFormat/>
    <w:uiPriority w:val="0"/>
    <w:pPr>
      <w:widowControl/>
      <w:snapToGrid w:val="0"/>
      <w:jc w:val="center"/>
    </w:pPr>
    <w:rPr>
      <w:kern w:val="0"/>
      <w:szCs w:val="21"/>
      <w:lang w:eastAsia="en-US" w:bidi="en-US"/>
    </w:rPr>
  </w:style>
  <w:style w:type="paragraph" w:customStyle="1" w:styleId="54">
    <w:name w:val="浑源正文"/>
    <w:basedOn w:val="1"/>
    <w:link w:val="55"/>
    <w:qFormat/>
    <w:uiPriority w:val="0"/>
    <w:pPr>
      <w:adjustRightInd w:val="0"/>
      <w:snapToGrid w:val="0"/>
      <w:spacing w:line="440" w:lineRule="exact"/>
      <w:ind w:firstLine="200" w:firstLineChars="200"/>
    </w:pPr>
    <w:rPr>
      <w:sz w:val="24"/>
      <w:szCs w:val="20"/>
    </w:rPr>
  </w:style>
  <w:style w:type="character" w:customStyle="1" w:styleId="55">
    <w:name w:val="浑源正文 字符"/>
    <w:link w:val="54"/>
    <w:qFormat/>
    <w:locked/>
    <w:uiPriority w:val="0"/>
    <w:rPr>
      <w:kern w:val="2"/>
      <w:sz w:val="24"/>
    </w:rPr>
  </w:style>
  <w:style w:type="paragraph" w:customStyle="1" w:styleId="56">
    <w:name w:val="aaa表标"/>
    <w:basedOn w:val="1"/>
    <w:next w:val="1"/>
    <w:qFormat/>
    <w:uiPriority w:val="0"/>
    <w:pPr>
      <w:widowControl/>
      <w:adjustRightInd w:val="0"/>
      <w:snapToGrid w:val="0"/>
      <w:jc w:val="left"/>
    </w:pPr>
    <w:rPr>
      <w:rFonts w:ascii="宋体" w:hAnsi="宋体" w:cs="宋体"/>
      <w:kern w:val="0"/>
      <w:sz w:val="24"/>
      <w:szCs w:val="22"/>
    </w:rPr>
  </w:style>
  <w:style w:type="paragraph" w:styleId="57">
    <w:name w:val="List Paragraph"/>
    <w:basedOn w:val="1"/>
    <w:link w:val="58"/>
    <w:qFormat/>
    <w:uiPriority w:val="0"/>
    <w:pPr>
      <w:ind w:firstLine="420" w:firstLineChars="200"/>
    </w:pPr>
  </w:style>
  <w:style w:type="character" w:customStyle="1" w:styleId="58">
    <w:name w:val="列出段落 Char"/>
    <w:link w:val="57"/>
    <w:qFormat/>
    <w:uiPriority w:val="0"/>
    <w:rPr>
      <w:kern w:val="2"/>
      <w:sz w:val="21"/>
      <w:szCs w:val="24"/>
    </w:rPr>
  </w:style>
  <w:style w:type="character" w:customStyle="1" w:styleId="59">
    <w:name w:val="标题 Char"/>
    <w:basedOn w:val="23"/>
    <w:link w:val="18"/>
    <w:qFormat/>
    <w:uiPriority w:val="0"/>
    <w:rPr>
      <w:b/>
      <w:kern w:val="2"/>
      <w:sz w:val="24"/>
      <w:szCs w:val="32"/>
    </w:rPr>
  </w:style>
  <w:style w:type="paragraph" w:customStyle="1" w:styleId="60">
    <w:name w:val="1  正  文"/>
    <w:link w:val="61"/>
    <w:qFormat/>
    <w:uiPriority w:val="0"/>
    <w:pPr>
      <w:widowControl w:val="0"/>
      <w:spacing w:line="360" w:lineRule="auto"/>
      <w:ind w:firstLine="200" w:firstLineChars="200"/>
    </w:pPr>
    <w:rPr>
      <w:rFonts w:ascii="Times New Roman" w:hAnsi="Times New Roman" w:eastAsia="宋体" w:cs="Times New Roman"/>
      <w:color w:val="000000"/>
      <w:sz w:val="24"/>
      <w:szCs w:val="24"/>
      <w:lang w:val="en-US" w:eastAsia="zh-CN" w:bidi="ar-SA"/>
    </w:rPr>
  </w:style>
  <w:style w:type="character" w:customStyle="1" w:styleId="61">
    <w:name w:val="1  正  文 Char"/>
    <w:link w:val="60"/>
    <w:qFormat/>
    <w:uiPriority w:val="0"/>
    <w:rPr>
      <w:color w:val="000000"/>
      <w:sz w:val="24"/>
      <w:szCs w:val="24"/>
    </w:rPr>
  </w:style>
  <w:style w:type="character" w:customStyle="1" w:styleId="62">
    <w:name w:val="标题 9 Char"/>
    <w:qFormat/>
    <w:uiPriority w:val="0"/>
    <w:rPr>
      <w:rFonts w:ascii="Arial" w:hAnsi="Arial" w:eastAsia="黑体" w:cs="Times New Roman"/>
      <w:kern w:val="0"/>
      <w:sz w:val="20"/>
      <w:szCs w:val="20"/>
    </w:rPr>
  </w:style>
  <w:style w:type="paragraph" w:customStyle="1" w:styleId="63">
    <w:name w:val="正文h"/>
    <w:basedOn w:val="1"/>
    <w:link w:val="64"/>
    <w:qFormat/>
    <w:uiPriority w:val="0"/>
    <w:pPr>
      <w:widowControl/>
      <w:snapToGrid w:val="0"/>
      <w:spacing w:line="360" w:lineRule="auto"/>
      <w:ind w:firstLine="200" w:firstLineChars="200"/>
      <w:jc w:val="left"/>
    </w:pPr>
    <w:rPr>
      <w:rFonts w:ascii="宋体" w:hAnsi="宋体" w:cs="宋体"/>
      <w:kern w:val="0"/>
      <w:sz w:val="24"/>
      <w:lang w:val="zh-CN" w:eastAsia="zh-CN"/>
    </w:rPr>
  </w:style>
  <w:style w:type="character" w:customStyle="1" w:styleId="64">
    <w:name w:val="正文h Char"/>
    <w:link w:val="63"/>
    <w:qFormat/>
    <w:uiPriority w:val="0"/>
    <w:rPr>
      <w:rFonts w:ascii="宋体" w:hAnsi="宋体" w:cs="宋体"/>
      <w:sz w:val="24"/>
      <w:szCs w:val="24"/>
      <w:lang w:val="zh-CN" w:eastAsia="zh-CN"/>
    </w:rPr>
  </w:style>
  <w:style w:type="paragraph" w:customStyle="1" w:styleId="65">
    <w:name w:val="标题3h"/>
    <w:link w:val="66"/>
    <w:qFormat/>
    <w:uiPriority w:val="0"/>
    <w:pPr>
      <w:adjustRightInd w:val="0"/>
      <w:snapToGrid w:val="0"/>
      <w:spacing w:line="360" w:lineRule="auto"/>
      <w:outlineLvl w:val="2"/>
    </w:pPr>
    <w:rPr>
      <w:rFonts w:ascii="Times New Roman" w:hAnsi="Times New Roman" w:eastAsia="黑体" w:cs="Times New Roman"/>
      <w:bCs/>
      <w:color w:val="000000"/>
      <w:kern w:val="2"/>
      <w:sz w:val="28"/>
      <w:szCs w:val="28"/>
      <w:lang w:val="en-US" w:eastAsia="zh-CN" w:bidi="ar-SA"/>
    </w:rPr>
  </w:style>
  <w:style w:type="character" w:customStyle="1" w:styleId="66">
    <w:name w:val="标题3h Char"/>
    <w:link w:val="65"/>
    <w:qFormat/>
    <w:uiPriority w:val="0"/>
    <w:rPr>
      <w:rFonts w:eastAsia="黑体"/>
      <w:bCs/>
      <w:color w:val="000000"/>
      <w:kern w:val="2"/>
      <w:sz w:val="28"/>
      <w:szCs w:val="28"/>
    </w:rPr>
  </w:style>
  <w:style w:type="paragraph" w:customStyle="1" w:styleId="67">
    <w:name w:val="表标题h"/>
    <w:next w:val="1"/>
    <w:link w:val="68"/>
    <w:qFormat/>
    <w:uiPriority w:val="0"/>
    <w:pPr>
      <w:snapToGrid w:val="0"/>
      <w:spacing w:line="360" w:lineRule="auto"/>
      <w:jc w:val="center"/>
    </w:pPr>
    <w:rPr>
      <w:rFonts w:ascii="Times New Roman" w:hAnsi="Times New Roman" w:eastAsia="黑体" w:cs="Times New Roman"/>
      <w:kern w:val="2"/>
      <w:sz w:val="24"/>
      <w:szCs w:val="24"/>
      <w:lang w:val="en-US" w:eastAsia="zh-CN" w:bidi="ar-SA"/>
    </w:rPr>
  </w:style>
  <w:style w:type="character" w:customStyle="1" w:styleId="68">
    <w:name w:val="表标题h Char"/>
    <w:link w:val="67"/>
    <w:qFormat/>
    <w:uiPriority w:val="0"/>
    <w:rPr>
      <w:rFonts w:eastAsia="黑体"/>
      <w:kern w:val="2"/>
      <w:sz w:val="24"/>
      <w:szCs w:val="24"/>
    </w:rPr>
  </w:style>
  <w:style w:type="character" w:customStyle="1" w:styleId="69">
    <w:name w:val="正文缩进 Char2"/>
    <w:link w:val="6"/>
    <w:qFormat/>
    <w:uiPriority w:val="0"/>
    <w:rPr>
      <w:rFonts w:ascii="宋体" w:hAnsi="宋体" w:cs="宋体"/>
      <w:sz w:val="24"/>
      <w:szCs w:val="24"/>
      <w:lang w:val="zh-CN" w:eastAsia="zh-CN"/>
    </w:rPr>
  </w:style>
  <w:style w:type="paragraph" w:customStyle="1" w:styleId="70">
    <w:name w:val="报告正文"/>
    <w:basedOn w:val="1"/>
    <w:qFormat/>
    <w:uiPriority w:val="0"/>
    <w:pPr>
      <w:widowControl/>
      <w:spacing w:line="400" w:lineRule="exact"/>
      <w:ind w:firstLine="482"/>
      <w:jc w:val="left"/>
    </w:pPr>
    <w:rPr>
      <w:rFonts w:ascii="宋体" w:hAnsi="宋体" w:cs="宋体"/>
      <w:kern w:val="0"/>
      <w:sz w:val="24"/>
      <w:szCs w:val="20"/>
    </w:rPr>
  </w:style>
  <w:style w:type="character" w:customStyle="1" w:styleId="71">
    <w:name w:val="水利部-正文 字符"/>
    <w:basedOn w:val="23"/>
    <w:qFormat/>
    <w:uiPriority w:val="0"/>
    <w:rPr>
      <w:rFonts w:ascii="Times New Roman" w:hAnsi="Times New Roman" w:eastAsia="仿宋" w:cs="Times New Roman"/>
      <w:sz w:val="32"/>
      <w:szCs w:val="28"/>
    </w:rPr>
  </w:style>
  <w:style w:type="paragraph" w:customStyle="1" w:styleId="72">
    <w:name w:val="正文-1"/>
    <w:basedOn w:val="1"/>
    <w:link w:val="73"/>
    <w:qFormat/>
    <w:uiPriority w:val="0"/>
    <w:pPr>
      <w:autoSpaceDE w:val="0"/>
      <w:autoSpaceDN w:val="0"/>
      <w:adjustRightInd w:val="0"/>
      <w:snapToGrid w:val="0"/>
      <w:spacing w:line="360" w:lineRule="auto"/>
      <w:ind w:firstLine="480" w:firstLineChars="200"/>
    </w:pPr>
    <w:rPr>
      <w:sz w:val="24"/>
    </w:rPr>
  </w:style>
  <w:style w:type="character" w:customStyle="1" w:styleId="73">
    <w:name w:val="正文-1 Char"/>
    <w:link w:val="72"/>
    <w:qFormat/>
    <w:uiPriority w:val="0"/>
    <w:rPr>
      <w:kern w:val="2"/>
      <w:sz w:val="24"/>
      <w:szCs w:val="24"/>
    </w:rPr>
  </w:style>
  <w:style w:type="paragraph" w:customStyle="1" w:styleId="74">
    <w:name w:val="表标"/>
    <w:basedOn w:val="1"/>
    <w:next w:val="1"/>
    <w:link w:val="75"/>
    <w:qFormat/>
    <w:uiPriority w:val="0"/>
    <w:pPr>
      <w:adjustRightInd w:val="0"/>
      <w:snapToGrid w:val="0"/>
      <w:jc w:val="left"/>
    </w:pPr>
    <w:rPr>
      <w:kern w:val="0"/>
      <w:sz w:val="24"/>
      <w:szCs w:val="22"/>
    </w:rPr>
  </w:style>
  <w:style w:type="character" w:customStyle="1" w:styleId="75">
    <w:name w:val="表标 Char"/>
    <w:link w:val="74"/>
    <w:qFormat/>
    <w:uiPriority w:val="0"/>
    <w:rPr>
      <w:sz w:val="24"/>
      <w:szCs w:val="22"/>
    </w:rPr>
  </w:style>
  <w:style w:type="character" w:customStyle="1" w:styleId="76">
    <w:name w:val="font11"/>
    <w:qFormat/>
    <w:uiPriority w:val="0"/>
    <w:rPr>
      <w:rFonts w:hint="default" w:ascii="Times New Roman" w:hAnsi="Times New Roman" w:cs="Times New Roman"/>
      <w:color w:val="000000"/>
      <w:sz w:val="22"/>
      <w:szCs w:val="22"/>
      <w:u w:val="none"/>
    </w:rPr>
  </w:style>
  <w:style w:type="character" w:customStyle="1" w:styleId="77">
    <w:name w:val="font41"/>
    <w:qFormat/>
    <w:uiPriority w:val="0"/>
    <w:rPr>
      <w:rFonts w:hint="default" w:ascii="Times New Roman" w:hAnsi="Times New Roman" w:cs="Times New Roman"/>
      <w:color w:val="000000"/>
      <w:sz w:val="21"/>
      <w:szCs w:val="21"/>
      <w:u w:val="none"/>
      <w:vertAlign w:val="superscript"/>
    </w:rPr>
  </w:style>
  <w:style w:type="character" w:customStyle="1" w:styleId="78">
    <w:name w:val="font61"/>
    <w:qFormat/>
    <w:uiPriority w:val="0"/>
    <w:rPr>
      <w:rFonts w:hint="default" w:ascii="Times New Roman" w:hAnsi="Times New Roman" w:cs="Times New Roman"/>
      <w:color w:val="000000"/>
      <w:sz w:val="21"/>
      <w:szCs w:val="21"/>
      <w:u w:val="none"/>
    </w:rPr>
  </w:style>
  <w:style w:type="character" w:customStyle="1" w:styleId="79">
    <w:name w:val="font21"/>
    <w:qFormat/>
    <w:uiPriority w:val="0"/>
    <w:rPr>
      <w:rFonts w:hint="default" w:ascii="Times New Roman" w:hAnsi="Times New Roman" w:cs="Times New Roman"/>
      <w:color w:val="000000"/>
      <w:sz w:val="22"/>
      <w:szCs w:val="22"/>
      <w:u w:val="none"/>
    </w:rPr>
  </w:style>
  <w:style w:type="character" w:customStyle="1" w:styleId="80">
    <w:name w:val="样式 四号"/>
    <w:qFormat/>
    <w:uiPriority w:val="0"/>
    <w:rPr>
      <w:rFonts w:ascii="Times New Roman" w:hAnsi="Times New Roman" w:eastAsia="宋体"/>
      <w:sz w:val="24"/>
      <w:szCs w:val="24"/>
    </w:rPr>
  </w:style>
  <w:style w:type="character" w:customStyle="1" w:styleId="81">
    <w:name w:val="11111 Char"/>
    <w:link w:val="82"/>
    <w:qFormat/>
    <w:uiPriority w:val="0"/>
    <w:rPr>
      <w:rFonts w:ascii="宋体" w:hAnsi="宋体" w:eastAsiaTheme="minorEastAsia" w:cstheme="minorBidi"/>
      <w:kern w:val="2"/>
      <w:sz w:val="24"/>
      <w:szCs w:val="24"/>
    </w:rPr>
  </w:style>
  <w:style w:type="paragraph" w:customStyle="1" w:styleId="82">
    <w:name w:val="11111"/>
    <w:link w:val="81"/>
    <w:qFormat/>
    <w:uiPriority w:val="0"/>
    <w:pPr>
      <w:snapToGrid w:val="0"/>
      <w:spacing w:line="500" w:lineRule="exact"/>
    </w:pPr>
    <w:rPr>
      <w:rFonts w:ascii="宋体" w:hAnsi="宋体" w:eastAsiaTheme="minorEastAsia" w:cstheme="minorBidi"/>
      <w:kern w:val="2"/>
      <w:sz w:val="24"/>
      <w:szCs w:val="24"/>
      <w:lang w:val="en-US" w:eastAsia="zh-CN" w:bidi="ar-SA"/>
    </w:rPr>
  </w:style>
  <w:style w:type="paragraph" w:customStyle="1" w:styleId="83">
    <w:name w:val="样式 正文首行缩进 + 首行缩进:  2 字符1"/>
    <w:basedOn w:val="20"/>
    <w:qFormat/>
    <w:uiPriority w:val="0"/>
    <w:pPr>
      <w:topLinePunct/>
      <w:spacing w:after="0" w:line="336" w:lineRule="auto"/>
      <w:ind w:firstLine="200" w:firstLineChars="200"/>
    </w:pPr>
    <w:rPr>
      <w:rFonts w:ascii="宋体" w:cs="宋体"/>
      <w:sz w:val="24"/>
      <w:szCs w:val="20"/>
    </w:rPr>
  </w:style>
  <w:style w:type="character" w:customStyle="1" w:styleId="84">
    <w:name w:val="正文首行缩进 Char"/>
    <w:basedOn w:val="30"/>
    <w:link w:val="20"/>
    <w:qFormat/>
    <w:uiPriority w:val="0"/>
    <w:rPr>
      <w:kern w:val="2"/>
      <w:sz w:val="21"/>
      <w:szCs w:val="24"/>
    </w:rPr>
  </w:style>
  <w:style w:type="character" w:customStyle="1" w:styleId="85">
    <w:name w:val="样式 标题 2 + Times New Roman 非加粗 Char"/>
    <w:link w:val="86"/>
    <w:qFormat/>
    <w:uiPriority w:val="0"/>
    <w:rPr>
      <w:rFonts w:ascii="Arial" w:hAnsi="Arial" w:eastAsia="黑体"/>
      <w:bCs/>
      <w:kern w:val="2"/>
      <w:sz w:val="32"/>
      <w:szCs w:val="32"/>
    </w:rPr>
  </w:style>
  <w:style w:type="paragraph" w:customStyle="1" w:styleId="86">
    <w:name w:val="样式 标题 2 + Times New Roman 非加粗"/>
    <w:basedOn w:val="3"/>
    <w:link w:val="85"/>
    <w:qFormat/>
    <w:uiPriority w:val="0"/>
    <w:pPr>
      <w:snapToGrid w:val="0"/>
      <w:spacing w:before="0" w:after="0" w:line="360" w:lineRule="auto"/>
      <w:jc w:val="left"/>
    </w:pPr>
    <w:rPr>
      <w:rFonts w:ascii="Arial" w:hAnsi="Arial" w:eastAsia="黑体" w:cs="Times New Roman"/>
      <w:b w:val="0"/>
    </w:rPr>
  </w:style>
  <w:style w:type="paragraph" w:customStyle="1" w:styleId="87">
    <w:name w:val="正文文本缩进1"/>
    <w:basedOn w:val="1"/>
    <w:qFormat/>
    <w:uiPriority w:val="0"/>
    <w:pPr>
      <w:ind w:firstLine="720" w:firstLineChars="257"/>
    </w:pPr>
    <w:rPr>
      <w:rFonts w:ascii="宋体" w:hAnsi="宋体" w:cs="宋体"/>
      <w:color w:val="000000"/>
      <w:kern w:val="0"/>
      <w:sz w:val="18"/>
      <w:szCs w:val="18"/>
    </w:rPr>
  </w:style>
  <w:style w:type="paragraph" w:customStyle="1" w:styleId="88">
    <w:name w:val="aaa标题4h"/>
    <w:next w:val="1"/>
    <w:qFormat/>
    <w:uiPriority w:val="0"/>
    <w:pPr>
      <w:snapToGrid w:val="0"/>
      <w:spacing w:line="360" w:lineRule="auto"/>
      <w:ind w:firstLine="480" w:firstLineChars="200"/>
      <w:outlineLvl w:val="3"/>
    </w:pPr>
    <w:rPr>
      <w:rFonts w:ascii="Times New Roman" w:hAnsi="Times New Roman" w:eastAsia="宋体" w:cs="Times New Roman"/>
      <w:sz w:val="24"/>
      <w:szCs w:val="24"/>
      <w:lang w:val="en-US" w:eastAsia="zh-CN" w:bidi="ar-SA"/>
    </w:rPr>
  </w:style>
  <w:style w:type="character" w:customStyle="1" w:styleId="89">
    <w:name w:val="文档结构图 Char"/>
    <w:basedOn w:val="23"/>
    <w:link w:val="8"/>
    <w:qFormat/>
    <w:uiPriority w:val="0"/>
    <w:rPr>
      <w:rFonts w:ascii="宋体"/>
      <w:kern w:val="2"/>
      <w:sz w:val="18"/>
      <w:szCs w:val="18"/>
    </w:rPr>
  </w:style>
  <w:style w:type="character" w:customStyle="1" w:styleId="90">
    <w:name w:val="正文文本缩进 3 Char"/>
    <w:basedOn w:val="23"/>
    <w:link w:val="16"/>
    <w:qFormat/>
    <w:uiPriority w:val="0"/>
    <w:rPr>
      <w:rFonts w:ascii="宋体" w:hAnsi="宋体" w:cs="宋体"/>
      <w:color w:val="000000"/>
      <w:kern w:val="2"/>
      <w:sz w:val="16"/>
      <w:szCs w:val="16"/>
    </w:rPr>
  </w:style>
  <w:style w:type="paragraph" w:customStyle="1" w:styleId="91">
    <w:name w:val="Revision"/>
    <w:hidden/>
    <w:unhideWhenUsed/>
    <w:qFormat/>
    <w:uiPriority w:val="99"/>
    <w:rPr>
      <w:rFonts w:ascii="Times New Roman" w:hAnsi="Times New Roman" w:eastAsia="宋体" w:cs="Times New Roman"/>
      <w:kern w:val="2"/>
      <w:sz w:val="21"/>
      <w:szCs w:val="24"/>
      <w:lang w:val="en-US" w:eastAsia="zh-CN" w:bidi="ar-SA"/>
    </w:rPr>
  </w:style>
  <w:style w:type="table" w:customStyle="1" w:styleId="92">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Layout w:type="fixed"/>
      <w:tblCellMar>
        <w:top w:w="0" w:type="dxa"/>
        <w:left w:w="0" w:type="dxa"/>
        <w:bottom w:w="0" w:type="dxa"/>
        <w:right w:w="0" w:type="dxa"/>
      </w:tblCellMar>
    </w:tblPr>
  </w:style>
  <w:style w:type="paragraph" w:customStyle="1" w:styleId="93">
    <w:name w:val="Table Paragraph"/>
    <w:basedOn w:val="1"/>
    <w:qFormat/>
    <w:uiPriority w:val="1"/>
    <w:pPr>
      <w:autoSpaceDE w:val="0"/>
      <w:autoSpaceDN w:val="0"/>
      <w:jc w:val="center"/>
    </w:pPr>
    <w:rPr>
      <w:rFonts w:ascii="宋体" w:hAnsi="宋体" w:cs="宋体"/>
      <w:kern w:val="0"/>
      <w:sz w:val="22"/>
      <w:szCs w:val="22"/>
      <w:lang w:val="zh-CN" w:bidi="zh-CN"/>
    </w:rPr>
  </w:style>
  <w:style w:type="paragraph" w:customStyle="1" w:styleId="94">
    <w:name w:val="表值"/>
    <w:basedOn w:val="1"/>
    <w:qFormat/>
    <w:uiPriority w:val="0"/>
    <w:pPr>
      <w:spacing w:line="360" w:lineRule="auto"/>
      <w:ind w:firstLine="200" w:firstLineChars="200"/>
      <w:jc w:val="center"/>
    </w:pPr>
    <w:rPr>
      <w:rFonts w:ascii="宋体"/>
      <w:sz w:val="24"/>
      <w:szCs w:val="20"/>
    </w:rPr>
  </w:style>
  <w:style w:type="paragraph" w:customStyle="1" w:styleId="95">
    <w:name w:val="表"/>
    <w:basedOn w:val="1"/>
    <w:qFormat/>
    <w:uiPriority w:val="0"/>
    <w:pPr>
      <w:spacing w:beforeLines="20" w:afterLines="20" w:line="300" w:lineRule="auto"/>
      <w:jc w:val="center"/>
    </w:pPr>
    <w:rPr>
      <w:color w:val="000000"/>
      <w:sz w:val="24"/>
    </w:rPr>
  </w:style>
  <w:style w:type="paragraph" w:customStyle="1" w:styleId="96">
    <w:name w:val="表格标题"/>
    <w:basedOn w:val="1"/>
    <w:link w:val="97"/>
    <w:qFormat/>
    <w:uiPriority w:val="0"/>
    <w:pPr>
      <w:adjustRightInd w:val="0"/>
      <w:snapToGrid w:val="0"/>
      <w:spacing w:line="440" w:lineRule="exact"/>
      <w:ind w:firstLine="100" w:firstLineChars="100"/>
      <w:jc w:val="left"/>
    </w:pPr>
    <w:rPr>
      <w:rFonts w:ascii="黑体" w:hAnsi="宋体" w:eastAsia="黑体"/>
      <w:b/>
      <w:sz w:val="24"/>
    </w:rPr>
  </w:style>
  <w:style w:type="character" w:customStyle="1" w:styleId="97">
    <w:name w:val="表格标题 Char"/>
    <w:link w:val="96"/>
    <w:qFormat/>
    <w:uiPriority w:val="0"/>
    <w:rPr>
      <w:rFonts w:ascii="黑体" w:hAnsi="宋体" w:eastAsia="黑体"/>
      <w:b/>
      <w:kern w:val="2"/>
      <w:sz w:val="24"/>
      <w:szCs w:val="24"/>
    </w:rPr>
  </w:style>
  <w:style w:type="paragraph" w:customStyle="1" w:styleId="98">
    <w:name w:val="表1-1"/>
    <w:basedOn w:val="1"/>
    <w:qFormat/>
    <w:uiPriority w:val="0"/>
    <w:pPr>
      <w:autoSpaceDE w:val="0"/>
      <w:autoSpaceDN w:val="0"/>
      <w:adjustRightInd w:val="0"/>
      <w:snapToGrid w:val="0"/>
      <w:jc w:val="left"/>
    </w:pPr>
    <w:rPr>
      <w:kern w:val="0"/>
      <w:szCs w:val="28"/>
    </w:rPr>
  </w:style>
  <w:style w:type="paragraph" w:customStyle="1" w:styleId="99">
    <w:name w:val="表格内容"/>
    <w:basedOn w:val="1"/>
    <w:qFormat/>
    <w:uiPriority w:val="0"/>
    <w:pPr>
      <w:widowControl/>
      <w:adjustRightInd w:val="0"/>
      <w:snapToGrid w:val="0"/>
      <w:jc w:val="center"/>
    </w:pPr>
    <w:rPr>
      <w:rFonts w:cs="宋体"/>
      <w:bCs/>
      <w:kern w:val="0"/>
    </w:rPr>
  </w:style>
  <w:style w:type="paragraph" w:customStyle="1" w:styleId="100">
    <w:name w:val="Default"/>
    <w:qFormat/>
    <w:uiPriority w:val="0"/>
    <w:pPr>
      <w:widowControl w:val="0"/>
      <w:autoSpaceDE w:val="0"/>
      <w:autoSpaceDN w:val="0"/>
      <w:adjustRightInd w:val="0"/>
    </w:pPr>
    <w:rPr>
      <w:rFonts w:ascii="仿宋_GB2312" w:eastAsia="仿宋_GB2312" w:cs="仿宋_GB2312" w:hAnsiTheme="minorHAns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emf"/><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CACD9A7-F8F5-4EA2-8A71-9FD4DDB1E45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102</Pages>
  <Words>67920</Words>
  <Characters>77975</Characters>
  <Lines>603</Lines>
  <Paragraphs>169</Paragraphs>
  <TotalTime>30</TotalTime>
  <ScaleCrop>false</ScaleCrop>
  <LinksUpToDate>false</LinksUpToDate>
  <CharactersWithSpaces>79659</CharactersWithSpaces>
  <Application>WPS Office_11.8.2.8555_F1E327BC-269C-435d-A152-05C5408002CA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2023-08-07T03:56:00Z</dcterms:created>
  <dc:creator>nm</dc:creator>
  <cp:lastModifiedBy>Haibara Ai</cp:lastModifiedBy>
  <cp:lastPrinted>2023-07-24T10:49:00Z</cp:lastPrinted>
  <dcterms:modified xsi:type="dcterms:W3CDTF">2023-08-17T03:57:04Z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2052-11.8.2.8555</vt:lpwstr>
  </property>
  <property fmtid="{D5CDD505-2E9C-101B-9397-08002B2CF9AE}" pid="3" name="ICV">
    <vt:lpwstr>FA3A9A5086854EB6829C5D748B4D12A9_13</vt:lpwstr>
  </property>
</Properties>
</file>