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81493718"/>
      <w:bookmarkEnd w:id="0"/>
      <w:bookmarkStart w:id="1" w:name="_Hlk57883707"/>
    </w:p>
    <w:bookmarkEnd w:id="1"/>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pPr>
        <w:rPr>
          <w:rFonts w:eastAsia="仿宋"/>
          <w:sz w:val="44"/>
          <w:szCs w:val="44"/>
        </w:rPr>
      </w:pPr>
      <w:bookmarkStart w:id="2" w:name="_Hlk57883728"/>
    </w:p>
    <w:p>
      <w:pPr>
        <w:pStyle w:val="12"/>
      </w:pPr>
    </w:p>
    <w:p>
      <w:pPr>
        <w:ind w:firstLine="1040"/>
        <w:rPr>
          <w:rFonts w:eastAsia="仿宋"/>
          <w:sz w:val="44"/>
          <w:szCs w:val="44"/>
        </w:rPr>
      </w:pPr>
    </w:p>
    <w:p>
      <w:pPr>
        <w:ind w:firstLine="1040"/>
        <w:rPr>
          <w:rFonts w:eastAsia="仿宋"/>
          <w:sz w:val="44"/>
          <w:szCs w:val="44"/>
        </w:rPr>
      </w:pPr>
    </w:p>
    <w:p>
      <w:pPr>
        <w:rPr>
          <w:rFonts w:eastAsia="仿宋"/>
          <w:sz w:val="44"/>
          <w:szCs w:val="44"/>
        </w:rPr>
      </w:pPr>
    </w:p>
    <w:p>
      <w:pPr>
        <w:ind w:firstLine="1040"/>
        <w:rPr>
          <w:rFonts w:eastAsia="仿宋"/>
          <w:sz w:val="44"/>
          <w:szCs w:val="44"/>
        </w:rPr>
      </w:pPr>
    </w:p>
    <w:p>
      <w:pPr>
        <w:ind w:firstLine="1040"/>
        <w:rPr>
          <w:rFonts w:eastAsia="仿宋"/>
          <w:sz w:val="44"/>
          <w:szCs w:val="44"/>
        </w:rPr>
      </w:pPr>
    </w:p>
    <w:bookmarkEnd w:id="2"/>
    <w:p>
      <w:pPr>
        <w:ind w:firstLine="1040"/>
        <w:rPr>
          <w:rFonts w:eastAsia="仿宋"/>
          <w:sz w:val="44"/>
          <w:szCs w:val="44"/>
        </w:rPr>
      </w:pPr>
    </w:p>
    <w:p>
      <w:pPr>
        <w:adjustRightInd w:val="0"/>
        <w:snapToGrid w:val="0"/>
        <w:spacing w:line="288" w:lineRule="auto"/>
        <w:rPr>
          <w:rFonts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pacing w:val="4"/>
          <w:sz w:val="32"/>
          <w:szCs w:val="32"/>
          <w:u w:val="single"/>
          <w:lang w:eastAsia="zh-CN"/>
        </w:rPr>
        <w:t>石钱302平台石钱302H井等5口井钻井工程</w:t>
      </w:r>
      <w:r>
        <w:rPr>
          <w:rFonts w:hint="eastAsia" w:ascii="仿宋_GB2312" w:eastAsia="仿宋_GB2312"/>
          <w:spacing w:val="4"/>
          <w:sz w:val="32"/>
          <w:szCs w:val="32"/>
          <w:u w:val="single"/>
        </w:rPr>
        <w:t xml:space="preserve"> </w:t>
      </w:r>
      <w:r>
        <w:rPr>
          <w:rFonts w:ascii="仿宋_GB2312" w:eastAsia="仿宋_GB2312"/>
          <w:spacing w:val="4"/>
          <w:sz w:val="32"/>
          <w:szCs w:val="32"/>
          <w:u w:val="single"/>
        </w:rPr>
        <w:t xml:space="preserve">          </w:t>
      </w:r>
      <w:r>
        <w:rPr>
          <w:rFonts w:hint="eastAsia" w:ascii="仿宋_GB2312" w:eastAsia="仿宋_GB2312"/>
          <w:spacing w:val="4"/>
          <w:sz w:val="32"/>
          <w:szCs w:val="32"/>
          <w:u w:val="single"/>
        </w:rPr>
        <w:t xml:space="preserve"> </w:t>
      </w:r>
      <w:r>
        <w:rPr>
          <w:rFonts w:ascii="仿宋_GB2312" w:eastAsia="仿宋_GB2312"/>
          <w:spacing w:val="4"/>
          <w:sz w:val="32"/>
          <w:szCs w:val="32"/>
          <w:u w:val="single"/>
        </w:rPr>
        <w:t xml:space="preserve">        </w:t>
      </w:r>
    </w:p>
    <w:p>
      <w:pPr>
        <w:adjustRightInd w:val="0"/>
        <w:snapToGrid w:val="0"/>
        <w:spacing w:line="288" w:lineRule="auto"/>
        <w:ind w:left="2880" w:hanging="2880" w:hangingChars="900"/>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b w:val="0"/>
          <w:bCs w:val="0"/>
          <w:sz w:val="32"/>
          <w:szCs w:val="32"/>
          <w:u w:val="single"/>
          <w:lang w:eastAsia="zh-CN"/>
        </w:rPr>
        <w:t>中国石油天然气股份有限公司吐哈油田分公司准东勘探开发项目经理部</w:t>
      </w:r>
      <w:r>
        <w:rPr>
          <w:rFonts w:hint="eastAsia" w:ascii="仿宋_GB2312" w:eastAsia="仿宋_GB2312"/>
          <w:b w:val="0"/>
          <w:bCs w:val="0"/>
          <w:sz w:val="32"/>
          <w:szCs w:val="32"/>
          <w:u w:val="single"/>
          <w:lang w:val="en-US" w:eastAsia="zh-CN"/>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p>
    <w:p>
      <w:pPr>
        <w:adjustRightInd w:val="0"/>
        <w:snapToGrid w:val="0"/>
        <w:spacing w:line="288" w:lineRule="auto"/>
        <w:rPr>
          <w:rFonts w:ascii="仿宋_GB2312" w:eastAsia="仿宋_GB2312"/>
          <w:sz w:val="32"/>
          <w:szCs w:val="32"/>
          <w:u w:val="single"/>
        </w:rPr>
      </w:pPr>
      <w:r>
        <w:rPr>
          <w:rFonts w:hint="eastAsia" w:ascii="仿宋_GB2312" w:eastAsia="仿宋_GB2312"/>
          <w:sz w:val="32"/>
          <w:szCs w:val="32"/>
        </w:rPr>
        <w:t>编制日期：</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2023</w:t>
      </w:r>
      <w:r>
        <w:rPr>
          <w:rFonts w:hint="eastAsia" w:ascii="仿宋_GB2312" w:eastAsia="仿宋_GB2312"/>
          <w:sz w:val="32"/>
          <w:szCs w:val="32"/>
          <w:u w:val="single"/>
        </w:rPr>
        <w:t>年</w:t>
      </w:r>
      <w:r>
        <w:rPr>
          <w:rFonts w:hint="eastAsia" w:ascii="仿宋_GB2312" w:eastAsia="仿宋_GB2312"/>
          <w:sz w:val="32"/>
          <w:szCs w:val="32"/>
          <w:u w:val="single"/>
          <w:lang w:val="en-US" w:eastAsia="zh-CN"/>
        </w:rPr>
        <w:t>7</w:t>
      </w:r>
      <w:r>
        <w:rPr>
          <w:rFonts w:hint="eastAsia" w:ascii="仿宋_GB2312" w:eastAsia="仿宋_GB2312"/>
          <w:sz w:val="32"/>
          <w:szCs w:val="32"/>
          <w:u w:val="single"/>
        </w:rPr>
        <w:t xml:space="preserve">月 </w:t>
      </w:r>
      <w:r>
        <w:rPr>
          <w:rFonts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jc w:val="center"/>
        <w:rPr>
          <w:sz w:val="24"/>
        </w:rPr>
      </w:pPr>
      <w:r>
        <w:rPr>
          <w:rFonts w:hint="eastAsia" w:ascii="楷体_GB2312" w:eastAsia="楷体_GB2312"/>
          <w:sz w:val="36"/>
          <w:szCs w:val="36"/>
        </w:rPr>
        <w:t>中华人民共和国生态环境部制</w:t>
      </w:r>
    </w:p>
    <w:p>
      <w:pPr>
        <w:widowControl/>
        <w:spacing w:line="343" w:lineRule="auto"/>
      </w:pPr>
    </w:p>
    <w:p>
      <w:pPr>
        <w:pStyle w:val="12"/>
      </w:pPr>
    </w:p>
    <w:p/>
    <w:p/>
    <w:p>
      <w:pPr>
        <w:rPr>
          <w:rFonts w:ascii="宋体" w:hAnsi="宋体" w:cs="宋体"/>
          <w:b/>
          <w:bCs/>
          <w:kern w:val="0"/>
          <w:sz w:val="24"/>
        </w:rPr>
      </w:pPr>
      <w:r>
        <w:rPr>
          <w:rFonts w:hint="eastAsia" w:ascii="宋体" w:hAnsi="宋体" w:cs="宋体"/>
          <w:b/>
          <w:bCs/>
          <w:kern w:val="0"/>
          <w:sz w:val="24"/>
        </w:rPr>
        <w:br w:type="page"/>
      </w:r>
    </w:p>
    <w:p>
      <w:pPr>
        <w:pStyle w:val="12"/>
      </w:pPr>
    </w:p>
    <w:p>
      <w:pPr>
        <w:pStyle w:val="4"/>
        <w:rPr>
          <w:snapToGrid w:val="0"/>
        </w:rPr>
      </w:pPr>
      <w:r>
        <w:rPr>
          <w:rFonts w:hint="eastAsia"/>
          <w:snapToGrid w:val="0"/>
        </w:rPr>
        <w:t>一、建设项目基本情况</w:t>
      </w:r>
    </w:p>
    <w:tbl>
      <w:tblPr>
        <w:tblStyle w:val="28"/>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16"/>
        <w:gridCol w:w="992"/>
        <w:gridCol w:w="709"/>
        <w:gridCol w:w="2686"/>
        <w:gridCol w:w="1228"/>
        <w:gridCol w:w="2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94"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bookmarkStart w:id="3" w:name="_Hlk75966669"/>
            <w:r>
              <w:rPr>
                <w:rFonts w:hint="default" w:ascii="Times New Roman" w:hAnsi="Times New Roman" w:cs="Times New Roman"/>
                <w:sz w:val="24"/>
              </w:rPr>
              <w:t>建设项目名称</w:t>
            </w:r>
          </w:p>
        </w:tc>
        <w:tc>
          <w:tcPr>
            <w:tcW w:w="7229" w:type="dxa"/>
            <w:gridSpan w:val="4"/>
            <w:vAlign w:val="center"/>
          </w:tcPr>
          <w:p>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石钱302平台石钱302H井等5口井钻井工程</w:t>
            </w:r>
          </w:p>
        </w:tc>
      </w:tr>
      <w:bookmarkEnd w:id="3"/>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3"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项目代码</w:t>
            </w:r>
          </w:p>
        </w:tc>
        <w:tc>
          <w:tcPr>
            <w:tcW w:w="7229" w:type="dxa"/>
            <w:gridSpan w:val="4"/>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建设单位联系人</w:t>
            </w:r>
          </w:p>
        </w:tc>
        <w:tc>
          <w:tcPr>
            <w:tcW w:w="3395" w:type="dxa"/>
            <w:gridSpan w:val="2"/>
            <w:vAlign w:val="center"/>
          </w:tcPr>
          <w:p>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王建伟</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联系方式</w:t>
            </w:r>
          </w:p>
        </w:tc>
        <w:tc>
          <w:tcPr>
            <w:tcW w:w="2606" w:type="dxa"/>
            <w:vAlign w:val="center"/>
          </w:tcPr>
          <w:p>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13899311159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建设地点</w:t>
            </w:r>
          </w:p>
        </w:tc>
        <w:tc>
          <w:tcPr>
            <w:tcW w:w="7229" w:type="dxa"/>
            <w:gridSpan w:val="4"/>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新疆维吾尔自治区昌吉回族自治州奇台县境</w:t>
            </w:r>
            <w:r>
              <w:rPr>
                <w:rFonts w:hint="default" w:ascii="Times New Roman" w:hAnsi="Times New Roman" w:cs="Times New Roman"/>
                <w:sz w:val="24"/>
                <w:lang w:val="en-US" w:eastAsia="zh-CN"/>
              </w:rPr>
              <w:t>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地理坐标</w:t>
            </w:r>
          </w:p>
        </w:tc>
        <w:tc>
          <w:tcPr>
            <w:tcW w:w="7229" w:type="dxa"/>
            <w:gridSpan w:val="4"/>
            <w:vAlign w:val="center"/>
          </w:tcPr>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石钱302H</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东经：</w:t>
            </w:r>
            <w:r>
              <w:rPr>
                <w:rFonts w:hint="eastAsia" w:cs="Times New Roman"/>
                <w:sz w:val="21"/>
                <w:szCs w:val="21"/>
                <w:lang w:val="en-US" w:eastAsia="zh-CN"/>
              </w:rPr>
              <w:t>90</w:t>
            </w:r>
            <w:r>
              <w:rPr>
                <w:rFonts w:hint="default" w:ascii="Times New Roman" w:hAnsi="Times New Roman" w:cs="Times New Roman"/>
                <w:sz w:val="21"/>
                <w:szCs w:val="21"/>
              </w:rPr>
              <w:t>度</w:t>
            </w:r>
            <w:r>
              <w:rPr>
                <w:rFonts w:hint="eastAsia" w:cs="Times New Roman"/>
                <w:sz w:val="21"/>
                <w:szCs w:val="21"/>
                <w:lang w:val="en-US" w:eastAsia="zh-CN"/>
              </w:rPr>
              <w:t>06</w:t>
            </w:r>
            <w:r>
              <w:rPr>
                <w:rFonts w:hint="default" w:ascii="Times New Roman" w:hAnsi="Times New Roman" w:cs="Times New Roman"/>
                <w:sz w:val="21"/>
                <w:szCs w:val="21"/>
              </w:rPr>
              <w:t>分</w:t>
            </w:r>
            <w:r>
              <w:rPr>
                <w:rFonts w:hint="eastAsia" w:cs="Times New Roman"/>
                <w:sz w:val="21"/>
                <w:szCs w:val="21"/>
                <w:lang w:val="en-US" w:eastAsia="zh-CN"/>
              </w:rPr>
              <w:t>20.060</w:t>
            </w:r>
            <w:r>
              <w:rPr>
                <w:rFonts w:hint="default" w:ascii="Times New Roman" w:hAnsi="Times New Roman" w:cs="Times New Roman"/>
                <w:sz w:val="21"/>
                <w:szCs w:val="21"/>
              </w:rPr>
              <w:t>秒，北纬：44度</w:t>
            </w:r>
            <w:r>
              <w:rPr>
                <w:rFonts w:hint="eastAsia" w:cs="Times New Roman"/>
                <w:sz w:val="21"/>
                <w:szCs w:val="21"/>
                <w:lang w:val="en-US" w:eastAsia="zh-CN"/>
              </w:rPr>
              <w:t>47</w:t>
            </w:r>
            <w:r>
              <w:rPr>
                <w:rFonts w:hint="default" w:ascii="Times New Roman" w:hAnsi="Times New Roman" w:cs="Times New Roman"/>
                <w:sz w:val="21"/>
                <w:szCs w:val="21"/>
              </w:rPr>
              <w:t>分</w:t>
            </w:r>
            <w:r>
              <w:rPr>
                <w:rFonts w:hint="eastAsia" w:cs="Times New Roman"/>
                <w:sz w:val="21"/>
                <w:szCs w:val="21"/>
                <w:lang w:val="en-US" w:eastAsia="zh-CN"/>
              </w:rPr>
              <w:t>13.340</w:t>
            </w:r>
            <w:r>
              <w:rPr>
                <w:rFonts w:hint="default" w:ascii="Times New Roman" w:hAnsi="Times New Roman" w:cs="Times New Roman"/>
                <w:sz w:val="21"/>
                <w:szCs w:val="21"/>
              </w:rPr>
              <w:t>秒</w:t>
            </w:r>
          </w:p>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石钱302-1H</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东经：</w:t>
            </w:r>
            <w:r>
              <w:rPr>
                <w:rFonts w:hint="eastAsia" w:cs="Times New Roman"/>
                <w:sz w:val="21"/>
                <w:szCs w:val="21"/>
                <w:lang w:val="en-US" w:eastAsia="zh-CN"/>
              </w:rPr>
              <w:t>90</w:t>
            </w:r>
            <w:r>
              <w:rPr>
                <w:rFonts w:hint="default" w:ascii="Times New Roman" w:hAnsi="Times New Roman" w:cs="Times New Roman"/>
                <w:sz w:val="21"/>
                <w:szCs w:val="21"/>
              </w:rPr>
              <w:t>度</w:t>
            </w:r>
            <w:r>
              <w:rPr>
                <w:rFonts w:hint="eastAsia" w:cs="Times New Roman"/>
                <w:sz w:val="21"/>
                <w:szCs w:val="21"/>
                <w:lang w:val="en-US" w:eastAsia="zh-CN"/>
              </w:rPr>
              <w:t>06</w:t>
            </w:r>
            <w:r>
              <w:rPr>
                <w:rFonts w:hint="default" w:ascii="Times New Roman" w:hAnsi="Times New Roman" w:cs="Times New Roman"/>
                <w:sz w:val="21"/>
                <w:szCs w:val="21"/>
              </w:rPr>
              <w:t>分</w:t>
            </w:r>
            <w:r>
              <w:rPr>
                <w:rFonts w:hint="eastAsia" w:cs="Times New Roman"/>
                <w:sz w:val="21"/>
                <w:szCs w:val="21"/>
                <w:lang w:val="en-US" w:eastAsia="zh-CN"/>
              </w:rPr>
              <w:t>8.110</w:t>
            </w:r>
            <w:r>
              <w:rPr>
                <w:rFonts w:hint="default" w:ascii="Times New Roman" w:hAnsi="Times New Roman" w:cs="Times New Roman"/>
                <w:sz w:val="21"/>
                <w:szCs w:val="21"/>
              </w:rPr>
              <w:t>秒，北纬：44度</w:t>
            </w:r>
            <w:r>
              <w:rPr>
                <w:rFonts w:hint="eastAsia" w:cs="Times New Roman"/>
                <w:sz w:val="21"/>
                <w:szCs w:val="21"/>
                <w:lang w:val="en-US" w:eastAsia="zh-CN"/>
              </w:rPr>
              <w:t>47</w:t>
            </w:r>
            <w:r>
              <w:rPr>
                <w:rFonts w:hint="default" w:ascii="Times New Roman" w:hAnsi="Times New Roman" w:cs="Times New Roman"/>
                <w:sz w:val="21"/>
                <w:szCs w:val="21"/>
              </w:rPr>
              <w:t>分</w:t>
            </w:r>
            <w:r>
              <w:rPr>
                <w:rFonts w:hint="eastAsia" w:cs="Times New Roman"/>
                <w:sz w:val="21"/>
                <w:szCs w:val="21"/>
                <w:lang w:val="en-US" w:eastAsia="zh-CN"/>
              </w:rPr>
              <w:t>13.520</w:t>
            </w:r>
            <w:r>
              <w:rPr>
                <w:rFonts w:hint="default" w:ascii="Times New Roman" w:hAnsi="Times New Roman" w:cs="Times New Roman"/>
                <w:sz w:val="21"/>
                <w:szCs w:val="21"/>
              </w:rPr>
              <w:t>秒</w:t>
            </w:r>
          </w:p>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石钱302</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H</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东经：</w:t>
            </w:r>
            <w:r>
              <w:rPr>
                <w:rFonts w:hint="eastAsia" w:cs="Times New Roman"/>
                <w:sz w:val="21"/>
                <w:szCs w:val="21"/>
                <w:lang w:val="en-US" w:eastAsia="zh-CN"/>
              </w:rPr>
              <w:t>90</w:t>
            </w:r>
            <w:r>
              <w:rPr>
                <w:rFonts w:hint="default" w:ascii="Times New Roman" w:hAnsi="Times New Roman" w:cs="Times New Roman"/>
                <w:sz w:val="21"/>
                <w:szCs w:val="21"/>
              </w:rPr>
              <w:t>度</w:t>
            </w:r>
            <w:r>
              <w:rPr>
                <w:rFonts w:hint="eastAsia" w:cs="Times New Roman"/>
                <w:sz w:val="21"/>
                <w:szCs w:val="21"/>
                <w:lang w:val="en-US" w:eastAsia="zh-CN"/>
              </w:rPr>
              <w:t>06</w:t>
            </w:r>
            <w:r>
              <w:rPr>
                <w:rFonts w:hint="default" w:ascii="Times New Roman" w:hAnsi="Times New Roman" w:cs="Times New Roman"/>
                <w:sz w:val="21"/>
                <w:szCs w:val="21"/>
              </w:rPr>
              <w:t>分</w:t>
            </w:r>
            <w:r>
              <w:rPr>
                <w:rFonts w:hint="eastAsia" w:cs="Times New Roman"/>
                <w:sz w:val="21"/>
                <w:szCs w:val="21"/>
                <w:lang w:val="en-US" w:eastAsia="zh-CN"/>
              </w:rPr>
              <w:t>8.670</w:t>
            </w:r>
            <w:r>
              <w:rPr>
                <w:rFonts w:hint="default" w:ascii="Times New Roman" w:hAnsi="Times New Roman" w:cs="Times New Roman"/>
                <w:sz w:val="21"/>
                <w:szCs w:val="21"/>
              </w:rPr>
              <w:t>秒，北纬：44度</w:t>
            </w:r>
            <w:r>
              <w:rPr>
                <w:rFonts w:hint="eastAsia" w:cs="Times New Roman"/>
                <w:sz w:val="21"/>
                <w:szCs w:val="21"/>
                <w:lang w:val="en-US" w:eastAsia="zh-CN"/>
              </w:rPr>
              <w:t>47</w:t>
            </w:r>
            <w:r>
              <w:rPr>
                <w:rFonts w:hint="default" w:ascii="Times New Roman" w:hAnsi="Times New Roman" w:cs="Times New Roman"/>
                <w:sz w:val="21"/>
                <w:szCs w:val="21"/>
              </w:rPr>
              <w:t>分</w:t>
            </w:r>
            <w:r>
              <w:rPr>
                <w:rFonts w:hint="eastAsia" w:cs="Times New Roman"/>
                <w:sz w:val="21"/>
                <w:szCs w:val="21"/>
                <w:lang w:val="en-US" w:eastAsia="zh-CN"/>
              </w:rPr>
              <w:t>14.020</w:t>
            </w:r>
            <w:r>
              <w:rPr>
                <w:rFonts w:hint="default" w:ascii="Times New Roman" w:hAnsi="Times New Roman" w:cs="Times New Roman"/>
                <w:sz w:val="21"/>
                <w:szCs w:val="21"/>
              </w:rPr>
              <w:t>秒</w:t>
            </w:r>
          </w:p>
          <w:p>
            <w:pPr>
              <w:adjustRightInd w:val="0"/>
              <w:snapToGrid w:val="0"/>
              <w:spacing w:line="360" w:lineRule="auto"/>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石钱302-3H：东经：</w:t>
            </w:r>
            <w:r>
              <w:rPr>
                <w:rFonts w:hint="eastAsia" w:cs="Times New Roman"/>
                <w:sz w:val="21"/>
                <w:szCs w:val="21"/>
                <w:lang w:val="en-US" w:eastAsia="zh-CN"/>
              </w:rPr>
              <w:t>90</w:t>
            </w:r>
            <w:r>
              <w:rPr>
                <w:rFonts w:hint="default" w:ascii="Times New Roman" w:hAnsi="Times New Roman" w:cs="Times New Roman"/>
                <w:sz w:val="21"/>
                <w:szCs w:val="21"/>
                <w:lang w:val="en-US" w:eastAsia="zh-CN"/>
              </w:rPr>
              <w:t>度</w:t>
            </w:r>
            <w:r>
              <w:rPr>
                <w:rFonts w:hint="eastAsia" w:cs="Times New Roman"/>
                <w:sz w:val="21"/>
                <w:szCs w:val="21"/>
                <w:lang w:val="en-US" w:eastAsia="zh-CN"/>
              </w:rPr>
              <w:t>06</w:t>
            </w:r>
            <w:r>
              <w:rPr>
                <w:rFonts w:hint="default" w:ascii="Times New Roman" w:hAnsi="Times New Roman" w:cs="Times New Roman"/>
                <w:sz w:val="21"/>
                <w:szCs w:val="21"/>
                <w:lang w:val="en-US" w:eastAsia="zh-CN"/>
              </w:rPr>
              <w:t>分</w:t>
            </w:r>
            <w:r>
              <w:rPr>
                <w:rFonts w:hint="eastAsia" w:cs="Times New Roman"/>
                <w:sz w:val="21"/>
                <w:szCs w:val="21"/>
                <w:lang w:val="en-US" w:eastAsia="zh-CN"/>
              </w:rPr>
              <w:t>7.920</w:t>
            </w:r>
            <w:r>
              <w:rPr>
                <w:rFonts w:hint="default" w:ascii="Times New Roman" w:hAnsi="Times New Roman" w:cs="Times New Roman"/>
                <w:sz w:val="21"/>
                <w:szCs w:val="21"/>
                <w:lang w:val="en-US" w:eastAsia="zh-CN"/>
              </w:rPr>
              <w:t>秒，北纬：44度</w:t>
            </w:r>
            <w:r>
              <w:rPr>
                <w:rFonts w:hint="eastAsia" w:cs="Times New Roman"/>
                <w:sz w:val="21"/>
                <w:szCs w:val="21"/>
                <w:lang w:val="en-US" w:eastAsia="zh-CN"/>
              </w:rPr>
              <w:t>47</w:t>
            </w:r>
            <w:r>
              <w:rPr>
                <w:rFonts w:hint="default" w:ascii="Times New Roman" w:hAnsi="Times New Roman" w:cs="Times New Roman"/>
                <w:sz w:val="21"/>
                <w:szCs w:val="21"/>
                <w:lang w:val="en-US" w:eastAsia="zh-CN"/>
              </w:rPr>
              <w:t>分</w:t>
            </w:r>
            <w:r>
              <w:rPr>
                <w:rFonts w:hint="eastAsia" w:cs="Times New Roman"/>
                <w:sz w:val="21"/>
                <w:szCs w:val="21"/>
                <w:lang w:val="en-US" w:eastAsia="zh-CN"/>
              </w:rPr>
              <w:t>12.550</w:t>
            </w:r>
            <w:r>
              <w:rPr>
                <w:rFonts w:hint="default" w:ascii="Times New Roman" w:hAnsi="Times New Roman" w:cs="Times New Roman"/>
                <w:sz w:val="21"/>
                <w:szCs w:val="21"/>
                <w:lang w:val="en-US" w:eastAsia="zh-CN"/>
              </w:rPr>
              <w:t>秒</w:t>
            </w:r>
          </w:p>
          <w:p>
            <w:pPr>
              <w:adjustRightInd w:val="0"/>
              <w:snapToGrid w:val="0"/>
              <w:spacing w:line="360" w:lineRule="auto"/>
              <w:jc w:val="left"/>
              <w:rPr>
                <w:rFonts w:hint="default" w:ascii="Times New Roman" w:hAnsi="Times New Roman" w:cs="Times New Roman"/>
                <w:lang w:eastAsia="zh-CN"/>
              </w:rPr>
            </w:pPr>
            <w:r>
              <w:rPr>
                <w:rFonts w:hint="default" w:ascii="Times New Roman" w:hAnsi="Times New Roman" w:cs="Times New Roman"/>
                <w:sz w:val="21"/>
                <w:szCs w:val="21"/>
                <w:lang w:val="en-US" w:eastAsia="zh-CN"/>
              </w:rPr>
              <w:t>石钱302-3H：东经：</w:t>
            </w:r>
            <w:r>
              <w:rPr>
                <w:rFonts w:hint="eastAsia" w:cs="Times New Roman"/>
                <w:sz w:val="21"/>
                <w:szCs w:val="21"/>
                <w:lang w:val="en-US" w:eastAsia="zh-CN"/>
              </w:rPr>
              <w:t>90</w:t>
            </w:r>
            <w:r>
              <w:rPr>
                <w:rFonts w:hint="default" w:ascii="Times New Roman" w:hAnsi="Times New Roman" w:cs="Times New Roman"/>
                <w:sz w:val="21"/>
                <w:szCs w:val="21"/>
                <w:lang w:val="en-US" w:eastAsia="zh-CN"/>
              </w:rPr>
              <w:t>度</w:t>
            </w:r>
            <w:r>
              <w:rPr>
                <w:rFonts w:hint="eastAsia" w:cs="Times New Roman"/>
                <w:sz w:val="21"/>
                <w:szCs w:val="21"/>
                <w:lang w:val="en-US" w:eastAsia="zh-CN"/>
              </w:rPr>
              <w:t>06</w:t>
            </w:r>
            <w:r>
              <w:rPr>
                <w:rFonts w:hint="default" w:ascii="Times New Roman" w:hAnsi="Times New Roman" w:cs="Times New Roman"/>
                <w:sz w:val="21"/>
                <w:szCs w:val="21"/>
                <w:lang w:val="en-US" w:eastAsia="zh-CN"/>
              </w:rPr>
              <w:t>分</w:t>
            </w:r>
            <w:r>
              <w:rPr>
                <w:rFonts w:hint="eastAsia" w:cs="Times New Roman"/>
                <w:sz w:val="21"/>
                <w:szCs w:val="21"/>
                <w:lang w:val="en-US" w:eastAsia="zh-CN"/>
              </w:rPr>
              <w:t>8.070</w:t>
            </w:r>
            <w:r>
              <w:rPr>
                <w:rFonts w:hint="default" w:ascii="Times New Roman" w:hAnsi="Times New Roman" w:cs="Times New Roman"/>
                <w:sz w:val="21"/>
                <w:szCs w:val="21"/>
                <w:lang w:val="en-US" w:eastAsia="zh-CN"/>
              </w:rPr>
              <w:t>秒，北纬：44度</w:t>
            </w:r>
            <w:r>
              <w:rPr>
                <w:rFonts w:hint="eastAsia" w:cs="Times New Roman"/>
                <w:sz w:val="21"/>
                <w:szCs w:val="21"/>
                <w:lang w:val="en-US" w:eastAsia="zh-CN"/>
              </w:rPr>
              <w:t>47</w:t>
            </w:r>
            <w:r>
              <w:rPr>
                <w:rFonts w:hint="default" w:ascii="Times New Roman" w:hAnsi="Times New Roman" w:cs="Times New Roman"/>
                <w:sz w:val="21"/>
                <w:szCs w:val="21"/>
                <w:lang w:val="en-US" w:eastAsia="zh-CN"/>
              </w:rPr>
              <w:t>分</w:t>
            </w:r>
            <w:r>
              <w:rPr>
                <w:rFonts w:hint="eastAsia" w:cs="Times New Roman"/>
                <w:sz w:val="21"/>
                <w:szCs w:val="21"/>
                <w:lang w:val="en-US" w:eastAsia="zh-CN"/>
              </w:rPr>
              <w:t>12.070</w:t>
            </w:r>
            <w:r>
              <w:rPr>
                <w:rFonts w:hint="default" w:ascii="Times New Roman" w:hAnsi="Times New Roman" w:cs="Times New Roman"/>
                <w:sz w:val="21"/>
                <w:szCs w:val="21"/>
                <w:lang w:val="en-US"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99"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w:t>
            </w:r>
          </w:p>
          <w:p>
            <w:pPr>
              <w:adjustRightInd w:val="0"/>
              <w:snapToGrid w:val="0"/>
              <w:jc w:val="center"/>
              <w:rPr>
                <w:rFonts w:hint="default" w:ascii="Times New Roman" w:hAnsi="Times New Roman" w:eastAsia="宋体" w:cs="Times New Roman"/>
                <w:sz w:val="24"/>
              </w:rPr>
            </w:pPr>
            <w:r>
              <w:rPr>
                <w:rFonts w:hint="default" w:ascii="Times New Roman" w:hAnsi="Times New Roman" w:eastAsia="宋体" w:cs="Times New Roman"/>
                <w:sz w:val="24"/>
              </w:rPr>
              <w:t>行业类别</w:t>
            </w:r>
          </w:p>
        </w:tc>
        <w:tc>
          <w:tcPr>
            <w:tcW w:w="3395" w:type="dxa"/>
            <w:gridSpan w:val="2"/>
            <w:vAlign w:val="center"/>
          </w:tcPr>
          <w:p>
            <w:pPr>
              <w:adjustRightInd w:val="0"/>
              <w:snapToGrid w:val="0"/>
              <w:jc w:val="both"/>
              <w:rPr>
                <w:rFonts w:hint="default" w:ascii="Times New Roman" w:hAnsi="Times New Roman" w:eastAsia="宋体" w:cs="Times New Roman"/>
                <w:sz w:val="24"/>
              </w:rPr>
            </w:pPr>
            <w:r>
              <w:rPr>
                <w:rFonts w:hint="default" w:ascii="Times New Roman" w:hAnsi="Times New Roman" w:eastAsia="宋体" w:cs="Times New Roman"/>
                <w:sz w:val="24"/>
              </w:rPr>
              <w:t>四十六、专业技术服务业99陆地矿产资源地质勘查（含油气资源勘探）</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用地面积（m</w:t>
            </w:r>
            <w:r>
              <w:rPr>
                <w:rFonts w:hint="default" w:ascii="Times New Roman" w:hAnsi="Times New Roman" w:cs="Times New Roman"/>
                <w:sz w:val="24"/>
                <w:vertAlign w:val="superscript"/>
              </w:rPr>
              <w:t>2</w:t>
            </w:r>
            <w:r>
              <w:rPr>
                <w:rFonts w:hint="default" w:ascii="Times New Roman" w:hAnsi="Times New Roman" w:cs="Times New Roman"/>
                <w:sz w:val="24"/>
              </w:rPr>
              <w:t>）</w:t>
            </w:r>
          </w:p>
        </w:tc>
        <w:tc>
          <w:tcPr>
            <w:tcW w:w="2606" w:type="dxa"/>
            <w:vAlign w:val="center"/>
          </w:tcPr>
          <w:p>
            <w:pPr>
              <w:adjustRightInd w:val="0"/>
              <w:snapToGrid w:val="0"/>
              <w:jc w:val="both"/>
              <w:rPr>
                <w:rFonts w:hint="default" w:ascii="Times New Roman" w:hAnsi="Times New Roman" w:cs="Times New Roman"/>
                <w:sz w:val="24"/>
              </w:rPr>
            </w:pPr>
            <w:r>
              <w:rPr>
                <w:rFonts w:hint="eastAsia" w:cs="Times New Roman"/>
                <w:sz w:val="24"/>
                <w:lang w:eastAsia="zh-CN"/>
              </w:rPr>
              <w:t>33452</w:t>
            </w:r>
            <w:r>
              <w:rPr>
                <w:rFonts w:hint="default" w:ascii="Times New Roman" w:hAnsi="Times New Roman" w:cs="Times New Roman"/>
                <w:sz w:val="24"/>
              </w:rPr>
              <w:t>（临时占地）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建设性质</w:t>
            </w:r>
          </w:p>
        </w:tc>
        <w:tc>
          <w:tcPr>
            <w:tcW w:w="3395" w:type="dxa"/>
            <w:gridSpan w:val="2"/>
            <w:vAlign w:val="center"/>
          </w:tcPr>
          <w:p>
            <w:pPr>
              <w:adjustRightInd w:val="0"/>
              <w:snapToGrid w:val="0"/>
              <w:jc w:val="left"/>
              <w:rPr>
                <w:rFonts w:hint="default" w:ascii="Times New Roman" w:hAnsi="Times New Roman" w:cs="Times New Roman"/>
                <w:sz w:val="24"/>
              </w:rPr>
            </w:pPr>
            <w:r>
              <w:rPr>
                <w:rFonts w:hint="default" w:ascii="Times New Roman" w:hAnsi="Times New Roman" w:cs="Times New Roman"/>
                <w:sz w:val="24"/>
                <w:lang w:eastAsia="zh-CN"/>
              </w:rPr>
              <w:sym w:font="Wingdings 2" w:char="0052"/>
            </w:r>
            <w:r>
              <w:rPr>
                <w:rFonts w:hint="default" w:ascii="Times New Roman" w:hAnsi="Times New Roman" w:cs="Times New Roman"/>
                <w:sz w:val="24"/>
              </w:rPr>
              <w:t>新建（迁建）</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改建</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扩建</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技术改造</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申报情形</w:t>
            </w:r>
          </w:p>
        </w:tc>
        <w:tc>
          <w:tcPr>
            <w:tcW w:w="2606" w:type="dxa"/>
            <w:vAlign w:val="center"/>
          </w:tcPr>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首次申报项目</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不予批准后再次申报项目</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超五年重新审核项目</w:t>
            </w:r>
          </w:p>
          <w:p>
            <w:pPr>
              <w:adjustRightInd w:val="0"/>
              <w:snapToGrid w:val="0"/>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78"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项目审批（核准/备案）部门</w:t>
            </w:r>
          </w:p>
        </w:tc>
        <w:tc>
          <w:tcPr>
            <w:tcW w:w="3395"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无</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项目审批（核准/备案）文号</w:t>
            </w:r>
          </w:p>
        </w:tc>
        <w:tc>
          <w:tcPr>
            <w:tcW w:w="260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2"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总投资（万元）</w:t>
            </w:r>
          </w:p>
        </w:tc>
        <w:tc>
          <w:tcPr>
            <w:tcW w:w="3395" w:type="dxa"/>
            <w:gridSpan w:val="2"/>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5686</w:t>
            </w:r>
          </w:p>
        </w:tc>
        <w:tc>
          <w:tcPr>
            <w:tcW w:w="1228" w:type="dxa"/>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环保投资（万元）</w:t>
            </w:r>
          </w:p>
        </w:tc>
        <w:tc>
          <w:tcPr>
            <w:tcW w:w="2606" w:type="dxa"/>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8"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环保投资占比（%）</w:t>
            </w:r>
          </w:p>
        </w:tc>
        <w:tc>
          <w:tcPr>
            <w:tcW w:w="3395" w:type="dxa"/>
            <w:gridSpan w:val="2"/>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2.66%</w:t>
            </w:r>
          </w:p>
        </w:tc>
        <w:tc>
          <w:tcPr>
            <w:tcW w:w="1228" w:type="dxa"/>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施工工期</w:t>
            </w:r>
          </w:p>
        </w:tc>
        <w:tc>
          <w:tcPr>
            <w:tcW w:w="2606" w:type="dxa"/>
            <w:vAlign w:val="center"/>
          </w:tcPr>
          <w:p>
            <w:pPr>
              <w:adjustRightInd w:val="0"/>
              <w:snapToGrid w:val="0"/>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钻井期7</w:t>
            </w:r>
            <w:r>
              <w:rPr>
                <w:rFonts w:hint="eastAsia"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天</w:t>
            </w:r>
          </w:p>
          <w:p>
            <w:pPr>
              <w:adjustRightInd w:val="0"/>
              <w:snapToGrid w:val="0"/>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试油期</w:t>
            </w:r>
            <w:r>
              <w:rPr>
                <w:rFonts w:hint="default" w:ascii="Times New Roman" w:hAnsi="Times New Roman" w:cs="Times New Roman"/>
                <w:color w:val="000000" w:themeColor="text1"/>
                <w:sz w:val="24"/>
                <w:lang w:val="en-US" w:eastAsia="zh-CN"/>
                <w14:textFill>
                  <w14:solidFill>
                    <w14:schemeClr w14:val="tx1"/>
                  </w14:solidFill>
                </w14:textFill>
              </w:rPr>
              <w:t>180</w:t>
            </w:r>
            <w:r>
              <w:rPr>
                <w:rFonts w:hint="default" w:ascii="Times New Roman" w:hAnsi="Times New Roman" w:cs="Times New Roman"/>
                <w:color w:val="000000" w:themeColor="text1"/>
                <w:sz w:val="24"/>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6"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是否开工建设</w:t>
            </w:r>
          </w:p>
        </w:tc>
        <w:tc>
          <w:tcPr>
            <w:tcW w:w="7229" w:type="dxa"/>
            <w:gridSpan w:val="4"/>
            <w:vAlign w:val="center"/>
          </w:tcPr>
          <w:p>
            <w:pPr>
              <w:adjustRightInd w:val="0"/>
              <w:snapToGrid w:val="0"/>
              <w:ind w:firstLine="105"/>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否</w:t>
            </w:r>
          </w:p>
          <w:p>
            <w:pPr>
              <w:adjustRightInd w:val="0"/>
              <w:snapToGrid w:val="0"/>
              <w:spacing w:line="400" w:lineRule="exact"/>
              <w:ind w:firstLine="105"/>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专项评价</w:t>
            </w:r>
          </w:p>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设置情况</w:t>
            </w:r>
          </w:p>
        </w:tc>
        <w:tc>
          <w:tcPr>
            <w:tcW w:w="7229" w:type="dxa"/>
            <w:gridSpan w:val="4"/>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57"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sz w:val="24"/>
              </w:rPr>
              <w:t>规划情况</w:t>
            </w:r>
          </w:p>
        </w:tc>
        <w:tc>
          <w:tcPr>
            <w:tcW w:w="7229" w:type="dxa"/>
            <w:gridSpan w:val="4"/>
            <w:tcMar>
              <w:top w:w="16" w:type="dxa"/>
              <w:left w:w="16" w:type="dxa"/>
              <w:right w:w="16" w:type="dxa"/>
            </w:tcMar>
            <w:vAlign w:val="center"/>
          </w:tcPr>
          <w:p>
            <w:pPr>
              <w:pStyle w:val="59"/>
              <w:spacing w:line="300" w:lineRule="exact"/>
              <w:ind w:firstLine="48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《新疆维吾尔自治区矿产资源总体规划（2021～2025年）》已于2022年8月28日在新疆维吾尔自治区人民政府发布，并通过了中华人民共和国自然资源部的审查，审批文号为自然资函〔2022〕1092号。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4"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sz w:val="24"/>
              </w:rPr>
              <w:t>规划环境影响评价情况</w:t>
            </w:r>
          </w:p>
        </w:tc>
        <w:tc>
          <w:tcPr>
            <w:tcW w:w="7229" w:type="dxa"/>
            <w:gridSpan w:val="4"/>
            <w:tcMar>
              <w:top w:w="16" w:type="dxa"/>
              <w:left w:w="16" w:type="dxa"/>
              <w:right w:w="16" w:type="dxa"/>
            </w:tcMar>
            <w:vAlign w:val="center"/>
          </w:tcPr>
          <w:p>
            <w:pPr>
              <w:pStyle w:val="59"/>
              <w:spacing w:line="300" w:lineRule="exact"/>
              <w:ind w:firstLine="48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《新疆维吾尔自治区矿产资源总体规划（2021～2025年）环境影响报告书》于2022年8月11日由中华人民共和国生态环境部通过审查，备案文号为环审〔2022〕124号。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09"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规划及</w:t>
            </w:r>
            <w:r>
              <w:rPr>
                <w:rFonts w:hint="default" w:ascii="Times New Roman" w:hAnsi="Times New Roman" w:cs="Times New Roman"/>
                <w:sz w:val="24"/>
              </w:rPr>
              <w:t>规划环境影响评价</w:t>
            </w:r>
            <w:r>
              <w:rPr>
                <w:rFonts w:hint="default" w:ascii="Times New Roman" w:hAnsi="Times New Roman" w:cs="Times New Roman"/>
                <w:kern w:val="0"/>
                <w:sz w:val="24"/>
              </w:rPr>
              <w:t>符合性分析</w:t>
            </w:r>
          </w:p>
        </w:tc>
        <w:tc>
          <w:tcPr>
            <w:tcW w:w="7229" w:type="dxa"/>
            <w:gridSpan w:val="4"/>
            <w:tcMar>
              <w:top w:w="16" w:type="dxa"/>
              <w:left w:w="16" w:type="dxa"/>
              <w:right w:w="16" w:type="dxa"/>
            </w:tcMar>
            <w:vAlign w:val="center"/>
          </w:tcPr>
          <w:p>
            <w:pPr>
              <w:numPr>
                <w:ilvl w:val="0"/>
                <w:numId w:val="2"/>
              </w:numPr>
              <w:spacing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与《新疆维吾尔自治区矿产资源总体规划（20</w:t>
            </w:r>
            <w:r>
              <w:rPr>
                <w:rFonts w:hint="default" w:ascii="Times New Roman" w:hAnsi="Times New Roman" w:cs="Times New Roman"/>
                <w:b/>
                <w:color w:val="auto"/>
                <w:sz w:val="24"/>
                <w:lang w:val="en-US" w:eastAsia="zh-CN"/>
              </w:rPr>
              <w:t>21</w:t>
            </w:r>
            <w:r>
              <w:rPr>
                <w:rFonts w:hint="default" w:ascii="Times New Roman" w:hAnsi="Times New Roman" w:cs="Times New Roman"/>
                <w:b/>
                <w:color w:val="auto"/>
                <w:sz w:val="24"/>
              </w:rPr>
              <w:t>-202</w:t>
            </w:r>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年）》相符性分析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32"/>
                <w:szCs w:val="32"/>
              </w:rPr>
            </w:pPr>
            <w:r>
              <w:rPr>
                <w:rFonts w:hint="default" w:ascii="Times New Roman" w:hAnsi="Times New Roman" w:cs="Times New Roman"/>
                <w:color w:val="auto"/>
                <w:kern w:val="0"/>
                <w:sz w:val="24"/>
                <w:lang w:val="en-US" w:eastAsia="zh-CN"/>
              </w:rPr>
              <w:t>中华人民共和国自然资源部以自然资函[2022]1092号文出具了《新疆维吾尔自治区矿产资源总体规划（2021-2025年）》的批复，2022年9月28日，新疆维吾尔自治区人民政府发布了《新疆维吾尔自治区矿产资源总体规划（2021-2025年）》</w:t>
            </w:r>
            <w:r>
              <w:rPr>
                <w:rFonts w:hint="default" w:ascii="Times New Roman" w:hAnsi="Times New Roman" w:cs="Times New Roman"/>
                <w:color w:val="auto"/>
                <w:sz w:val="24"/>
              </w:rPr>
              <w:t>。矿产资源勘查开发利用现状</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0"/>
                <w:sz w:val="24"/>
                <w:szCs w:val="24"/>
                <w:lang w:val="en-US" w:eastAsia="zh-CN" w:bidi="ar-SA"/>
              </w:rPr>
              <w:t>截至2020年底，新疆共有探矿权2276个，采矿权2966个。勘查开发矿种以石油、天然气、煤、铁、锰、铜镍、铅锌、金、花岗岩（饰面用）、水泥用灰岩、建筑用砂等为主。2020年开采矿石总量6.8亿吨，采矿业及下游产业工业总产值5971亿元，约占全疆生产总值的43%。全区形成了准噶尔—塔里木—吐哈石油天然气、准东—吐哈—伊犁—库拜煤炭、新源—和静铁矿、阿克陶锰矿、哈密—富蕴—哈巴河铜镍矿、乌恰铅锌矿、伊宁—塔城—哈密金矿、罗布泊钾盐等一批矿业核心区，培育了一批具有较强经济实力和市场竞争力的矿业集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新疆维吾尔自治区昌吉回族自治州奇台县境内，石钱302平台井区涉及的矿权登记名称为“新疆准噶尔盆地东部大井凹陷油气勘查”，许可证号“T1000002022081018001155”，有效期限：2022年2月17日至2027年2月16日，区块范围：东经89°25′05.530″~90°10′03.720″，北纬44°35′00.830″~44°50′20.160″，属于自治区鼓励勘探开发的矿种</w:t>
            </w:r>
            <w:r>
              <w:rPr>
                <w:rFonts w:hint="default" w:ascii="Times New Roman" w:hAnsi="Times New Roman" w:cs="Times New Roman"/>
                <w:color w:val="auto"/>
                <w:sz w:val="24"/>
                <w:lang w:val="en-US" w:eastAsia="zh-CN"/>
              </w:rPr>
              <w:t>和区块</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rPr>
              <w:t>因此，本项目的建设符合《</w:t>
            </w:r>
            <w:r>
              <w:rPr>
                <w:rFonts w:hint="default" w:ascii="Times New Roman" w:hAnsi="Times New Roman" w:cs="Times New Roman"/>
                <w:color w:val="auto"/>
                <w:kern w:val="0"/>
                <w:sz w:val="24"/>
                <w:lang w:val="en-US" w:eastAsia="zh-CN"/>
              </w:rPr>
              <w:t>新疆维吾尔自治区矿产资源总体规划（2021-2025年）》</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rPr>
              <w:t>要求。</w:t>
            </w:r>
          </w:p>
          <w:p>
            <w:pPr>
              <w:keepNext w:val="0"/>
              <w:keepLines w:val="0"/>
              <w:pageBreakBefore w:val="0"/>
              <w:kinsoku/>
              <w:wordWrap/>
              <w:overflowPunct/>
              <w:topLinePunct w:val="0"/>
              <w:autoSpaceDE/>
              <w:autoSpaceDN/>
              <w:bidi w:val="0"/>
              <w:adjustRightInd/>
              <w:snapToGrid/>
              <w:spacing w:line="360" w:lineRule="auto"/>
              <w:ind w:firstLine="723" w:firstLineChars="300"/>
              <w:jc w:val="both"/>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与《</w:t>
            </w:r>
            <w:r>
              <w:rPr>
                <w:rFonts w:hint="default" w:ascii="Times New Roman" w:hAnsi="Times New Roman" w:cs="Times New Roman"/>
                <w:b/>
                <w:color w:val="auto"/>
                <w:sz w:val="24"/>
                <w:lang w:val="en-US" w:eastAsia="zh-CN"/>
              </w:rPr>
              <w:t>新疆维吾尔自治区矿产资源总体规划（2021-2025年）环境影响报告书</w:t>
            </w:r>
            <w:r>
              <w:rPr>
                <w:rFonts w:hint="default" w:ascii="Times New Roman" w:hAnsi="Times New Roman" w:cs="Times New Roman"/>
                <w:b/>
                <w:color w:val="auto"/>
                <w:sz w:val="24"/>
              </w:rPr>
              <w:t>》相符性分析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环准噶尔能源资源勘查开发区。行政区主要包括阿勒泰地区南部、昌吉州、塔城地区东部山前及沙漠腹地。区内重点加强准噶尔南缘、准东冲断带等地区石油、天然气勘查，提供3－5个油气远景区，圈定8－10个油气区块；加快玛湖、吉木萨尔、准噶尔盆地南缘等大型油气田建设，促进增储上产，支撑克拉玛依、吉木萨尔油气能源资源基地建设。开展准噶尔南缘页岩气、油砂、油页岩等非常规能源勘查，加强非常规能源开发利用，提供勘查开发基地3－4处。有序开发准东、准南等地区煤炭、煤层气资源，形成煤层气勘查开发基地3－5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SA"/>
              </w:rPr>
              <w:t>重点勘查开采矿种：石油、天然气、页岩气、煤层气、煤、地热等能源矿产，铁、锰、铜、镍、钴、铅锌、锂、铍、金等金属矿产，以及钾盐、萤石、硅质原料等非金属矿产。</w:t>
            </w:r>
          </w:p>
          <w:p>
            <w:pPr>
              <w:pStyle w:val="59"/>
              <w:spacing w:line="360" w:lineRule="auto"/>
              <w:ind w:firstLine="480"/>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bidi="ar-SA"/>
              </w:rPr>
              <w:t>本项目位于新疆维吾尔自治区昌吉回族自治州奇台县境内，属于环准格尔能源资源勘查开发区。石油、天然气属于自治区重点勘查开采矿种。因此，本项目与《新疆维吾尔自治区矿产资源总体规划（2021-2025年）环境影响报告书》内容相符</w:t>
            </w:r>
            <w:r>
              <w:rPr>
                <w:rFonts w:hint="default" w:ascii="Times New Roman" w:hAnsi="Times New Roman" w:cs="Times New Roman"/>
                <w:color w:val="auto"/>
                <w:sz w:val="24"/>
              </w:rPr>
              <w:t>。</w:t>
            </w: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269" w:hRule="atLeast"/>
          <w:jc w:val="center"/>
        </w:trPr>
        <w:tc>
          <w:tcPr>
            <w:tcW w:w="41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p>
        </w:tc>
        <w:tc>
          <w:tcPr>
            <w:tcW w:w="1701" w:type="dxa"/>
            <w:gridSpan w:val="2"/>
            <w:tcMar>
              <w:top w:w="16" w:type="dxa"/>
              <w:left w:w="16" w:type="dxa"/>
              <w:right w:w="16" w:type="dxa"/>
            </w:tcMar>
            <w:vAlign w:val="center"/>
          </w:tcPr>
          <w:p>
            <w:pPr>
              <w:pStyle w:val="59"/>
              <w:snapToGrid w:val="0"/>
              <w:spacing w:line="300" w:lineRule="exact"/>
              <w:ind w:firstLine="0" w:firstLineChars="0"/>
              <w:jc w:val="center"/>
              <w:rPr>
                <w:rFonts w:hint="default" w:ascii="Times New Roman" w:hAnsi="Times New Roman" w:eastAsia="宋体" w:cs="Times New Roman"/>
                <w:color w:val="000000" w:themeColor="text1"/>
                <w:kern w:val="2"/>
                <w:lang w:val="en-US" w:eastAsia="zh-CN"/>
                <w14:textFill>
                  <w14:solidFill>
                    <w14:schemeClr w14:val="tx1"/>
                  </w14:solidFill>
                </w14:textFill>
              </w:rPr>
            </w:pPr>
            <w:r>
              <w:rPr>
                <w:rFonts w:hint="default" w:ascii="Times New Roman" w:hAnsi="Times New Roman" w:cs="Times New Roman"/>
                <w:color w:val="000000" w:themeColor="text1"/>
                <w:kern w:val="2"/>
                <w:lang w:val="en-US" w:eastAsia="zh-CN"/>
                <w14:textFill>
                  <w14:solidFill>
                    <w14:schemeClr w14:val="tx1"/>
                  </w14:solidFill>
                </w14:textFill>
              </w:rPr>
              <w:t>其他相符性分析</w:t>
            </w:r>
          </w:p>
        </w:tc>
        <w:tc>
          <w:tcPr>
            <w:tcW w:w="652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bookmarkStart w:id="4" w:name="_Hlk129683731"/>
            <w:bookmarkStart w:id="5" w:name="_Hlk129689815"/>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cs="Times New Roman"/>
                <w:b/>
                <w:bCs/>
                <w:color w:val="auto"/>
                <w:sz w:val="24"/>
              </w:rPr>
              <w:t>、</w:t>
            </w:r>
            <w:r>
              <w:rPr>
                <w:rFonts w:hint="default" w:ascii="Times New Roman" w:hAnsi="Times New Roman" w:eastAsia="宋体" w:cs="Times New Roman"/>
                <w:b/>
                <w:bCs/>
                <w:color w:val="000000"/>
                <w:kern w:val="0"/>
                <w:sz w:val="24"/>
                <w:szCs w:val="24"/>
                <w:lang w:val="en-US" w:eastAsia="zh-CN" w:bidi="ar"/>
              </w:rPr>
              <w:t>产业政策符合性分析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石油天然气勘探是当前国民经济的重要基础产业和支柱产业，本项目为油气资源勘探项目，根据国家发展改革委颁布的《产业结构调整指导目录（2019年本）》和《国家发展改革委关于修改产业结构调整指导目录（2019年本）的决定》的有关规定，本项目属于第一类“鼓励类”第七项“石油、天然气”第1条“常规石油、天然气勘探与开采”，符合国家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2、与《昌吉回族自治州“三线一单”生态环境分区管控方案及生态环境准入清单》（昌州政办发〔2021〕41号）相符性分析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根据《昌吉回族自治州“三线一单”生态环境分区管控方案及生态环境准入清单》（昌州政办发〔2021〕41号），本项目属于</w:t>
            </w:r>
            <w:r>
              <w:rPr>
                <w:rFonts w:hint="eastAsia" w:cs="Times New Roman"/>
                <w:color w:val="000000"/>
                <w:kern w:val="0"/>
                <w:sz w:val="24"/>
                <w:szCs w:val="24"/>
                <w:lang w:val="en-US" w:eastAsia="zh-CN" w:bidi="ar"/>
              </w:rPr>
              <w:t>重点管控单元-大井露天矿区（东）</w:t>
            </w:r>
            <w:r>
              <w:rPr>
                <w:rFonts w:hint="default" w:ascii="Times New Roman" w:hAnsi="Times New Roman" w:eastAsia="宋体" w:cs="Times New Roman"/>
                <w:color w:val="000000"/>
                <w:kern w:val="0"/>
                <w:sz w:val="24"/>
                <w:szCs w:val="24"/>
                <w:lang w:val="en-US" w:eastAsia="zh-CN" w:bidi="ar"/>
              </w:rPr>
              <w:t>，不在划定的生态保护红线范围内，环境管控单元编码为</w:t>
            </w:r>
            <w:r>
              <w:rPr>
                <w:rFonts w:hint="eastAsia" w:cs="Times New Roman"/>
                <w:color w:val="000000"/>
                <w:kern w:val="0"/>
                <w:sz w:val="24"/>
                <w:szCs w:val="24"/>
                <w:lang w:val="en-US" w:eastAsia="zh-CN" w:bidi="ar"/>
              </w:rPr>
              <w:t>ZH65232520015</w:t>
            </w:r>
            <w:r>
              <w:rPr>
                <w:rFonts w:hint="default" w:ascii="Times New Roman" w:hAnsi="Times New Roman" w:eastAsia="宋体" w:cs="Times New Roman"/>
                <w:color w:val="000000"/>
                <w:kern w:val="0"/>
                <w:sz w:val="24"/>
                <w:szCs w:val="24"/>
                <w:lang w:val="en-US" w:eastAsia="zh-CN" w:bidi="ar"/>
              </w:rPr>
              <w:t>，具体划分见附图1。</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与“昌吉回族自治州“三线一单”生态环境分区管控方案及生态环境准入清单”符合性分析一览表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
              <w:gridCol w:w="690"/>
              <w:gridCol w:w="2715"/>
              <w:gridCol w:w="1621"/>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管控单元名称</w:t>
                  </w:r>
                </w:p>
              </w:tc>
              <w:tc>
                <w:tcPr>
                  <w:tcW w:w="2661" w:type="pct"/>
                  <w:gridSpan w:val="2"/>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管控要求</w:t>
                  </w:r>
                </w:p>
              </w:tc>
              <w:tc>
                <w:tcPr>
                  <w:tcW w:w="126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项目情况</w:t>
                  </w:r>
                </w:p>
              </w:tc>
              <w:tc>
                <w:tcPr>
                  <w:tcW w:w="37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大井露天矿区（东）</w:t>
                  </w:r>
                  <w:r>
                    <w:rPr>
                      <w:rFonts w:hint="default" w:ascii="Times New Roman" w:hAnsi="Times New Roman" w:cs="Times New Roman"/>
                      <w:color w:val="auto"/>
                      <w:szCs w:val="21"/>
                      <w:lang w:val="en-US" w:eastAsia="zh-CN"/>
                    </w:rPr>
                    <w:t>ZH65232520015</w:t>
                  </w: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执行自治区总体准入要求中关于重点管控单元空间布局约束的准入要求（表2-3 A6.1）。</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2、禁止新建煤层含硫量大于3%的煤矿</w:t>
                  </w:r>
                </w:p>
              </w:tc>
              <w:tc>
                <w:tcPr>
                  <w:tcW w:w="1267"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不属于“高污染、高环境风险产品”的工业项目；不涉及表2-3 A6.1中的相关要求。</w:t>
                  </w:r>
                </w:p>
              </w:tc>
              <w:tc>
                <w:tcPr>
                  <w:tcW w:w="37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continue"/>
                  <w:noWrap w:val="0"/>
                  <w:vAlign w:val="center"/>
                </w:tcPr>
                <w:p>
                  <w:pPr>
                    <w:adjustRightInd w:val="0"/>
                    <w:snapToGrid w:val="0"/>
                    <w:jc w:val="center"/>
                    <w:rPr>
                      <w:rFonts w:hint="default" w:ascii="Times New Roman" w:hAnsi="Times New Roman" w:cs="Times New Roman"/>
                      <w:bCs/>
                      <w:color w:val="auto"/>
                      <w:szCs w:val="21"/>
                    </w:rPr>
                  </w:pP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1、执行自治区总体准入要求中关于重点管控单元污染物排放管控的准入要求（表2</w:t>
                  </w:r>
                  <w:r>
                    <w:rPr>
                      <w:rFonts w:hint="eastAsia" w:cs="Times New Roman"/>
                      <w:color w:val="auto"/>
                      <w:szCs w:val="21"/>
                      <w:lang w:val="en-US" w:eastAsia="zh-CN"/>
                    </w:rPr>
                    <w:t>-</w:t>
                  </w:r>
                  <w:r>
                    <w:rPr>
                      <w:rFonts w:hint="default" w:ascii="Times New Roman" w:hAnsi="Times New Roman" w:cs="Times New Roman"/>
                      <w:color w:val="auto"/>
                      <w:szCs w:val="21"/>
                    </w:rPr>
                    <w:t>3</w:t>
                  </w:r>
                  <w:r>
                    <w:rPr>
                      <w:rFonts w:hint="eastAsia" w:cs="Times New Roman"/>
                      <w:color w:val="auto"/>
                      <w:szCs w:val="21"/>
                      <w:lang w:val="en-US" w:eastAsia="zh-CN"/>
                    </w:rPr>
                    <w:t xml:space="preserve"> </w:t>
                  </w:r>
                  <w:r>
                    <w:rPr>
                      <w:rFonts w:hint="default" w:ascii="Times New Roman" w:hAnsi="Times New Roman" w:cs="Times New Roman"/>
                      <w:color w:val="auto"/>
                      <w:szCs w:val="21"/>
                    </w:rPr>
                    <w:t>A6.2）</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2、所有矿山企业均应对照《矿山生态环境保护与恢复治理技术规范（试行）》（HJ 651-2013）中各项要求，编制实施矿山生态环境保护与恢复治理方案。</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3、煤矸石无害化处置率达到100%。露天矿的剥离物集中排入排土场，处置率达100%。煤矸石堆场的建设及运营应符合《一般工业固体废弃物贮存、处置场污染控制标准》（GB18599）的有关要求。煤矸石为Ⅱ类一般工业固废的，其堆场采取防渗技术措施。生活垃圾实现100%无害化处置。</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4、建立矿山生产全过程能耗核算体系，通过采取节能减排措施，控制并减少单位产品能耗、物耗、水耗，减少“三废”排放。</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5、采矿产生的固体废物，应在专用场所堆放，并采取措施防止二次污染。</w:t>
                  </w:r>
                </w:p>
              </w:tc>
              <w:tc>
                <w:tcPr>
                  <w:tcW w:w="1267" w:type="pct"/>
                  <w:noWrap w:val="0"/>
                  <w:vAlign w:val="center"/>
                </w:tcPr>
                <w:p>
                  <w:pPr>
                    <w:adjustRightInd w:val="0"/>
                    <w:snapToGrid w:val="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钻试周期短且无运营期，不提出总量控制指标；钻井过程中使用水泥固井，用套管将含水层与井筒分隔开，井场重点区域均采取了符合规范的防渗措施，不会对土壤和地下水环境产生不利影响；不涉及表2-3 A6.2中的相关要求。井场设钻井液不落地设备，钻井</w:t>
                  </w:r>
                  <w:r>
                    <w:rPr>
                      <w:rFonts w:hint="default" w:ascii="Times New Roman" w:hAnsi="Times New Roman" w:cs="Times New Roman"/>
                      <w:bCs/>
                      <w:color w:val="auto"/>
                      <w:szCs w:val="21"/>
                      <w:lang w:val="en-US" w:eastAsia="zh-CN"/>
                    </w:rPr>
                    <w:t>一开</w:t>
                  </w:r>
                  <w:r>
                    <w:rPr>
                      <w:rFonts w:hint="default" w:ascii="Times New Roman" w:hAnsi="Times New Roman" w:cs="Times New Roman"/>
                      <w:bCs/>
                      <w:color w:val="auto"/>
                      <w:szCs w:val="21"/>
                    </w:rPr>
                    <w:t>采用水基钻井液，</w:t>
                  </w:r>
                  <w:r>
                    <w:rPr>
                      <w:rFonts w:hint="default" w:ascii="Times New Roman" w:hAnsi="Times New Roman" w:cs="Times New Roman"/>
                      <w:bCs/>
                      <w:color w:val="auto"/>
                      <w:szCs w:val="21"/>
                      <w:lang w:val="en-US" w:eastAsia="zh-CN"/>
                    </w:rPr>
                    <w:t>二开采用油基钻井液；</w:t>
                  </w:r>
                  <w:r>
                    <w:rPr>
                      <w:rFonts w:hint="default" w:ascii="Times New Roman" w:hAnsi="Times New Roman" w:cs="Times New Roman"/>
                      <w:bCs/>
                      <w:color w:val="auto"/>
                      <w:szCs w:val="21"/>
                    </w:rPr>
                    <w:t>分离出的液相回用于钻井，</w:t>
                  </w:r>
                  <w:r>
                    <w:rPr>
                      <w:rFonts w:hint="default" w:ascii="Times New Roman" w:hAnsi="Times New Roman" w:cs="Times New Roman"/>
                      <w:bCs/>
                      <w:color w:val="auto"/>
                      <w:szCs w:val="21"/>
                      <w:lang w:val="en-US" w:eastAsia="zh-CN"/>
                    </w:rPr>
                    <w:t>水基</w:t>
                  </w:r>
                  <w:r>
                    <w:rPr>
                      <w:rFonts w:hint="default" w:ascii="Times New Roman" w:hAnsi="Times New Roman" w:cs="Times New Roman"/>
                      <w:bCs/>
                      <w:color w:val="auto"/>
                      <w:szCs w:val="21"/>
                    </w:rPr>
                    <w:t>岩屑实现无害化处置，</w:t>
                  </w:r>
                  <w:r>
                    <w:rPr>
                      <w:rFonts w:hint="default" w:ascii="Times New Roman" w:hAnsi="Times New Roman" w:cs="Times New Roman"/>
                      <w:bCs/>
                      <w:color w:val="auto"/>
                      <w:szCs w:val="21"/>
                      <w:lang w:val="en-US" w:eastAsia="zh-CN"/>
                    </w:rPr>
                    <w:t>油基钻井岩屑和废弃油基钻井泥浆委托有资质的单位进行处置</w:t>
                  </w:r>
                  <w:r>
                    <w:rPr>
                      <w:rFonts w:hint="eastAsia" w:cs="Times New Roman"/>
                      <w:bCs/>
                      <w:color w:val="auto"/>
                      <w:szCs w:val="21"/>
                      <w:lang w:val="en-US" w:eastAsia="zh-CN"/>
                    </w:rPr>
                    <w:t>。</w:t>
                  </w:r>
                </w:p>
              </w:tc>
              <w:tc>
                <w:tcPr>
                  <w:tcW w:w="379" w:type="pct"/>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continue"/>
                  <w:noWrap w:val="0"/>
                  <w:vAlign w:val="center"/>
                </w:tcPr>
                <w:p>
                  <w:pPr>
                    <w:adjustRightInd w:val="0"/>
                    <w:snapToGrid w:val="0"/>
                    <w:jc w:val="center"/>
                    <w:rPr>
                      <w:rFonts w:hint="default" w:ascii="Times New Roman" w:hAnsi="Times New Roman" w:cs="Times New Roman"/>
                      <w:bCs/>
                      <w:color w:val="auto"/>
                      <w:szCs w:val="21"/>
                    </w:rPr>
                  </w:pP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1、执行自治区总体准入要求中关于重点管控单元环境风险防控的准入要求（表2-3 A6.3）。</w:t>
                  </w:r>
                </w:p>
              </w:tc>
              <w:tc>
                <w:tcPr>
                  <w:tcW w:w="1267" w:type="pct"/>
                  <w:noWrap w:val="0"/>
                  <w:vAlign w:val="center"/>
                </w:tcPr>
                <w:p>
                  <w:pPr>
                    <w:adjustRightInd w:val="0"/>
                    <w:snapToGrid w:val="0"/>
                    <w:jc w:val="left"/>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项目在实施过程中的环境管理执行</w:t>
                  </w:r>
                  <w:r>
                    <w:rPr>
                      <w:rFonts w:hint="default" w:ascii="Times New Roman" w:hAnsi="Times New Roman" w:cs="Times New Roman"/>
                      <w:lang w:eastAsia="zh-CN"/>
                    </w:rPr>
                    <w:t>中国石油天然气股份有限公司吐哈油田分公司</w:t>
                  </w:r>
                  <w:r>
                    <w:rPr>
                      <w:rFonts w:hint="default" w:ascii="Times New Roman" w:hAnsi="Times New Roman" w:cs="Times New Roman"/>
                      <w:snapToGrid w:val="0"/>
                      <w:color w:val="auto"/>
                      <w:kern w:val="0"/>
                      <w:szCs w:val="21"/>
                    </w:rPr>
                    <w:t>已建立的健康、安全与环境管理体系(HSE管理体系），钻试期均纳入《</w:t>
                  </w:r>
                  <w:r>
                    <w:rPr>
                      <w:rFonts w:hint="default" w:ascii="Times New Roman" w:hAnsi="Times New Roman" w:cs="Times New Roman"/>
                      <w:snapToGrid w:val="0"/>
                      <w:color w:val="auto"/>
                      <w:kern w:val="0"/>
                      <w:szCs w:val="21"/>
                      <w:lang w:eastAsia="zh-CN"/>
                    </w:rPr>
                    <w:t>中国石油天然气股份有限公司吐哈油田分公司</w:t>
                  </w:r>
                  <w:r>
                    <w:rPr>
                      <w:rFonts w:hint="default" w:ascii="Times New Roman" w:hAnsi="Times New Roman" w:cs="Times New Roman"/>
                      <w:lang w:eastAsia="zh-CN"/>
                    </w:rPr>
                    <w:t>勘探开发项目经理部</w:t>
                  </w:r>
                  <w:r>
                    <w:rPr>
                      <w:rFonts w:hint="default" w:ascii="Times New Roman" w:hAnsi="Times New Roman" w:cs="Times New Roman"/>
                      <w:snapToGrid w:val="0"/>
                      <w:color w:val="auto"/>
                      <w:kern w:val="0"/>
                      <w:szCs w:val="21"/>
                    </w:rPr>
                    <w:t>突发环境事件应急预案》，符合表2-3 A6.3中的相关要求。</w:t>
                  </w:r>
                </w:p>
              </w:tc>
              <w:tc>
                <w:tcPr>
                  <w:tcW w:w="379" w:type="pct"/>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continue"/>
                  <w:noWrap w:val="0"/>
                  <w:vAlign w:val="center"/>
                </w:tcPr>
                <w:p>
                  <w:pPr>
                    <w:adjustRightInd w:val="0"/>
                    <w:snapToGrid w:val="0"/>
                    <w:jc w:val="center"/>
                    <w:rPr>
                      <w:rFonts w:hint="default" w:ascii="Times New Roman" w:hAnsi="Times New Roman" w:cs="Times New Roman"/>
                      <w:bCs/>
                      <w:color w:val="auto"/>
                      <w:szCs w:val="21"/>
                    </w:rPr>
                  </w:pP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资源利用效率</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1、执行自治区总体准入要求中关于重点管控单元资源利用效率的准入要求（表2-3 A6.4）。</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2、采煤用水定额不高于0.2立方米/吨，选煤用水定额不高于0.1立方米/吨。</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3、矿井水综合利用率应达到100%。</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4、优化采煤、洗选技术和工艺，加强综合利用，减少煤矸石、煤泥等固体废弃物的排放。</w:t>
                  </w:r>
                </w:p>
              </w:tc>
              <w:tc>
                <w:tcPr>
                  <w:tcW w:w="1267" w:type="pct"/>
                  <w:noWrap w:val="0"/>
                  <w:vAlign w:val="center"/>
                </w:tcPr>
                <w:p>
                  <w:pPr>
                    <w:adjustRightInd w:val="0"/>
                    <w:snapToGrid w:val="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新鲜水用量少且就近拉运，不开采地下水；不涉及表2-3A6.4中的相关要求。</w:t>
                  </w:r>
                </w:p>
              </w:tc>
              <w:tc>
                <w:tcPr>
                  <w:tcW w:w="379" w:type="pct"/>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符合</w:t>
                  </w:r>
                </w:p>
              </w:tc>
            </w:tr>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3</w:t>
            </w:r>
            <w:r>
              <w:rPr>
                <w:rFonts w:hint="default" w:ascii="Times New Roman" w:hAnsi="Times New Roman" w:cs="Times New Roman"/>
                <w:b/>
                <w:color w:val="000000"/>
                <w:szCs w:val="20"/>
              </w:rPr>
              <w:t>、与《石油天然气开采业污染防治技术政策》符合性分析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 xml:space="preserve">    与《石油天然气开采业污染防治技术政策》的相符性分析</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8"/>
              <w:gridCol w:w="2831"/>
              <w:gridCol w:w="2694"/>
              <w:gridCol w:w="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213"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《技术政策》中相关规定</w:t>
                  </w:r>
                </w:p>
              </w:tc>
              <w:tc>
                <w:tcPr>
                  <w:tcW w:w="2106"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在钻井过程中，鼓励采用环境友好的钻井液体系；配备完善的固控设备，钻井液循环率达到95%以上；钻井过程产生的废水应回用</w:t>
                  </w:r>
                </w:p>
              </w:tc>
              <w:tc>
                <w:tcPr>
                  <w:tcW w:w="2106" w:type="pct"/>
                  <w:tcMar>
                    <w:left w:w="0" w:type="dxa"/>
                    <w:right w:w="0" w:type="dxa"/>
                  </w:tcMar>
                  <w:vAlign w:val="center"/>
                </w:tcPr>
                <w:p>
                  <w:pPr>
                    <w:pStyle w:val="57"/>
                    <w:spacing w:before="24" w:after="24"/>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auto"/>
                    </w:rPr>
                    <w:t>井场设钻井液不落地设备，钻井</w:t>
                  </w:r>
                  <w:r>
                    <w:rPr>
                      <w:rFonts w:hint="eastAsia" w:ascii="Times New Roman" w:hAnsi="Times New Roman" w:cs="Times New Roman"/>
                      <w:color w:val="auto"/>
                      <w:lang w:val="en-US" w:eastAsia="zh-CN"/>
                    </w:rPr>
                    <w:t>一开</w:t>
                  </w:r>
                  <w:r>
                    <w:rPr>
                      <w:rFonts w:hint="default" w:ascii="Times New Roman" w:hAnsi="Times New Roman" w:cs="Times New Roman"/>
                      <w:color w:val="auto"/>
                    </w:rPr>
                    <w:t>采用水基钻井液，</w:t>
                  </w:r>
                  <w:r>
                    <w:rPr>
                      <w:rFonts w:hint="eastAsia" w:ascii="Times New Roman" w:hAnsi="Times New Roman" w:cs="Times New Roman"/>
                      <w:color w:val="auto"/>
                      <w:lang w:val="en-US" w:eastAsia="zh-CN"/>
                    </w:rPr>
                    <w:t>二开采用油基钻井液；</w:t>
                  </w:r>
                  <w:r>
                    <w:rPr>
                      <w:rFonts w:hint="default" w:ascii="Times New Roman" w:hAnsi="Times New Roman" w:cs="Times New Roman"/>
                      <w:color w:val="auto"/>
                    </w:rPr>
                    <w:t>分离出的液相回用于钻井，</w:t>
                  </w:r>
                  <w:r>
                    <w:rPr>
                      <w:rFonts w:hint="eastAsia" w:ascii="Times New Roman" w:hAnsi="Times New Roman" w:cs="Times New Roman"/>
                      <w:color w:val="auto"/>
                      <w:lang w:val="en-US" w:eastAsia="zh-CN"/>
                    </w:rPr>
                    <w:t>水基</w:t>
                  </w:r>
                  <w:r>
                    <w:rPr>
                      <w:rFonts w:hint="default" w:ascii="Times New Roman" w:hAnsi="Times New Roman" w:cs="Times New Roman"/>
                      <w:color w:val="auto"/>
                    </w:rPr>
                    <w:t>岩屑实现无害化处置，</w:t>
                  </w:r>
                  <w:r>
                    <w:rPr>
                      <w:rFonts w:hint="eastAsia" w:ascii="Times New Roman" w:hAnsi="Times New Roman" w:cs="Times New Roman"/>
                      <w:color w:val="auto"/>
                      <w:lang w:val="en-US" w:eastAsia="zh-CN"/>
                    </w:rPr>
                    <w:t>油基钻井岩屑和废弃油基钻井泥浆委托有资质的单位进行处置；</w:t>
                  </w:r>
                  <w:r>
                    <w:rPr>
                      <w:rFonts w:hint="default" w:ascii="Times New Roman" w:hAnsi="Times New Roman" w:cs="Times New Roman"/>
                      <w:color w:val="000000" w:themeColor="text1"/>
                      <w14:textFill>
                        <w14:solidFill>
                          <w14:schemeClr w14:val="tx1"/>
                        </w14:solidFill>
                      </w14:textFill>
                    </w:rPr>
                    <w:t>钻井过程无废水产生；试油废水由专用罐车拉运至</w:t>
                  </w:r>
                  <w:r>
                    <w:rPr>
                      <w:rFonts w:hint="default" w:ascii="Times New Roman" w:hAnsi="Times New Roman" w:cs="Times New Roman"/>
                      <w:color w:val="000000" w:themeColor="text1"/>
                      <w:lang w:eastAsia="zh-CN"/>
                      <w14:textFill>
                        <w14:solidFill>
                          <w14:schemeClr w14:val="tx1"/>
                        </w14:solidFill>
                      </w14:textFill>
                    </w:rPr>
                    <w:t>吉祥联合站</w:t>
                  </w:r>
                  <w:r>
                    <w:rPr>
                      <w:rFonts w:hint="default" w:ascii="Times New Roman" w:hAnsi="Times New Roman" w:cs="Times New Roman"/>
                      <w:color w:val="000000" w:themeColor="text1"/>
                      <w14:textFill>
                        <w14:solidFill>
                          <w14:schemeClr w14:val="tx1"/>
                        </w14:solidFill>
                      </w14:textFill>
                    </w:rPr>
                    <w:t>采出水处理系统进行处理</w:t>
                  </w:r>
                  <w:r>
                    <w:rPr>
                      <w:rFonts w:hint="eastAsia" w:ascii="Times New Roman" w:hAnsi="Times New Roman" w:cs="Times New Roman"/>
                      <w:color w:val="000000" w:themeColor="text1"/>
                      <w:lang w:eastAsia="zh-CN"/>
                      <w14:textFill>
                        <w14:solidFill>
                          <w14:schemeClr w14:val="tx1"/>
                        </w14:solidFill>
                      </w14:textFill>
                    </w:rPr>
                    <w:t>。</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在钻井和井下作业过程中，鼓励污油、污水进入生产流程循环利用，未进入生产流程的污油、污水应采用固液分离、废水处理一体化装置等处理后达标外排</w:t>
                  </w:r>
                </w:p>
              </w:tc>
              <w:tc>
                <w:tcPr>
                  <w:tcW w:w="2106" w:type="pct"/>
                  <w:tcMar>
                    <w:left w:w="0" w:type="dxa"/>
                    <w:right w:w="0" w:type="dxa"/>
                  </w:tcMar>
                  <w:vAlign w:val="center"/>
                </w:tcPr>
                <w:p>
                  <w:pPr>
                    <w:pStyle w:val="57"/>
                    <w:spacing w:before="24" w:after="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井场设钻井液不落地设备，分离出的液相回用于钻井；钻井过程无废水产生，试油过程产生的试油废水由专用罐收集，拉运至</w:t>
                  </w:r>
                  <w:r>
                    <w:rPr>
                      <w:rFonts w:hint="default" w:ascii="Times New Roman" w:hAnsi="Times New Roman" w:cs="Times New Roman"/>
                      <w:color w:val="000000" w:themeColor="text1"/>
                      <w:lang w:eastAsia="zh-CN"/>
                      <w14:textFill>
                        <w14:solidFill>
                          <w14:schemeClr w14:val="tx1"/>
                        </w14:solidFill>
                      </w14:textFill>
                    </w:rPr>
                    <w:t>吉祥联合站</w:t>
                  </w:r>
                  <w:r>
                    <w:rPr>
                      <w:rFonts w:hint="default" w:ascii="Times New Roman" w:hAnsi="Times New Roman" w:cs="Times New Roman"/>
                      <w:color w:val="000000" w:themeColor="text1"/>
                      <w14:textFill>
                        <w14:solidFill>
                          <w14:schemeClr w14:val="tx1"/>
                        </w14:solidFill>
                      </w14:textFill>
                    </w:rPr>
                    <w:t>采出水处理系统进行处理，不外排</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4"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106"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本项目在压裂过程中不使用酸化压裂液，压裂结束后压裂返排液与其他采出物一同进入地面方罐，由专用罐车拉运至</w:t>
                  </w:r>
                  <w:r>
                    <w:rPr>
                      <w:rFonts w:hint="default" w:ascii="Times New Roman" w:hAnsi="Times New Roman" w:cs="Times New Roman"/>
                      <w:color w:val="000000" w:themeColor="text1"/>
                      <w:spacing w:val="-3"/>
                      <w:lang w:eastAsia="zh-CN"/>
                      <w14:textFill>
                        <w14:solidFill>
                          <w14:schemeClr w14:val="tx1"/>
                        </w14:solidFill>
                      </w14:textFill>
                    </w:rPr>
                    <w:t>吉祥联合站</w:t>
                  </w:r>
                  <w:r>
                    <w:rPr>
                      <w:rFonts w:hint="default" w:ascii="Times New Roman" w:hAnsi="Times New Roman" w:cs="Times New Roman"/>
                      <w:color w:val="000000" w:themeColor="text1"/>
                      <w:spacing w:val="-3"/>
                      <w14:textFill>
                        <w14:solidFill>
                          <w14:schemeClr w14:val="tx1"/>
                        </w14:solidFill>
                      </w14:textFill>
                    </w:rPr>
                    <w:t>处理</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4</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固体废物收集、贮存、处理处置设施应按照标准要求采取防渗措施</w:t>
                  </w:r>
                </w:p>
              </w:tc>
              <w:tc>
                <w:tcPr>
                  <w:tcW w:w="2106"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钻井液不落地设备分理出的水基钻井液进岩屑专用方罐，</w:t>
                  </w:r>
                  <w:r>
                    <w:rPr>
                      <w:rFonts w:hint="default" w:ascii="Times New Roman" w:hAnsi="Times New Roman" w:cs="Times New Roman"/>
                      <w:color w:val="000000" w:themeColor="text1"/>
                      <w:spacing w:val="-3"/>
                      <w:lang w:val="en-US" w:eastAsia="zh-CN"/>
                      <w14:textFill>
                        <w14:solidFill>
                          <w14:schemeClr w14:val="tx1"/>
                        </w14:solidFill>
                      </w14:textFill>
                    </w:rPr>
                    <w:t>水基</w:t>
                  </w:r>
                  <w:r>
                    <w:rPr>
                      <w:rFonts w:hint="default" w:ascii="Times New Roman" w:hAnsi="Times New Roman" w:cs="Times New Roman"/>
                      <w:color w:val="000000" w:themeColor="text1"/>
                      <w:spacing w:val="-3"/>
                      <w14:textFill>
                        <w14:solidFill>
                          <w14:schemeClr w14:val="tx1"/>
                        </w14:solidFill>
                      </w14:textFill>
                    </w:rPr>
                    <w:t>岩屑实现无害化处置，</w:t>
                  </w:r>
                  <w:r>
                    <w:rPr>
                      <w:rFonts w:hint="default" w:ascii="Times New Roman" w:hAnsi="Times New Roman" w:cs="Times New Roman"/>
                      <w:color w:val="000000" w:themeColor="text1"/>
                      <w:spacing w:val="-3"/>
                      <w:lang w:val="en-US" w:eastAsia="zh-CN"/>
                      <w14:textFill>
                        <w14:solidFill>
                          <w14:schemeClr w14:val="tx1"/>
                        </w14:solidFill>
                      </w14:textFill>
                    </w:rPr>
                    <w:t>油基钻井岩屑和废弃油基钻井泥浆委托有资质的单位进行处置</w:t>
                  </w:r>
                  <w:r>
                    <w:rPr>
                      <w:rFonts w:hint="default" w:ascii="Times New Roman" w:hAnsi="Times New Roman" w:cs="Times New Roman"/>
                    </w:rPr>
                    <w:t>，满足相关要求后进行综合利用；废防渗材料委托具有相应危险废物处置资质的单位处置。</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5</w:t>
                  </w:r>
                </w:p>
              </w:tc>
              <w:tc>
                <w:tcPr>
                  <w:tcW w:w="2213" w:type="pct"/>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106" w:type="pct"/>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本项目归属</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管辖，项目实施后需纳入《中国石油天然气股份有限公司吐哈油田分公司准东勘探开发项目经理部突发环境事件应急预案》</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bookmarkEnd w:id="4"/>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4</w:t>
            </w:r>
            <w:r>
              <w:rPr>
                <w:rFonts w:hint="default" w:ascii="Times New Roman" w:hAnsi="Times New Roman" w:cs="Times New Roman"/>
                <w:b/>
                <w:color w:val="000000"/>
                <w:szCs w:val="20"/>
              </w:rPr>
              <w:t>、与《新疆生态环境保护“十四五”规划》符合性分析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 xml:space="preserve">  与《新疆生态环境保护“十四五”规划》的相符性分析</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
              <w:gridCol w:w="3064"/>
              <w:gridCol w:w="2377"/>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 w:hRule="atLeast"/>
                <w:tblHeader/>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395"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《规划》中相关规定</w:t>
                  </w:r>
                </w:p>
              </w:tc>
              <w:tc>
                <w:tcPr>
                  <w:tcW w:w="185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3"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858"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53"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强化车油路联合管控。加强车辆环保管理，推进油品配套升级。加大油品销售的监管力度，加强油品质量监督检查，严厉打击非法生产、销售不合格油品行为，对于限期不达标的成品油加油站，依法整治或关停</w:t>
                  </w:r>
                </w:p>
              </w:tc>
              <w:tc>
                <w:tcPr>
                  <w:tcW w:w="1858" w:type="pct"/>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施工过程中堆放的土方压实并采用苫布遮盖，加强车辆环保管理，使用合规油品，按照限速行驶，不在大风天施工，减少扬尘的产生</w:t>
                  </w:r>
                  <w:r>
                    <w:rPr>
                      <w:rFonts w:hint="default" w:ascii="Times New Roman" w:hAnsi="Times New Roman" w:cs="Times New Roman"/>
                      <w:lang w:eastAsia="zh-CN"/>
                    </w:rPr>
                    <w:t>。</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6"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395" w:type="pct"/>
                  <w:tcMar>
                    <w:left w:w="28" w:type="dxa"/>
                    <w:right w:w="28" w:type="dxa"/>
                  </w:tcMar>
                  <w:vAlign w:val="center"/>
                </w:tcPr>
                <w:p>
                  <w:pPr>
                    <w:pStyle w:val="57"/>
                    <w:spacing w:before="24" w:after="24"/>
                    <w:jc w:val="both"/>
                    <w:rPr>
                      <w:rFonts w:hint="default" w:ascii="Times New Roman" w:hAnsi="Times New Roman" w:cs="Times New Roman"/>
                      <w:spacing w:val="-3"/>
                    </w:rPr>
                  </w:pPr>
                  <w:r>
                    <w:rPr>
                      <w:rFonts w:hint="default" w:ascii="Times New Roman" w:hAnsi="Times New Roman" w:cs="Times New Roman"/>
                    </w:rPr>
                    <w:t>固体废物收集、贮存、处理处置设施应按照标准要求采取防渗措施</w:t>
                  </w:r>
                </w:p>
              </w:tc>
              <w:tc>
                <w:tcPr>
                  <w:tcW w:w="1858" w:type="pct"/>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钻井液不落地设备分理出的水基钻井液进岩屑专用方罐，方罐底部采用HDPE防渗膜进行防渗，其防渗系数不低于1×10</w:t>
                  </w:r>
                  <w:r>
                    <w:rPr>
                      <w:rFonts w:hint="default" w:ascii="Times New Roman" w:hAnsi="Times New Roman" w:cs="Times New Roman"/>
                      <w:vertAlign w:val="superscript"/>
                    </w:rPr>
                    <w:t>-7</w:t>
                  </w:r>
                  <w:r>
                    <w:rPr>
                      <w:rFonts w:hint="default" w:ascii="Times New Roman" w:hAnsi="Times New Roman" w:cs="Times New Roman"/>
                    </w:rPr>
                    <w:t>cm/s</w:t>
                  </w:r>
                  <w:r>
                    <w:rPr>
                      <w:rFonts w:hint="default" w:ascii="Times New Roman" w:hAnsi="Times New Roman" w:cs="Times New Roman"/>
                      <w:lang w:eastAsia="zh-CN"/>
                    </w:rPr>
                    <w:t>。</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7"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4</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w:t>
                  </w:r>
                </w:p>
              </w:tc>
              <w:tc>
                <w:tcPr>
                  <w:tcW w:w="1858" w:type="pct"/>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施工期间应按照《危险废物环境管理指南  陆上石油天然气开采》中的相关要求进行环境管理，落实污染环境防治责任制度、危险废物识别标志制度、危险废物管理计划制度、危险废物管理台账及申报制度以及危险废物转移联单制度</w:t>
                  </w:r>
                  <w:r>
                    <w:rPr>
                      <w:rFonts w:hint="default" w:ascii="Times New Roman" w:hAnsi="Times New Roman" w:cs="Times New Roman"/>
                      <w:lang w:eastAsia="zh-CN"/>
                    </w:rPr>
                    <w:t>。</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9"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5</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加强应急监测装备配置，定期开展应急演练，增强实战能力。</w:t>
                  </w:r>
                </w:p>
              </w:tc>
              <w:tc>
                <w:tcPr>
                  <w:tcW w:w="1858"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环境风险防范执行《</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突发环境事件应急预案》，并定期进行应急演练工作。</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5、与《昌吉回族自治州生态环境保护与建设“十四五”规划》符合性分析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rPr>
              <w:t xml:space="preserve">    与《昌吉回族自治州生态环境保护与建设“十四五”规划》的相符性分析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9"/>
              <w:gridCol w:w="2985"/>
              <w:gridCol w:w="2263"/>
              <w:gridCol w:w="6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333" w:type="pct"/>
                  <w:tcBorders>
                    <w:left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《规划》中相关规定</w:t>
                  </w:r>
                </w:p>
              </w:tc>
              <w:tc>
                <w:tcPr>
                  <w:tcW w:w="1769" w:type="pct"/>
                  <w:tcBorders>
                    <w:left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507" w:type="pct"/>
                  <w:tcBorders>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spacing w:val="-10"/>
                    </w:rPr>
                  </w:pPr>
                  <w:r>
                    <w:rPr>
                      <w:rFonts w:hint="default" w:ascii="Times New Roman" w:hAnsi="Times New Roman" w:cs="Times New Roman"/>
                      <w:spacing w:val="-10"/>
                    </w:rPr>
                    <w:t>将生态保护红线、环境质量底线、资源利用上线的硬约束落实到环境管控单元，建立差别化的生态环境准入清单，加强“三线一单"成果在政策制定、环境准入、执法监管等方面的应用</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本项目</w:t>
                  </w:r>
                  <w:r>
                    <w:rPr>
                      <w:rFonts w:hint="default" w:ascii="Times New Roman" w:hAnsi="Times New Roman" w:cs="Times New Roman"/>
                      <w:color w:val="000000" w:themeColor="text1"/>
                      <w14:textFill>
                        <w14:solidFill>
                          <w14:schemeClr w14:val="tx1"/>
                        </w14:solidFill>
                      </w14:textFill>
                    </w:rPr>
                    <w:t>不涉及生态保护红线，</w:t>
                  </w:r>
                  <w:r>
                    <w:rPr>
                      <w:rFonts w:hint="default" w:ascii="Times New Roman" w:hAnsi="Times New Roman" w:cs="Times New Roman"/>
                    </w:rPr>
                    <w:t>不会突破区域环境质量底线，不会突破区域资源利用上线</w:t>
                  </w:r>
                  <w:r>
                    <w:rPr>
                      <w:rFonts w:hint="default" w:ascii="Times New Roman" w:hAnsi="Times New Roman" w:cs="Times New Roman"/>
                      <w:lang w:eastAsia="zh-CN"/>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强化水资源刚性约束，深入推进最严格水资源管理制度，严守水资源开发利用控制、用水效率控制和水功能区限制纳污"三条红线"，严格实行区域用水总量和强度控制，强化节水约束性指标管理</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eastAsia="宋体" w:cs="Times New Roman"/>
                      <w:spacing w:val="-4"/>
                      <w:lang w:val="en-US" w:eastAsia="zh-CN"/>
                    </w:rPr>
                  </w:pPr>
                  <w:r>
                    <w:rPr>
                      <w:rFonts w:hint="default" w:ascii="Times New Roman" w:hAnsi="Times New Roman" w:cs="Times New Roman"/>
                    </w:rPr>
                    <w:t>井场设钻井液不落地设备，分离出的液相全部回用于钻井</w:t>
                  </w:r>
                  <w:r>
                    <w:rPr>
                      <w:rFonts w:hint="default" w:ascii="Times New Roman" w:hAnsi="Times New Roman" w:cs="Times New Roman"/>
                      <w:lang w:eastAsia="zh-CN"/>
                    </w:rPr>
                    <w:t>，</w:t>
                  </w:r>
                  <w:r>
                    <w:rPr>
                      <w:rFonts w:hint="default" w:ascii="Times New Roman" w:hAnsi="Times New Roman" w:cs="Times New Roman"/>
                      <w:lang w:val="en-US" w:eastAsia="zh-CN"/>
                    </w:rPr>
                    <w:t>不外排。</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推进地表水与地下水协同防治。统筹区域地表水、地下水生态环境监管</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钻井过程无废水产生，试油过程产生的试油废水由专用罐收集，拉运至</w:t>
                  </w:r>
                  <w:r>
                    <w:rPr>
                      <w:rFonts w:hint="default" w:ascii="Times New Roman" w:hAnsi="Times New Roman" w:cs="Times New Roman"/>
                      <w:lang w:eastAsia="zh-CN"/>
                    </w:rPr>
                    <w:t>吉祥联合站</w:t>
                  </w:r>
                  <w:r>
                    <w:rPr>
                      <w:rFonts w:hint="default" w:ascii="Times New Roman" w:hAnsi="Times New Roman" w:cs="Times New Roman"/>
                    </w:rPr>
                    <w:t>进行处理，不外排；钻井过程中使用水泥固井，一开下表层套管，二开下入技术套管</w:t>
                  </w:r>
                  <w:r>
                    <w:rPr>
                      <w:rFonts w:hint="default" w:ascii="Times New Roman" w:hAnsi="Times New Roman" w:cs="Times New Roman"/>
                      <w:lang w:val="en-US" w:eastAsia="zh-CN"/>
                    </w:rPr>
                    <w:t>和油层套管</w:t>
                  </w:r>
                  <w:r>
                    <w:rPr>
                      <w:rFonts w:hint="default" w:ascii="Times New Roman" w:hAnsi="Times New Roman" w:cs="Times New Roman"/>
                    </w:rPr>
                    <w:t>，有效的将含水层与井筒分隔开保护地下水不受污染</w:t>
                  </w:r>
                  <w:r>
                    <w:rPr>
                      <w:rFonts w:hint="default" w:ascii="Times New Roman" w:hAnsi="Times New Roman" w:cs="Times New Roman"/>
                      <w:lang w:eastAsia="zh-CN"/>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7"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4</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以北部沙漠防风固沙生态维护区、中部平原农田防护人居环境维护区和南部山地水源涵养生态维护区3个水土保持分区为基础，划分重点预防范围和重点治理范围</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eastAsia" w:ascii="Times New Roman" w:hAnsi="Times New Roman" w:eastAsia="宋体" w:cs="Times New Roman"/>
                      <w:lang w:eastAsia="zh-CN"/>
                    </w:rPr>
                  </w:pPr>
                  <w:r>
                    <w:rPr>
                      <w:rFonts w:hint="eastAsia" w:ascii="Times New Roman" w:hAnsi="Times New Roman" w:cs="Times New Roman"/>
                      <w:bCs/>
                      <w:lang w:val="en-US" w:eastAsia="zh-CN" w:bidi="ar"/>
                    </w:rPr>
                    <w:t>奇台县不属于</w:t>
                  </w:r>
                  <w:r>
                    <w:rPr>
                      <w:rFonts w:hint="default" w:ascii="Times New Roman" w:hAnsi="Times New Roman" w:cs="Times New Roman"/>
                      <w:bCs/>
                      <w:lang w:bidi="ar"/>
                    </w:rPr>
                    <w:t>水土流失重点治理区，已提出了相应的水土保持措施，可将项目引起的水土流失的程度降低到最小限度</w:t>
                  </w:r>
                  <w:r>
                    <w:rPr>
                      <w:rFonts w:hint="eastAsia" w:ascii="Times New Roman" w:hAnsi="Times New Roman" w:cs="Times New Roman"/>
                      <w:bCs/>
                      <w:lang w:eastAsia="zh-CN" w:bidi="ar"/>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90" w:type="pct"/>
                  <w:tcBorders>
                    <w:top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5</w:t>
                  </w:r>
                </w:p>
              </w:tc>
              <w:tc>
                <w:tcPr>
                  <w:tcW w:w="2333" w:type="pct"/>
                  <w:tcBorders>
                    <w:top w:val="single" w:color="auto" w:sz="6" w:space="0"/>
                    <w:left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加强生态环境应急管理。实施企业环境应急预案电子化备案，完成昌吉市政府突发环境事件应急预案修编。</w:t>
                  </w:r>
                </w:p>
              </w:tc>
              <w:tc>
                <w:tcPr>
                  <w:tcW w:w="1769" w:type="pct"/>
                  <w:tcBorders>
                    <w:top w:val="single" w:color="auto" w:sz="6" w:space="0"/>
                    <w:left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本项目归属</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管辖，项目实施后需纳入《</w:t>
                  </w:r>
                  <w:r>
                    <w:rPr>
                      <w:rFonts w:hint="default" w:ascii="Times New Roman" w:hAnsi="Times New Roman" w:cs="Times New Roman"/>
                      <w:lang w:eastAsia="zh-CN"/>
                    </w:rPr>
                    <w:t>中国石油天然气股份有限公司吐哈油田分公司</w:t>
                  </w:r>
                  <w:r>
                    <w:rPr>
                      <w:rFonts w:hint="eastAsia" w:ascii="Times New Roman" w:hAnsi="Times New Roman" w:cs="Times New Roman"/>
                      <w:lang w:val="en-US" w:eastAsia="zh-CN"/>
                    </w:rPr>
                    <w:t>准东勘探开发项目经理部</w:t>
                  </w:r>
                  <w:r>
                    <w:rPr>
                      <w:rFonts w:hint="default" w:ascii="Times New Roman" w:hAnsi="Times New Roman" w:cs="Times New Roman"/>
                    </w:rPr>
                    <w:t>突发环境事件应急预案》</w:t>
                  </w:r>
                </w:p>
              </w:tc>
              <w:tc>
                <w:tcPr>
                  <w:tcW w:w="507" w:type="pct"/>
                  <w:tcBorders>
                    <w:top w:val="single" w:color="auto" w:sz="6" w:space="0"/>
                    <w:lef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6</w:t>
            </w:r>
            <w:r>
              <w:rPr>
                <w:rFonts w:hint="default" w:ascii="Times New Roman" w:hAnsi="Times New Roman" w:cs="Times New Roman"/>
                <w:b/>
                <w:color w:val="000000"/>
                <w:szCs w:val="20"/>
              </w:rPr>
              <w:t>、与《新疆维吾尔自治区煤炭石油天然气开发环境保护条例》的相符性分析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eastAsia"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 xml:space="preserve">   与《新疆维吾尔自治区煤炭石油天然气开发环境保护条例》的相符性分析</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8"/>
              <w:gridCol w:w="3014"/>
              <w:gridCol w:w="2428"/>
              <w:gridCol w:w="4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《新疆维吾尔自治区煤炭石油天然气开发环境保护条例》中相关规定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spacing w:val="-3"/>
                    </w:rPr>
                  </w:pPr>
                  <w:r>
                    <w:rPr>
                      <w:rFonts w:hint="default" w:ascii="Times New Roman" w:hAnsi="Times New Roman" w:cs="Times New Roman"/>
                      <w:spacing w:val="-3"/>
                    </w:rPr>
                    <w:t>禁止在水源涵养区、地下水源、饮用水源、自然保护区、风景名胜区、森林公园、重要湿地及人群密集区等生态敏感区域内进行煤炭、石油、天然气开发</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项目区无上述环境敏感区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煤炭、石油、天然气开发项目实行环境监理，其大气、水体、固体废物等污染防治设施与主体工程同时设计、同时施工、同时投产使用</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spacing w:val="-4"/>
                    </w:rPr>
                  </w:pPr>
                  <w:r>
                    <w:rPr>
                      <w:rFonts w:hint="default" w:ascii="Times New Roman" w:hAnsi="Times New Roman" w:cs="Times New Roman"/>
                      <w:spacing w:val="-4"/>
                    </w:rPr>
                    <w:t>本项目为陆地矿产资源地质勘查项目，钻井及试油工程结束后环境影响即消失，无运营期，施工期的环境管理主要依托油田公司的HSE管理体系</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开发单位应当对污染物排放及对周围环境的影响进行环境监测，接受环境保护主管部门的指导，并向社会公布监测情况</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本项目主要为施工期，施工期产生的污染物随施工期的结束而消失，不会对周围环境产生明显影响，无运营期，无需进行环境监测</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石油、天然气开发单位钻井和井下作业应当使用无毒、低毒钻井液，对已使用的有毒钻井液应当回收利用并做无害化处置，防止污染环境。对钻井作业产生的污水应当进行回收，经处理达标方可回注，未经处理达标的污水不得回注或者外排。对钻井作业产生的污油、废矿物油应当回收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本项目一开均采用水基钻井液，二、三开采用油基钻井液，钻井液经不落地系统分离后回用；钻井过程无废水产生，试油过程产生的试油废水由专用罐车拉运至</w:t>
                  </w:r>
                  <w:r>
                    <w:rPr>
                      <w:rFonts w:hint="default" w:ascii="Times New Roman" w:hAnsi="Times New Roman" w:cs="Times New Roman"/>
                      <w:lang w:eastAsia="zh-CN"/>
                    </w:rPr>
                    <w:t>吉祥联合站</w:t>
                  </w:r>
                  <w:r>
                    <w:rPr>
                      <w:rFonts w:hint="default" w:ascii="Times New Roman" w:hAnsi="Times New Roman" w:cs="Times New Roman"/>
                    </w:rPr>
                    <w:t>采出水处理系统进行处理，处理后水质达到《碎屑岩油藏注水水质推荐指标及分析方法》（SY/T5329-2022）中相关标准后，全部用于回注油藏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石油、天然气开发单位应当采取保护性措施，防止油井套管破损、气井泄漏，污染地下水</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本项目钻井过程中使用水泥固井，一开下表层套管，二开下入技术套管，三开下油层套管，有效的将含水层与井筒分隔开</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本项目试油期产生的伴生气的量很少，不具备回收利用条件，经排气管线排至点火装置点燃，充分燃烧后排放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煤炭、石油、天然气开发单位应当加强危险废物的管理。危险废物的收集、贮存、运输、处置，必须符合国家和自治区有关规定：不具备处置、利用条件的，应当送交有资质的单位处置</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油基钻井岩屑和施工结束后产生的废防渗膜均交由具有相应危险废物处置资质的单位进行接收、转运和处置</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8</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煤炭、石油、天然气开发单位应当制定突发环境事件应急预案，报环境保护主管部门和有关部门备案。发生突发环境事件的，应当立即启动应急预案，采取应急措施，防止环境污染事故发生</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本项目归属</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管辖，项目实施后需纳入《</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突发环境事件应急预案》</w:t>
                  </w:r>
                </w:p>
              </w:tc>
              <w:tc>
                <w:tcPr>
                  <w:tcW w:w="356" w:type="pct"/>
                  <w:tcBorders>
                    <w:top w:val="single" w:color="auto" w:sz="6" w:space="0"/>
                    <w:lef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7</w:t>
            </w:r>
            <w:r>
              <w:rPr>
                <w:rFonts w:hint="default" w:ascii="Times New Roman" w:hAnsi="Times New Roman" w:cs="Times New Roman"/>
                <w:b/>
                <w:color w:val="000000"/>
                <w:szCs w:val="20"/>
              </w:rPr>
              <w:t>、与《进一步加强石油天然气行业环境影响评价管理的通知》相符性分析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eastAsia" w:ascii="Times New Roman" w:hAnsi="Times New Roman" w:eastAsia="宋体" w:cs="Times New Roman"/>
                <w:bCs/>
                <w:color w:val="auto"/>
                <w:sz w:val="21"/>
                <w:szCs w:val="21"/>
                <w:lang w:val="en-US" w:eastAsia="zh-CN"/>
              </w:rPr>
              <w:t>6</w:t>
            </w:r>
            <w:r>
              <w:rPr>
                <w:rFonts w:hint="default" w:ascii="Times New Roman" w:hAnsi="Times New Roman" w:eastAsia="宋体" w:cs="Times New Roman"/>
                <w:bCs/>
                <w:color w:val="auto"/>
                <w:sz w:val="21"/>
                <w:szCs w:val="21"/>
              </w:rPr>
              <w:t xml:space="preserve">  本项目与《关于进一步加强石油天然气行业环境影响评价管理的通知》的相符性分析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7"/>
              <w:gridCol w:w="2955"/>
              <w:gridCol w:w="2547"/>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bookmarkStart w:id="6" w:name="_Hlk70758253"/>
                  <w:r>
                    <w:rPr>
                      <w:rFonts w:hint="default" w:ascii="Times New Roman" w:hAnsi="Times New Roman" w:cs="Times New Roman"/>
                    </w:rPr>
                    <w:t>序号</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《通知》中相关规定</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本项目采取的相关措施</w:t>
                  </w:r>
                </w:p>
              </w:tc>
              <w:tc>
                <w:tcPr>
                  <w:tcW w:w="396" w:type="pct"/>
                  <w:tcMar>
                    <w:left w:w="0" w:type="dxa"/>
                    <w:right w:w="0" w:type="dxa"/>
                  </w:tcMar>
                  <w:vAlign w:val="center"/>
                </w:tcPr>
                <w:p>
                  <w:pPr>
                    <w:pStyle w:val="57"/>
                    <w:spacing w:before="24" w:after="24" w:line="240" w:lineRule="exact"/>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1</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未确定产能建设规模的陆地油气开采新区块，建设勘探井应当依法编制环境影响报告表</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项目属于未确定产能的新区块，应当编制环境影响报告表</w:t>
                  </w:r>
                </w:p>
              </w:tc>
              <w:tc>
                <w:tcPr>
                  <w:tcW w:w="396" w:type="pct"/>
                  <w:tcMar>
                    <w:left w:w="0" w:type="dxa"/>
                    <w:right w:w="0" w:type="dxa"/>
                  </w:tcMar>
                  <w:vAlign w:val="center"/>
                </w:tcPr>
                <w:p>
                  <w:pPr>
                    <w:pStyle w:val="57"/>
                    <w:spacing w:before="24" w:after="24" w:line="240" w:lineRule="exact"/>
                    <w:rPr>
                      <w:rFonts w:hint="default" w:ascii="Times New Roman" w:hAnsi="Times New Roman" w:cs="Times New Roman"/>
                    </w:rPr>
                  </w:pPr>
                  <w:r>
                    <w:rPr>
                      <w:rFonts w:hint="default" w:ascii="Times New Roman" w:hAnsi="Times New Roman" w:cs="Times New Roman"/>
                    </w:rPr>
                    <w:t>符合</w:t>
                  </w: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2</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本项目为油气资源勘查项目，在报告中对项目建设带来的环境影响提出了对应的防治措施，对生态环境保护和环境风险提出了有效的防范措施。对依托工程的依托可行性进行了分析</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3</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本项目实施过程中，将根据中国石油天然气股份有限公司吐哈油田分公司在环境管理上建立的健康、安全与环境管理体系（HSE管理体系），落实各项环保和安全措施，减少项目开发对周围环境的影响</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4</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未确定产能建设规模的陆地油气开采新区块，建设勘探井应当依法编制环境影响报告表。确定产能建设规模后，原则上不得以勘探名义继续开展单井环评。勘探井转为生产井的，可以纳入区块环评</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本项目为勘探井建设项目，位于未确定产能建设规模的陆地油气开采新区块，应当编制环境影响报告表</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5</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井场设置不落地设备，用于分离钻井液和钻井岩屑；钻井岩屑采用不落地系统进行处理，处理后进岩屑专用方罐，水基钻井岩屑由岩屑处置单位拉运进行处理；油基钻井岩屑交由具有相应危险废物处置资质的单位负责接收、转运及无害化处置。</w:t>
                  </w:r>
                  <w:r>
                    <w:rPr>
                      <w:rFonts w:hint="default" w:ascii="Times New Roman" w:hAnsi="Times New Roman" w:cs="Times New Roman"/>
                      <w:color w:val="0000FF"/>
                    </w:rPr>
                    <w:t>岩屑未能及时拉运时，连同方罐一同在岩屑临时堆放场贮存，岩屑堆放场地四周设围堰，围堰及岩屑堆放场地底部均铺设HDPE防渗膜。</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bookmarkEnd w:id="5"/>
          </w:tbl>
          <w:p>
            <w:pPr>
              <w:pStyle w:val="12"/>
              <w:rPr>
                <w:rFonts w:hint="default" w:ascii="Times New Roman" w:hAnsi="Times New Roman" w:cs="Times New Roman"/>
              </w:rPr>
            </w:pPr>
          </w:p>
        </w:tc>
      </w:tr>
    </w:tbl>
    <w:p>
      <w:pPr>
        <w:pStyle w:val="4"/>
        <w:rPr>
          <w:b/>
          <w:bCs w:val="0"/>
          <w:snapToGrid w:val="0"/>
        </w:rPr>
      </w:pPr>
      <w:r>
        <w:rPr>
          <w:rFonts w:hint="eastAsia"/>
          <w:b/>
          <w:bCs w:val="0"/>
          <w:snapToGrid w:val="0"/>
        </w:rPr>
        <w:t>二、建设内容</w:t>
      </w: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0" w:hRule="atLeast"/>
          <w:jc w:val="center"/>
        </w:trPr>
        <w:tc>
          <w:tcPr>
            <w:tcW w:w="267" w:type="pct"/>
            <w:vAlign w:val="center"/>
          </w:tcPr>
          <w:p>
            <w:pPr>
              <w:adjustRightInd w:val="0"/>
              <w:snapToGrid w:val="0"/>
              <w:jc w:val="center"/>
              <w:rPr>
                <w:rFonts w:ascii="宋体" w:hAnsi="宋体" w:cs="宋体"/>
                <w:kern w:val="0"/>
                <w:sz w:val="24"/>
              </w:rPr>
            </w:pPr>
            <w:r>
              <w:rPr>
                <w:rFonts w:hint="eastAsia" w:ascii="宋体" w:hAnsi="宋体" w:cs="宋体"/>
                <w:kern w:val="0"/>
                <w:sz w:val="24"/>
              </w:rPr>
              <w:t>地理位置</w:t>
            </w:r>
          </w:p>
        </w:tc>
        <w:tc>
          <w:tcPr>
            <w:tcW w:w="4732" w:type="pct"/>
            <w:vAlign w:val="center"/>
          </w:tcPr>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石钱302平台井区行政隶属于新疆维吾尔自治区昌吉回族自治州</w:t>
            </w:r>
            <w:r>
              <w:rPr>
                <w:rFonts w:hint="default" w:ascii="Times New Roman" w:hAnsi="Times New Roman" w:cs="Times New Roman"/>
                <w:sz w:val="24"/>
                <w:lang w:val="en-US" w:eastAsia="zh-CN"/>
              </w:rPr>
              <w:t>奇台县</w:t>
            </w:r>
            <w:r>
              <w:rPr>
                <w:rFonts w:hint="default" w:ascii="Times New Roman" w:hAnsi="Times New Roman" w:cs="Times New Roman"/>
                <w:sz w:val="24"/>
              </w:rPr>
              <w:t>，位于石钱3井西北方向505m。本项目新钻井</w:t>
            </w:r>
            <w:r>
              <w:rPr>
                <w:rFonts w:hint="default" w:ascii="Times New Roman" w:hAnsi="Times New Roman" w:cs="Times New Roman"/>
                <w:sz w:val="24"/>
                <w:lang w:val="en-US" w:eastAsia="zh-CN"/>
              </w:rPr>
              <w:t>5</w:t>
            </w:r>
            <w:r>
              <w:rPr>
                <w:rFonts w:hint="default" w:ascii="Times New Roman" w:hAnsi="Times New Roman" w:cs="Times New Roman"/>
                <w:sz w:val="24"/>
              </w:rPr>
              <w:t>口，</w:t>
            </w:r>
            <w:r>
              <w:rPr>
                <w:rFonts w:hint="default" w:ascii="Times New Roman" w:hAnsi="Times New Roman" w:cs="Times New Roman"/>
                <w:sz w:val="24"/>
                <w:lang w:val="en-US" w:eastAsia="zh-CN"/>
              </w:rPr>
              <w:t>井别为评价井，井型为</w:t>
            </w:r>
            <w:r>
              <w:rPr>
                <w:rFonts w:hint="eastAsia" w:ascii="Times New Roman" w:hAnsi="Times New Roman" w:cs="Times New Roman"/>
                <w:sz w:val="24"/>
                <w:lang w:val="en-US" w:eastAsia="zh-CN"/>
              </w:rPr>
              <w:t>水平</w:t>
            </w:r>
            <w:r>
              <w:rPr>
                <w:rFonts w:hint="default" w:ascii="Times New Roman" w:hAnsi="Times New Roman" w:cs="Times New Roman"/>
                <w:sz w:val="24"/>
                <w:lang w:val="en-US" w:eastAsia="zh-CN"/>
              </w:rPr>
              <w:t>井，</w:t>
            </w:r>
            <w:r>
              <w:rPr>
                <w:rFonts w:hint="default" w:ascii="Times New Roman" w:hAnsi="Times New Roman" w:cs="Times New Roman"/>
                <w:sz w:val="24"/>
              </w:rPr>
              <w:t>井号分别为石钱302H井、石钱302-1H井、石钱302-2H井、石钱302-3H井、石钱302-4H井，总钻井进尺</w:t>
            </w:r>
            <w:r>
              <w:rPr>
                <w:rFonts w:hint="default" w:ascii="Times New Roman" w:hAnsi="Times New Roman" w:cs="Times New Roman"/>
                <w:sz w:val="24"/>
                <w:lang w:val="en-US" w:eastAsia="zh-CN"/>
              </w:rPr>
              <w:t>25000</w:t>
            </w:r>
            <w:r>
              <w:rPr>
                <w:rFonts w:hint="default" w:ascii="Times New Roman" w:hAnsi="Times New Roman" w:cs="Times New Roman"/>
                <w:sz w:val="24"/>
              </w:rPr>
              <w:t>m。完钻后进行试油，获取有关技术参数</w:t>
            </w:r>
            <w:r>
              <w:rPr>
                <w:rFonts w:hint="eastAsia" w:ascii="Times New Roman" w:hAnsi="Times New Roman" w:cs="Times New Roman"/>
                <w:sz w:val="24"/>
                <w:lang w:eastAsia="zh-CN"/>
              </w:rPr>
              <w:t>。石钱302平台</w:t>
            </w:r>
            <w:r>
              <w:rPr>
                <w:rFonts w:hint="default" w:ascii="Times New Roman" w:hAnsi="Times New Roman" w:cs="Times New Roman"/>
                <w:sz w:val="24"/>
              </w:rPr>
              <w:t>井位坐标见表</w:t>
            </w:r>
            <w:r>
              <w:rPr>
                <w:rFonts w:hint="eastAsia" w:ascii="Times New Roman" w:hAnsi="Times New Roman" w:cs="Times New Roman"/>
                <w:sz w:val="24"/>
                <w:lang w:val="en-US" w:eastAsia="zh-CN"/>
              </w:rPr>
              <w:t>2-</w:t>
            </w:r>
            <w:r>
              <w:rPr>
                <w:rFonts w:hint="default" w:ascii="Times New Roman" w:hAnsi="Times New Roman" w:cs="Times New Roman"/>
                <w:sz w:val="24"/>
              </w:rPr>
              <w:t>1，</w:t>
            </w:r>
            <w:r>
              <w:rPr>
                <w:rFonts w:hint="eastAsia" w:cs="Times New Roman"/>
                <w:sz w:val="24"/>
                <w:lang w:val="en-US" w:eastAsia="zh-CN"/>
              </w:rPr>
              <w:t>项目区</w:t>
            </w:r>
            <w:r>
              <w:rPr>
                <w:rFonts w:hint="default" w:ascii="Times New Roman" w:hAnsi="Times New Roman" w:cs="Times New Roman"/>
                <w:sz w:val="24"/>
              </w:rPr>
              <w:t>地理位置</w:t>
            </w:r>
            <w:r>
              <w:rPr>
                <w:rFonts w:hint="eastAsia" w:cs="Times New Roman"/>
                <w:sz w:val="24"/>
                <w:lang w:val="en-US" w:eastAsia="zh-CN"/>
              </w:rPr>
              <w:t>图</w:t>
            </w:r>
            <w:r>
              <w:rPr>
                <w:rFonts w:hint="default" w:ascii="Times New Roman" w:hAnsi="Times New Roman" w:cs="Times New Roman"/>
                <w:sz w:val="24"/>
              </w:rPr>
              <w:t>见附图</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，项目</w:t>
            </w:r>
            <w:r>
              <w:rPr>
                <w:rFonts w:hint="eastAsia" w:cs="Times New Roman"/>
                <w:sz w:val="24"/>
                <w:lang w:val="en-US" w:eastAsia="zh-CN"/>
              </w:rPr>
              <w:t>区</w:t>
            </w:r>
            <w:r>
              <w:rPr>
                <w:rFonts w:hint="eastAsia" w:ascii="Times New Roman" w:hAnsi="Times New Roman" w:cs="Times New Roman"/>
                <w:sz w:val="24"/>
                <w:lang w:val="en-US" w:eastAsia="zh-CN"/>
              </w:rPr>
              <w:t>周边卫星图见附图3</w:t>
            </w:r>
            <w:r>
              <w:rPr>
                <w:rFonts w:hint="default" w:ascii="Times New Roman" w:hAnsi="Times New Roman" w:cs="Times New Roman"/>
                <w:sz w:val="24"/>
              </w:rPr>
              <w:t>。</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1</w:t>
            </w:r>
            <w:r>
              <w:rPr>
                <w:rFonts w:hint="eastAsia" w:ascii="Times New Roman" w:hAnsi="Times New Roman" w:eastAsia="宋体" w:cs="Times New Roman"/>
                <w:bCs/>
                <w:color w:val="auto"/>
                <w:sz w:val="21"/>
                <w:szCs w:val="21"/>
              </w:rPr>
              <w:t xml:space="preserve">    拟部署井位井口坐标一览表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1679"/>
              <w:gridCol w:w="1577"/>
              <w:gridCol w:w="1605"/>
              <w:gridCol w:w="1418"/>
              <w:gridCol w:w="15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24" w:hRule="atLeast"/>
                <w:jc w:val="center"/>
              </w:trPr>
              <w:tc>
                <w:tcPr>
                  <w:tcW w:w="1072" w:type="pct"/>
                  <w:vMerge w:val="restart"/>
                  <w:vAlign w:val="center"/>
                </w:tcPr>
                <w:p>
                  <w:pPr>
                    <w:pStyle w:val="62"/>
                    <w:spacing w:line="300" w:lineRule="exact"/>
                    <w:rPr>
                      <w:rFonts w:hint="eastAsia" w:eastAsia="宋体"/>
                      <w:lang w:val="en-US" w:eastAsia="zh-CN"/>
                    </w:rPr>
                  </w:pPr>
                  <w:r>
                    <w:rPr>
                      <w:rFonts w:hint="eastAsia"/>
                      <w:lang w:val="en-US" w:eastAsia="zh-CN"/>
                    </w:rPr>
                    <w:t>井号</w:t>
                  </w:r>
                </w:p>
              </w:tc>
              <w:tc>
                <w:tcPr>
                  <w:tcW w:w="2030" w:type="pct"/>
                  <w:gridSpan w:val="2"/>
                  <w:vAlign w:val="center"/>
                </w:tcPr>
                <w:p>
                  <w:pPr>
                    <w:pStyle w:val="62"/>
                    <w:spacing w:line="300" w:lineRule="exact"/>
                  </w:pPr>
                  <w:r>
                    <w:rPr>
                      <w:rFonts w:hint="eastAsia"/>
                    </w:rPr>
                    <w:t>经纬度坐标</w:t>
                  </w:r>
                </w:p>
              </w:tc>
              <w:tc>
                <w:tcPr>
                  <w:tcW w:w="1897" w:type="pct"/>
                  <w:gridSpan w:val="2"/>
                </w:tcPr>
                <w:p>
                  <w:pPr>
                    <w:pStyle w:val="62"/>
                    <w:spacing w:line="300" w:lineRule="exact"/>
                  </w:pPr>
                  <w:r>
                    <w:rPr>
                      <w:rFonts w:hint="eastAsia"/>
                    </w:rPr>
                    <w:t>大地坐标（北京5</w:t>
                  </w:r>
                  <w:r>
                    <w:t>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24" w:hRule="atLeast"/>
                <w:jc w:val="center"/>
              </w:trPr>
              <w:tc>
                <w:tcPr>
                  <w:tcW w:w="1072" w:type="pct"/>
                  <w:vMerge w:val="continue"/>
                  <w:vAlign w:val="center"/>
                </w:tcPr>
                <w:p>
                  <w:pPr>
                    <w:pStyle w:val="62"/>
                    <w:spacing w:line="300" w:lineRule="exact"/>
                    <w:rPr>
                      <w:rFonts w:hint="eastAsia"/>
                    </w:rPr>
                  </w:pPr>
                </w:p>
              </w:tc>
              <w:tc>
                <w:tcPr>
                  <w:tcW w:w="1006" w:type="pct"/>
                  <w:vAlign w:val="center"/>
                </w:tcPr>
                <w:p>
                  <w:pPr>
                    <w:pStyle w:val="62"/>
                    <w:spacing w:line="300" w:lineRule="exact"/>
                  </w:pPr>
                  <w:r>
                    <w:rPr>
                      <w:rFonts w:hint="eastAsia"/>
                    </w:rPr>
                    <w:t>东经</w:t>
                  </w:r>
                </w:p>
              </w:tc>
              <w:tc>
                <w:tcPr>
                  <w:tcW w:w="1023" w:type="pct"/>
                  <w:vAlign w:val="center"/>
                </w:tcPr>
                <w:p>
                  <w:pPr>
                    <w:pStyle w:val="62"/>
                    <w:spacing w:line="300" w:lineRule="exact"/>
                  </w:pPr>
                  <w:r>
                    <w:rPr>
                      <w:rFonts w:hint="eastAsia"/>
                    </w:rPr>
                    <w:t>北纬</w:t>
                  </w:r>
                </w:p>
              </w:tc>
              <w:tc>
                <w:tcPr>
                  <w:tcW w:w="905" w:type="pct"/>
                </w:tcPr>
                <w:p>
                  <w:pPr>
                    <w:pStyle w:val="62"/>
                    <w:spacing w:line="300" w:lineRule="exact"/>
                    <w:rPr>
                      <w:rFonts w:hint="eastAsia" w:eastAsia="宋体"/>
                      <w:lang w:eastAsia="zh-CN"/>
                    </w:rPr>
                  </w:pPr>
                  <w:r>
                    <w:t>X坐标</w:t>
                  </w:r>
                  <w:r>
                    <w:rPr>
                      <w:rFonts w:hint="eastAsia"/>
                      <w:lang w:eastAsia="zh-CN"/>
                    </w:rPr>
                    <w:t>（</w:t>
                  </w:r>
                  <w:r>
                    <w:rPr>
                      <w:rFonts w:hint="eastAsia"/>
                      <w:lang w:val="en-US" w:eastAsia="zh-CN"/>
                    </w:rPr>
                    <w:t>m</w:t>
                  </w:r>
                  <w:r>
                    <w:rPr>
                      <w:rFonts w:hint="eastAsia"/>
                      <w:lang w:eastAsia="zh-CN"/>
                    </w:rPr>
                    <w:t>）</w:t>
                  </w:r>
                </w:p>
              </w:tc>
              <w:tc>
                <w:tcPr>
                  <w:tcW w:w="992" w:type="pct"/>
                </w:tcPr>
                <w:p>
                  <w:pPr>
                    <w:pStyle w:val="62"/>
                    <w:spacing w:line="300" w:lineRule="exact"/>
                    <w:rPr>
                      <w:rFonts w:hint="default" w:eastAsia="宋体"/>
                      <w:lang w:val="en-US" w:eastAsia="zh-CN"/>
                    </w:rPr>
                  </w:pPr>
                  <w:r>
                    <w:t>Y坐标</w:t>
                  </w:r>
                  <w:r>
                    <w:rPr>
                      <w:rFonts w:hint="eastAsia"/>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石钱302H井</w:t>
                  </w:r>
                </w:p>
              </w:tc>
              <w:tc>
                <w:tcPr>
                  <w:tcW w:w="1006" w:type="pct"/>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90°06′20.06″</w:t>
                  </w:r>
                </w:p>
              </w:tc>
              <w:tc>
                <w:tcPr>
                  <w:tcW w:w="1023" w:type="pct"/>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44°47′13.34″</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4965443.35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16270934.94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石钱302-1H井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90°06′08.11″</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44°47′13.52″</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4965458.35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16270672.62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石钱302-2H井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90°06′08.67″</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44°47′14.02″</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4965473.35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16270685.87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w:t>
                  </w:r>
                  <w:r>
                    <w:rPr>
                      <w:rFonts w:hint="default" w:ascii="Times New Roman" w:hAnsi="Times New Roman" w:cs="Times New Roman"/>
                      <w:lang w:val="en-US" w:eastAsia="zh-CN"/>
                    </w:rPr>
                    <w:t>3</w:t>
                  </w:r>
                  <w:r>
                    <w:rPr>
                      <w:rFonts w:hint="default" w:ascii="Times New Roman" w:hAnsi="Times New Roman" w:cs="Times New Roman"/>
                    </w:rPr>
                    <w:t>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90°06′07.92″</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44°47′12.55″</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4965428.35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16270667.32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石钱302-4H井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90°06′08.07″</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44°47′12.07″</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4965413.35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16270669.97</w:t>
                  </w:r>
                </w:p>
              </w:tc>
            </w:tr>
          </w:tbl>
          <w:p>
            <w:pPr>
              <w:pStyle w:val="59"/>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267" w:type="pct"/>
            <w:vAlign w:val="center"/>
          </w:tcPr>
          <w:p>
            <w:pPr>
              <w:adjustRightInd w:val="0"/>
              <w:snapToGrid w:val="0"/>
              <w:jc w:val="center"/>
              <w:rPr>
                <w:rFonts w:ascii="宋体" w:hAnsi="宋体" w:cs="宋体"/>
                <w:kern w:val="0"/>
                <w:sz w:val="24"/>
              </w:rPr>
            </w:pPr>
            <w:r>
              <w:rPr>
                <w:rFonts w:hint="eastAsia" w:ascii="宋体" w:hAnsi="宋体" w:cs="宋体"/>
                <w:kern w:val="0"/>
                <w:sz w:val="24"/>
              </w:rPr>
              <w:t>项目组成及规模</w:t>
            </w:r>
          </w:p>
        </w:tc>
        <w:tc>
          <w:tcPr>
            <w:tcW w:w="4732" w:type="pct"/>
            <w:vAlign w:val="center"/>
          </w:tcPr>
          <w:p>
            <w:pPr>
              <w:keepNext w:val="0"/>
              <w:keepLines w:val="0"/>
              <w:widowControl/>
              <w:suppressLineNumbers w:val="0"/>
              <w:spacing w:line="360" w:lineRule="auto"/>
              <w:ind w:firstLine="482" w:firstLineChars="200"/>
              <w:jc w:val="both"/>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建设内容及规模</w:t>
            </w:r>
          </w:p>
          <w:p>
            <w:pPr>
              <w:pStyle w:val="59"/>
              <w:spacing w:line="360" w:lineRule="auto"/>
              <w:ind w:firstLine="480"/>
              <w:rPr>
                <w:rFonts w:hint="default" w:ascii="Times New Roman" w:hAnsi="Times New Roman" w:cs="Times New Roman"/>
              </w:rPr>
            </w:pPr>
            <w:r>
              <w:rPr>
                <w:rFonts w:hint="default" w:ascii="Times New Roman" w:hAnsi="Times New Roman" w:cs="Times New Roman"/>
              </w:rPr>
              <w:t>本工程建设内容为新钻5口井，完井后进行试油，获取有关技术参数。本项目组成包括主体工程（钻前工程、钻井工程、试油工程等）、辅助</w:t>
            </w:r>
            <w:r>
              <w:rPr>
                <w:rFonts w:hint="eastAsia" w:ascii="Times New Roman" w:hAnsi="Times New Roman" w:cs="Times New Roman"/>
                <w:lang w:eastAsia="zh-CN"/>
              </w:rPr>
              <w:t>、</w:t>
            </w:r>
            <w:r>
              <w:rPr>
                <w:rFonts w:hint="default" w:ascii="Times New Roman" w:hAnsi="Times New Roman" w:cs="Times New Roman"/>
              </w:rPr>
              <w:t>公用工程（</w:t>
            </w:r>
            <w:r>
              <w:rPr>
                <w:rFonts w:hint="eastAsia" w:ascii="Times New Roman" w:hAnsi="Times New Roman" w:cs="Times New Roman"/>
                <w:lang w:val="en-US" w:eastAsia="zh-CN"/>
              </w:rPr>
              <w:t>生活营地、</w:t>
            </w:r>
            <w:r>
              <w:rPr>
                <w:rFonts w:hint="default" w:ascii="Times New Roman" w:hAnsi="Times New Roman" w:cs="Times New Roman"/>
              </w:rPr>
              <w:t>供电、供水等）、环保</w:t>
            </w:r>
            <w:r>
              <w:rPr>
                <w:rFonts w:hint="eastAsia" w:ascii="Times New Roman" w:hAnsi="Times New Roman" w:cs="Times New Roman"/>
                <w:lang w:val="en-US" w:eastAsia="zh-CN"/>
              </w:rPr>
              <w:t>工程</w:t>
            </w:r>
            <w:r>
              <w:rPr>
                <w:rFonts w:hint="default" w:ascii="Times New Roman" w:hAnsi="Times New Roman" w:cs="Times New Roman"/>
              </w:rPr>
              <w:t>（钻井废弃物不落地处理系统等），以及仓储工程（泥浆储备罐等）等工程组成情况详见表</w:t>
            </w:r>
            <w:r>
              <w:rPr>
                <w:rFonts w:hint="default" w:ascii="Times New Roman" w:hAnsi="Times New Roman" w:cs="Times New Roman"/>
                <w:lang w:val="en-US" w:eastAsia="zh-CN"/>
              </w:rPr>
              <w:t>2-2</w:t>
            </w:r>
            <w:r>
              <w:rPr>
                <w:rFonts w:hint="default" w:ascii="Times New Roman" w:hAnsi="Times New Roman" w:cs="Times New Roman"/>
              </w:rPr>
              <w:t>。</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bookmarkStart w:id="7" w:name="_Ref19637151"/>
            <w:bookmarkStart w:id="8" w:name="_Hlk129683645"/>
            <w:bookmarkStart w:id="9" w:name="_Hlk129683695"/>
            <w:r>
              <w:rPr>
                <w:rFonts w:hint="default" w:ascii="Times New Roman" w:hAnsi="Times New Roman" w:eastAsia="宋体" w:cs="Times New Roman"/>
                <w:bCs/>
                <w:color w:val="auto"/>
                <w:sz w:val="21"/>
                <w:szCs w:val="21"/>
              </w:rPr>
              <w:t>表</w:t>
            </w:r>
            <w:bookmarkEnd w:id="7"/>
            <w:r>
              <w:rPr>
                <w:rFonts w:hint="default" w:ascii="Times New Roman" w:hAnsi="Times New Roman" w:eastAsia="宋体" w:cs="Times New Roman"/>
                <w:bCs/>
                <w:color w:val="auto"/>
                <w:sz w:val="21"/>
                <w:szCs w:val="21"/>
              </w:rPr>
              <w:t>2</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工程组成</w:t>
            </w:r>
            <w:r>
              <w:rPr>
                <w:rFonts w:hint="default" w:ascii="Times New Roman" w:hAnsi="Times New Roman" w:eastAsia="宋体" w:cs="Times New Roman"/>
                <w:bCs/>
                <w:color w:val="auto"/>
                <w:sz w:val="21"/>
                <w:szCs w:val="21"/>
              </w:rPr>
              <w:t>一览表</w:t>
            </w:r>
          </w:p>
          <w:bookmarkEnd w:id="8"/>
          <w:bookmarkEnd w:id="9"/>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743"/>
              <w:gridCol w:w="1045"/>
              <w:gridCol w:w="5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名称</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建设内容</w:t>
                  </w:r>
                </w:p>
              </w:tc>
              <w:tc>
                <w:tcPr>
                  <w:tcW w:w="3403" w:type="pc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建设规模及建设内容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主体工程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钻前工程</w:t>
                  </w:r>
                </w:p>
              </w:tc>
              <w:tc>
                <w:tcPr>
                  <w:tcW w:w="3403" w:type="pc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钻井前准备工作，包括进场道路建设、井场平整、设备基础修建等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钻井工程</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新钻评价井5口，井型为</w:t>
                  </w:r>
                  <w:r>
                    <w:rPr>
                      <w:rFonts w:hint="default" w:ascii="Times New Roman" w:hAnsi="Times New Roman" w:eastAsia="宋体" w:cs="Times New Roman"/>
                      <w:sz w:val="21"/>
                      <w:szCs w:val="21"/>
                    </w:rPr>
                    <w:t>水平井</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总进尺25000m。单井</w:t>
                  </w:r>
                  <w:r>
                    <w:rPr>
                      <w:rFonts w:hint="default" w:ascii="Times New Roman" w:hAnsi="Times New Roman" w:eastAsia="宋体" w:cs="Times New Roman"/>
                      <w:color w:val="000000"/>
                      <w:kern w:val="0"/>
                      <w:sz w:val="21"/>
                      <w:szCs w:val="21"/>
                      <w:lang w:val="en-US" w:eastAsia="zh-CN" w:bidi="ar"/>
                    </w:rPr>
                    <w:t>钻井期</w:t>
                  </w:r>
                  <w:r>
                    <w:rPr>
                      <w:rFonts w:hint="eastAsia" w:ascii="Times New Roman" w:hAnsi="Times New Roman" w:eastAsia="宋体" w:cs="Times New Roman"/>
                      <w:color w:val="000000"/>
                      <w:kern w:val="0"/>
                      <w:sz w:val="21"/>
                      <w:szCs w:val="21"/>
                      <w:lang w:val="en-US" w:eastAsia="zh-CN" w:bidi="ar"/>
                    </w:rPr>
                    <w:t>70d</w:t>
                  </w:r>
                  <w:r>
                    <w:rPr>
                      <w:rFonts w:hint="default" w:ascii="Times New Roman" w:hAnsi="Times New Roman" w:eastAsia="宋体" w:cs="Times New Roman"/>
                      <w:color w:val="000000"/>
                      <w:kern w:val="0"/>
                      <w:sz w:val="21"/>
                      <w:szCs w:val="21"/>
                      <w:lang w:val="en-US" w:eastAsia="zh-CN" w:bidi="ar"/>
                    </w:rPr>
                    <w:t>，临时占地面积</w:t>
                  </w:r>
                  <w:r>
                    <w:rPr>
                      <w:rFonts w:hint="eastAsia" w:cs="Times New Roman"/>
                      <w:color w:val="000000"/>
                      <w:kern w:val="0"/>
                      <w:sz w:val="21"/>
                      <w:szCs w:val="21"/>
                      <w:lang w:val="en-US" w:eastAsia="zh-CN" w:bidi="ar"/>
                    </w:rPr>
                    <w:t>33452</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试油工程</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对完钻井进行通井、洗井、试压、射孔、诱喷、求产等工序，并配套洗井液注入泵等试油设备。单井试油期180天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辅助工程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井口基础</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加固井口，方便其他配套设施安装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生活营地</w:t>
                  </w:r>
                </w:p>
              </w:tc>
              <w:tc>
                <w:tcPr>
                  <w:tcW w:w="3403" w:type="pct"/>
                  <w:noWrap w:val="0"/>
                  <w:vAlign w:val="top"/>
                </w:tcPr>
                <w:p>
                  <w:pPr>
                    <w:pStyle w:val="54"/>
                    <w:keepNext w:val="0"/>
                    <w:keepLines w:val="0"/>
                    <w:widowControl w:val="0"/>
                    <w:suppressLineNumbers w:val="0"/>
                    <w:spacing w:before="0" w:beforeLines="0" w:beforeAutospacing="0" w:after="0" w:afterLines="0" w:afterAutospacing="0" w:line="320" w:lineRule="exact"/>
                    <w:ind w:left="-105" w:leftChars="0" w:right="-105" w:right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rPr>
                    <w:t>设1个生活营地，规格为5</w:t>
                  </w:r>
                  <w:r>
                    <w:rPr>
                      <w:rFonts w:hint="eastAsia" w:ascii="Times New Roman" w:hAnsi="Times New Roman" w:eastAsia="宋体" w:cs="Times New Roman"/>
                      <w:sz w:val="21"/>
                      <w:lang w:val="en-US" w:eastAsia="zh-CN"/>
                    </w:rPr>
                    <w:t>0</w:t>
                  </w:r>
                  <w:r>
                    <w:rPr>
                      <w:rFonts w:hint="default" w:ascii="Times New Roman" w:hAnsi="Times New Roman" w:eastAsia="宋体" w:cs="Times New Roman"/>
                      <w:sz w:val="21"/>
                    </w:rPr>
                    <w:t>×60m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w:t>
                  </w:r>
                  <w:r>
                    <w:rPr>
                      <w:rFonts w:hint="default" w:ascii="Times New Roman" w:hAnsi="Times New Roman" w:eastAsia="宋体" w:cs="Times New Roman"/>
                      <w:snapToGrid w:val="0"/>
                      <w:kern w:val="0"/>
                      <w:sz w:val="21"/>
                    </w:rPr>
                    <w:t>临时占地为3</w:t>
                  </w:r>
                  <w:r>
                    <w:rPr>
                      <w:rFonts w:hint="eastAsia" w:ascii="Times New Roman" w:hAnsi="Times New Roman" w:eastAsia="宋体" w:cs="Times New Roman"/>
                      <w:snapToGrid w:val="0"/>
                      <w:kern w:val="0"/>
                      <w:sz w:val="21"/>
                      <w:lang w:val="en-US" w:eastAsia="zh-CN"/>
                    </w:rPr>
                    <w:t>0</w:t>
                  </w:r>
                  <w:r>
                    <w:rPr>
                      <w:rFonts w:hint="default" w:ascii="Times New Roman" w:hAnsi="Times New Roman" w:eastAsia="宋体" w:cs="Times New Roman"/>
                      <w:snapToGrid w:val="0"/>
                      <w:kern w:val="0"/>
                      <w:sz w:val="21"/>
                    </w:rPr>
                    <w:t>00m</w:t>
                  </w:r>
                  <w:r>
                    <w:rPr>
                      <w:rFonts w:hint="default" w:ascii="Times New Roman" w:hAnsi="Times New Roman" w:eastAsia="宋体" w:cs="Times New Roman"/>
                      <w:snapToGrid w:val="0"/>
                      <w:kern w:val="0"/>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储运工程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泥浆储备罐区</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位于泥浆循环系统区域，用于储备压井泥浆。罐区周边设置围堰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钻井、固井材料储存区</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井场内设置1处材料堆存区，堆场采用彩钢板顶棚防雨防风，地面防渗处理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危废临时贮存间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eastAsia" w:ascii="Times New Roman" w:cs="Times New Roman"/>
                      <w:sz w:val="21"/>
                      <w:lang w:val="en-US" w:eastAsia="zh-CN"/>
                    </w:rPr>
                    <w:t>本项目涉及油基泥浆（危废编号为HW08，废物代码为071-001-08），</w:t>
                  </w:r>
                  <w:r>
                    <w:rPr>
                      <w:rFonts w:hint="default" w:ascii="Times New Roman" w:hAnsi="Times New Roman" w:eastAsia="宋体" w:cs="Times New Roman"/>
                      <w:sz w:val="21"/>
                    </w:rPr>
                    <w:t>按照《危险废物贮存污染控制标准》（GB18597-20</w:t>
                  </w:r>
                  <w:r>
                    <w:rPr>
                      <w:rFonts w:hint="eastAsia" w:ascii="Times New Roman" w:hAnsi="Times New Roman" w:eastAsia="宋体" w:cs="Times New Roman"/>
                      <w:sz w:val="21"/>
                      <w:lang w:val="en-US" w:eastAsia="zh-CN"/>
                    </w:rPr>
                    <w:t>23</w:t>
                  </w:r>
                  <w:r>
                    <w:rPr>
                      <w:rFonts w:hint="default" w:ascii="Times New Roman" w:hAnsi="Times New Roman" w:eastAsia="宋体" w:cs="Times New Roman"/>
                      <w:sz w:val="21"/>
                    </w:rPr>
                    <w:t>）等的相关要求设置的1座危险废物临时贮存间</w:t>
                  </w:r>
                  <w:r>
                    <w:rPr>
                      <w:rFonts w:hint="eastAsia" w:ascii="Times New Roman" w:cs="Times New Roman"/>
                      <w:sz w:val="21"/>
                      <w:lang w:eastAsia="zh-CN"/>
                    </w:rPr>
                    <w:t>，</w:t>
                  </w:r>
                  <w:r>
                    <w:rPr>
                      <w:rFonts w:hint="eastAsia" w:ascii="Times New Roman" w:cs="Times New Roman"/>
                      <w:sz w:val="21"/>
                      <w:lang w:val="en-US" w:eastAsia="zh-CN"/>
                    </w:rPr>
                    <w:t>位于不落地系统旁，采用防渗处理，防渗性能按重点防渗区执行，应满足等效黏土防渗层Mb≥6.0m，K≤10</w:t>
                  </w:r>
                  <w:r>
                    <w:rPr>
                      <w:rFonts w:hint="eastAsia" w:ascii="Times New Roman" w:cs="Times New Roman"/>
                      <w:sz w:val="21"/>
                      <w:vertAlign w:val="superscript"/>
                      <w:lang w:val="en-US" w:eastAsia="zh-CN"/>
                    </w:rPr>
                    <w:t>-7</w:t>
                  </w:r>
                  <w:r>
                    <w:rPr>
                      <w:rFonts w:hint="eastAsia" w:ascii="Times New Roman" w:cs="Times New Roman"/>
                      <w:sz w:val="21"/>
                      <w:lang w:val="en-US" w:eastAsia="zh-CN"/>
                    </w:rPr>
                    <w:t>cm/s，或2mm厚高密度聚乙烯，或至少2mm厚的其他人工材料(渗透系数≤10</w:t>
                  </w:r>
                  <w:r>
                    <w:rPr>
                      <w:rFonts w:hint="eastAsia" w:ascii="Times New Roman" w:cs="Times New Roman"/>
                      <w:sz w:val="21"/>
                      <w:vertAlign w:val="superscript"/>
                      <w:lang w:val="en-US" w:eastAsia="zh-CN"/>
                    </w:rPr>
                    <w:t>-10</w:t>
                  </w:r>
                  <w:r>
                    <w:rPr>
                      <w:rFonts w:hint="eastAsia" w:ascii="Times New Roman" w:cs="Times New Roman"/>
                      <w:sz w:val="21"/>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原油临时储罐</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井场内设置1个60m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原油临时储罐，设置围堰；不应低于6.0m厚渗透系数为1.0×10</w:t>
                  </w:r>
                  <w:r>
                    <w:rPr>
                      <w:rFonts w:hint="default" w:ascii="Times New Roman" w:hAnsi="Times New Roman" w:eastAsia="宋体" w:cs="Times New Roman"/>
                      <w:color w:val="000000"/>
                      <w:kern w:val="0"/>
                      <w:sz w:val="21"/>
                      <w:szCs w:val="21"/>
                      <w:vertAlign w:val="superscript"/>
                      <w:lang w:val="en-US" w:eastAsia="zh-CN" w:bidi="ar"/>
                    </w:rPr>
                    <w:t>-7</w:t>
                  </w:r>
                  <w:r>
                    <w:rPr>
                      <w:rFonts w:hint="default" w:ascii="Times New Roman" w:hAnsi="Times New Roman" w:eastAsia="宋体" w:cs="Times New Roman"/>
                      <w:color w:val="000000"/>
                      <w:kern w:val="0"/>
                      <w:sz w:val="21"/>
                      <w:szCs w:val="21"/>
                      <w:lang w:val="en-US" w:eastAsia="zh-CN" w:bidi="ar"/>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道路</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从</w:t>
                  </w:r>
                  <w:r>
                    <w:rPr>
                      <w:rFonts w:hint="eastAsia" w:ascii="Times New Roman" w:hAnsi="Times New Roman" w:eastAsia="宋体" w:cs="Times New Roman"/>
                      <w:color w:val="000000"/>
                      <w:kern w:val="0"/>
                      <w:sz w:val="21"/>
                      <w:szCs w:val="21"/>
                      <w:lang w:val="en-US" w:eastAsia="zh-CN" w:bidi="ar"/>
                    </w:rPr>
                    <w:t>S327</w:t>
                  </w:r>
                  <w:r>
                    <w:rPr>
                      <w:rFonts w:hint="default" w:ascii="Times New Roman" w:hAnsi="Times New Roman" w:eastAsia="宋体" w:cs="Times New Roman"/>
                      <w:color w:val="000000"/>
                      <w:kern w:val="0"/>
                      <w:sz w:val="21"/>
                      <w:szCs w:val="21"/>
                      <w:lang w:val="en-US" w:eastAsia="zh-CN" w:bidi="ar"/>
                    </w:rPr>
                    <w:t>道路</w:t>
                  </w:r>
                  <w:r>
                    <w:rPr>
                      <w:rFonts w:hint="eastAsia" w:ascii="Times New Roman" w:hAnsi="Times New Roman" w:eastAsia="宋体" w:cs="Times New Roman"/>
                      <w:color w:val="000000"/>
                      <w:kern w:val="0"/>
                      <w:sz w:val="21"/>
                      <w:szCs w:val="21"/>
                      <w:lang w:val="en-US" w:eastAsia="zh-CN" w:bidi="ar"/>
                    </w:rPr>
                    <w:t>修建</w:t>
                  </w:r>
                  <w:r>
                    <w:rPr>
                      <w:rFonts w:hint="default" w:ascii="Times New Roman" w:hAnsi="Times New Roman" w:eastAsia="宋体" w:cs="Times New Roman"/>
                      <w:color w:val="000000"/>
                      <w:kern w:val="0"/>
                      <w:sz w:val="21"/>
                      <w:szCs w:val="21"/>
                      <w:lang w:val="en-US" w:eastAsia="zh-CN" w:bidi="ar"/>
                    </w:rPr>
                    <w:t>简易道路可到达井场，临时道路</w:t>
                  </w:r>
                  <w:r>
                    <w:rPr>
                      <w:rFonts w:hint="eastAsia" w:ascii="Times New Roman" w:hAnsi="Times New Roman" w:eastAsia="宋体" w:cs="Times New Roman"/>
                      <w:color w:val="000000"/>
                      <w:kern w:val="0"/>
                      <w:sz w:val="21"/>
                      <w:szCs w:val="21"/>
                      <w:lang w:val="en-US" w:eastAsia="zh-CN" w:bidi="ar"/>
                    </w:rPr>
                    <w:t>4</w:t>
                  </w:r>
                  <w:r>
                    <w:rPr>
                      <w:rFonts w:hint="default" w:ascii="Times New Roman" w:hAnsi="Times New Roman" w:eastAsia="宋体" w:cs="Times New Roman"/>
                      <w:color w:val="000000"/>
                      <w:kern w:val="0"/>
                      <w:sz w:val="21"/>
                      <w:szCs w:val="21"/>
                      <w:lang w:val="en-US" w:eastAsia="zh-CN" w:bidi="ar"/>
                    </w:rPr>
                    <w:t>00m，宽度6m，道路占地面积</w:t>
                  </w:r>
                  <w:r>
                    <w:rPr>
                      <w:rFonts w:hint="eastAsia" w:cs="Times New Roman"/>
                      <w:color w:val="000000"/>
                      <w:kern w:val="0"/>
                      <w:sz w:val="21"/>
                      <w:szCs w:val="21"/>
                      <w:lang w:val="en-US" w:eastAsia="zh-CN" w:bidi="ar"/>
                    </w:rPr>
                    <w:t>24</w:t>
                  </w:r>
                  <w:r>
                    <w:rPr>
                      <w:rFonts w:hint="default" w:ascii="Times New Roman" w:hAnsi="Times New Roman" w:eastAsia="宋体" w:cs="Times New Roman"/>
                      <w:color w:val="000000"/>
                      <w:kern w:val="0"/>
                      <w:sz w:val="21"/>
                      <w:szCs w:val="21"/>
                      <w:lang w:val="en-US" w:eastAsia="zh-CN" w:bidi="ar"/>
                    </w:rPr>
                    <w:t>00m</w:t>
                  </w:r>
                  <w:r>
                    <w:rPr>
                      <w:rFonts w:hint="default" w:ascii="Times New Roman" w:hAnsi="Times New Roman" w:eastAsia="宋体" w:cs="Times New Roman"/>
                      <w:color w:val="000000"/>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公用工程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供配电</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钻机、办公等通过柴油机、发电机供电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供水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项目用水就近拉运至井场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restart"/>
                  <w:noWrap w:val="0"/>
                  <w:vAlign w:val="center"/>
                </w:tcPr>
                <w:p>
                  <w:pPr>
                    <w:adjustRightInd w:val="0"/>
                    <w:snapToGrid w:val="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1"/>
                      <w:szCs w:val="21"/>
                      <w:vertAlign w:val="baseline"/>
                      <w:lang w:val="en-US" w:eastAsia="zh-CN"/>
                    </w:rPr>
                    <w:t>环保工程</w:t>
                  </w:r>
                </w:p>
              </w:tc>
              <w:tc>
                <w:tcPr>
                  <w:tcW w:w="474"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废气</w:t>
                  </w:r>
                </w:p>
              </w:tc>
              <w:tc>
                <w:tcPr>
                  <w:tcW w:w="666" w:type="pc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柴油发电</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机废气</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废气产生量较少，属无组织排放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施工扬尘</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产生量较少，属无组织排放，采取场区洒水抑尘措施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废水</w:t>
                  </w: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生活污水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rPr>
                    <w:t>井场设1个环保厕所，生活污水排入环保厕所，环保厕所下铺防渗膜，防渗材料为HDPE防渗膜，厚度2mm，渗透系数≤10</w:t>
                  </w:r>
                  <w:r>
                    <w:rPr>
                      <w:rFonts w:hint="default" w:ascii="Times New Roman" w:hAnsi="Times New Roman" w:eastAsia="宋体" w:cs="Times New Roman"/>
                      <w:sz w:val="21"/>
                      <w:vertAlign w:val="superscript"/>
                    </w:rPr>
                    <w:t>-7</w:t>
                  </w:r>
                  <w:r>
                    <w:rPr>
                      <w:rFonts w:hint="default" w:ascii="Times New Roman" w:hAnsi="Times New Roman" w:eastAsia="宋体" w:cs="Times New Roman"/>
                      <w:sz w:val="21"/>
                    </w:rPr>
                    <w:t>cm/s</w:t>
                  </w:r>
                  <w:r>
                    <w:rPr>
                      <w:rFonts w:hint="eastAsia" w:ascii="Times New Roman" w:cs="Times New Roman"/>
                      <w:sz w:val="21"/>
                      <w:lang w:eastAsia="zh-CN"/>
                    </w:rPr>
                    <w:t>，</w:t>
                  </w:r>
                  <w:r>
                    <w:rPr>
                      <w:rFonts w:hint="default" w:ascii="Times New Roman" w:hAnsi="Times New Roman" w:eastAsia="宋体" w:cs="Times New Roman"/>
                      <w:sz w:val="21"/>
                    </w:rPr>
                    <w:t>定期拉运至</w:t>
                  </w:r>
                  <w:r>
                    <w:rPr>
                      <w:rFonts w:hint="eastAsia" w:ascii="Times New Roman" w:hAnsi="Times New Roman" w:eastAsia="宋体" w:cs="Times New Roman"/>
                      <w:sz w:val="21"/>
                      <w:lang w:val="en-US" w:eastAsia="zh-CN"/>
                    </w:rPr>
                    <w:t>奇台县生活污水处理厂</w:t>
                  </w:r>
                  <w:r>
                    <w:rPr>
                      <w:rFonts w:hint="default" w:ascii="Times New Roman" w:hAnsi="Times New Roman" w:eastAsia="宋体" w:cs="Times New Roman"/>
                      <w:sz w:val="21"/>
                    </w:rPr>
                    <w:t>进行处理，确保生活污水不外排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井下作业废水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项目井下作业废水采取带罐作业，井下作业废水全部回收，采用专用废液收集罐收集后运至吉祥联合处理站处理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restart"/>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噪声</w:t>
                  </w:r>
                </w:p>
              </w:tc>
              <w:tc>
                <w:tcPr>
                  <w:tcW w:w="666"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施工设备、钻井机械噪声</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减振、隔声降噪措施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试油期机械噪声</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选用低噪声设备，安装基础减振垫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固废</w:t>
                  </w: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落地油</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本项目井下作业时带罐作业，落地油100%回收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废弃防渗膜</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集中收集后委托有危废处置资质的单位处置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机械设备废油</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由钻井公司委托有资质单位处置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油基钻井岩屑和废弃油基钻井泥浆</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油基钻井岩屑和废弃油基钻井泥浆委托有资质的单位进行处置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生态恢复</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施工结束后井场周边平整场地，自然恢复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依托工程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吉祥联合站</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吐哈油田分公司在准东流转区块内所产油、气、水统一进入新疆油田公司处理系统，本项目试油期带罐作业，井下作业废水收集后拉运至吉祥联合站处理后用于油田注水。试油期原油入罐，拉运至吉祥联合站进行处理。吉祥联合站原油处理、伴生气处理、废水处理及注水规模分别为45×10</w:t>
                  </w:r>
                  <w:r>
                    <w:rPr>
                      <w:rFonts w:hint="default" w:ascii="Times New Roman" w:hAnsi="Times New Roman" w:eastAsia="宋体" w:cs="Times New Roman"/>
                      <w:color w:val="000000"/>
                      <w:kern w:val="0"/>
                      <w:sz w:val="21"/>
                      <w:szCs w:val="21"/>
                      <w:vertAlign w:val="superscript"/>
                      <w:lang w:val="en-US" w:eastAsia="zh-CN" w:bidi="ar"/>
                    </w:rPr>
                    <w:t>4</w:t>
                  </w:r>
                  <w:r>
                    <w:rPr>
                      <w:rFonts w:hint="default" w:ascii="Times New Roman" w:hAnsi="Times New Roman" w:eastAsia="宋体" w:cs="Times New Roman"/>
                      <w:color w:val="000000"/>
                      <w:kern w:val="0"/>
                      <w:sz w:val="21"/>
                      <w:szCs w:val="21"/>
                      <w:lang w:val="en-US" w:eastAsia="zh-CN" w:bidi="ar"/>
                    </w:rPr>
                    <w:t>t/a、2.5×10</w:t>
                  </w:r>
                  <w:r>
                    <w:rPr>
                      <w:rFonts w:hint="default" w:ascii="Times New Roman" w:hAnsi="Times New Roman" w:eastAsia="宋体" w:cs="Times New Roman"/>
                      <w:color w:val="000000"/>
                      <w:kern w:val="0"/>
                      <w:sz w:val="21"/>
                      <w:szCs w:val="21"/>
                      <w:vertAlign w:val="superscript"/>
                      <w:lang w:val="en-US" w:eastAsia="zh-CN" w:bidi="ar"/>
                    </w:rPr>
                    <w:t>4</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/d、1800m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/d和2592m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/d。目前实际处理原油量43.8×10</w:t>
                  </w:r>
                  <w:r>
                    <w:rPr>
                      <w:rFonts w:hint="default" w:ascii="Times New Roman" w:hAnsi="Times New Roman" w:eastAsia="宋体" w:cs="Times New Roman"/>
                      <w:color w:val="000000"/>
                      <w:kern w:val="0"/>
                      <w:sz w:val="21"/>
                      <w:szCs w:val="21"/>
                      <w:vertAlign w:val="superscript"/>
                      <w:lang w:val="en-US" w:eastAsia="zh-CN" w:bidi="ar"/>
                    </w:rPr>
                    <w:t>4</w:t>
                  </w:r>
                  <w:r>
                    <w:rPr>
                      <w:rFonts w:hint="default" w:ascii="Times New Roman" w:hAnsi="Times New Roman" w:eastAsia="宋体" w:cs="Times New Roman"/>
                      <w:color w:val="000000"/>
                      <w:kern w:val="0"/>
                      <w:sz w:val="21"/>
                      <w:szCs w:val="21"/>
                      <w:lang w:val="en-US" w:eastAsia="zh-CN" w:bidi="ar"/>
                    </w:rPr>
                    <w:t>t/a，废水处理量1500m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/d。本项目产生井下作业废水量共计27.13m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，故依托可行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奇台县城污水处理厂</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奇台县城污水处理厂位于奇台县西北13.8km，污水处理厂建设规模为2.5万m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奇台县城污水处理厂处理采用格栅+氧化沟+MBR膜池工艺，污泥采用叠螺式脱水+低温干化，消毒采用臭氧消毒，污水处理后出水水质达到《城镇污水处理厂污染物排放标准》（GB18918-2002）一级A标准，通过管道排入北部沙漠用于生态林建设。污水处理厂目前实际处理规模为20000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/d，剩余处理量较大。本项目施工期生活污水产生量为672m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施工期生活污水</w:t>
                  </w:r>
                  <w:r>
                    <w:rPr>
                      <w:rFonts w:hint="default" w:ascii="Times New Roman" w:hAnsi="Times New Roman" w:eastAsia="宋体" w:cs="Times New Roman"/>
                      <w:color w:val="000000"/>
                      <w:kern w:val="0"/>
                      <w:sz w:val="21"/>
                      <w:szCs w:val="21"/>
                      <w:lang w:val="en-US" w:eastAsia="zh-CN" w:bidi="ar"/>
                    </w:rPr>
                    <w:t>定期由吸污车拉运至奇台县城污水处理厂进行进一步处理，依托可行。</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、钻前工程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钻前工程包括井场平整，设备基础、井场道路等的建设，生活营地搭建等。主要工程量详见表2-3。</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表2-3本项目钻前工程主要工程量一览表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458"/>
              <w:gridCol w:w="1071"/>
              <w:gridCol w:w="938"/>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序号</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名称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单位</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数量</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井场面积</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w:t>
                  </w:r>
                  <w:r>
                    <w:rPr>
                      <w:rFonts w:hint="eastAsia" w:cs="Times New Roman"/>
                      <w:color w:val="000000" w:themeColor="text1"/>
                      <w:lang w:val="en-US" w:eastAsia="zh-CN"/>
                      <w14:textFill>
                        <w14:solidFill>
                          <w14:schemeClr w14:val="tx1"/>
                        </w14:solidFill>
                      </w14:textFill>
                    </w:rPr>
                    <w:t>0</w:t>
                  </w:r>
                  <w:r>
                    <w:rPr>
                      <w:rFonts w:hint="eastAsia" w:ascii="Times New Roman" w:hAnsi="Times New Roman" w:eastAsia="宋体" w:cs="Times New Roman"/>
                      <w:color w:val="000000" w:themeColor="text1"/>
                      <w:lang w:val="en-US" w:eastAsia="zh-CN"/>
                      <w14:textFill>
                        <w14:solidFill>
                          <w14:schemeClr w14:val="tx1"/>
                        </w14:solidFill>
                      </w14:textFill>
                    </w:rPr>
                    <w:t>52</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5口评价井布置在一个钻井平台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钻井平台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套</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生活营地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3000</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钻井平台</w:t>
                  </w:r>
                  <w:r>
                    <w:rPr>
                      <w:rFonts w:hint="default" w:ascii="Times New Roman" w:hAnsi="Times New Roman" w:eastAsia="宋体" w:cs="Times New Roman"/>
                      <w:color w:val="000000" w:themeColor="text1"/>
                      <w14:textFill>
                        <w14:solidFill>
                          <w14:schemeClr w14:val="tx1"/>
                        </w14:solidFill>
                      </w14:textFill>
                    </w:rPr>
                    <w:t>设生活营地1座，临时占地为3</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00 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7"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930"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进场道路</w:t>
                  </w:r>
                </w:p>
              </w:tc>
              <w:tc>
                <w:tcPr>
                  <w:tcW w:w="683"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m</w:t>
                  </w:r>
                </w:p>
              </w:tc>
              <w:tc>
                <w:tcPr>
                  <w:tcW w:w="598"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600</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临时道路</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00m，宽度6m，道路占地面积</w:t>
                  </w:r>
                  <w:r>
                    <w:rPr>
                      <w:rFonts w:hint="eastAsia"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钻井工程</w:t>
            </w:r>
          </w:p>
          <w:p>
            <w:pPr>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outlineLvl w:val="1"/>
              <w:rPr>
                <w:rFonts w:hint="default" w:ascii="Times New Roman" w:hAnsi="Times New Roman" w:eastAsia="宋体" w:cs="Times New Roman"/>
                <w:b w:val="0"/>
                <w:bCs w:val="0"/>
                <w:color w:val="0000FF"/>
                <w:spacing w:val="6"/>
                <w:sz w:val="24"/>
                <w:szCs w:val="24"/>
                <w:lang w:val="en-US" w:eastAsia="zh-CN"/>
              </w:rPr>
            </w:pPr>
            <w:r>
              <w:rPr>
                <w:rFonts w:hint="default" w:ascii="Times New Roman" w:hAnsi="Times New Roman" w:eastAsia="宋体" w:cs="Times New Roman"/>
                <w:b w:val="0"/>
                <w:bCs w:val="0"/>
                <w:color w:val="000000" w:themeColor="text1"/>
                <w:spacing w:val="6"/>
                <w:sz w:val="24"/>
                <w:szCs w:val="24"/>
                <w:lang w:val="en-US" w:eastAsia="zh-CN"/>
                <w14:textFill>
                  <w14:solidFill>
                    <w14:schemeClr w14:val="tx1"/>
                  </w14:solidFill>
                </w14:textFill>
              </w:rPr>
              <w:t>本项目新钻井</w:t>
            </w:r>
            <w:r>
              <w:rPr>
                <w:rFonts w:hint="eastAsia" w:cs="Times New Roman"/>
                <w:b w:val="0"/>
                <w:bCs w:val="0"/>
                <w:color w:val="000000" w:themeColor="text1"/>
                <w:spacing w:val="6"/>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6"/>
                <w:sz w:val="24"/>
                <w:szCs w:val="24"/>
                <w:lang w:val="en-US" w:eastAsia="zh-CN"/>
                <w14:textFill>
                  <w14:solidFill>
                    <w14:schemeClr w14:val="tx1"/>
                  </w14:solidFill>
                </w14:textFill>
              </w:rPr>
              <w:t>口，井别为评价井，井型为水平井，井号分别为石钱302H井、石钱302-1H井、石钱302-2H井、石钱302-3H井、石钱302-4H井，总钻井进尺25000m。钻井采用ZJ-70钻机</w:t>
            </w:r>
            <w:r>
              <w:rPr>
                <w:rFonts w:hint="default" w:ascii="Times New Roman" w:hAnsi="Times New Roman" w:eastAsia="宋体" w:cs="Times New Roman"/>
                <w:b w:val="0"/>
                <w:bCs w:val="0"/>
                <w:color w:val="0000FF"/>
                <w:spacing w:val="6"/>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eastAsia" w:cs="Times New Roman"/>
                <w:b/>
                <w:bCs/>
                <w:spacing w:val="6"/>
                <w:sz w:val="24"/>
                <w:szCs w:val="24"/>
                <w:lang w:val="en-US" w:eastAsia="zh-CN"/>
              </w:rPr>
            </w:pPr>
            <w:r>
              <w:rPr>
                <w:rFonts w:hint="eastAsia" w:cs="Times New Roman"/>
                <w:b/>
                <w:bCs/>
                <w:spacing w:val="6"/>
                <w:sz w:val="24"/>
                <w:szCs w:val="24"/>
                <w:lang w:val="en-US" w:eastAsia="zh-CN"/>
              </w:rPr>
              <w:t>3.1 井身结构</w:t>
            </w:r>
          </w:p>
          <w:p>
            <w:pPr>
              <w:pStyle w:val="38"/>
              <w:rPr>
                <w:rFonts w:hint="default"/>
                <w:lang w:val="en-US" w:eastAsia="zh-CN"/>
              </w:rPr>
            </w:pPr>
            <w:r>
              <w:rPr>
                <w:rFonts w:hint="eastAsia"/>
                <w:lang w:val="en-US" w:eastAsia="zh-CN"/>
              </w:rPr>
              <w:t>3.3.1</w:t>
            </w:r>
            <w:r>
              <w:rPr>
                <w:rFonts w:hint="default"/>
                <w:lang w:val="en-US" w:eastAsia="zh-CN"/>
              </w:rPr>
              <w:t>井身结构示意图</w:t>
            </w:r>
          </w:p>
          <w:p>
            <w:pPr>
              <w:pStyle w:val="38"/>
              <w:rPr>
                <w:rFonts w:hint="default"/>
                <w:lang w:val="en-US" w:eastAsia="zh-CN"/>
              </w:rPr>
            </w:pPr>
            <w:r>
              <w:rPr>
                <w:rFonts w:hint="eastAsia"/>
                <w:lang w:val="en-US" w:eastAsia="zh-CN"/>
              </w:rPr>
              <w:t>本项目井身结构图见下图2-1。</w:t>
            </w:r>
          </w:p>
          <w:p>
            <w:pPr>
              <w:pStyle w:val="38"/>
              <w:ind w:left="0" w:leftChars="0" w:firstLine="0" w:firstLineChars="0"/>
              <w:jc w:val="center"/>
            </w:pPr>
            <w:r>
              <w:drawing>
                <wp:inline distT="0" distB="0" distL="114300" distR="114300">
                  <wp:extent cx="2741295" cy="4025900"/>
                  <wp:effectExtent l="0" t="0" r="190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2741295" cy="402590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bCs/>
                <w:lang w:val="en-US" w:eastAsia="zh-CN"/>
              </w:rPr>
            </w:pPr>
            <w:r>
              <w:rPr>
                <w:rFonts w:hint="eastAsia" w:ascii="宋体" w:hAnsi="宋体" w:eastAsia="宋体" w:cs="宋体"/>
                <w:b/>
                <w:bCs/>
                <w:lang w:val="en-US" w:eastAsia="zh-CN"/>
              </w:rPr>
              <w:t>图2-1 水平井井身结构示意图</w:t>
            </w:r>
          </w:p>
          <w:p>
            <w:pPr>
              <w:pStyle w:val="38"/>
              <w:rPr>
                <w:rFonts w:hint="eastAsia" w:ascii="Times New Roman" w:hAnsi="Times New Roman" w:eastAsia="宋体" w:cs="宋体"/>
                <w:lang w:val="en-US" w:eastAsia="zh-CN"/>
              </w:rPr>
            </w:pPr>
            <w:r>
              <w:rPr>
                <w:rFonts w:hint="eastAsia" w:ascii="Times New Roman" w:hAnsi="Times New Roman" w:eastAsia="宋体" w:cs="宋体"/>
                <w:lang w:val="en-US" w:eastAsia="zh-CN"/>
              </w:rPr>
              <w:t>3.3.2井身结构设计数据表</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表2-4本项目井身结构数据表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8"/>
              <w:gridCol w:w="1584"/>
              <w:gridCol w:w="924"/>
              <w:gridCol w:w="1055"/>
              <w:gridCol w:w="792"/>
              <w:gridCol w:w="1193"/>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39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开钻</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次序</w:t>
                  </w:r>
                </w:p>
              </w:tc>
              <w:tc>
                <w:tcPr>
                  <w:tcW w:w="101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井</w:t>
                  </w:r>
                  <w:r>
                    <w:rPr>
                      <w:rFonts w:hint="eastAsia" w:ascii="Times New Roman" w:hAnsi="Times New Roman" w:eastAsia="宋体" w:cs="Times New Roman"/>
                      <w:color w:val="000000"/>
                      <w:kern w:val="0"/>
                      <w:sz w:val="21"/>
                      <w:szCs w:val="21"/>
                      <w:lang w:val="en-US" w:eastAsia="zh-CN" w:bidi="ar"/>
                    </w:rPr>
                    <w:t>段</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58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钻头尺寸</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(mm)</w:t>
                  </w:r>
                </w:p>
              </w:tc>
              <w:tc>
                <w:tcPr>
                  <w:tcW w:w="673"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套管尺寸</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(mm)</w:t>
                  </w:r>
                </w:p>
              </w:tc>
              <w:tc>
                <w:tcPr>
                  <w:tcW w:w="505"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套管下入层位</w:t>
                  </w:r>
                </w:p>
              </w:tc>
              <w:tc>
                <w:tcPr>
                  <w:tcW w:w="761"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套管下入深度(m)</w:t>
                  </w: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环空水泥</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返深(m)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4"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一开</w:t>
                  </w:r>
                </w:p>
              </w:tc>
              <w:tc>
                <w:tcPr>
                  <w:tcW w:w="1010"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800</w:t>
                  </w:r>
                </w:p>
              </w:tc>
              <w:tc>
                <w:tcPr>
                  <w:tcW w:w="58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Φ311</w:t>
                  </w:r>
                </w:p>
              </w:tc>
              <w:tc>
                <w:tcPr>
                  <w:tcW w:w="673"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Φ244.5</w:t>
                  </w:r>
                </w:p>
              </w:tc>
              <w:tc>
                <w:tcPr>
                  <w:tcW w:w="505"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K</w:t>
                  </w:r>
                </w:p>
              </w:tc>
              <w:tc>
                <w:tcPr>
                  <w:tcW w:w="761"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800</w:t>
                  </w: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94"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二开</w:t>
                  </w:r>
                </w:p>
              </w:tc>
              <w:tc>
                <w:tcPr>
                  <w:tcW w:w="1010"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水平井800-</w:t>
                  </w:r>
                  <w:r>
                    <w:rPr>
                      <w:rFonts w:hint="eastAsia" w:ascii="Times New Roman" w:hAnsi="Times New Roman" w:eastAsia="宋体" w:cs="Times New Roman"/>
                      <w:color w:val="000000"/>
                      <w:kern w:val="0"/>
                      <w:sz w:val="21"/>
                      <w:szCs w:val="21"/>
                      <w:lang w:val="en-US" w:eastAsia="zh-CN" w:bidi="ar"/>
                    </w:rPr>
                    <w:t>5000</w:t>
                  </w:r>
                </w:p>
              </w:tc>
              <w:tc>
                <w:tcPr>
                  <w:tcW w:w="589"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Φ216</w:t>
                  </w:r>
                </w:p>
              </w:tc>
              <w:tc>
                <w:tcPr>
                  <w:tcW w:w="673"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Φ139.7</w:t>
                  </w:r>
                </w:p>
              </w:tc>
              <w:tc>
                <w:tcPr>
                  <w:tcW w:w="505"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C2</w:t>
                  </w:r>
                  <w:r>
                    <w:rPr>
                      <w:rFonts w:hint="eastAsia" w:ascii="Times New Roman" w:hAnsi="Times New Roman" w:eastAsia="宋体" w:cs="Times New Roman"/>
                      <w:color w:val="000000"/>
                      <w:kern w:val="0"/>
                      <w:sz w:val="21"/>
                      <w:szCs w:val="21"/>
                      <w:lang w:val="en-US" w:eastAsia="zh-CN" w:bidi="ar"/>
                    </w:rPr>
                    <w:t>sh</w:t>
                  </w:r>
                </w:p>
              </w:tc>
              <w:tc>
                <w:tcPr>
                  <w:tcW w:w="761"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5000</w:t>
                  </w: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抗盐低密</w:t>
                  </w:r>
                  <w:r>
                    <w:rPr>
                      <w:rFonts w:hint="eastAsia" w:ascii="Times New Roman" w:hAnsi="Times New Roman" w:eastAsia="宋体" w:cs="Times New Roman"/>
                      <w:color w:val="000000"/>
                      <w:kern w:val="0"/>
                      <w:sz w:val="21"/>
                      <w:szCs w:val="21"/>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94"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010"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589"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673"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505"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761"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抗盐增韧</w:t>
                  </w:r>
                  <w:r>
                    <w:rPr>
                      <w:rFonts w:hint="eastAsia" w:ascii="Times New Roman" w:hAnsi="Times New Roman" w:eastAsia="宋体" w:cs="Times New Roman"/>
                      <w:color w:val="000000"/>
                      <w:kern w:val="0"/>
                      <w:sz w:val="21"/>
                      <w:szCs w:val="21"/>
                      <w:lang w:val="en-US" w:eastAsia="zh-CN" w:bidi="ar"/>
                    </w:rPr>
                    <w:t>3700</w:t>
                  </w:r>
                </w:p>
              </w:tc>
            </w:tr>
          </w:tbl>
          <w:p>
            <w:pPr>
              <w:pStyle w:val="38"/>
              <w:rPr>
                <w:rFonts w:hint="eastAsia" w:ascii="Times New Roman" w:hAnsi="Times New Roman" w:eastAsia="宋体" w:cs="宋体"/>
                <w:lang w:val="en-US" w:eastAsia="zh-CN"/>
              </w:rPr>
            </w:pPr>
            <w:r>
              <w:rPr>
                <w:rFonts w:hint="eastAsia" w:ascii="Times New Roman" w:hAnsi="Times New Roman" w:eastAsia="宋体" w:cs="宋体"/>
                <w:lang w:val="en-US" w:eastAsia="zh-CN"/>
              </w:rPr>
              <w:t>3.3.3井身结构说明</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表2-5本项目井身结构说明表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111"/>
              <w:gridCol w:w="5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8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开钻次序</w:t>
                  </w:r>
                </w:p>
              </w:tc>
              <w:tc>
                <w:tcPr>
                  <w:tcW w:w="70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套管尺寸mm</w:t>
                  </w:r>
                </w:p>
              </w:tc>
              <w:tc>
                <w:tcPr>
                  <w:tcW w:w="360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设 计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  开</w:t>
                  </w:r>
                </w:p>
              </w:tc>
              <w:tc>
                <w:tcPr>
                  <w:tcW w:w="70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Φ244.5</w:t>
                  </w:r>
                </w:p>
              </w:tc>
              <w:tc>
                <w:tcPr>
                  <w:tcW w:w="360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用Φ311mm钻头一开，钻至井深800m左右，下入Φ244.5mm表层套管，水泥返至地面。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68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  开</w:t>
                  </w:r>
                </w:p>
              </w:tc>
              <w:tc>
                <w:tcPr>
                  <w:tcW w:w="70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Φ139.7</w:t>
                  </w:r>
                </w:p>
              </w:tc>
              <w:tc>
                <w:tcPr>
                  <w:tcW w:w="360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水平井：用Ф216mm钻头二开，按设计轨迹钻进井深5000m完钻，下入Φ139.7mm油层套管。采用抗盐增韧+抗盐低密水泥浆体系固井。抗盐增韧水泥上返至3700m，封固段长1300m；抗盐低密水泥上返至2000m，封固段长1700m。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9" w:hRule="atLeast"/>
              </w:trPr>
              <w:tc>
                <w:tcPr>
                  <w:tcW w:w="5000" w:type="pct"/>
                  <w:gridSpan w:val="3"/>
                  <w:noWrap w:val="0"/>
                  <w:vAlign w:val="center"/>
                </w:tcPr>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说明：</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 要确保井身质量、固井质量和井下安全。</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 水平井直井段钻进中应调整好钻井参数和钻具组合，加强测斜，严格控制井斜和方位的变化，以利于斜井段的顺利施工。</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 水泥返深必须按设计执行，经声幅、变密度测井，固井质量合格。</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 钻进过程中，应调整好钻井液密度，作好井控工作，防止井喷事故的发生。</w:t>
                  </w:r>
                </w:p>
              </w:tc>
            </w:tr>
          </w:tbl>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default" w:ascii="Times New Roman" w:hAnsi="Times New Roman" w:eastAsia="宋体" w:cs="Times New Roman"/>
                <w:b/>
                <w:bCs/>
                <w:spacing w:val="6"/>
                <w:sz w:val="24"/>
                <w:szCs w:val="24"/>
                <w:lang w:val="en-US" w:eastAsia="zh-CN"/>
              </w:rPr>
            </w:pPr>
            <w:r>
              <w:rPr>
                <w:rFonts w:hint="default" w:ascii="Times New Roman" w:hAnsi="Times New Roman" w:eastAsia="宋体" w:cs="Times New Roman"/>
                <w:b/>
                <w:bCs/>
                <w:spacing w:val="6"/>
                <w:sz w:val="24"/>
                <w:szCs w:val="24"/>
                <w:lang w:val="en-US" w:eastAsia="zh-CN"/>
              </w:rPr>
              <w:t>3.</w:t>
            </w:r>
            <w:r>
              <w:rPr>
                <w:rFonts w:hint="eastAsia" w:ascii="Times New Roman" w:hAnsi="Times New Roman" w:eastAsia="宋体" w:cs="Times New Roman"/>
                <w:b/>
                <w:bCs/>
                <w:spacing w:val="6"/>
                <w:sz w:val="24"/>
                <w:szCs w:val="24"/>
                <w:lang w:val="en-US" w:eastAsia="zh-CN"/>
              </w:rPr>
              <w:t>2钻井液</w:t>
            </w:r>
          </w:p>
          <w:p>
            <w:pPr>
              <w:pStyle w:val="38"/>
              <w:ind w:left="0" w:leftChars="0" w:firstLine="480" w:firstLineChars="200"/>
              <w:jc w:val="both"/>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本项目一开采用水基非磺化钻井液，</w:t>
            </w:r>
            <w:r>
              <w:rPr>
                <w:rFonts w:hint="eastAsia" w:ascii="Times New Roman" w:hAnsi="Times New Roman" w:eastAsia="宋体" w:cs="Times New Roman"/>
                <w:lang w:val="en-US" w:eastAsia="zh-CN"/>
              </w:rPr>
              <w:t>二</w:t>
            </w:r>
            <w:r>
              <w:rPr>
                <w:rFonts w:hint="default" w:ascii="Times New Roman" w:hAnsi="Times New Roman" w:eastAsia="宋体" w:cs="Times New Roman"/>
                <w:lang w:val="en-US" w:eastAsia="zh-CN"/>
              </w:rPr>
              <w:t>开采用油基钻井液</w:t>
            </w:r>
            <w:r>
              <w:rPr>
                <w:rFonts w:hint="eastAsia" w:ascii="Times New Roman" w:hAnsi="Times New Roman" w:eastAsia="宋体" w:cs="Times New Roman"/>
                <w:lang w:val="en-US" w:eastAsia="zh-CN"/>
              </w:rPr>
              <w:t>。钻井液设计见下表2-6。</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表2-6  本项目钻井液设计表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0"/>
              <w:gridCol w:w="548"/>
              <w:gridCol w:w="541"/>
              <w:gridCol w:w="65"/>
              <w:gridCol w:w="243"/>
              <w:gridCol w:w="318"/>
              <w:gridCol w:w="65"/>
              <w:gridCol w:w="77"/>
              <w:gridCol w:w="275"/>
              <w:gridCol w:w="65"/>
              <w:gridCol w:w="146"/>
              <w:gridCol w:w="430"/>
              <w:gridCol w:w="10"/>
              <w:gridCol w:w="65"/>
              <w:gridCol w:w="374"/>
              <w:gridCol w:w="33"/>
              <w:gridCol w:w="418"/>
              <w:gridCol w:w="39"/>
              <w:gridCol w:w="437"/>
              <w:gridCol w:w="19"/>
              <w:gridCol w:w="139"/>
              <w:gridCol w:w="153"/>
              <w:gridCol w:w="114"/>
              <w:gridCol w:w="11"/>
              <w:gridCol w:w="403"/>
              <w:gridCol w:w="8"/>
              <w:gridCol w:w="26"/>
              <w:gridCol w:w="572"/>
              <w:gridCol w:w="47"/>
              <w:gridCol w:w="12"/>
              <w:gridCol w:w="274"/>
              <w:gridCol w:w="72"/>
              <w:gridCol w:w="8"/>
              <w:gridCol w:w="292"/>
              <w:gridCol w:w="69"/>
              <w:gridCol w:w="8"/>
              <w:gridCol w:w="242"/>
              <w:gridCol w:w="55"/>
              <w:gridCol w:w="16"/>
              <w:gridCol w:w="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1" w:hRule="atLeast"/>
                <w:jc w:val="center"/>
              </w:trPr>
              <w:tc>
                <w:tcPr>
                  <w:tcW w:w="514" w:type="pct"/>
                  <w:vMerge w:val="restart"/>
                  <w:noWrap w:val="0"/>
                  <w:vAlign w:val="center"/>
                </w:tcPr>
                <w:p>
                  <w:pPr>
                    <w:spacing w:line="276" w:lineRule="auto"/>
                    <w:jc w:val="center"/>
                    <w:rPr>
                      <w:rFonts w:ascii="Arial" w:hAnsi="Arial" w:cs="Arial"/>
                      <w:color w:val="000000"/>
                      <w:szCs w:val="21"/>
                    </w:rPr>
                  </w:pPr>
                  <w:r>
                    <w:rPr>
                      <w:rFonts w:ascii="Arial" w:hAnsi="Arial" w:cs="Arial"/>
                      <w:color w:val="000000"/>
                      <w:szCs w:val="21"/>
                    </w:rPr>
                    <w:t>开钻</w:t>
                  </w:r>
                </w:p>
                <w:p>
                  <w:pPr>
                    <w:spacing w:line="276" w:lineRule="auto"/>
                    <w:jc w:val="center"/>
                    <w:rPr>
                      <w:rFonts w:ascii="Arial" w:hAnsi="Arial" w:cs="Arial"/>
                      <w:color w:val="000000"/>
                      <w:szCs w:val="21"/>
                    </w:rPr>
                  </w:pPr>
                  <w:r>
                    <w:rPr>
                      <w:rFonts w:ascii="Arial" w:hAnsi="Arial" w:cs="Arial"/>
                      <w:color w:val="000000"/>
                      <w:szCs w:val="21"/>
                    </w:rPr>
                    <w:t>次序</w:t>
                  </w:r>
                </w:p>
              </w:tc>
              <w:tc>
                <w:tcPr>
                  <w:tcW w:w="266" w:type="pct"/>
                  <w:vMerge w:val="restart"/>
                  <w:noWrap w:val="0"/>
                  <w:vAlign w:val="center"/>
                </w:tcPr>
                <w:p>
                  <w:pPr>
                    <w:spacing w:line="276" w:lineRule="auto"/>
                    <w:jc w:val="center"/>
                    <w:rPr>
                      <w:rFonts w:ascii="Arial" w:hAnsi="Arial" w:cs="Arial"/>
                      <w:color w:val="000000"/>
                      <w:szCs w:val="21"/>
                    </w:rPr>
                  </w:pPr>
                  <w:r>
                    <w:rPr>
                      <w:rFonts w:ascii="Arial" w:hAnsi="Arial" w:cs="Arial"/>
                      <w:color w:val="000000"/>
                      <w:szCs w:val="21"/>
                    </w:rPr>
                    <w:t>井段</w:t>
                  </w:r>
                </w:p>
                <w:p>
                  <w:pPr>
                    <w:spacing w:line="276" w:lineRule="auto"/>
                    <w:jc w:val="center"/>
                    <w:rPr>
                      <w:rFonts w:ascii="Arial" w:hAnsi="Arial" w:cs="Arial"/>
                      <w:color w:val="000000"/>
                      <w:szCs w:val="21"/>
                    </w:rPr>
                  </w:pPr>
                  <w:r>
                    <w:rPr>
                      <w:rFonts w:ascii="Arial" w:hAnsi="Arial" w:cs="Arial"/>
                      <w:color w:val="000000"/>
                      <w:szCs w:val="21"/>
                    </w:rPr>
                    <w:t>m</w:t>
                  </w:r>
                </w:p>
              </w:tc>
              <w:tc>
                <w:tcPr>
                  <w:tcW w:w="2523" w:type="pct"/>
                  <w:gridSpan w:val="22"/>
                  <w:noWrap w:val="0"/>
                  <w:vAlign w:val="center"/>
                </w:tcPr>
                <w:p>
                  <w:pPr>
                    <w:spacing w:line="276" w:lineRule="auto"/>
                    <w:jc w:val="center"/>
                    <w:rPr>
                      <w:rFonts w:ascii="Arial" w:hAnsi="Arial" w:cs="Arial"/>
                      <w:color w:val="000000"/>
                      <w:szCs w:val="21"/>
                    </w:rPr>
                  </w:pPr>
                  <w:r>
                    <w:rPr>
                      <w:rFonts w:ascii="Arial" w:hAnsi="Arial" w:cs="Arial"/>
                      <w:color w:val="000000"/>
                      <w:szCs w:val="21"/>
                    </w:rPr>
                    <w:t>常规性能（控制指标）</w:t>
                  </w:r>
                </w:p>
              </w:tc>
              <w:tc>
                <w:tcPr>
                  <w:tcW w:w="1695" w:type="pct"/>
                  <w:gridSpan w:val="16"/>
                  <w:noWrap w:val="0"/>
                  <w:vAlign w:val="center"/>
                </w:tcPr>
                <w:p>
                  <w:pPr>
                    <w:spacing w:line="276" w:lineRule="auto"/>
                    <w:jc w:val="center"/>
                    <w:rPr>
                      <w:rFonts w:ascii="Arial" w:hAnsi="Arial" w:cs="Arial"/>
                      <w:color w:val="000000"/>
                      <w:szCs w:val="21"/>
                    </w:rPr>
                  </w:pPr>
                  <w:r>
                    <w:rPr>
                      <w:rFonts w:ascii="Arial" w:hAnsi="Arial" w:cs="Arial"/>
                      <w:color w:val="000000"/>
                      <w:szCs w:val="21"/>
                    </w:rP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vMerge w:val="continue"/>
                  <w:noWrap w:val="0"/>
                  <w:vAlign w:val="center"/>
                </w:tcPr>
                <w:p>
                  <w:pPr>
                    <w:spacing w:line="276" w:lineRule="auto"/>
                    <w:jc w:val="center"/>
                    <w:rPr>
                      <w:rFonts w:ascii="Arial" w:hAnsi="Arial" w:cs="Arial"/>
                      <w:color w:val="000000"/>
                      <w:szCs w:val="21"/>
                    </w:rPr>
                  </w:pPr>
                </w:p>
              </w:tc>
              <w:tc>
                <w:tcPr>
                  <w:tcW w:w="266" w:type="pct"/>
                  <w:vMerge w:val="continue"/>
                  <w:noWrap w:val="0"/>
                  <w:vAlign w:val="center"/>
                </w:tcPr>
                <w:p>
                  <w:pPr>
                    <w:spacing w:line="276" w:lineRule="auto"/>
                    <w:jc w:val="center"/>
                    <w:rPr>
                      <w:rFonts w:ascii="Arial" w:hAnsi="Arial" w:cs="Arial"/>
                      <w:color w:val="000000"/>
                      <w:szCs w:val="21"/>
                    </w:rPr>
                  </w:pPr>
                </w:p>
              </w:tc>
              <w:tc>
                <w:tcPr>
                  <w:tcW w:w="395"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密度</w:t>
                  </w:r>
                </w:p>
                <w:p>
                  <w:pPr>
                    <w:spacing w:line="276" w:lineRule="auto"/>
                    <w:jc w:val="center"/>
                    <w:rPr>
                      <w:rFonts w:ascii="Arial" w:hAnsi="Arial" w:cs="Arial"/>
                      <w:color w:val="000000"/>
                      <w:szCs w:val="21"/>
                    </w:rPr>
                  </w:pPr>
                  <w:r>
                    <w:rPr>
                      <w:rFonts w:ascii="Arial" w:hAnsi="Arial" w:cs="Arial"/>
                      <w:color w:val="000000"/>
                      <w:szCs w:val="21"/>
                    </w:rPr>
                    <w:t>g/cm</w:t>
                  </w:r>
                  <w:r>
                    <w:rPr>
                      <w:rFonts w:ascii="Arial" w:hAnsi="Arial" w:cs="Arial"/>
                      <w:color w:val="000000"/>
                      <w:szCs w:val="21"/>
                      <w:vertAlign w:val="superscript"/>
                    </w:rPr>
                    <w:t>3</w:t>
                  </w:r>
                </w:p>
              </w:tc>
              <w:tc>
                <w:tcPr>
                  <w:tcW w:w="282"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API</w:t>
                  </w:r>
                </w:p>
                <w:p>
                  <w:pPr>
                    <w:spacing w:line="276" w:lineRule="auto"/>
                    <w:jc w:val="center"/>
                    <w:rPr>
                      <w:rFonts w:ascii="Arial" w:hAnsi="Arial" w:cs="Arial"/>
                      <w:color w:val="000000"/>
                      <w:szCs w:val="21"/>
                    </w:rPr>
                  </w:pPr>
                  <w:r>
                    <w:rPr>
                      <w:rFonts w:ascii="Arial" w:hAnsi="Arial" w:cs="Arial"/>
                      <w:color w:val="000000"/>
                      <w:szCs w:val="21"/>
                    </w:rPr>
                    <w:t>mL</w:t>
                  </w:r>
                </w:p>
              </w:tc>
              <w:tc>
                <w:tcPr>
                  <w:tcW w:w="298"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泥饼</w:t>
                  </w:r>
                </w:p>
                <w:p>
                  <w:pPr>
                    <w:spacing w:line="276" w:lineRule="auto"/>
                    <w:jc w:val="center"/>
                    <w:rPr>
                      <w:rFonts w:ascii="Arial" w:hAnsi="Arial" w:cs="Arial"/>
                      <w:color w:val="000000"/>
                      <w:szCs w:val="21"/>
                    </w:rPr>
                  </w:pPr>
                  <w:r>
                    <w:rPr>
                      <w:rFonts w:ascii="Arial" w:hAnsi="Arial" w:cs="Arial"/>
                      <w:color w:val="000000"/>
                      <w:szCs w:val="21"/>
                    </w:rPr>
                    <w:t>mm</w:t>
                  </w:r>
                </w:p>
              </w:tc>
              <w:tc>
                <w:tcPr>
                  <w:tcW w:w="265" w:type="pct"/>
                  <w:noWrap w:val="0"/>
                  <w:vAlign w:val="center"/>
                </w:tcPr>
                <w:p>
                  <w:pPr>
                    <w:spacing w:line="276" w:lineRule="auto"/>
                    <w:jc w:val="center"/>
                    <w:rPr>
                      <w:rFonts w:ascii="Arial" w:hAnsi="Arial" w:cs="Arial"/>
                      <w:color w:val="000000"/>
                      <w:szCs w:val="21"/>
                    </w:rPr>
                  </w:pPr>
                  <w:r>
                    <w:rPr>
                      <w:rFonts w:ascii="Arial" w:hAnsi="Arial" w:cs="Arial"/>
                      <w:color w:val="000000"/>
                      <w:szCs w:val="21"/>
                    </w:rPr>
                    <w:t>坂含</w:t>
                  </w:r>
                </w:p>
                <w:p>
                  <w:pPr>
                    <w:spacing w:line="276" w:lineRule="auto"/>
                    <w:jc w:val="center"/>
                    <w:rPr>
                      <w:rFonts w:ascii="Arial" w:hAnsi="Arial" w:cs="Arial"/>
                      <w:color w:val="000000"/>
                      <w:szCs w:val="21"/>
                    </w:rPr>
                  </w:pPr>
                  <w:r>
                    <w:rPr>
                      <w:rFonts w:ascii="Arial" w:hAnsi="Arial" w:cs="Arial"/>
                      <w:color w:val="000000"/>
                      <w:szCs w:val="21"/>
                    </w:rPr>
                    <w:t>g/L</w:t>
                  </w:r>
                </w:p>
              </w:tc>
              <w:tc>
                <w:tcPr>
                  <w:tcW w:w="30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固相</w:t>
                  </w:r>
                </w:p>
                <w:p>
                  <w:pPr>
                    <w:spacing w:line="276" w:lineRule="auto"/>
                    <w:jc w:val="center"/>
                    <w:rPr>
                      <w:rFonts w:ascii="Arial" w:hAnsi="Arial" w:cs="Arial"/>
                      <w:color w:val="000000"/>
                      <w:szCs w:val="21"/>
                    </w:rPr>
                  </w:pPr>
                  <w:r>
                    <w:rPr>
                      <w:rFonts w:ascii="Arial" w:hAnsi="Arial" w:cs="Arial"/>
                      <w:color w:val="000000"/>
                      <w:szCs w:val="21"/>
                    </w:rPr>
                    <w:t>%</w:t>
                  </w:r>
                </w:p>
              </w:tc>
              <w:tc>
                <w:tcPr>
                  <w:tcW w:w="309"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含砂</w:t>
                  </w:r>
                </w:p>
                <w:p>
                  <w:pPr>
                    <w:spacing w:line="276" w:lineRule="auto"/>
                    <w:jc w:val="center"/>
                    <w:rPr>
                      <w:rFonts w:ascii="Arial" w:hAnsi="Arial" w:cs="Arial"/>
                      <w:color w:val="000000"/>
                      <w:szCs w:val="21"/>
                    </w:rPr>
                  </w:pPr>
                  <w:r>
                    <w:rPr>
                      <w:rFonts w:ascii="Arial" w:hAnsi="Arial" w:cs="Arial"/>
                      <w:color w:val="000000"/>
                      <w:szCs w:val="21"/>
                    </w:rPr>
                    <w:t>%</w:t>
                  </w:r>
                </w:p>
              </w:tc>
              <w:tc>
                <w:tcPr>
                  <w:tcW w:w="398"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HTHP</w:t>
                  </w:r>
                </w:p>
                <w:p>
                  <w:pPr>
                    <w:spacing w:line="276" w:lineRule="auto"/>
                    <w:jc w:val="center"/>
                    <w:rPr>
                      <w:rFonts w:ascii="Arial" w:hAnsi="Arial" w:cs="Arial"/>
                      <w:color w:val="000000"/>
                      <w:szCs w:val="21"/>
                    </w:rPr>
                  </w:pPr>
                  <w:r>
                    <w:rPr>
                      <w:rFonts w:ascii="Arial" w:hAnsi="Arial" w:cs="Arial"/>
                      <w:color w:val="000000"/>
                      <w:szCs w:val="21"/>
                    </w:rPr>
                    <w:t>mL</w:t>
                  </w:r>
                </w:p>
              </w:tc>
              <w:tc>
                <w:tcPr>
                  <w:tcW w:w="27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泥饼粘</w:t>
                  </w:r>
                </w:p>
                <w:p>
                  <w:pPr>
                    <w:spacing w:line="276" w:lineRule="auto"/>
                    <w:jc w:val="center"/>
                    <w:rPr>
                      <w:rFonts w:ascii="Arial" w:hAnsi="Arial" w:cs="Arial"/>
                      <w:color w:val="000000"/>
                      <w:szCs w:val="21"/>
                    </w:rPr>
                  </w:pPr>
                  <w:r>
                    <w:rPr>
                      <w:rFonts w:ascii="Arial" w:hAnsi="Arial" w:cs="Arial"/>
                      <w:color w:val="000000"/>
                      <w:szCs w:val="21"/>
                    </w:rPr>
                    <w:t>滞系数</w:t>
                  </w:r>
                </w:p>
              </w:tc>
              <w:tc>
                <w:tcPr>
                  <w:tcW w:w="288"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粘度</w:t>
                  </w:r>
                </w:p>
                <w:p>
                  <w:pPr>
                    <w:spacing w:line="276" w:lineRule="auto"/>
                    <w:jc w:val="center"/>
                    <w:rPr>
                      <w:rFonts w:ascii="Arial" w:hAnsi="Arial" w:cs="Arial"/>
                      <w:color w:val="000000"/>
                      <w:szCs w:val="21"/>
                    </w:rPr>
                  </w:pPr>
                  <w:r>
                    <w:rPr>
                      <w:rFonts w:ascii="Arial" w:hAnsi="Arial" w:cs="Arial"/>
                      <w:color w:val="000000"/>
                      <w:szCs w:val="21"/>
                    </w:rPr>
                    <w:t>s</w:t>
                  </w:r>
                </w:p>
              </w:tc>
              <w:tc>
                <w:tcPr>
                  <w:tcW w:w="413" w:type="pct"/>
                  <w:gridSpan w:val="4"/>
                  <w:noWrap w:val="0"/>
                  <w:vAlign w:val="center"/>
                </w:tcPr>
                <w:p>
                  <w:pPr>
                    <w:spacing w:line="276" w:lineRule="auto"/>
                    <w:jc w:val="center"/>
                    <w:rPr>
                      <w:rFonts w:ascii="Arial" w:hAnsi="Arial" w:cs="Arial"/>
                      <w:color w:val="000000"/>
                      <w:szCs w:val="21"/>
                    </w:rPr>
                  </w:pPr>
                  <w:r>
                    <w:rPr>
                      <w:rFonts w:ascii="Arial" w:hAnsi="Arial" w:cs="Arial"/>
                      <w:color w:val="000000"/>
                      <w:szCs w:val="21"/>
                    </w:rPr>
                    <w:t>塑粘</w:t>
                  </w:r>
                </w:p>
                <w:p>
                  <w:pPr>
                    <w:spacing w:line="276" w:lineRule="auto"/>
                    <w:jc w:val="center"/>
                    <w:rPr>
                      <w:rFonts w:ascii="Arial" w:hAnsi="Arial" w:cs="Arial"/>
                      <w:color w:val="000000"/>
                      <w:szCs w:val="21"/>
                    </w:rPr>
                  </w:pPr>
                  <w:r>
                    <w:rPr>
                      <w:rFonts w:ascii="Arial" w:hAnsi="Arial" w:cs="Arial"/>
                      <w:color w:val="000000"/>
                      <w:szCs w:val="21"/>
                    </w:rPr>
                    <w:t>mPa.s</w:t>
                  </w:r>
                </w:p>
              </w:tc>
              <w:tc>
                <w:tcPr>
                  <w:tcW w:w="27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动切</w:t>
                  </w:r>
                </w:p>
                <w:p>
                  <w:pPr>
                    <w:spacing w:line="276" w:lineRule="auto"/>
                    <w:jc w:val="center"/>
                    <w:rPr>
                      <w:rFonts w:ascii="Arial" w:hAnsi="Arial" w:cs="Arial"/>
                      <w:color w:val="000000"/>
                      <w:szCs w:val="21"/>
                    </w:rPr>
                  </w:pPr>
                  <w:r>
                    <w:rPr>
                      <w:rFonts w:ascii="Arial" w:hAnsi="Arial" w:cs="Arial"/>
                      <w:color w:val="000000"/>
                      <w:szCs w:val="21"/>
                    </w:rPr>
                    <w:t>Pa</w:t>
                  </w:r>
                </w:p>
              </w:tc>
              <w:tc>
                <w:tcPr>
                  <w:tcW w:w="221"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初切</w:t>
                  </w:r>
                </w:p>
                <w:p>
                  <w:pPr>
                    <w:spacing w:line="276" w:lineRule="auto"/>
                    <w:jc w:val="center"/>
                    <w:rPr>
                      <w:rFonts w:ascii="Arial" w:hAnsi="Arial" w:cs="Arial"/>
                      <w:color w:val="000000"/>
                      <w:szCs w:val="21"/>
                    </w:rPr>
                  </w:pPr>
                  <w:r>
                    <w:rPr>
                      <w:rFonts w:ascii="Arial" w:hAnsi="Arial" w:cs="Arial"/>
                      <w:color w:val="000000"/>
                      <w:szCs w:val="21"/>
                    </w:rPr>
                    <w:t>Pa</w:t>
                  </w:r>
                </w:p>
              </w:tc>
              <w:tc>
                <w:tcPr>
                  <w:tcW w:w="22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终切</w:t>
                  </w:r>
                </w:p>
                <w:p>
                  <w:pPr>
                    <w:spacing w:line="276" w:lineRule="auto"/>
                    <w:jc w:val="center"/>
                    <w:rPr>
                      <w:rFonts w:ascii="Arial" w:hAnsi="Arial" w:cs="Arial"/>
                      <w:color w:val="000000"/>
                      <w:szCs w:val="21"/>
                    </w:rPr>
                  </w:pPr>
                  <w:r>
                    <w:rPr>
                      <w:rFonts w:ascii="Arial" w:hAnsi="Arial" w:cs="Arial"/>
                      <w:color w:val="000000"/>
                      <w:szCs w:val="21"/>
                    </w:rPr>
                    <w:t>Pa</w:t>
                  </w:r>
                </w:p>
              </w:tc>
              <w:tc>
                <w:tcPr>
                  <w:tcW w:w="279"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514" w:type="pct"/>
                  <w:noWrap w:val="0"/>
                  <w:vAlign w:val="center"/>
                </w:tcPr>
                <w:p>
                  <w:pPr>
                    <w:jc w:val="center"/>
                    <w:rPr>
                      <w:rFonts w:ascii="Arial" w:hAnsi="Arial" w:cs="Arial"/>
                      <w:color w:val="000000"/>
                      <w:szCs w:val="21"/>
                    </w:rPr>
                  </w:pPr>
                  <w:r>
                    <w:rPr>
                      <w:rFonts w:ascii="Arial" w:hAnsi="Arial" w:cs="Arial"/>
                      <w:color w:val="000000"/>
                      <w:szCs w:val="21"/>
                    </w:rPr>
                    <w:t>一开</w:t>
                  </w:r>
                </w:p>
              </w:tc>
              <w:tc>
                <w:tcPr>
                  <w:tcW w:w="266" w:type="pct"/>
                  <w:noWrap w:val="0"/>
                  <w:vAlign w:val="center"/>
                </w:tcPr>
                <w:p>
                  <w:pPr>
                    <w:jc w:val="center"/>
                    <w:rPr>
                      <w:rFonts w:ascii="Arial" w:hAnsi="Arial" w:cs="Arial"/>
                      <w:color w:val="000000"/>
                      <w:szCs w:val="21"/>
                    </w:rPr>
                  </w:pPr>
                  <w:r>
                    <w:rPr>
                      <w:rFonts w:ascii="Arial" w:hAnsi="Arial" w:cs="Arial"/>
                      <w:color w:val="000000"/>
                      <w:szCs w:val="21"/>
                    </w:rPr>
                    <w:t>0-800</w:t>
                  </w:r>
                </w:p>
              </w:tc>
              <w:tc>
                <w:tcPr>
                  <w:tcW w:w="395" w:type="pct"/>
                  <w:gridSpan w:val="3"/>
                  <w:noWrap w:val="0"/>
                  <w:vAlign w:val="center"/>
                </w:tcPr>
                <w:p>
                  <w:pPr>
                    <w:jc w:val="center"/>
                    <w:rPr>
                      <w:rFonts w:ascii="Arial" w:hAnsi="Arial" w:cs="Arial"/>
                      <w:color w:val="000000"/>
                      <w:szCs w:val="21"/>
                    </w:rPr>
                  </w:pPr>
                  <w:r>
                    <w:rPr>
                      <w:rFonts w:ascii="Arial" w:hAnsi="Arial" w:cs="Arial"/>
                      <w:color w:val="000000"/>
                      <w:szCs w:val="21"/>
                    </w:rPr>
                    <w:t>1.10-1.</w:t>
                  </w:r>
                  <w:r>
                    <w:rPr>
                      <w:rFonts w:hint="eastAsia" w:ascii="Arial" w:hAnsi="Arial" w:cs="Arial"/>
                      <w:color w:val="000000"/>
                      <w:szCs w:val="21"/>
                    </w:rPr>
                    <w:t>15</w:t>
                  </w:r>
                </w:p>
              </w:tc>
              <w:tc>
                <w:tcPr>
                  <w:tcW w:w="282" w:type="pct"/>
                  <w:gridSpan w:val="3"/>
                  <w:noWrap w:val="0"/>
                  <w:vAlign w:val="center"/>
                </w:tcPr>
                <w:p>
                  <w:pPr>
                    <w:jc w:val="center"/>
                    <w:rPr>
                      <w:rFonts w:ascii="Arial" w:hAnsi="Arial" w:cs="Arial"/>
                      <w:color w:val="000000"/>
                      <w:szCs w:val="21"/>
                    </w:rPr>
                  </w:pPr>
                  <w:r>
                    <w:rPr>
                      <w:rFonts w:ascii="Arial" w:hAnsi="Arial" w:cs="Arial"/>
                      <w:color w:val="000000"/>
                      <w:szCs w:val="21"/>
                    </w:rPr>
                    <w:sym w:font="Symbol" w:char="F0A3"/>
                  </w:r>
                  <w:r>
                    <w:rPr>
                      <w:rFonts w:ascii="Arial" w:hAnsi="Arial" w:cs="Arial"/>
                      <w:color w:val="000000"/>
                      <w:szCs w:val="21"/>
                    </w:rPr>
                    <w:t>10</w:t>
                  </w:r>
                </w:p>
              </w:tc>
              <w:tc>
                <w:tcPr>
                  <w:tcW w:w="298" w:type="pct"/>
                  <w:gridSpan w:val="3"/>
                  <w:noWrap w:val="0"/>
                  <w:vAlign w:val="center"/>
                </w:tcPr>
                <w:p>
                  <w:pPr>
                    <w:jc w:val="center"/>
                    <w:rPr>
                      <w:rFonts w:ascii="Arial" w:hAnsi="Arial" w:cs="Arial"/>
                      <w:color w:val="000000"/>
                      <w:szCs w:val="21"/>
                    </w:rPr>
                  </w:pPr>
                  <w:r>
                    <w:rPr>
                      <w:rFonts w:ascii="Arial" w:hAnsi="Arial" w:cs="Arial"/>
                      <w:color w:val="000000"/>
                      <w:szCs w:val="21"/>
                    </w:rPr>
                    <w:sym w:font="Symbol" w:char="F0A3"/>
                  </w:r>
                  <w:r>
                    <w:rPr>
                      <w:rFonts w:ascii="Arial" w:hAnsi="Arial" w:cs="Arial"/>
                      <w:color w:val="000000"/>
                      <w:szCs w:val="21"/>
                    </w:rPr>
                    <w:t>0.5</w:t>
                  </w:r>
                </w:p>
              </w:tc>
              <w:tc>
                <w:tcPr>
                  <w:tcW w:w="265" w:type="pct"/>
                  <w:noWrap w:val="0"/>
                  <w:vAlign w:val="center"/>
                </w:tcPr>
                <w:p>
                  <w:pPr>
                    <w:spacing w:line="276" w:lineRule="auto"/>
                    <w:jc w:val="center"/>
                    <w:rPr>
                      <w:rFonts w:ascii="Arial" w:hAnsi="Arial" w:cs="Arial"/>
                      <w:color w:val="000000"/>
                      <w:szCs w:val="21"/>
                    </w:rPr>
                  </w:pPr>
                  <w:r>
                    <w:rPr>
                      <w:rFonts w:ascii="Arial" w:hAnsi="Arial" w:cs="Arial"/>
                      <w:color w:val="000000"/>
                      <w:szCs w:val="21"/>
                    </w:rPr>
                    <w:t>35-45</w:t>
                  </w:r>
                </w:p>
              </w:tc>
              <w:tc>
                <w:tcPr>
                  <w:tcW w:w="301" w:type="pct"/>
                  <w:gridSpan w:val="3"/>
                  <w:noWrap w:val="0"/>
                  <w:vAlign w:val="center"/>
                </w:tcPr>
                <w:p>
                  <w:pPr>
                    <w:spacing w:line="276" w:lineRule="auto"/>
                    <w:jc w:val="center"/>
                    <w:rPr>
                      <w:rFonts w:ascii="Arial" w:hAnsi="Arial" w:cs="Arial"/>
                      <w:szCs w:val="21"/>
                    </w:rPr>
                  </w:pPr>
                  <w:r>
                    <w:rPr>
                      <w:rFonts w:ascii="Arial" w:hAnsi="Arial" w:cs="Arial"/>
                      <w:szCs w:val="21"/>
                    </w:rPr>
                    <w:sym w:font="Symbol" w:char="F0A3"/>
                  </w:r>
                  <w:r>
                    <w:rPr>
                      <w:rFonts w:ascii="Arial" w:hAnsi="Arial" w:cs="Arial"/>
                      <w:szCs w:val="21"/>
                    </w:rPr>
                    <w:t>20</w:t>
                  </w:r>
                </w:p>
              </w:tc>
              <w:tc>
                <w:tcPr>
                  <w:tcW w:w="309" w:type="pct"/>
                  <w:gridSpan w:val="3"/>
                  <w:noWrap w:val="0"/>
                  <w:vAlign w:val="center"/>
                </w:tcPr>
                <w:p>
                  <w:pPr>
                    <w:spacing w:line="276" w:lineRule="auto"/>
                    <w:jc w:val="center"/>
                    <w:rPr>
                      <w:rFonts w:ascii="Arial" w:hAnsi="Arial" w:cs="Arial"/>
                      <w:szCs w:val="21"/>
                    </w:rPr>
                  </w:pPr>
                  <w:r>
                    <w:rPr>
                      <w:rFonts w:ascii="Arial" w:hAnsi="Arial" w:cs="Arial"/>
                      <w:szCs w:val="21"/>
                    </w:rPr>
                    <w:sym w:font="Symbol" w:char="F0A3"/>
                  </w:r>
                  <w:r>
                    <w:rPr>
                      <w:rFonts w:ascii="Arial" w:hAnsi="Arial" w:cs="Arial"/>
                      <w:szCs w:val="21"/>
                    </w:rPr>
                    <w:t>0.5</w:t>
                  </w:r>
                </w:p>
              </w:tc>
              <w:tc>
                <w:tcPr>
                  <w:tcW w:w="398" w:type="pct"/>
                  <w:gridSpan w:val="3"/>
                  <w:noWrap w:val="0"/>
                  <w:vAlign w:val="center"/>
                </w:tcPr>
                <w:p>
                  <w:pPr>
                    <w:spacing w:line="276" w:lineRule="auto"/>
                    <w:jc w:val="center"/>
                    <w:rPr>
                      <w:rFonts w:ascii="Arial" w:hAnsi="Arial" w:cs="Arial"/>
                      <w:color w:val="000000"/>
                      <w:szCs w:val="21"/>
                    </w:rPr>
                  </w:pPr>
                </w:p>
              </w:tc>
              <w:tc>
                <w:tcPr>
                  <w:tcW w:w="271" w:type="pct"/>
                  <w:gridSpan w:val="3"/>
                  <w:noWrap w:val="0"/>
                  <w:vAlign w:val="center"/>
                </w:tcPr>
                <w:p>
                  <w:pPr>
                    <w:spacing w:line="276" w:lineRule="auto"/>
                    <w:jc w:val="center"/>
                    <w:rPr>
                      <w:rFonts w:ascii="Arial" w:hAnsi="Arial" w:cs="Arial"/>
                      <w:color w:val="000000"/>
                      <w:szCs w:val="21"/>
                    </w:rPr>
                  </w:pPr>
                </w:p>
              </w:tc>
              <w:tc>
                <w:tcPr>
                  <w:tcW w:w="288" w:type="pct"/>
                  <w:gridSpan w:val="2"/>
                  <w:noWrap w:val="0"/>
                  <w:vAlign w:val="center"/>
                </w:tcPr>
                <w:p>
                  <w:pPr>
                    <w:spacing w:line="276" w:lineRule="auto"/>
                    <w:jc w:val="center"/>
                    <w:rPr>
                      <w:rFonts w:ascii="Arial" w:hAnsi="Arial" w:cs="Arial"/>
                      <w:color w:val="000000"/>
                      <w:szCs w:val="21"/>
                    </w:rPr>
                  </w:pPr>
                  <w:r>
                    <w:rPr>
                      <w:rFonts w:ascii="Arial" w:hAnsi="Arial" w:cs="Arial"/>
                      <w:color w:val="7030A0"/>
                      <w:szCs w:val="21"/>
                    </w:rPr>
                    <w:t>4</w:t>
                  </w:r>
                  <w:r>
                    <w:rPr>
                      <w:rFonts w:ascii="Arial" w:hAnsi="Arial" w:cs="Arial"/>
                      <w:color w:val="000000"/>
                      <w:szCs w:val="21"/>
                    </w:rPr>
                    <w:t>0-70</w:t>
                  </w:r>
                </w:p>
              </w:tc>
              <w:tc>
                <w:tcPr>
                  <w:tcW w:w="413" w:type="pct"/>
                  <w:gridSpan w:val="4"/>
                  <w:noWrap w:val="0"/>
                  <w:vAlign w:val="center"/>
                </w:tcPr>
                <w:p>
                  <w:pPr>
                    <w:jc w:val="center"/>
                    <w:rPr>
                      <w:rFonts w:ascii="Arial" w:hAnsi="Arial" w:cs="Arial"/>
                      <w:color w:val="000000"/>
                      <w:szCs w:val="21"/>
                    </w:rPr>
                  </w:pPr>
                  <w:r>
                    <w:rPr>
                      <w:rFonts w:ascii="Arial" w:hAnsi="Arial" w:cs="Arial"/>
                      <w:color w:val="000000"/>
                      <w:szCs w:val="21"/>
                    </w:rPr>
                    <w:t>10-30</w:t>
                  </w:r>
                </w:p>
              </w:tc>
              <w:tc>
                <w:tcPr>
                  <w:tcW w:w="271" w:type="pct"/>
                  <w:gridSpan w:val="3"/>
                  <w:noWrap w:val="0"/>
                  <w:vAlign w:val="center"/>
                </w:tcPr>
                <w:p>
                  <w:pPr>
                    <w:jc w:val="center"/>
                    <w:rPr>
                      <w:rFonts w:ascii="Arial" w:hAnsi="Arial" w:cs="Arial"/>
                      <w:color w:val="000000"/>
                      <w:szCs w:val="21"/>
                    </w:rPr>
                  </w:pPr>
                  <w:r>
                    <w:rPr>
                      <w:rFonts w:ascii="Arial" w:hAnsi="Arial" w:cs="Arial"/>
                      <w:color w:val="000000"/>
                      <w:szCs w:val="21"/>
                    </w:rPr>
                    <w:t>3-12</w:t>
                  </w:r>
                </w:p>
              </w:tc>
              <w:tc>
                <w:tcPr>
                  <w:tcW w:w="221" w:type="pct"/>
                  <w:gridSpan w:val="2"/>
                  <w:noWrap w:val="0"/>
                  <w:vAlign w:val="center"/>
                </w:tcPr>
                <w:p>
                  <w:pPr>
                    <w:jc w:val="center"/>
                    <w:rPr>
                      <w:rFonts w:ascii="Arial" w:hAnsi="Arial" w:cs="Arial"/>
                      <w:color w:val="000000"/>
                      <w:szCs w:val="21"/>
                    </w:rPr>
                  </w:pPr>
                  <w:r>
                    <w:rPr>
                      <w:rFonts w:ascii="Arial" w:hAnsi="Arial" w:cs="Arial"/>
                      <w:color w:val="000000"/>
                      <w:szCs w:val="21"/>
                    </w:rPr>
                    <w:t>1-5</w:t>
                  </w:r>
                </w:p>
              </w:tc>
              <w:tc>
                <w:tcPr>
                  <w:tcW w:w="221" w:type="pct"/>
                  <w:gridSpan w:val="3"/>
                  <w:noWrap w:val="0"/>
                  <w:vAlign w:val="center"/>
                </w:tcPr>
                <w:p>
                  <w:pPr>
                    <w:jc w:val="center"/>
                    <w:rPr>
                      <w:rFonts w:ascii="Arial" w:hAnsi="Arial" w:cs="Arial"/>
                      <w:color w:val="000000"/>
                      <w:szCs w:val="21"/>
                    </w:rPr>
                  </w:pPr>
                  <w:r>
                    <w:rPr>
                      <w:rFonts w:ascii="Arial" w:hAnsi="Arial" w:cs="Arial"/>
                      <w:color w:val="000000"/>
                      <w:szCs w:val="21"/>
                    </w:rPr>
                    <w:t>2-7</w:t>
                  </w:r>
                </w:p>
              </w:tc>
              <w:tc>
                <w:tcPr>
                  <w:tcW w:w="279"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5" w:hRule="atLeast"/>
                <w:jc w:val="center"/>
              </w:trPr>
              <w:tc>
                <w:tcPr>
                  <w:tcW w:w="514" w:type="pct"/>
                  <w:noWrap w:val="0"/>
                  <w:vAlign w:val="center"/>
                </w:tcPr>
                <w:p>
                  <w:pPr>
                    <w:spacing w:line="360" w:lineRule="exact"/>
                    <w:jc w:val="center"/>
                    <w:rPr>
                      <w:rFonts w:hint="eastAsia" w:ascii="Arial" w:hAnsi="Arial" w:cs="Arial"/>
                      <w:lang w:bidi="ar"/>
                    </w:rPr>
                  </w:pPr>
                  <w:r>
                    <w:rPr>
                      <w:rFonts w:ascii="Arial" w:hAnsi="Arial" w:cs="Arial"/>
                      <w:lang w:bidi="ar"/>
                    </w:rPr>
                    <w:t>坂土+CMC</w:t>
                  </w:r>
                </w:p>
                <w:p>
                  <w:pPr>
                    <w:spacing w:line="360" w:lineRule="exact"/>
                    <w:jc w:val="center"/>
                    <w:rPr>
                      <w:rFonts w:ascii="Arial" w:hAnsi="Arial" w:cs="Arial"/>
                    </w:rPr>
                  </w:pPr>
                  <w:r>
                    <w:rPr>
                      <w:rFonts w:ascii="Arial" w:hAnsi="Arial" w:cs="Arial"/>
                      <w:lang w:bidi="ar"/>
                    </w:rPr>
                    <w:t>钻井液</w:t>
                  </w:r>
                </w:p>
              </w:tc>
              <w:tc>
                <w:tcPr>
                  <w:tcW w:w="4485" w:type="pct"/>
                  <w:gridSpan w:val="39"/>
                  <w:noWrap w:val="0"/>
                  <w:vAlign w:val="center"/>
                </w:tcPr>
                <w:p>
                  <w:pPr>
                    <w:spacing w:line="360" w:lineRule="exact"/>
                    <w:jc w:val="left"/>
                    <w:rPr>
                      <w:rFonts w:ascii="Arial" w:hAnsi="Arial" w:cs="Arial"/>
                    </w:rPr>
                  </w:pPr>
                  <w:r>
                    <w:rPr>
                      <w:rFonts w:ascii="Arial" w:hAnsi="Arial" w:cs="Arial"/>
                      <w:lang w:bidi="ar"/>
                    </w:rPr>
                    <w:t>10-15%坂土+0.2-0.3%Na</w:t>
                  </w:r>
                  <w:r>
                    <w:rPr>
                      <w:rFonts w:ascii="Arial" w:hAnsi="Arial" w:cs="Arial"/>
                      <w:vertAlign w:val="subscript"/>
                      <w:lang w:bidi="ar"/>
                    </w:rPr>
                    <w:t>2</w:t>
                  </w:r>
                  <w:r>
                    <w:rPr>
                      <w:rFonts w:ascii="Arial" w:hAnsi="Arial" w:cs="Arial"/>
                      <w:lang w:bidi="ar"/>
                    </w:rPr>
                    <w:t>CO</w:t>
                  </w:r>
                  <w:r>
                    <w:rPr>
                      <w:rFonts w:ascii="Arial" w:hAnsi="Arial" w:cs="Arial"/>
                      <w:vertAlign w:val="subscript"/>
                      <w:lang w:bidi="ar"/>
                    </w:rPr>
                    <w:t>3</w:t>
                  </w:r>
                  <w:r>
                    <w:rPr>
                      <w:rFonts w:ascii="Arial" w:hAnsi="Arial" w:cs="Arial"/>
                      <w:lang w:bidi="ar"/>
                    </w:rPr>
                    <w:t>+0.2-0.3%CMC+重晶石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14" w:type="pct"/>
                  <w:vMerge w:val="restart"/>
                  <w:noWrap w:val="0"/>
                  <w:vAlign w:val="center"/>
                </w:tcPr>
                <w:p>
                  <w:pPr>
                    <w:jc w:val="center"/>
                    <w:rPr>
                      <w:rFonts w:ascii="Arial" w:hAnsi="Arial" w:cs="Arial"/>
                      <w:szCs w:val="21"/>
                    </w:rPr>
                  </w:pPr>
                  <w:r>
                    <w:rPr>
                      <w:rFonts w:ascii="Arial" w:hAnsi="Arial" w:cs="Arial"/>
                      <w:szCs w:val="21"/>
                    </w:rPr>
                    <w:t>开钻</w:t>
                  </w:r>
                </w:p>
                <w:p>
                  <w:pPr>
                    <w:jc w:val="center"/>
                    <w:rPr>
                      <w:rFonts w:ascii="Arial" w:hAnsi="Arial" w:cs="Arial"/>
                      <w:szCs w:val="21"/>
                    </w:rPr>
                  </w:pPr>
                  <w:r>
                    <w:rPr>
                      <w:rFonts w:ascii="Arial" w:hAnsi="Arial" w:cs="Arial"/>
                      <w:szCs w:val="21"/>
                    </w:rPr>
                    <w:t>次序</w:t>
                  </w:r>
                </w:p>
              </w:tc>
              <w:tc>
                <w:tcPr>
                  <w:tcW w:w="266" w:type="pct"/>
                  <w:vMerge w:val="restart"/>
                  <w:noWrap w:val="0"/>
                  <w:vAlign w:val="center"/>
                </w:tcPr>
                <w:p>
                  <w:pPr>
                    <w:jc w:val="center"/>
                    <w:rPr>
                      <w:rFonts w:ascii="Arial" w:hAnsi="Arial" w:cs="Arial"/>
                      <w:szCs w:val="21"/>
                    </w:rPr>
                  </w:pPr>
                  <w:r>
                    <w:rPr>
                      <w:rFonts w:ascii="Arial" w:hAnsi="Arial" w:cs="Arial"/>
                      <w:szCs w:val="21"/>
                    </w:rPr>
                    <w:t>井段</w:t>
                  </w:r>
                </w:p>
                <w:p>
                  <w:pPr>
                    <w:jc w:val="center"/>
                    <w:rPr>
                      <w:rFonts w:ascii="Arial" w:hAnsi="Arial" w:cs="Arial"/>
                      <w:szCs w:val="21"/>
                    </w:rPr>
                  </w:pPr>
                  <w:r>
                    <w:rPr>
                      <w:rFonts w:ascii="Arial" w:hAnsi="Arial" w:cs="Arial"/>
                      <w:szCs w:val="21"/>
                    </w:rPr>
                    <w:t>m</w:t>
                  </w:r>
                </w:p>
              </w:tc>
              <w:tc>
                <w:tcPr>
                  <w:tcW w:w="2420" w:type="pct"/>
                  <w:gridSpan w:val="20"/>
                  <w:noWrap w:val="0"/>
                  <w:vAlign w:val="center"/>
                </w:tcPr>
                <w:p>
                  <w:pPr>
                    <w:jc w:val="center"/>
                    <w:rPr>
                      <w:rFonts w:ascii="Arial" w:hAnsi="Arial" w:cs="Arial"/>
                      <w:szCs w:val="21"/>
                    </w:rPr>
                  </w:pPr>
                  <w:r>
                    <w:rPr>
                      <w:rFonts w:ascii="Arial" w:hAnsi="Arial" w:cs="Arial"/>
                      <w:szCs w:val="21"/>
                    </w:rPr>
                    <w:t>常规性能（控制指标）</w:t>
                  </w:r>
                </w:p>
              </w:tc>
              <w:tc>
                <w:tcPr>
                  <w:tcW w:w="1798" w:type="pct"/>
                  <w:gridSpan w:val="18"/>
                  <w:noWrap w:val="0"/>
                  <w:vAlign w:val="center"/>
                </w:tcPr>
                <w:p>
                  <w:pPr>
                    <w:jc w:val="center"/>
                    <w:rPr>
                      <w:rFonts w:ascii="Arial" w:hAnsi="Arial" w:cs="Arial"/>
                      <w:szCs w:val="21"/>
                    </w:rPr>
                  </w:pPr>
                  <w:r>
                    <w:rPr>
                      <w:rFonts w:ascii="Arial" w:hAnsi="Arial" w:cs="Arial"/>
                      <w:szCs w:val="21"/>
                    </w:rP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14" w:type="pct"/>
                  <w:vMerge w:val="continue"/>
                  <w:noWrap w:val="0"/>
                  <w:vAlign w:val="center"/>
                </w:tcPr>
                <w:p>
                  <w:pPr>
                    <w:jc w:val="center"/>
                    <w:rPr>
                      <w:rFonts w:ascii="Arial" w:hAnsi="Arial" w:cs="Arial"/>
                      <w:szCs w:val="21"/>
                    </w:rPr>
                  </w:pPr>
                </w:p>
              </w:tc>
              <w:tc>
                <w:tcPr>
                  <w:tcW w:w="266" w:type="pct"/>
                  <w:vMerge w:val="continue"/>
                  <w:noWrap w:val="0"/>
                  <w:vAlign w:val="center"/>
                </w:tcPr>
                <w:p>
                  <w:pPr>
                    <w:jc w:val="center"/>
                    <w:rPr>
                      <w:rFonts w:ascii="Arial" w:hAnsi="Arial" w:cs="Arial"/>
                      <w:szCs w:val="21"/>
                    </w:rPr>
                  </w:pPr>
                </w:p>
              </w:tc>
              <w:tc>
                <w:tcPr>
                  <w:tcW w:w="246" w:type="pct"/>
                  <w:gridSpan w:val="2"/>
                  <w:noWrap w:val="0"/>
                  <w:vAlign w:val="center"/>
                </w:tcPr>
                <w:p>
                  <w:pPr>
                    <w:jc w:val="center"/>
                    <w:rPr>
                      <w:rFonts w:ascii="Arial" w:hAnsi="Arial" w:cs="Arial"/>
                      <w:szCs w:val="21"/>
                    </w:rPr>
                  </w:pPr>
                  <w:r>
                    <w:rPr>
                      <w:rFonts w:ascii="Arial" w:hAnsi="Arial" w:cs="Arial"/>
                      <w:szCs w:val="21"/>
                    </w:rPr>
                    <w:t>密度</w:t>
                  </w:r>
                </w:p>
                <w:p>
                  <w:pPr>
                    <w:jc w:val="center"/>
                    <w:rPr>
                      <w:rFonts w:ascii="Arial" w:hAnsi="Arial" w:cs="Arial"/>
                      <w:szCs w:val="21"/>
                    </w:rPr>
                  </w:pPr>
                  <w:r>
                    <w:rPr>
                      <w:rFonts w:ascii="Arial" w:hAnsi="Arial" w:cs="Arial"/>
                      <w:szCs w:val="21"/>
                    </w:rPr>
                    <w:t>g/cm</w:t>
                  </w:r>
                  <w:r>
                    <w:rPr>
                      <w:rFonts w:ascii="Arial" w:hAnsi="Arial" w:cs="Arial"/>
                      <w:szCs w:val="21"/>
                      <w:vertAlign w:val="superscript"/>
                    </w:rPr>
                    <w:t>3</w:t>
                  </w:r>
                </w:p>
              </w:tc>
              <w:tc>
                <w:tcPr>
                  <w:tcW w:w="384" w:type="pct"/>
                  <w:gridSpan w:val="3"/>
                  <w:noWrap w:val="0"/>
                  <w:vAlign w:val="center"/>
                </w:tcPr>
                <w:p>
                  <w:pPr>
                    <w:jc w:val="center"/>
                    <w:rPr>
                      <w:rFonts w:ascii="Arial" w:hAnsi="Arial" w:cs="Arial"/>
                      <w:szCs w:val="21"/>
                    </w:rPr>
                  </w:pPr>
                  <w:r>
                    <w:rPr>
                      <w:rFonts w:ascii="Arial" w:hAnsi="Arial" w:cs="Arial"/>
                      <w:szCs w:val="21"/>
                    </w:rPr>
                    <w:t>FL</w:t>
                  </w:r>
                  <w:r>
                    <w:rPr>
                      <w:rFonts w:ascii="Arial" w:hAnsi="Arial" w:cs="Arial"/>
                      <w:szCs w:val="21"/>
                      <w:vertAlign w:val="subscript"/>
                    </w:rPr>
                    <w:t>HTHP</w:t>
                  </w:r>
                </w:p>
                <w:p>
                  <w:pPr>
                    <w:jc w:val="center"/>
                    <w:rPr>
                      <w:rFonts w:ascii="Arial" w:hAnsi="Arial" w:cs="Arial"/>
                      <w:szCs w:val="21"/>
                    </w:rPr>
                  </w:pPr>
                  <w:r>
                    <w:rPr>
                      <w:rFonts w:ascii="Arial" w:hAnsi="Arial" w:cs="Arial"/>
                      <w:szCs w:val="21"/>
                    </w:rPr>
                    <w:t>ml</w:t>
                  </w:r>
                </w:p>
              </w:tc>
              <w:tc>
                <w:tcPr>
                  <w:tcW w:w="255" w:type="pct"/>
                  <w:gridSpan w:val="3"/>
                  <w:noWrap w:val="0"/>
                  <w:vAlign w:val="center"/>
                </w:tcPr>
                <w:p>
                  <w:pPr>
                    <w:jc w:val="center"/>
                    <w:rPr>
                      <w:rFonts w:ascii="Arial" w:hAnsi="Arial" w:cs="Arial"/>
                      <w:szCs w:val="21"/>
                    </w:rPr>
                  </w:pPr>
                  <w:r>
                    <w:rPr>
                      <w:rFonts w:ascii="Arial" w:hAnsi="Arial" w:cs="Arial"/>
                      <w:szCs w:val="21"/>
                    </w:rPr>
                    <w:t>泥饼</w:t>
                  </w:r>
                </w:p>
                <w:p>
                  <w:pPr>
                    <w:jc w:val="center"/>
                    <w:rPr>
                      <w:rFonts w:ascii="Arial" w:hAnsi="Arial" w:cs="Arial"/>
                      <w:szCs w:val="21"/>
                    </w:rPr>
                  </w:pPr>
                  <w:r>
                    <w:rPr>
                      <w:rFonts w:ascii="Arial" w:hAnsi="Arial" w:cs="Arial"/>
                      <w:szCs w:val="21"/>
                    </w:rPr>
                    <w:t>mm</w:t>
                  </w:r>
                </w:p>
              </w:tc>
              <w:tc>
                <w:tcPr>
                  <w:tcW w:w="401" w:type="pct"/>
                  <w:gridSpan w:val="4"/>
                  <w:noWrap w:val="0"/>
                  <w:vAlign w:val="center"/>
                </w:tcPr>
                <w:p>
                  <w:pPr>
                    <w:jc w:val="center"/>
                    <w:rPr>
                      <w:rFonts w:ascii="Arial" w:hAnsi="Arial" w:cs="Arial"/>
                      <w:szCs w:val="21"/>
                    </w:rPr>
                  </w:pPr>
                  <w:r>
                    <w:rPr>
                      <w:rFonts w:ascii="Arial" w:hAnsi="Arial" w:cs="Arial"/>
                      <w:szCs w:val="21"/>
                    </w:rPr>
                    <w:t>油水比</w:t>
                  </w:r>
                </w:p>
                <w:p>
                  <w:pPr>
                    <w:jc w:val="center"/>
                    <w:rPr>
                      <w:rFonts w:ascii="Arial" w:hAnsi="Arial" w:cs="Arial"/>
                      <w:szCs w:val="21"/>
                    </w:rPr>
                  </w:pPr>
                  <w:r>
                    <w:rPr>
                      <w:rFonts w:ascii="Arial" w:hAnsi="Arial" w:cs="Arial"/>
                      <w:szCs w:val="21"/>
                    </w:rPr>
                    <w:t>%</w:t>
                  </w:r>
                </w:p>
              </w:tc>
              <w:tc>
                <w:tcPr>
                  <w:tcW w:w="281" w:type="pct"/>
                  <w:gridSpan w:val="2"/>
                  <w:noWrap w:val="0"/>
                  <w:vAlign w:val="center"/>
                </w:tcPr>
                <w:p>
                  <w:pPr>
                    <w:jc w:val="center"/>
                    <w:rPr>
                      <w:rFonts w:ascii="Arial" w:hAnsi="Arial" w:cs="Arial"/>
                      <w:szCs w:val="21"/>
                    </w:rPr>
                  </w:pPr>
                  <w:r>
                    <w:rPr>
                      <w:rFonts w:ascii="Arial" w:hAnsi="Arial" w:cs="Arial"/>
                      <w:szCs w:val="21"/>
                    </w:rPr>
                    <w:t>固相</w:t>
                  </w:r>
                </w:p>
                <w:p>
                  <w:pPr>
                    <w:jc w:val="center"/>
                    <w:rPr>
                      <w:rFonts w:ascii="Arial" w:hAnsi="Arial" w:cs="Arial"/>
                      <w:szCs w:val="21"/>
                    </w:rPr>
                  </w:pPr>
                  <w:r>
                    <w:rPr>
                      <w:rFonts w:ascii="Arial" w:hAnsi="Arial" w:cs="Arial"/>
                      <w:szCs w:val="21"/>
                    </w:rPr>
                    <w:t>%</w:t>
                  </w:r>
                </w:p>
              </w:tc>
              <w:tc>
                <w:tcPr>
                  <w:tcW w:w="257" w:type="pct"/>
                  <w:noWrap w:val="0"/>
                  <w:vAlign w:val="center"/>
                </w:tcPr>
                <w:p>
                  <w:pPr>
                    <w:jc w:val="center"/>
                    <w:rPr>
                      <w:rFonts w:ascii="Arial" w:hAnsi="Arial" w:cs="Arial"/>
                      <w:szCs w:val="21"/>
                    </w:rPr>
                  </w:pPr>
                  <w:r>
                    <w:rPr>
                      <w:rFonts w:ascii="Arial" w:hAnsi="Arial" w:cs="Arial"/>
                      <w:szCs w:val="21"/>
                    </w:rPr>
                    <w:t>含砂</w:t>
                  </w:r>
                </w:p>
                <w:p>
                  <w:pPr>
                    <w:jc w:val="center"/>
                    <w:rPr>
                      <w:rFonts w:ascii="Arial" w:hAnsi="Arial" w:cs="Arial"/>
                      <w:szCs w:val="21"/>
                    </w:rPr>
                  </w:pPr>
                  <w:r>
                    <w:rPr>
                      <w:rFonts w:ascii="Arial" w:hAnsi="Arial" w:cs="Arial"/>
                      <w:szCs w:val="21"/>
                    </w:rPr>
                    <w:t>%</w:t>
                  </w:r>
                </w:p>
              </w:tc>
              <w:tc>
                <w:tcPr>
                  <w:tcW w:w="316" w:type="pct"/>
                  <w:gridSpan w:val="2"/>
                  <w:noWrap w:val="0"/>
                  <w:vAlign w:val="center"/>
                </w:tcPr>
                <w:p>
                  <w:pPr>
                    <w:jc w:val="center"/>
                    <w:rPr>
                      <w:rFonts w:ascii="Arial" w:hAnsi="Arial" w:cs="Arial"/>
                      <w:szCs w:val="21"/>
                    </w:rPr>
                  </w:pPr>
                  <w:r>
                    <w:rPr>
                      <w:rFonts w:ascii="Arial" w:hAnsi="Arial" w:cs="Arial"/>
                      <w:szCs w:val="21"/>
                    </w:rPr>
                    <w:t>ES</w:t>
                  </w:r>
                </w:p>
                <w:p>
                  <w:pPr>
                    <w:jc w:val="center"/>
                    <w:rPr>
                      <w:rFonts w:ascii="Arial" w:hAnsi="Arial" w:cs="Arial"/>
                      <w:szCs w:val="21"/>
                    </w:rPr>
                  </w:pPr>
                  <w:r>
                    <w:rPr>
                      <w:rFonts w:ascii="Arial" w:hAnsi="Arial" w:cs="Arial"/>
                      <w:szCs w:val="21"/>
                    </w:rPr>
                    <w:t>V</w:t>
                  </w:r>
                </w:p>
              </w:tc>
              <w:tc>
                <w:tcPr>
                  <w:tcW w:w="277" w:type="pct"/>
                  <w:gridSpan w:val="3"/>
                  <w:noWrap w:val="0"/>
                  <w:vAlign w:val="center"/>
                </w:tcPr>
                <w:p>
                  <w:pPr>
                    <w:jc w:val="center"/>
                    <w:rPr>
                      <w:rFonts w:ascii="Arial" w:hAnsi="Arial" w:cs="Arial"/>
                      <w:szCs w:val="21"/>
                    </w:rPr>
                  </w:pPr>
                  <w:r>
                    <w:rPr>
                      <w:rFonts w:ascii="Arial" w:hAnsi="Arial" w:cs="Arial"/>
                      <w:szCs w:val="21"/>
                    </w:rPr>
                    <w:t>泥饼粘</w:t>
                  </w:r>
                </w:p>
                <w:p>
                  <w:pPr>
                    <w:jc w:val="center"/>
                    <w:rPr>
                      <w:rFonts w:ascii="Arial" w:hAnsi="Arial" w:cs="Arial"/>
                      <w:szCs w:val="21"/>
                    </w:rPr>
                  </w:pPr>
                  <w:r>
                    <w:rPr>
                      <w:rFonts w:ascii="Arial" w:hAnsi="Arial" w:cs="Arial"/>
                      <w:szCs w:val="21"/>
                    </w:rPr>
                    <w:t>滞系数</w:t>
                  </w:r>
                </w:p>
              </w:tc>
              <w:tc>
                <w:tcPr>
                  <w:tcW w:w="385" w:type="pct"/>
                  <w:gridSpan w:val="3"/>
                  <w:noWrap w:val="0"/>
                  <w:vAlign w:val="center"/>
                </w:tcPr>
                <w:p>
                  <w:pPr>
                    <w:jc w:val="center"/>
                    <w:textAlignment w:val="center"/>
                    <w:rPr>
                      <w:rFonts w:ascii="Arial" w:hAnsi="Arial" w:cs="Arial"/>
                      <w:szCs w:val="21"/>
                    </w:rPr>
                  </w:pPr>
                  <w:r>
                    <w:rPr>
                      <w:rFonts w:ascii="Arial" w:hAnsi="Arial" w:cs="Arial"/>
                      <w:szCs w:val="21"/>
                    </w:rPr>
                    <w:t>漏斗粘度</w:t>
                  </w:r>
                </w:p>
                <w:p>
                  <w:pPr>
                    <w:jc w:val="center"/>
                    <w:rPr>
                      <w:rFonts w:ascii="Arial" w:hAnsi="Arial" w:cs="Arial"/>
                      <w:szCs w:val="21"/>
                    </w:rPr>
                  </w:pPr>
                  <w:r>
                    <w:rPr>
                      <w:rFonts w:ascii="Arial" w:hAnsi="Arial" w:cs="Arial"/>
                      <w:szCs w:val="21"/>
                    </w:rPr>
                    <w:t>s</w:t>
                  </w:r>
                </w:p>
              </w:tc>
              <w:tc>
                <w:tcPr>
                  <w:tcW w:w="378" w:type="pct"/>
                  <w:gridSpan w:val="3"/>
                  <w:noWrap w:val="0"/>
                  <w:vAlign w:val="center"/>
                </w:tcPr>
                <w:p>
                  <w:pPr>
                    <w:jc w:val="center"/>
                    <w:rPr>
                      <w:rFonts w:ascii="Arial" w:hAnsi="Arial" w:cs="Arial"/>
                      <w:szCs w:val="21"/>
                    </w:rPr>
                  </w:pPr>
                  <w:r>
                    <w:rPr>
                      <w:rFonts w:ascii="Arial" w:hAnsi="Arial" w:cs="Arial"/>
                      <w:szCs w:val="21"/>
                    </w:rPr>
                    <w:t>塑性粘度</w:t>
                  </w:r>
                </w:p>
                <w:p>
                  <w:pPr>
                    <w:jc w:val="center"/>
                    <w:rPr>
                      <w:rFonts w:ascii="Arial" w:hAnsi="Arial" w:cs="Arial"/>
                      <w:szCs w:val="21"/>
                    </w:rPr>
                  </w:pPr>
                  <w:r>
                    <w:rPr>
                      <w:rFonts w:ascii="Arial" w:hAnsi="Arial" w:cs="Arial"/>
                      <w:szCs w:val="21"/>
                    </w:rPr>
                    <w:t>mPa.s</w:t>
                  </w:r>
                </w:p>
              </w:tc>
              <w:tc>
                <w:tcPr>
                  <w:tcW w:w="262" w:type="pct"/>
                  <w:gridSpan w:val="3"/>
                  <w:noWrap w:val="0"/>
                  <w:vAlign w:val="center"/>
                </w:tcPr>
                <w:p>
                  <w:pPr>
                    <w:jc w:val="center"/>
                    <w:rPr>
                      <w:rFonts w:ascii="Arial" w:hAnsi="Arial" w:cs="Arial"/>
                      <w:szCs w:val="21"/>
                    </w:rPr>
                  </w:pPr>
                  <w:r>
                    <w:rPr>
                      <w:rFonts w:ascii="Arial" w:hAnsi="Arial" w:cs="Arial"/>
                      <w:szCs w:val="21"/>
                    </w:rPr>
                    <w:t>动切</w:t>
                  </w:r>
                </w:p>
                <w:p>
                  <w:pPr>
                    <w:jc w:val="center"/>
                    <w:rPr>
                      <w:rFonts w:ascii="Arial" w:hAnsi="Arial" w:cs="Arial"/>
                      <w:szCs w:val="21"/>
                    </w:rPr>
                  </w:pPr>
                  <w:r>
                    <w:rPr>
                      <w:rFonts w:ascii="Arial" w:hAnsi="Arial" w:cs="Arial"/>
                      <w:szCs w:val="21"/>
                    </w:rPr>
                    <w:t>Pa</w:t>
                  </w:r>
                </w:p>
              </w:tc>
              <w:tc>
                <w:tcPr>
                  <w:tcW w:w="227" w:type="pct"/>
                  <w:gridSpan w:val="3"/>
                  <w:noWrap w:val="0"/>
                  <w:vAlign w:val="center"/>
                </w:tcPr>
                <w:p>
                  <w:pPr>
                    <w:jc w:val="center"/>
                    <w:rPr>
                      <w:rFonts w:ascii="Arial" w:hAnsi="Arial" w:cs="Arial"/>
                      <w:szCs w:val="21"/>
                    </w:rPr>
                  </w:pPr>
                  <w:r>
                    <w:rPr>
                      <w:rFonts w:ascii="Arial" w:hAnsi="Arial" w:cs="Arial"/>
                      <w:szCs w:val="21"/>
                    </w:rPr>
                    <w:t>初切</w:t>
                  </w:r>
                </w:p>
                <w:p>
                  <w:pPr>
                    <w:jc w:val="center"/>
                    <w:rPr>
                      <w:rFonts w:ascii="Arial" w:hAnsi="Arial" w:cs="Arial"/>
                      <w:szCs w:val="21"/>
                    </w:rPr>
                  </w:pPr>
                  <w:r>
                    <w:rPr>
                      <w:rFonts w:ascii="Arial" w:hAnsi="Arial" w:cs="Arial"/>
                      <w:szCs w:val="21"/>
                    </w:rPr>
                    <w:t>Pa</w:t>
                  </w:r>
                </w:p>
              </w:tc>
              <w:tc>
                <w:tcPr>
                  <w:tcW w:w="219" w:type="pct"/>
                  <w:gridSpan w:val="3"/>
                  <w:noWrap w:val="0"/>
                  <w:vAlign w:val="center"/>
                </w:tcPr>
                <w:p>
                  <w:pPr>
                    <w:jc w:val="center"/>
                    <w:rPr>
                      <w:rFonts w:ascii="Arial" w:hAnsi="Arial" w:cs="Arial"/>
                      <w:szCs w:val="21"/>
                    </w:rPr>
                  </w:pPr>
                  <w:r>
                    <w:rPr>
                      <w:rFonts w:ascii="Arial" w:hAnsi="Arial" w:cs="Arial"/>
                      <w:szCs w:val="21"/>
                    </w:rPr>
                    <w:t>终切</w:t>
                  </w:r>
                </w:p>
                <w:p>
                  <w:pPr>
                    <w:jc w:val="center"/>
                    <w:rPr>
                      <w:rFonts w:ascii="Arial" w:hAnsi="Arial" w:cs="Arial"/>
                      <w:szCs w:val="21"/>
                    </w:rPr>
                  </w:pPr>
                  <w:r>
                    <w:rPr>
                      <w:rFonts w:ascii="Arial" w:hAnsi="Arial" w:cs="Arial"/>
                      <w:szCs w:val="21"/>
                    </w:rPr>
                    <w:t>Pa</w:t>
                  </w:r>
                </w:p>
              </w:tc>
              <w:tc>
                <w:tcPr>
                  <w:tcW w:w="324" w:type="pct"/>
                  <w:gridSpan w:val="3"/>
                  <w:noWrap w:val="0"/>
                  <w:vAlign w:val="center"/>
                </w:tcPr>
                <w:p>
                  <w:pPr>
                    <w:jc w:val="center"/>
                    <w:rPr>
                      <w:rFonts w:ascii="Arial" w:hAnsi="Arial" w:cs="Arial"/>
                      <w:szCs w:val="21"/>
                    </w:rPr>
                  </w:pPr>
                  <w:r>
                    <w:rPr>
                      <w:rFonts w:ascii="Arial" w:hAnsi="Arial" w:cs="Arial"/>
                      <w:szCs w:val="21"/>
                    </w:rP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14" w:type="pct"/>
                  <w:noWrap w:val="0"/>
                  <w:vAlign w:val="center"/>
                </w:tcPr>
                <w:p>
                  <w:pPr>
                    <w:jc w:val="center"/>
                    <w:rPr>
                      <w:rFonts w:ascii="Arial" w:hAnsi="Arial" w:cs="Arial"/>
                      <w:szCs w:val="21"/>
                    </w:rPr>
                  </w:pPr>
                  <w:r>
                    <w:rPr>
                      <w:rFonts w:ascii="Arial" w:hAnsi="Arial" w:cs="Arial"/>
                      <w:szCs w:val="21"/>
                    </w:rPr>
                    <w:t>二开</w:t>
                  </w:r>
                </w:p>
              </w:tc>
              <w:tc>
                <w:tcPr>
                  <w:tcW w:w="266" w:type="pct"/>
                  <w:noWrap w:val="0"/>
                  <w:vAlign w:val="center"/>
                </w:tcPr>
                <w:p>
                  <w:pPr>
                    <w:jc w:val="center"/>
                    <w:rPr>
                      <w:rFonts w:ascii="Arial" w:hAnsi="Arial" w:cs="Arial"/>
                      <w:szCs w:val="21"/>
                    </w:rPr>
                  </w:pPr>
                  <w:r>
                    <w:rPr>
                      <w:rFonts w:ascii="Arial" w:hAnsi="Arial" w:cs="Arial"/>
                      <w:szCs w:val="21"/>
                    </w:rPr>
                    <w:t>800-</w:t>
                  </w:r>
                </w:p>
                <w:p>
                  <w:pPr>
                    <w:jc w:val="center"/>
                    <w:rPr>
                      <w:rFonts w:ascii="Arial" w:hAnsi="Arial" w:cs="Arial"/>
                      <w:szCs w:val="21"/>
                    </w:rPr>
                  </w:pPr>
                  <w:r>
                    <w:rPr>
                      <w:rFonts w:hint="eastAsia" w:ascii="Arial" w:hAnsi="Arial" w:cs="Arial"/>
                      <w:szCs w:val="21"/>
                    </w:rPr>
                    <w:t>28</w:t>
                  </w:r>
                  <w:r>
                    <w:rPr>
                      <w:rFonts w:ascii="Arial" w:hAnsi="Arial" w:cs="Arial"/>
                      <w:szCs w:val="21"/>
                    </w:rPr>
                    <w:t>00</w:t>
                  </w:r>
                </w:p>
              </w:tc>
              <w:tc>
                <w:tcPr>
                  <w:tcW w:w="246" w:type="pct"/>
                  <w:gridSpan w:val="2"/>
                  <w:noWrap w:val="0"/>
                  <w:vAlign w:val="center"/>
                </w:tcPr>
                <w:p>
                  <w:pPr>
                    <w:jc w:val="center"/>
                    <w:rPr>
                      <w:rFonts w:ascii="Arial" w:hAnsi="Arial" w:cs="Arial"/>
                      <w:szCs w:val="21"/>
                    </w:rPr>
                  </w:pPr>
                  <w:r>
                    <w:rPr>
                      <w:rFonts w:ascii="Arial" w:hAnsi="Arial" w:cs="Arial"/>
                      <w:szCs w:val="21"/>
                    </w:rPr>
                    <w:t>1.</w:t>
                  </w:r>
                  <w:r>
                    <w:rPr>
                      <w:rFonts w:hint="eastAsia" w:ascii="Arial" w:hAnsi="Arial" w:cs="Arial"/>
                      <w:szCs w:val="21"/>
                    </w:rPr>
                    <w:t>15</w:t>
                  </w:r>
                  <w:r>
                    <w:rPr>
                      <w:rFonts w:ascii="Arial" w:hAnsi="Arial" w:cs="Arial"/>
                      <w:szCs w:val="21"/>
                    </w:rPr>
                    <w:t>-</w:t>
                  </w:r>
                </w:p>
                <w:p>
                  <w:pPr>
                    <w:jc w:val="center"/>
                    <w:rPr>
                      <w:rFonts w:ascii="Arial" w:hAnsi="Arial" w:cs="Arial"/>
                      <w:szCs w:val="21"/>
                    </w:rPr>
                  </w:pPr>
                  <w:r>
                    <w:rPr>
                      <w:rFonts w:ascii="Arial" w:hAnsi="Arial" w:cs="Arial"/>
                      <w:szCs w:val="21"/>
                    </w:rPr>
                    <w:t>1.</w:t>
                  </w:r>
                  <w:r>
                    <w:rPr>
                      <w:rFonts w:hint="eastAsia" w:ascii="Arial" w:hAnsi="Arial" w:cs="Arial"/>
                      <w:szCs w:val="21"/>
                    </w:rPr>
                    <w:t>20</w:t>
                  </w:r>
                </w:p>
              </w:tc>
              <w:tc>
                <w:tcPr>
                  <w:tcW w:w="384" w:type="pct"/>
                  <w:gridSpan w:val="3"/>
                  <w:noWrap w:val="0"/>
                  <w:vAlign w:val="center"/>
                </w:tcPr>
                <w:p>
                  <w:pPr>
                    <w:jc w:val="center"/>
                    <w:rPr>
                      <w:rFonts w:ascii="Arial" w:hAnsi="Arial" w:cs="Arial"/>
                      <w:szCs w:val="21"/>
                    </w:rPr>
                  </w:pPr>
                  <w:r>
                    <w:rPr>
                      <w:rFonts w:ascii="Arial" w:hAnsi="Arial" w:cs="Arial"/>
                      <w:szCs w:val="21"/>
                    </w:rPr>
                    <w:sym w:font="Symbol" w:char="00A3"/>
                  </w:r>
                  <w:r>
                    <w:rPr>
                      <w:rFonts w:ascii="Arial" w:hAnsi="Arial" w:cs="Arial"/>
                      <w:szCs w:val="21"/>
                    </w:rPr>
                    <w:t>3.0</w:t>
                  </w:r>
                </w:p>
              </w:tc>
              <w:tc>
                <w:tcPr>
                  <w:tcW w:w="255" w:type="pct"/>
                  <w:gridSpan w:val="3"/>
                  <w:noWrap w:val="0"/>
                  <w:vAlign w:val="center"/>
                </w:tcPr>
                <w:p>
                  <w:pPr>
                    <w:jc w:val="center"/>
                    <w:rPr>
                      <w:rFonts w:ascii="Arial" w:hAnsi="Arial" w:cs="Arial"/>
                      <w:szCs w:val="21"/>
                    </w:rPr>
                  </w:pPr>
                  <w:r>
                    <w:rPr>
                      <w:rFonts w:ascii="Arial" w:hAnsi="Arial" w:cs="Arial"/>
                      <w:szCs w:val="21"/>
                    </w:rPr>
                    <w:sym w:font="Symbol" w:char="00A3"/>
                  </w:r>
                  <w:r>
                    <w:rPr>
                      <w:rFonts w:hint="eastAsia" w:ascii="Arial" w:hAnsi="Arial" w:cs="Arial"/>
                      <w:szCs w:val="21"/>
                    </w:rPr>
                    <w:t>2</w:t>
                  </w:r>
                  <w:r>
                    <w:rPr>
                      <w:rFonts w:ascii="Arial" w:hAnsi="Arial" w:cs="Arial"/>
                      <w:szCs w:val="21"/>
                    </w:rPr>
                    <w:t>.0</w:t>
                  </w:r>
                </w:p>
              </w:tc>
              <w:tc>
                <w:tcPr>
                  <w:tcW w:w="401" w:type="pct"/>
                  <w:gridSpan w:val="4"/>
                  <w:noWrap w:val="0"/>
                  <w:vAlign w:val="center"/>
                </w:tcPr>
                <w:p>
                  <w:pPr>
                    <w:jc w:val="center"/>
                    <w:rPr>
                      <w:rFonts w:ascii="Arial" w:hAnsi="Arial" w:cs="Arial"/>
                      <w:szCs w:val="21"/>
                    </w:rPr>
                  </w:pPr>
                  <w:r>
                    <w:rPr>
                      <w:rFonts w:ascii="Arial" w:hAnsi="Arial" w:cs="Arial"/>
                      <w:szCs w:val="21"/>
                    </w:rPr>
                    <w:t>≥</w:t>
                  </w:r>
                  <w:r>
                    <w:rPr>
                      <w:rFonts w:hint="eastAsia" w:ascii="Arial" w:hAnsi="Arial" w:cs="Arial"/>
                      <w:szCs w:val="21"/>
                    </w:rPr>
                    <w:t>80:20</w:t>
                  </w:r>
                </w:p>
              </w:tc>
              <w:tc>
                <w:tcPr>
                  <w:tcW w:w="281" w:type="pct"/>
                  <w:gridSpan w:val="2"/>
                  <w:noWrap w:val="0"/>
                  <w:vAlign w:val="center"/>
                </w:tcPr>
                <w:p>
                  <w:pPr>
                    <w:jc w:val="center"/>
                    <w:rPr>
                      <w:rFonts w:ascii="Arial" w:hAnsi="Arial" w:cs="Arial"/>
                      <w:szCs w:val="21"/>
                    </w:rPr>
                  </w:pPr>
                  <w:r>
                    <w:rPr>
                      <w:rFonts w:ascii="Arial" w:hAnsi="Arial" w:cs="Arial"/>
                      <w:szCs w:val="21"/>
                    </w:rPr>
                    <w:sym w:font="Symbol" w:char="00A3"/>
                  </w:r>
                  <w:r>
                    <w:rPr>
                      <w:rFonts w:hint="eastAsia" w:ascii="Arial" w:hAnsi="Arial" w:cs="Arial"/>
                      <w:szCs w:val="21"/>
                    </w:rPr>
                    <w:t>25</w:t>
                  </w:r>
                </w:p>
              </w:tc>
              <w:tc>
                <w:tcPr>
                  <w:tcW w:w="257" w:type="pct"/>
                  <w:noWrap w:val="0"/>
                  <w:vAlign w:val="center"/>
                </w:tcPr>
                <w:p>
                  <w:pPr>
                    <w:jc w:val="center"/>
                    <w:rPr>
                      <w:rFonts w:hint="eastAsia" w:ascii="Arial" w:hAnsi="Arial" w:cs="Arial"/>
                      <w:szCs w:val="21"/>
                    </w:rPr>
                  </w:pPr>
                  <w:r>
                    <w:rPr>
                      <w:rFonts w:ascii="Arial" w:hAnsi="Arial" w:cs="Arial"/>
                      <w:szCs w:val="21"/>
                    </w:rPr>
                    <w:t>≤0.</w:t>
                  </w:r>
                  <w:r>
                    <w:rPr>
                      <w:rFonts w:hint="eastAsia" w:ascii="Arial" w:hAnsi="Arial" w:cs="Arial"/>
                      <w:szCs w:val="21"/>
                    </w:rPr>
                    <w:t>3</w:t>
                  </w:r>
                </w:p>
              </w:tc>
              <w:tc>
                <w:tcPr>
                  <w:tcW w:w="316" w:type="pct"/>
                  <w:gridSpan w:val="2"/>
                  <w:noWrap w:val="0"/>
                  <w:vAlign w:val="center"/>
                </w:tcPr>
                <w:p>
                  <w:pPr>
                    <w:jc w:val="center"/>
                    <w:rPr>
                      <w:rFonts w:ascii="Arial" w:hAnsi="Arial" w:cs="Arial"/>
                      <w:szCs w:val="21"/>
                    </w:rPr>
                  </w:pPr>
                  <w:r>
                    <w:rPr>
                      <w:rFonts w:ascii="Arial" w:hAnsi="Arial" w:cs="Arial"/>
                      <w:szCs w:val="21"/>
                    </w:rPr>
                    <w:t>≥</w:t>
                  </w:r>
                  <w:r>
                    <w:rPr>
                      <w:rFonts w:hint="eastAsia" w:ascii="Arial" w:hAnsi="Arial" w:cs="Arial"/>
                      <w:szCs w:val="21"/>
                    </w:rPr>
                    <w:t>5</w:t>
                  </w:r>
                  <w:r>
                    <w:rPr>
                      <w:rFonts w:ascii="Arial" w:hAnsi="Arial" w:cs="Arial"/>
                      <w:szCs w:val="21"/>
                    </w:rPr>
                    <w:t>00</w:t>
                  </w:r>
                </w:p>
              </w:tc>
              <w:tc>
                <w:tcPr>
                  <w:tcW w:w="277" w:type="pct"/>
                  <w:gridSpan w:val="3"/>
                  <w:noWrap w:val="0"/>
                  <w:vAlign w:val="center"/>
                </w:tcPr>
                <w:p>
                  <w:pPr>
                    <w:jc w:val="center"/>
                    <w:rPr>
                      <w:rFonts w:ascii="Arial" w:hAnsi="Arial" w:cs="Arial"/>
                      <w:szCs w:val="21"/>
                    </w:rPr>
                  </w:pPr>
                </w:p>
              </w:tc>
              <w:tc>
                <w:tcPr>
                  <w:tcW w:w="385" w:type="pct"/>
                  <w:gridSpan w:val="3"/>
                  <w:noWrap w:val="0"/>
                  <w:vAlign w:val="center"/>
                </w:tcPr>
                <w:p>
                  <w:pPr>
                    <w:jc w:val="center"/>
                    <w:rPr>
                      <w:rFonts w:ascii="Arial" w:hAnsi="Arial" w:cs="Arial"/>
                      <w:szCs w:val="21"/>
                    </w:rPr>
                  </w:pPr>
                  <w:r>
                    <w:rPr>
                      <w:rFonts w:ascii="Arial" w:hAnsi="Arial" w:cs="Arial"/>
                      <w:szCs w:val="21"/>
                    </w:rPr>
                    <w:t>45-</w:t>
                  </w:r>
                  <w:r>
                    <w:rPr>
                      <w:rFonts w:hint="eastAsia" w:ascii="Arial" w:hAnsi="Arial" w:cs="Arial"/>
                      <w:szCs w:val="21"/>
                    </w:rPr>
                    <w:t>10</w:t>
                  </w:r>
                  <w:r>
                    <w:rPr>
                      <w:rFonts w:ascii="Arial" w:hAnsi="Arial" w:cs="Arial"/>
                      <w:szCs w:val="21"/>
                    </w:rPr>
                    <w:t>0</w:t>
                  </w:r>
                </w:p>
              </w:tc>
              <w:tc>
                <w:tcPr>
                  <w:tcW w:w="378" w:type="pct"/>
                  <w:gridSpan w:val="3"/>
                  <w:noWrap w:val="0"/>
                  <w:vAlign w:val="center"/>
                </w:tcPr>
                <w:p>
                  <w:pPr>
                    <w:jc w:val="center"/>
                    <w:rPr>
                      <w:rFonts w:ascii="Arial" w:hAnsi="Arial" w:cs="Arial"/>
                      <w:szCs w:val="21"/>
                    </w:rPr>
                  </w:pPr>
                  <w:r>
                    <w:rPr>
                      <w:rFonts w:ascii="Arial" w:hAnsi="Arial" w:cs="Arial"/>
                      <w:szCs w:val="21"/>
                    </w:rPr>
                    <w:t>20-60</w:t>
                  </w:r>
                </w:p>
              </w:tc>
              <w:tc>
                <w:tcPr>
                  <w:tcW w:w="262" w:type="pct"/>
                  <w:gridSpan w:val="3"/>
                  <w:noWrap w:val="0"/>
                  <w:vAlign w:val="center"/>
                </w:tcPr>
                <w:p>
                  <w:pPr>
                    <w:jc w:val="center"/>
                    <w:rPr>
                      <w:rFonts w:ascii="Arial" w:hAnsi="Arial" w:cs="Arial"/>
                      <w:b/>
                      <w:szCs w:val="21"/>
                    </w:rPr>
                  </w:pPr>
                  <w:r>
                    <w:rPr>
                      <w:rFonts w:hint="eastAsia" w:ascii="Arial" w:hAnsi="Arial" w:cs="Arial"/>
                      <w:szCs w:val="21"/>
                    </w:rPr>
                    <w:t>4</w:t>
                  </w:r>
                  <w:r>
                    <w:rPr>
                      <w:rFonts w:ascii="Arial" w:hAnsi="Arial" w:cs="Arial"/>
                      <w:szCs w:val="21"/>
                    </w:rPr>
                    <w:t>-20</w:t>
                  </w:r>
                </w:p>
              </w:tc>
              <w:tc>
                <w:tcPr>
                  <w:tcW w:w="227" w:type="pct"/>
                  <w:gridSpan w:val="3"/>
                  <w:noWrap w:val="0"/>
                  <w:vAlign w:val="center"/>
                </w:tcPr>
                <w:p>
                  <w:pPr>
                    <w:jc w:val="center"/>
                    <w:rPr>
                      <w:rFonts w:ascii="Arial" w:hAnsi="Arial" w:cs="Arial"/>
                      <w:szCs w:val="21"/>
                    </w:rPr>
                  </w:pPr>
                  <w:r>
                    <w:rPr>
                      <w:rFonts w:ascii="Arial" w:hAnsi="Arial" w:cs="Arial"/>
                      <w:szCs w:val="21"/>
                    </w:rPr>
                    <w:t>1.5-7</w:t>
                  </w:r>
                </w:p>
              </w:tc>
              <w:tc>
                <w:tcPr>
                  <w:tcW w:w="219" w:type="pct"/>
                  <w:gridSpan w:val="3"/>
                  <w:noWrap w:val="0"/>
                  <w:vAlign w:val="center"/>
                </w:tcPr>
                <w:p>
                  <w:pPr>
                    <w:jc w:val="center"/>
                    <w:rPr>
                      <w:rFonts w:ascii="Arial" w:hAnsi="Arial" w:cs="Arial"/>
                      <w:szCs w:val="21"/>
                    </w:rPr>
                  </w:pPr>
                  <w:r>
                    <w:rPr>
                      <w:rFonts w:ascii="Arial" w:hAnsi="Arial" w:cs="Arial"/>
                      <w:szCs w:val="21"/>
                    </w:rPr>
                    <w:t>3-15</w:t>
                  </w:r>
                </w:p>
              </w:tc>
              <w:tc>
                <w:tcPr>
                  <w:tcW w:w="324" w:type="pct"/>
                  <w:gridSpan w:val="3"/>
                  <w:noWrap w:val="0"/>
                  <w:vAlign w:val="center"/>
                </w:tcPr>
                <w:p>
                  <w:pPr>
                    <w:jc w:val="center"/>
                    <w:rPr>
                      <w:rFonts w:ascii="Arial" w:hAnsi="Arial" w:cs="Arial"/>
                      <w:szCs w:val="21"/>
                    </w:rPr>
                  </w:pPr>
                  <w:r>
                    <w:rPr>
                      <w:rFonts w:ascii="Arial" w:hAnsi="Arial" w:cs="Arial"/>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4" w:type="pct"/>
                  <w:noWrap w:val="0"/>
                  <w:vAlign w:val="center"/>
                </w:tcPr>
                <w:p>
                  <w:pPr>
                    <w:jc w:val="center"/>
                    <w:rPr>
                      <w:rFonts w:ascii="Arial" w:hAnsi="Arial" w:cs="Arial"/>
                      <w:szCs w:val="21"/>
                    </w:rPr>
                  </w:pPr>
                  <w:r>
                    <w:rPr>
                      <w:rFonts w:ascii="Arial" w:hAnsi="Arial" w:cs="Arial"/>
                      <w:szCs w:val="21"/>
                    </w:rPr>
                    <w:t>白/柴油基</w:t>
                  </w:r>
                </w:p>
                <w:p>
                  <w:pPr>
                    <w:jc w:val="center"/>
                    <w:rPr>
                      <w:rFonts w:ascii="Arial" w:hAnsi="Arial" w:cs="Arial"/>
                      <w:szCs w:val="21"/>
                    </w:rPr>
                  </w:pPr>
                  <w:r>
                    <w:rPr>
                      <w:rFonts w:ascii="Arial" w:hAnsi="Arial" w:cs="Arial"/>
                      <w:szCs w:val="21"/>
                    </w:rPr>
                    <w:t>钻井完井液</w:t>
                  </w:r>
                </w:p>
              </w:tc>
              <w:tc>
                <w:tcPr>
                  <w:tcW w:w="4485" w:type="pct"/>
                  <w:gridSpan w:val="39"/>
                  <w:noWrap w:val="0"/>
                  <w:vAlign w:val="center"/>
                </w:tcPr>
                <w:p>
                  <w:pPr>
                    <w:numPr>
                      <w:ilvl w:val="0"/>
                      <w:numId w:val="0"/>
                    </w:numPr>
                    <w:ind w:leftChars="0"/>
                    <w:rPr>
                      <w:rFonts w:ascii="Arial" w:hAnsi="Arial" w:cs="Arial"/>
                      <w:spacing w:val="4"/>
                      <w:szCs w:val="21"/>
                    </w:rPr>
                  </w:pPr>
                  <w:r>
                    <w:rPr>
                      <w:rFonts w:ascii="Arial" w:hAnsi="Arial" w:cs="Arial"/>
                      <w:szCs w:val="21"/>
                    </w:rPr>
                    <w:t>80:20（白/柴油:30%CaCl</w:t>
                  </w:r>
                  <w:r>
                    <w:rPr>
                      <w:rFonts w:ascii="Arial" w:hAnsi="Arial" w:cs="Arial"/>
                      <w:szCs w:val="21"/>
                      <w:vertAlign w:val="subscript"/>
                    </w:rPr>
                    <w:t>2</w:t>
                  </w:r>
                  <w:r>
                    <w:rPr>
                      <w:rFonts w:ascii="Arial" w:hAnsi="Arial" w:cs="Arial"/>
                      <w:szCs w:val="21"/>
                    </w:rPr>
                    <w:t>水溶液）+2%~2.5%主乳化剂+2%~3%辅乳化剂+1%润湿剂+2.5%~3.0%有机土+2.5%降滤失剂+</w:t>
                  </w:r>
                  <w:r>
                    <w:rPr>
                      <w:rFonts w:hint="eastAsia" w:ascii="Arial" w:hAnsi="Arial" w:cs="Arial"/>
                      <w:szCs w:val="21"/>
                    </w:rPr>
                    <w:t>5%超细钙</w:t>
                  </w:r>
                  <w:r>
                    <w:rPr>
                      <w:rFonts w:ascii="Arial" w:hAnsi="Arial" w:cs="Arial"/>
                      <w:szCs w:val="21"/>
                    </w:rPr>
                    <w:t xml:space="preserve">1.5%CaO </w:t>
                  </w:r>
                  <w:r>
                    <w:rPr>
                      <w:rFonts w:hint="eastAsia" w:ascii="Arial" w:hAnsi="Arial" w:cs="Arial"/>
                      <w:szCs w:val="21"/>
                    </w:rPr>
                    <w:t>+1%纳米封堵剂</w:t>
                  </w:r>
                  <w:r>
                    <w:rPr>
                      <w:rFonts w:ascii="Arial" w:hAnsi="Arial" w:cs="Arial"/>
                      <w:szCs w:val="21"/>
                    </w:rPr>
                    <w:t>+3%氧化沥青+重晶石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vMerge w:val="restart"/>
                  <w:noWrap w:val="0"/>
                  <w:vAlign w:val="center"/>
                </w:tcPr>
                <w:p>
                  <w:pPr>
                    <w:spacing w:line="240" w:lineRule="exact"/>
                    <w:jc w:val="center"/>
                    <w:rPr>
                      <w:rFonts w:ascii="Arial" w:hAnsi="Arial" w:cs="Arial"/>
                      <w:szCs w:val="21"/>
                    </w:rPr>
                  </w:pPr>
                  <w:r>
                    <w:rPr>
                      <w:rFonts w:ascii="Arial" w:hAnsi="Arial" w:cs="Arial"/>
                      <w:szCs w:val="21"/>
                    </w:rPr>
                    <w:t>开钻</w:t>
                  </w:r>
                </w:p>
                <w:p>
                  <w:pPr>
                    <w:spacing w:line="240" w:lineRule="exact"/>
                    <w:jc w:val="center"/>
                    <w:rPr>
                      <w:rFonts w:ascii="Arial" w:hAnsi="Arial" w:cs="Arial"/>
                      <w:szCs w:val="21"/>
                    </w:rPr>
                  </w:pPr>
                  <w:r>
                    <w:rPr>
                      <w:rFonts w:ascii="Arial" w:hAnsi="Arial" w:cs="Arial"/>
                      <w:szCs w:val="21"/>
                    </w:rPr>
                    <w:t>次序</w:t>
                  </w:r>
                </w:p>
              </w:tc>
              <w:tc>
                <w:tcPr>
                  <w:tcW w:w="266" w:type="pct"/>
                  <w:vMerge w:val="restart"/>
                  <w:noWrap w:val="0"/>
                  <w:vAlign w:val="center"/>
                </w:tcPr>
                <w:p>
                  <w:pPr>
                    <w:spacing w:line="240" w:lineRule="exact"/>
                    <w:jc w:val="center"/>
                    <w:rPr>
                      <w:rFonts w:ascii="Arial" w:hAnsi="Arial" w:cs="Arial"/>
                      <w:szCs w:val="21"/>
                    </w:rPr>
                  </w:pPr>
                  <w:r>
                    <w:rPr>
                      <w:rFonts w:ascii="Arial" w:hAnsi="Arial" w:cs="Arial"/>
                      <w:szCs w:val="21"/>
                    </w:rPr>
                    <w:t>井段</w:t>
                  </w:r>
                </w:p>
                <w:p>
                  <w:pPr>
                    <w:spacing w:line="240" w:lineRule="exact"/>
                    <w:jc w:val="center"/>
                    <w:rPr>
                      <w:rFonts w:ascii="Arial" w:hAnsi="Arial" w:cs="Arial"/>
                      <w:szCs w:val="21"/>
                    </w:rPr>
                  </w:pPr>
                  <w:r>
                    <w:rPr>
                      <w:rFonts w:ascii="Arial" w:hAnsi="Arial" w:cs="Arial"/>
                      <w:szCs w:val="21"/>
                    </w:rPr>
                    <w:t>m</w:t>
                  </w:r>
                </w:p>
              </w:tc>
              <w:tc>
                <w:tcPr>
                  <w:tcW w:w="2509" w:type="pct"/>
                  <w:gridSpan w:val="21"/>
                  <w:noWrap w:val="0"/>
                  <w:vAlign w:val="center"/>
                </w:tcPr>
                <w:p>
                  <w:pPr>
                    <w:spacing w:line="240" w:lineRule="exact"/>
                    <w:jc w:val="center"/>
                    <w:rPr>
                      <w:rFonts w:ascii="Arial" w:hAnsi="Arial" w:cs="Arial"/>
                      <w:szCs w:val="21"/>
                    </w:rPr>
                  </w:pPr>
                  <w:r>
                    <w:rPr>
                      <w:rFonts w:ascii="Arial" w:hAnsi="Arial" w:cs="Arial"/>
                      <w:szCs w:val="21"/>
                    </w:rPr>
                    <w:t>常规性能（控制指标）</w:t>
                  </w:r>
                </w:p>
              </w:tc>
              <w:tc>
                <w:tcPr>
                  <w:tcW w:w="1709" w:type="pct"/>
                  <w:gridSpan w:val="17"/>
                  <w:noWrap w:val="0"/>
                  <w:vAlign w:val="center"/>
                </w:tcPr>
                <w:p>
                  <w:pPr>
                    <w:spacing w:line="240" w:lineRule="exact"/>
                    <w:jc w:val="center"/>
                    <w:rPr>
                      <w:rFonts w:ascii="Arial" w:hAnsi="Arial" w:cs="Arial"/>
                      <w:szCs w:val="21"/>
                    </w:rPr>
                  </w:pPr>
                  <w:r>
                    <w:rPr>
                      <w:rFonts w:ascii="Arial" w:hAnsi="Arial" w:cs="Arial"/>
                      <w:szCs w:val="21"/>
                    </w:rP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vMerge w:val="continue"/>
                  <w:noWrap w:val="0"/>
                  <w:vAlign w:val="center"/>
                </w:tcPr>
                <w:p>
                  <w:pPr>
                    <w:spacing w:line="240" w:lineRule="exact"/>
                    <w:jc w:val="center"/>
                    <w:rPr>
                      <w:rFonts w:ascii="Arial" w:hAnsi="Arial" w:cs="Arial"/>
                      <w:szCs w:val="21"/>
                    </w:rPr>
                  </w:pPr>
                </w:p>
              </w:tc>
              <w:tc>
                <w:tcPr>
                  <w:tcW w:w="266" w:type="pct"/>
                  <w:vMerge w:val="continue"/>
                  <w:noWrap w:val="0"/>
                  <w:vAlign w:val="center"/>
                </w:tcPr>
                <w:p>
                  <w:pPr>
                    <w:spacing w:line="240" w:lineRule="exact"/>
                    <w:jc w:val="center"/>
                    <w:rPr>
                      <w:rFonts w:ascii="Arial" w:hAnsi="Arial" w:cs="Arial"/>
                      <w:szCs w:val="21"/>
                    </w:rPr>
                  </w:pPr>
                </w:p>
              </w:tc>
              <w:tc>
                <w:tcPr>
                  <w:tcW w:w="206" w:type="pct"/>
                  <w:noWrap w:val="0"/>
                  <w:vAlign w:val="center"/>
                </w:tcPr>
                <w:p>
                  <w:pPr>
                    <w:spacing w:line="240" w:lineRule="exact"/>
                    <w:jc w:val="center"/>
                    <w:rPr>
                      <w:rFonts w:ascii="Arial" w:hAnsi="Arial" w:cs="Arial"/>
                      <w:szCs w:val="21"/>
                    </w:rPr>
                  </w:pPr>
                  <w:r>
                    <w:rPr>
                      <w:rFonts w:ascii="Arial" w:hAnsi="Arial" w:cs="Arial"/>
                      <w:szCs w:val="21"/>
                    </w:rPr>
                    <w:t>密度</w:t>
                  </w:r>
                </w:p>
                <w:p>
                  <w:pPr>
                    <w:spacing w:line="240" w:lineRule="exact"/>
                    <w:jc w:val="center"/>
                    <w:rPr>
                      <w:rFonts w:ascii="Arial" w:hAnsi="Arial" w:cs="Arial"/>
                      <w:szCs w:val="21"/>
                    </w:rPr>
                  </w:pPr>
                  <w:r>
                    <w:rPr>
                      <w:rFonts w:ascii="Arial" w:hAnsi="Arial" w:cs="Arial"/>
                      <w:szCs w:val="21"/>
                    </w:rPr>
                    <w:t>g/cm</w:t>
                  </w:r>
                  <w:r>
                    <w:rPr>
                      <w:rFonts w:ascii="Arial" w:hAnsi="Arial" w:cs="Arial"/>
                      <w:szCs w:val="21"/>
                      <w:vertAlign w:val="superscript"/>
                    </w:rPr>
                    <w:t>3</w:t>
                  </w:r>
                </w:p>
              </w:tc>
              <w:tc>
                <w:tcPr>
                  <w:tcW w:w="384" w:type="pct"/>
                  <w:gridSpan w:val="3"/>
                  <w:noWrap w:val="0"/>
                  <w:vAlign w:val="center"/>
                </w:tcPr>
                <w:p>
                  <w:pPr>
                    <w:spacing w:line="240" w:lineRule="exact"/>
                    <w:jc w:val="center"/>
                    <w:rPr>
                      <w:rFonts w:ascii="Arial" w:hAnsi="Arial" w:cs="Arial"/>
                      <w:szCs w:val="21"/>
                    </w:rPr>
                  </w:pPr>
                  <w:r>
                    <w:rPr>
                      <w:rFonts w:ascii="Arial" w:hAnsi="Arial" w:cs="Arial"/>
                      <w:szCs w:val="21"/>
                    </w:rPr>
                    <w:t>FL</w:t>
                  </w:r>
                  <w:r>
                    <w:rPr>
                      <w:rFonts w:ascii="Arial" w:hAnsi="Arial" w:cs="Arial"/>
                      <w:szCs w:val="21"/>
                      <w:vertAlign w:val="subscript"/>
                    </w:rPr>
                    <w:t>HTHP</w:t>
                  </w:r>
                </w:p>
                <w:p>
                  <w:pPr>
                    <w:spacing w:line="240" w:lineRule="exact"/>
                    <w:jc w:val="center"/>
                    <w:rPr>
                      <w:rFonts w:ascii="Arial" w:hAnsi="Arial" w:cs="Arial"/>
                      <w:szCs w:val="21"/>
                    </w:rPr>
                  </w:pPr>
                  <w:r>
                    <w:rPr>
                      <w:rFonts w:ascii="Arial" w:hAnsi="Arial" w:cs="Arial"/>
                      <w:szCs w:val="21"/>
                    </w:rPr>
                    <w:t>ml</w:t>
                  </w:r>
                </w:p>
              </w:tc>
              <w:tc>
                <w:tcPr>
                  <w:tcW w:w="255" w:type="pct"/>
                  <w:gridSpan w:val="3"/>
                  <w:noWrap w:val="0"/>
                  <w:vAlign w:val="center"/>
                </w:tcPr>
                <w:p>
                  <w:pPr>
                    <w:spacing w:line="240" w:lineRule="exact"/>
                    <w:jc w:val="center"/>
                    <w:rPr>
                      <w:rFonts w:ascii="Arial" w:hAnsi="Arial" w:cs="Arial"/>
                      <w:szCs w:val="21"/>
                    </w:rPr>
                  </w:pPr>
                  <w:r>
                    <w:rPr>
                      <w:rFonts w:ascii="Arial" w:hAnsi="Arial" w:cs="Arial"/>
                      <w:szCs w:val="21"/>
                    </w:rPr>
                    <w:t>泥饼</w:t>
                  </w:r>
                </w:p>
                <w:p>
                  <w:pPr>
                    <w:spacing w:line="240" w:lineRule="exact"/>
                    <w:jc w:val="center"/>
                    <w:rPr>
                      <w:rFonts w:ascii="Arial" w:hAnsi="Arial" w:cs="Arial"/>
                      <w:szCs w:val="21"/>
                    </w:rPr>
                  </w:pPr>
                  <w:r>
                    <w:rPr>
                      <w:rFonts w:ascii="Arial" w:hAnsi="Arial" w:cs="Arial"/>
                      <w:szCs w:val="21"/>
                    </w:rPr>
                    <w:t>mm</w:t>
                  </w:r>
                </w:p>
              </w:tc>
              <w:tc>
                <w:tcPr>
                  <w:tcW w:w="401" w:type="pct"/>
                  <w:gridSpan w:val="4"/>
                  <w:noWrap w:val="0"/>
                  <w:vAlign w:val="center"/>
                </w:tcPr>
                <w:p>
                  <w:pPr>
                    <w:spacing w:line="240" w:lineRule="exact"/>
                    <w:jc w:val="center"/>
                    <w:rPr>
                      <w:rFonts w:ascii="Arial" w:hAnsi="Arial" w:cs="Arial"/>
                      <w:szCs w:val="21"/>
                    </w:rPr>
                  </w:pPr>
                  <w:r>
                    <w:rPr>
                      <w:rFonts w:ascii="Arial" w:hAnsi="Arial" w:cs="Arial"/>
                      <w:szCs w:val="21"/>
                    </w:rPr>
                    <w:t>油水比</w:t>
                  </w:r>
                </w:p>
                <w:p>
                  <w:pPr>
                    <w:spacing w:line="240" w:lineRule="exact"/>
                    <w:jc w:val="center"/>
                    <w:rPr>
                      <w:rFonts w:ascii="Arial" w:hAnsi="Arial" w:cs="Arial"/>
                      <w:szCs w:val="21"/>
                    </w:rPr>
                  </w:pPr>
                  <w:r>
                    <w:rPr>
                      <w:rFonts w:ascii="Arial" w:hAnsi="Arial" w:cs="Arial"/>
                      <w:szCs w:val="21"/>
                    </w:rPr>
                    <w:t>%</w:t>
                  </w:r>
                </w:p>
              </w:tc>
              <w:tc>
                <w:tcPr>
                  <w:tcW w:w="320" w:type="pct"/>
                  <w:gridSpan w:val="3"/>
                  <w:noWrap w:val="0"/>
                  <w:vAlign w:val="center"/>
                </w:tcPr>
                <w:p>
                  <w:pPr>
                    <w:spacing w:line="240" w:lineRule="exact"/>
                    <w:jc w:val="center"/>
                    <w:rPr>
                      <w:rFonts w:ascii="Arial" w:hAnsi="Arial" w:cs="Arial"/>
                      <w:szCs w:val="21"/>
                    </w:rPr>
                  </w:pPr>
                  <w:r>
                    <w:rPr>
                      <w:rFonts w:ascii="Arial" w:hAnsi="Arial" w:cs="Arial"/>
                      <w:szCs w:val="21"/>
                    </w:rPr>
                    <w:t>固相</w:t>
                  </w:r>
                </w:p>
                <w:p>
                  <w:pPr>
                    <w:spacing w:line="240" w:lineRule="exact"/>
                    <w:jc w:val="center"/>
                    <w:rPr>
                      <w:rFonts w:ascii="Arial" w:hAnsi="Arial" w:cs="Arial"/>
                      <w:szCs w:val="21"/>
                    </w:rPr>
                  </w:pPr>
                  <w:r>
                    <w:rPr>
                      <w:rFonts w:ascii="Arial" w:hAnsi="Arial" w:cs="Arial"/>
                      <w:szCs w:val="21"/>
                    </w:rPr>
                    <w:t>%</w:t>
                  </w:r>
                </w:p>
              </w:tc>
              <w:tc>
                <w:tcPr>
                  <w:tcW w:w="257" w:type="pct"/>
                  <w:noWrap w:val="0"/>
                  <w:vAlign w:val="center"/>
                </w:tcPr>
                <w:p>
                  <w:pPr>
                    <w:spacing w:line="240" w:lineRule="exact"/>
                    <w:jc w:val="center"/>
                    <w:rPr>
                      <w:rFonts w:ascii="Arial" w:hAnsi="Arial" w:cs="Arial"/>
                      <w:szCs w:val="21"/>
                    </w:rPr>
                  </w:pPr>
                  <w:r>
                    <w:rPr>
                      <w:rFonts w:ascii="Arial" w:hAnsi="Arial" w:cs="Arial"/>
                      <w:szCs w:val="21"/>
                    </w:rPr>
                    <w:t>含砂</w:t>
                  </w:r>
                </w:p>
                <w:p>
                  <w:pPr>
                    <w:spacing w:line="240" w:lineRule="exact"/>
                    <w:jc w:val="center"/>
                    <w:rPr>
                      <w:rFonts w:ascii="Arial" w:hAnsi="Arial" w:cs="Arial"/>
                      <w:szCs w:val="21"/>
                    </w:rPr>
                  </w:pPr>
                  <w:r>
                    <w:rPr>
                      <w:rFonts w:ascii="Arial" w:hAnsi="Arial" w:cs="Arial"/>
                      <w:szCs w:val="21"/>
                    </w:rPr>
                    <w:t>%</w:t>
                  </w:r>
                </w:p>
              </w:tc>
              <w:tc>
                <w:tcPr>
                  <w:tcW w:w="329" w:type="pct"/>
                  <w:gridSpan w:val="3"/>
                  <w:noWrap w:val="0"/>
                  <w:vAlign w:val="center"/>
                </w:tcPr>
                <w:p>
                  <w:pPr>
                    <w:spacing w:line="240" w:lineRule="exact"/>
                    <w:jc w:val="center"/>
                    <w:rPr>
                      <w:rFonts w:ascii="Arial" w:hAnsi="Arial" w:cs="Arial"/>
                      <w:szCs w:val="21"/>
                    </w:rPr>
                  </w:pPr>
                  <w:r>
                    <w:rPr>
                      <w:rFonts w:ascii="Arial" w:hAnsi="Arial" w:cs="Arial"/>
                      <w:szCs w:val="21"/>
                    </w:rPr>
                    <w:t>ES</w:t>
                  </w:r>
                </w:p>
                <w:p>
                  <w:pPr>
                    <w:spacing w:line="240" w:lineRule="exact"/>
                    <w:jc w:val="center"/>
                    <w:rPr>
                      <w:rFonts w:ascii="Arial" w:hAnsi="Arial" w:cs="Arial"/>
                      <w:szCs w:val="21"/>
                    </w:rPr>
                  </w:pPr>
                  <w:r>
                    <w:rPr>
                      <w:rFonts w:ascii="Arial" w:hAnsi="Arial" w:cs="Arial"/>
                      <w:szCs w:val="21"/>
                    </w:rPr>
                    <w:t>V</w:t>
                  </w:r>
                </w:p>
              </w:tc>
              <w:tc>
                <w:tcPr>
                  <w:tcW w:w="352" w:type="pct"/>
                  <w:gridSpan w:val="3"/>
                  <w:noWrap w:val="0"/>
                  <w:vAlign w:val="center"/>
                </w:tcPr>
                <w:p>
                  <w:pPr>
                    <w:spacing w:line="240" w:lineRule="exact"/>
                    <w:jc w:val="center"/>
                    <w:rPr>
                      <w:rFonts w:ascii="Arial" w:hAnsi="Arial" w:cs="Arial"/>
                      <w:szCs w:val="21"/>
                    </w:rPr>
                  </w:pPr>
                  <w:r>
                    <w:rPr>
                      <w:rFonts w:ascii="Arial" w:hAnsi="Arial" w:cs="Arial"/>
                      <w:szCs w:val="21"/>
                    </w:rPr>
                    <w:t>泥饼粘</w:t>
                  </w:r>
                </w:p>
                <w:p>
                  <w:pPr>
                    <w:spacing w:line="240" w:lineRule="exact"/>
                    <w:jc w:val="center"/>
                    <w:rPr>
                      <w:rFonts w:ascii="Arial" w:hAnsi="Arial" w:cs="Arial"/>
                      <w:szCs w:val="21"/>
                    </w:rPr>
                  </w:pPr>
                  <w:r>
                    <w:rPr>
                      <w:rFonts w:ascii="Arial" w:hAnsi="Arial" w:cs="Arial"/>
                      <w:szCs w:val="21"/>
                    </w:rPr>
                    <w:t>滞系数</w:t>
                  </w:r>
                </w:p>
              </w:tc>
              <w:tc>
                <w:tcPr>
                  <w:tcW w:w="318" w:type="pct"/>
                  <w:gridSpan w:val="4"/>
                  <w:noWrap w:val="0"/>
                  <w:vAlign w:val="center"/>
                </w:tcPr>
                <w:p>
                  <w:pPr>
                    <w:spacing w:line="240" w:lineRule="exact"/>
                    <w:jc w:val="center"/>
                    <w:rPr>
                      <w:rFonts w:ascii="Arial" w:hAnsi="Arial" w:cs="Arial"/>
                      <w:szCs w:val="21"/>
                    </w:rPr>
                  </w:pPr>
                  <w:r>
                    <w:rPr>
                      <w:rFonts w:ascii="Arial" w:hAnsi="Arial" w:cs="Arial"/>
                      <w:szCs w:val="21"/>
                    </w:rPr>
                    <w:t>漏斗粘度</w:t>
                  </w:r>
                </w:p>
                <w:p>
                  <w:pPr>
                    <w:spacing w:line="240" w:lineRule="exact"/>
                    <w:jc w:val="center"/>
                    <w:rPr>
                      <w:rFonts w:ascii="Arial" w:hAnsi="Arial" w:cs="Arial"/>
                      <w:szCs w:val="21"/>
                    </w:rPr>
                  </w:pPr>
                  <w:r>
                    <w:rPr>
                      <w:rFonts w:ascii="Arial" w:hAnsi="Arial" w:cs="Arial"/>
                      <w:szCs w:val="21"/>
                    </w:rPr>
                    <w:t>s</w:t>
                  </w:r>
                </w:p>
              </w:tc>
              <w:tc>
                <w:tcPr>
                  <w:tcW w:w="389" w:type="pct"/>
                  <w:gridSpan w:val="2"/>
                  <w:noWrap w:val="0"/>
                  <w:vAlign w:val="center"/>
                </w:tcPr>
                <w:p>
                  <w:pPr>
                    <w:spacing w:line="240" w:lineRule="exact"/>
                    <w:jc w:val="center"/>
                    <w:rPr>
                      <w:rFonts w:ascii="Arial" w:hAnsi="Arial" w:cs="Arial"/>
                      <w:szCs w:val="21"/>
                    </w:rPr>
                  </w:pPr>
                  <w:r>
                    <w:rPr>
                      <w:rFonts w:ascii="Arial" w:hAnsi="Arial" w:cs="Arial"/>
                      <w:szCs w:val="21"/>
                    </w:rPr>
                    <w:t>塑性粘度</w:t>
                  </w:r>
                </w:p>
                <w:p>
                  <w:pPr>
                    <w:spacing w:line="240" w:lineRule="exact"/>
                    <w:jc w:val="center"/>
                    <w:rPr>
                      <w:rFonts w:ascii="Arial" w:hAnsi="Arial" w:cs="Arial"/>
                      <w:szCs w:val="21"/>
                    </w:rPr>
                  </w:pPr>
                  <w:r>
                    <w:rPr>
                      <w:rFonts w:ascii="Arial" w:hAnsi="Arial" w:cs="Arial"/>
                      <w:szCs w:val="21"/>
                    </w:rPr>
                    <w:t>mPa.s</w:t>
                  </w:r>
                </w:p>
              </w:tc>
              <w:tc>
                <w:tcPr>
                  <w:tcW w:w="274" w:type="pct"/>
                  <w:gridSpan w:val="3"/>
                  <w:noWrap w:val="0"/>
                  <w:vAlign w:val="center"/>
                </w:tcPr>
                <w:p>
                  <w:pPr>
                    <w:spacing w:line="240" w:lineRule="exact"/>
                    <w:jc w:val="center"/>
                    <w:rPr>
                      <w:rFonts w:ascii="Arial" w:hAnsi="Arial" w:cs="Arial"/>
                      <w:szCs w:val="21"/>
                    </w:rPr>
                  </w:pPr>
                  <w:r>
                    <w:rPr>
                      <w:rFonts w:ascii="Arial" w:hAnsi="Arial" w:cs="Arial"/>
                      <w:szCs w:val="21"/>
                    </w:rPr>
                    <w:t>动切</w:t>
                  </w:r>
                </w:p>
                <w:p>
                  <w:pPr>
                    <w:spacing w:line="240" w:lineRule="exact"/>
                    <w:jc w:val="center"/>
                    <w:rPr>
                      <w:rFonts w:ascii="Arial" w:hAnsi="Arial" w:cs="Arial"/>
                      <w:szCs w:val="21"/>
                    </w:rPr>
                  </w:pPr>
                  <w:r>
                    <w:rPr>
                      <w:rFonts w:ascii="Arial" w:hAnsi="Arial" w:cs="Arial"/>
                      <w:szCs w:val="21"/>
                    </w:rPr>
                    <w:t>Pa</w:t>
                  </w:r>
                </w:p>
              </w:tc>
              <w:tc>
                <w:tcPr>
                  <w:tcW w:w="231" w:type="pct"/>
                  <w:gridSpan w:val="4"/>
                  <w:noWrap w:val="0"/>
                  <w:vAlign w:val="center"/>
                </w:tcPr>
                <w:p>
                  <w:pPr>
                    <w:spacing w:line="240" w:lineRule="exact"/>
                    <w:jc w:val="center"/>
                    <w:rPr>
                      <w:rFonts w:ascii="Arial" w:hAnsi="Arial" w:cs="Arial"/>
                      <w:szCs w:val="21"/>
                    </w:rPr>
                  </w:pPr>
                  <w:r>
                    <w:rPr>
                      <w:rFonts w:ascii="Arial" w:hAnsi="Arial" w:cs="Arial"/>
                      <w:szCs w:val="21"/>
                    </w:rPr>
                    <w:t>初切</w:t>
                  </w:r>
                </w:p>
                <w:p>
                  <w:pPr>
                    <w:spacing w:line="240" w:lineRule="exact"/>
                    <w:jc w:val="center"/>
                    <w:rPr>
                      <w:rFonts w:ascii="Arial" w:hAnsi="Arial" w:cs="Arial"/>
                      <w:szCs w:val="21"/>
                    </w:rPr>
                  </w:pPr>
                  <w:r>
                    <w:rPr>
                      <w:rFonts w:ascii="Arial" w:hAnsi="Arial" w:cs="Arial"/>
                      <w:szCs w:val="21"/>
                    </w:rPr>
                    <w:t>Pa</w:t>
                  </w:r>
                </w:p>
              </w:tc>
              <w:tc>
                <w:tcPr>
                  <w:tcW w:w="231" w:type="pct"/>
                  <w:gridSpan w:val="3"/>
                  <w:noWrap w:val="0"/>
                  <w:vAlign w:val="center"/>
                </w:tcPr>
                <w:p>
                  <w:pPr>
                    <w:spacing w:line="240" w:lineRule="exact"/>
                    <w:jc w:val="center"/>
                    <w:rPr>
                      <w:rFonts w:ascii="Arial" w:hAnsi="Arial" w:cs="Arial"/>
                      <w:szCs w:val="21"/>
                    </w:rPr>
                  </w:pPr>
                  <w:r>
                    <w:rPr>
                      <w:rFonts w:ascii="Arial" w:hAnsi="Arial" w:cs="Arial"/>
                      <w:szCs w:val="21"/>
                    </w:rPr>
                    <w:t>终切</w:t>
                  </w:r>
                </w:p>
                <w:p>
                  <w:pPr>
                    <w:spacing w:line="240" w:lineRule="exact"/>
                    <w:jc w:val="center"/>
                    <w:rPr>
                      <w:rFonts w:ascii="Arial" w:hAnsi="Arial" w:cs="Arial"/>
                      <w:szCs w:val="21"/>
                    </w:rPr>
                  </w:pPr>
                  <w:r>
                    <w:rPr>
                      <w:rFonts w:ascii="Arial" w:hAnsi="Arial" w:cs="Arial"/>
                      <w:szCs w:val="21"/>
                    </w:rPr>
                    <w:t>Pa</w:t>
                  </w:r>
                </w:p>
              </w:tc>
              <w:tc>
                <w:tcPr>
                  <w:tcW w:w="263" w:type="pct"/>
                  <w:noWrap w:val="0"/>
                  <w:vAlign w:val="center"/>
                </w:tcPr>
                <w:p>
                  <w:pPr>
                    <w:spacing w:line="240" w:lineRule="exact"/>
                    <w:jc w:val="center"/>
                    <w:rPr>
                      <w:rFonts w:ascii="Arial" w:hAnsi="Arial" w:cs="Arial"/>
                      <w:szCs w:val="21"/>
                    </w:rPr>
                  </w:pPr>
                  <w:r>
                    <w:rPr>
                      <w:rFonts w:ascii="Arial" w:hAnsi="Arial" w:cs="Arial"/>
                      <w:szCs w:val="21"/>
                    </w:rP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noWrap w:val="0"/>
                  <w:vAlign w:val="center"/>
                </w:tcPr>
                <w:p>
                  <w:pPr>
                    <w:spacing w:line="240" w:lineRule="exact"/>
                    <w:jc w:val="center"/>
                    <w:rPr>
                      <w:rFonts w:ascii="Arial" w:hAnsi="Arial" w:cs="Arial"/>
                      <w:szCs w:val="21"/>
                    </w:rPr>
                  </w:pPr>
                  <w:r>
                    <w:rPr>
                      <w:rFonts w:ascii="Arial" w:hAnsi="Arial" w:cs="Arial"/>
                      <w:szCs w:val="21"/>
                    </w:rPr>
                    <w:t>二开</w:t>
                  </w:r>
                </w:p>
              </w:tc>
              <w:tc>
                <w:tcPr>
                  <w:tcW w:w="266" w:type="pct"/>
                  <w:noWrap w:val="0"/>
                  <w:vAlign w:val="center"/>
                </w:tcPr>
                <w:p>
                  <w:pPr>
                    <w:spacing w:line="260" w:lineRule="exact"/>
                    <w:jc w:val="center"/>
                    <w:rPr>
                      <w:rFonts w:ascii="Arial" w:hAnsi="Arial" w:cs="Arial"/>
                      <w:szCs w:val="21"/>
                    </w:rPr>
                  </w:pPr>
                  <w:r>
                    <w:rPr>
                      <w:rFonts w:hint="eastAsia" w:ascii="Arial" w:hAnsi="Arial" w:cs="Arial"/>
                      <w:szCs w:val="21"/>
                    </w:rPr>
                    <w:t>28</w:t>
                  </w:r>
                  <w:r>
                    <w:rPr>
                      <w:rFonts w:ascii="Arial" w:hAnsi="Arial" w:cs="Arial"/>
                      <w:szCs w:val="21"/>
                    </w:rPr>
                    <w:t>00-</w:t>
                  </w:r>
                </w:p>
                <w:p>
                  <w:pPr>
                    <w:spacing w:line="260" w:lineRule="exact"/>
                    <w:jc w:val="center"/>
                    <w:rPr>
                      <w:rFonts w:ascii="Arial" w:hAnsi="Arial" w:cs="Arial"/>
                      <w:szCs w:val="21"/>
                    </w:rPr>
                  </w:pPr>
                  <w:r>
                    <w:rPr>
                      <w:rFonts w:hint="eastAsia" w:ascii="Arial" w:hAnsi="Arial" w:cs="Arial"/>
                      <w:szCs w:val="21"/>
                    </w:rPr>
                    <w:t>5000</w:t>
                  </w:r>
                </w:p>
              </w:tc>
              <w:tc>
                <w:tcPr>
                  <w:tcW w:w="206" w:type="pct"/>
                  <w:noWrap w:val="0"/>
                  <w:vAlign w:val="center"/>
                </w:tcPr>
                <w:p>
                  <w:pPr>
                    <w:spacing w:line="260" w:lineRule="exact"/>
                    <w:jc w:val="center"/>
                    <w:rPr>
                      <w:rFonts w:ascii="Arial" w:hAnsi="Arial" w:cs="Arial"/>
                      <w:szCs w:val="21"/>
                    </w:rPr>
                  </w:pPr>
                  <w:r>
                    <w:rPr>
                      <w:rFonts w:ascii="Arial" w:hAnsi="Arial" w:cs="Arial"/>
                      <w:szCs w:val="21"/>
                    </w:rPr>
                    <w:t>1.</w:t>
                  </w:r>
                  <w:r>
                    <w:rPr>
                      <w:rFonts w:hint="eastAsia" w:ascii="Arial" w:hAnsi="Arial" w:cs="Arial"/>
                      <w:szCs w:val="21"/>
                    </w:rPr>
                    <w:t>20</w:t>
                  </w:r>
                  <w:r>
                    <w:rPr>
                      <w:rFonts w:ascii="Arial" w:hAnsi="Arial" w:cs="Arial"/>
                      <w:szCs w:val="21"/>
                    </w:rPr>
                    <w:t>-</w:t>
                  </w:r>
                </w:p>
                <w:p>
                  <w:pPr>
                    <w:spacing w:line="260" w:lineRule="exact"/>
                    <w:jc w:val="center"/>
                    <w:rPr>
                      <w:rFonts w:ascii="Arial" w:hAnsi="Arial" w:cs="Arial"/>
                      <w:szCs w:val="21"/>
                    </w:rPr>
                  </w:pPr>
                  <w:r>
                    <w:rPr>
                      <w:rFonts w:ascii="Arial" w:hAnsi="Arial" w:cs="Arial"/>
                      <w:szCs w:val="21"/>
                    </w:rPr>
                    <w:t>1.</w:t>
                  </w:r>
                  <w:r>
                    <w:rPr>
                      <w:rFonts w:hint="eastAsia" w:ascii="Arial" w:hAnsi="Arial" w:cs="Arial"/>
                      <w:szCs w:val="21"/>
                    </w:rPr>
                    <w:t>25</w:t>
                  </w:r>
                </w:p>
              </w:tc>
              <w:tc>
                <w:tcPr>
                  <w:tcW w:w="384" w:type="pct"/>
                  <w:gridSpan w:val="3"/>
                  <w:noWrap w:val="0"/>
                  <w:vAlign w:val="center"/>
                </w:tcPr>
                <w:p>
                  <w:pPr>
                    <w:spacing w:line="240" w:lineRule="exact"/>
                    <w:jc w:val="center"/>
                    <w:rPr>
                      <w:rFonts w:ascii="Arial" w:hAnsi="Arial" w:cs="Arial"/>
                      <w:szCs w:val="21"/>
                    </w:rPr>
                  </w:pPr>
                  <w:r>
                    <w:rPr>
                      <w:rFonts w:ascii="Arial" w:hAnsi="Arial" w:cs="Arial"/>
                      <w:szCs w:val="21"/>
                    </w:rPr>
                    <w:sym w:font="Symbol" w:char="00A3"/>
                  </w:r>
                  <w:r>
                    <w:rPr>
                      <w:rFonts w:ascii="Arial" w:hAnsi="Arial" w:cs="Arial"/>
                      <w:szCs w:val="21"/>
                    </w:rPr>
                    <w:t>3.0</w:t>
                  </w:r>
                </w:p>
              </w:tc>
              <w:tc>
                <w:tcPr>
                  <w:tcW w:w="255" w:type="pct"/>
                  <w:gridSpan w:val="3"/>
                  <w:noWrap w:val="0"/>
                  <w:vAlign w:val="center"/>
                </w:tcPr>
                <w:p>
                  <w:pPr>
                    <w:spacing w:line="240" w:lineRule="exact"/>
                    <w:jc w:val="center"/>
                    <w:rPr>
                      <w:rFonts w:ascii="Arial" w:hAnsi="Arial" w:cs="Arial"/>
                      <w:szCs w:val="21"/>
                    </w:rPr>
                  </w:pPr>
                  <w:r>
                    <w:rPr>
                      <w:rFonts w:ascii="Arial" w:hAnsi="Arial" w:cs="Arial"/>
                      <w:szCs w:val="21"/>
                    </w:rPr>
                    <w:sym w:font="Symbol" w:char="00A3"/>
                  </w:r>
                  <w:r>
                    <w:rPr>
                      <w:rFonts w:hint="eastAsia" w:ascii="Arial" w:hAnsi="Arial" w:cs="Arial"/>
                      <w:szCs w:val="21"/>
                    </w:rPr>
                    <w:t>2</w:t>
                  </w:r>
                  <w:r>
                    <w:rPr>
                      <w:rFonts w:ascii="Arial" w:hAnsi="Arial" w:cs="Arial"/>
                      <w:szCs w:val="21"/>
                    </w:rPr>
                    <w:t>.0</w:t>
                  </w:r>
                </w:p>
              </w:tc>
              <w:tc>
                <w:tcPr>
                  <w:tcW w:w="401" w:type="pct"/>
                  <w:gridSpan w:val="4"/>
                  <w:noWrap w:val="0"/>
                  <w:vAlign w:val="center"/>
                </w:tcPr>
                <w:p>
                  <w:pPr>
                    <w:spacing w:line="240" w:lineRule="exact"/>
                    <w:jc w:val="center"/>
                    <w:rPr>
                      <w:rFonts w:ascii="Arial" w:hAnsi="Arial" w:cs="Arial"/>
                      <w:szCs w:val="21"/>
                    </w:rPr>
                  </w:pPr>
                  <w:r>
                    <w:rPr>
                      <w:rFonts w:ascii="Arial" w:hAnsi="Arial" w:cs="Arial"/>
                      <w:szCs w:val="21"/>
                    </w:rPr>
                    <w:t>≥</w:t>
                  </w:r>
                  <w:r>
                    <w:rPr>
                      <w:rFonts w:hint="eastAsia" w:ascii="Arial" w:hAnsi="Arial" w:cs="Arial"/>
                      <w:szCs w:val="21"/>
                    </w:rPr>
                    <w:t>80:20</w:t>
                  </w:r>
                </w:p>
              </w:tc>
              <w:tc>
                <w:tcPr>
                  <w:tcW w:w="320" w:type="pct"/>
                  <w:gridSpan w:val="3"/>
                  <w:noWrap w:val="0"/>
                  <w:vAlign w:val="center"/>
                </w:tcPr>
                <w:p>
                  <w:pPr>
                    <w:spacing w:line="240" w:lineRule="exact"/>
                    <w:jc w:val="center"/>
                    <w:rPr>
                      <w:rFonts w:ascii="Arial" w:hAnsi="Arial" w:cs="Arial"/>
                      <w:szCs w:val="21"/>
                    </w:rPr>
                  </w:pPr>
                  <w:r>
                    <w:rPr>
                      <w:rFonts w:ascii="Arial" w:hAnsi="Arial" w:cs="Arial"/>
                      <w:szCs w:val="21"/>
                    </w:rPr>
                    <w:sym w:font="Symbol" w:char="00A3"/>
                  </w:r>
                  <w:r>
                    <w:rPr>
                      <w:rFonts w:hint="eastAsia" w:ascii="Arial" w:hAnsi="Arial" w:cs="Arial"/>
                      <w:szCs w:val="21"/>
                    </w:rPr>
                    <w:t>25</w:t>
                  </w:r>
                </w:p>
              </w:tc>
              <w:tc>
                <w:tcPr>
                  <w:tcW w:w="257" w:type="pct"/>
                  <w:noWrap w:val="0"/>
                  <w:vAlign w:val="center"/>
                </w:tcPr>
                <w:p>
                  <w:pPr>
                    <w:spacing w:line="240" w:lineRule="exact"/>
                    <w:jc w:val="center"/>
                    <w:rPr>
                      <w:rFonts w:hint="eastAsia" w:ascii="Arial" w:hAnsi="Arial" w:cs="Arial"/>
                      <w:szCs w:val="21"/>
                    </w:rPr>
                  </w:pPr>
                  <w:r>
                    <w:rPr>
                      <w:rFonts w:ascii="Arial" w:hAnsi="Arial" w:cs="Arial"/>
                      <w:szCs w:val="21"/>
                    </w:rPr>
                    <w:t>≤0.</w:t>
                  </w:r>
                  <w:r>
                    <w:rPr>
                      <w:rFonts w:hint="eastAsia" w:ascii="Arial" w:hAnsi="Arial" w:cs="Arial"/>
                      <w:szCs w:val="21"/>
                    </w:rPr>
                    <w:t>3</w:t>
                  </w:r>
                </w:p>
              </w:tc>
              <w:tc>
                <w:tcPr>
                  <w:tcW w:w="329" w:type="pct"/>
                  <w:gridSpan w:val="3"/>
                  <w:noWrap w:val="0"/>
                  <w:vAlign w:val="center"/>
                </w:tcPr>
                <w:p>
                  <w:pPr>
                    <w:spacing w:line="240" w:lineRule="exact"/>
                    <w:jc w:val="center"/>
                    <w:rPr>
                      <w:rFonts w:ascii="Arial" w:hAnsi="Arial" w:cs="Arial"/>
                      <w:szCs w:val="21"/>
                    </w:rPr>
                  </w:pPr>
                  <w:r>
                    <w:rPr>
                      <w:rFonts w:ascii="Arial" w:hAnsi="Arial" w:cs="Arial"/>
                      <w:szCs w:val="21"/>
                    </w:rPr>
                    <w:t>≥</w:t>
                  </w:r>
                  <w:r>
                    <w:rPr>
                      <w:rFonts w:hint="eastAsia" w:ascii="Arial" w:hAnsi="Arial" w:cs="Arial"/>
                      <w:szCs w:val="21"/>
                    </w:rPr>
                    <w:t>5</w:t>
                  </w:r>
                  <w:r>
                    <w:rPr>
                      <w:rFonts w:ascii="Arial" w:hAnsi="Arial" w:cs="Arial"/>
                      <w:szCs w:val="21"/>
                    </w:rPr>
                    <w:t>00</w:t>
                  </w:r>
                </w:p>
              </w:tc>
              <w:tc>
                <w:tcPr>
                  <w:tcW w:w="352" w:type="pct"/>
                  <w:gridSpan w:val="3"/>
                  <w:noWrap w:val="0"/>
                  <w:vAlign w:val="center"/>
                </w:tcPr>
                <w:p>
                  <w:pPr>
                    <w:spacing w:line="240" w:lineRule="exact"/>
                    <w:jc w:val="center"/>
                    <w:rPr>
                      <w:rFonts w:ascii="Arial" w:hAnsi="Arial" w:cs="Arial"/>
                      <w:szCs w:val="21"/>
                    </w:rPr>
                  </w:pPr>
                </w:p>
              </w:tc>
              <w:tc>
                <w:tcPr>
                  <w:tcW w:w="318" w:type="pct"/>
                  <w:gridSpan w:val="4"/>
                  <w:noWrap w:val="0"/>
                  <w:vAlign w:val="center"/>
                </w:tcPr>
                <w:p>
                  <w:pPr>
                    <w:spacing w:line="240" w:lineRule="exact"/>
                    <w:jc w:val="center"/>
                    <w:rPr>
                      <w:rFonts w:ascii="Arial" w:hAnsi="Arial" w:cs="Arial"/>
                      <w:szCs w:val="21"/>
                    </w:rPr>
                  </w:pPr>
                  <w:r>
                    <w:rPr>
                      <w:rFonts w:ascii="Arial" w:hAnsi="Arial" w:cs="Arial"/>
                      <w:szCs w:val="21"/>
                    </w:rPr>
                    <w:t>45-90</w:t>
                  </w:r>
                </w:p>
              </w:tc>
              <w:tc>
                <w:tcPr>
                  <w:tcW w:w="389" w:type="pct"/>
                  <w:gridSpan w:val="2"/>
                  <w:noWrap w:val="0"/>
                  <w:vAlign w:val="center"/>
                </w:tcPr>
                <w:p>
                  <w:pPr>
                    <w:spacing w:line="240" w:lineRule="exact"/>
                    <w:jc w:val="center"/>
                    <w:rPr>
                      <w:rFonts w:ascii="Arial" w:hAnsi="Arial" w:cs="Arial"/>
                      <w:szCs w:val="21"/>
                    </w:rPr>
                  </w:pPr>
                  <w:r>
                    <w:rPr>
                      <w:rFonts w:ascii="Arial" w:hAnsi="Arial" w:cs="Arial"/>
                      <w:szCs w:val="21"/>
                    </w:rPr>
                    <w:t>20-60</w:t>
                  </w:r>
                </w:p>
              </w:tc>
              <w:tc>
                <w:tcPr>
                  <w:tcW w:w="274" w:type="pct"/>
                  <w:gridSpan w:val="3"/>
                  <w:noWrap w:val="0"/>
                  <w:vAlign w:val="center"/>
                </w:tcPr>
                <w:p>
                  <w:pPr>
                    <w:spacing w:line="240" w:lineRule="exact"/>
                    <w:jc w:val="center"/>
                    <w:rPr>
                      <w:rFonts w:ascii="Arial" w:hAnsi="Arial" w:cs="Arial"/>
                      <w:b/>
                      <w:szCs w:val="21"/>
                    </w:rPr>
                  </w:pPr>
                  <w:r>
                    <w:rPr>
                      <w:rFonts w:ascii="Arial" w:hAnsi="Arial" w:cs="Arial"/>
                      <w:szCs w:val="21"/>
                    </w:rPr>
                    <w:t>5-20</w:t>
                  </w:r>
                </w:p>
              </w:tc>
              <w:tc>
                <w:tcPr>
                  <w:tcW w:w="231" w:type="pct"/>
                  <w:gridSpan w:val="4"/>
                  <w:noWrap w:val="0"/>
                  <w:vAlign w:val="center"/>
                </w:tcPr>
                <w:p>
                  <w:pPr>
                    <w:spacing w:line="240" w:lineRule="exact"/>
                    <w:jc w:val="center"/>
                    <w:rPr>
                      <w:rFonts w:ascii="Arial" w:hAnsi="Arial" w:cs="Arial"/>
                      <w:szCs w:val="21"/>
                    </w:rPr>
                  </w:pPr>
                  <w:r>
                    <w:rPr>
                      <w:rFonts w:ascii="Arial" w:hAnsi="Arial" w:cs="Arial"/>
                      <w:szCs w:val="21"/>
                    </w:rPr>
                    <w:t>1.5-7</w:t>
                  </w:r>
                </w:p>
              </w:tc>
              <w:tc>
                <w:tcPr>
                  <w:tcW w:w="231" w:type="pct"/>
                  <w:gridSpan w:val="3"/>
                  <w:noWrap w:val="0"/>
                  <w:vAlign w:val="center"/>
                </w:tcPr>
                <w:p>
                  <w:pPr>
                    <w:spacing w:line="240" w:lineRule="exact"/>
                    <w:jc w:val="center"/>
                    <w:rPr>
                      <w:rFonts w:ascii="Arial" w:hAnsi="Arial" w:cs="Arial"/>
                      <w:szCs w:val="21"/>
                    </w:rPr>
                  </w:pPr>
                  <w:r>
                    <w:rPr>
                      <w:rFonts w:ascii="Arial" w:hAnsi="Arial" w:cs="Arial"/>
                      <w:szCs w:val="21"/>
                    </w:rPr>
                    <w:t>3-15</w:t>
                  </w:r>
                </w:p>
              </w:tc>
              <w:tc>
                <w:tcPr>
                  <w:tcW w:w="263" w:type="pct"/>
                  <w:noWrap w:val="0"/>
                  <w:vAlign w:val="center"/>
                </w:tcPr>
                <w:p>
                  <w:pPr>
                    <w:spacing w:line="240" w:lineRule="exact"/>
                    <w:jc w:val="center"/>
                    <w:rPr>
                      <w:rFonts w:ascii="Arial" w:hAnsi="Arial" w:cs="Arial"/>
                      <w:szCs w:val="21"/>
                    </w:rPr>
                  </w:pPr>
                  <w:r>
                    <w:rPr>
                      <w:rFonts w:ascii="Arial" w:hAnsi="Arial" w:cs="Arial"/>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9" w:hRule="atLeast"/>
                <w:jc w:val="center"/>
              </w:trPr>
              <w:tc>
                <w:tcPr>
                  <w:tcW w:w="514" w:type="pct"/>
                  <w:noWrap w:val="0"/>
                  <w:vAlign w:val="center"/>
                </w:tcPr>
                <w:p>
                  <w:pPr>
                    <w:spacing w:line="240" w:lineRule="exact"/>
                    <w:jc w:val="center"/>
                    <w:rPr>
                      <w:rFonts w:ascii="Arial" w:hAnsi="Arial" w:cs="Arial"/>
                      <w:szCs w:val="21"/>
                    </w:rPr>
                  </w:pPr>
                  <w:r>
                    <w:rPr>
                      <w:rFonts w:ascii="Arial" w:hAnsi="Arial" w:cs="Arial"/>
                      <w:szCs w:val="21"/>
                    </w:rPr>
                    <w:t>白/柴油基</w:t>
                  </w:r>
                </w:p>
                <w:p>
                  <w:pPr>
                    <w:spacing w:line="240" w:lineRule="exact"/>
                    <w:jc w:val="center"/>
                    <w:rPr>
                      <w:rFonts w:ascii="Arial" w:hAnsi="Arial" w:cs="Arial"/>
                      <w:szCs w:val="21"/>
                    </w:rPr>
                  </w:pPr>
                  <w:r>
                    <w:rPr>
                      <w:rFonts w:ascii="Arial" w:hAnsi="Arial" w:cs="Arial"/>
                      <w:szCs w:val="21"/>
                    </w:rPr>
                    <w:t>钻井完井液</w:t>
                  </w:r>
                </w:p>
              </w:tc>
              <w:tc>
                <w:tcPr>
                  <w:tcW w:w="4485" w:type="pct"/>
                  <w:gridSpan w:val="39"/>
                  <w:noWrap w:val="0"/>
                  <w:vAlign w:val="center"/>
                </w:tcPr>
                <w:p>
                  <w:pPr>
                    <w:numPr>
                      <w:ilvl w:val="0"/>
                      <w:numId w:val="0"/>
                    </w:numPr>
                    <w:spacing w:line="240" w:lineRule="exact"/>
                    <w:ind w:leftChars="0"/>
                    <w:rPr>
                      <w:rFonts w:ascii="Arial" w:hAnsi="Arial" w:cs="Arial"/>
                      <w:spacing w:val="4"/>
                      <w:szCs w:val="21"/>
                    </w:rPr>
                  </w:pPr>
                  <w:r>
                    <w:rPr>
                      <w:rFonts w:ascii="Arial" w:hAnsi="Arial" w:cs="Arial"/>
                      <w:szCs w:val="21"/>
                    </w:rPr>
                    <w:t>80:20（白/柴油:30%CaCl</w:t>
                  </w:r>
                  <w:r>
                    <w:rPr>
                      <w:rFonts w:ascii="Arial" w:hAnsi="Arial" w:cs="Arial"/>
                      <w:szCs w:val="21"/>
                      <w:vertAlign w:val="subscript"/>
                    </w:rPr>
                    <w:t>2</w:t>
                  </w:r>
                  <w:r>
                    <w:rPr>
                      <w:rFonts w:ascii="Arial" w:hAnsi="Arial" w:cs="Arial"/>
                      <w:szCs w:val="21"/>
                    </w:rPr>
                    <w:t>水溶液）+2%~2.5%主乳化剂+2%~3%辅乳化剂+1%润湿剂+2.5%~3.0%有机土+2.5%降滤失剂+</w:t>
                  </w:r>
                  <w:r>
                    <w:rPr>
                      <w:rFonts w:hint="eastAsia" w:ascii="Arial" w:hAnsi="Arial" w:cs="Arial"/>
                      <w:szCs w:val="21"/>
                    </w:rPr>
                    <w:t>5%超细钙</w:t>
                  </w:r>
                  <w:r>
                    <w:rPr>
                      <w:rFonts w:ascii="Arial" w:hAnsi="Arial" w:cs="Arial"/>
                      <w:szCs w:val="21"/>
                    </w:rPr>
                    <w:t xml:space="preserve">1.5%CaO </w:t>
                  </w:r>
                  <w:r>
                    <w:rPr>
                      <w:rFonts w:hint="eastAsia" w:ascii="Arial" w:hAnsi="Arial" w:cs="Arial"/>
                      <w:szCs w:val="21"/>
                    </w:rPr>
                    <w:t>+1%纳米封堵剂</w:t>
                  </w:r>
                  <w:r>
                    <w:rPr>
                      <w:rFonts w:ascii="Arial" w:hAnsi="Arial" w:cs="Arial"/>
                      <w:szCs w:val="21"/>
                    </w:rPr>
                    <w:t>+3%氧化沥青+重晶石</w:t>
                  </w:r>
                </w:p>
              </w:tc>
            </w:tr>
          </w:tbl>
          <w:p>
            <w:pPr>
              <w:pStyle w:val="38"/>
              <w:spacing w:line="240" w:lineRule="auto"/>
              <w:ind w:left="0" w:leftChars="0" w:firstLine="0" w:firstLineChars="0"/>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备注：1、钻进过程中根据实际情况，如确需提高钻井液密度，须及时向建设单位请示，以防井涌、井喷、井漏等事故的发生。</w:t>
            </w:r>
          </w:p>
          <w:p>
            <w:pPr>
              <w:pStyle w:val="38"/>
              <w:numPr>
                <w:ilvl w:val="0"/>
                <w:numId w:val="2"/>
              </w:numPr>
              <w:spacing w:line="240" w:lineRule="auto"/>
              <w:ind w:left="0" w:leftChars="0" w:firstLine="422" w:firstLineChars="200"/>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钻井液常规性能控制指标作为考核指标，推荐性能作为参考指标，对于井深大于4000米或井温达到80℃以上时须考核高温高压滤失量。</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3.3钻井主要设备</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本项目钻井主要设备见表</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表</w:t>
            </w:r>
            <w:r>
              <w:rPr>
                <w:rFonts w:hint="default" w:ascii="Times New Roman" w:hAnsi="Times New Roman" w:eastAsia="宋体" w:cs="Times New Roman"/>
                <w:b/>
                <w:bCs/>
                <w:color w:val="000000"/>
                <w:kern w:val="0"/>
                <w:sz w:val="21"/>
                <w:szCs w:val="21"/>
                <w:lang w:val="en-US" w:eastAsia="zh-CN" w:bidi="ar"/>
              </w:rPr>
              <w:t>2-</w:t>
            </w:r>
            <w:r>
              <w:rPr>
                <w:rFonts w:hint="eastAsia" w:ascii="Times New Roman" w:hAnsi="Times New Roman" w:eastAsia="宋体" w:cs="Times New Roman"/>
                <w:b/>
                <w:bCs/>
                <w:color w:val="000000"/>
                <w:kern w:val="0"/>
                <w:sz w:val="21"/>
                <w:szCs w:val="21"/>
                <w:lang w:val="en-US" w:eastAsia="zh-CN" w:bidi="ar"/>
              </w:rPr>
              <w:t>7  单井</w:t>
            </w:r>
            <w:r>
              <w:rPr>
                <w:rFonts w:hint="eastAsia" w:ascii="宋体" w:hAnsi="宋体" w:eastAsia="宋体" w:cs="宋体"/>
                <w:b/>
                <w:bCs/>
                <w:color w:val="000000"/>
                <w:kern w:val="0"/>
                <w:sz w:val="21"/>
                <w:szCs w:val="21"/>
                <w:lang w:val="en-US" w:eastAsia="zh-CN" w:bidi="ar"/>
              </w:rPr>
              <w:t>钻井主要设备配置</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901"/>
              <w:gridCol w:w="1254"/>
              <w:gridCol w:w="1442"/>
              <w:gridCol w:w="940"/>
              <w:gridCol w:w="1116"/>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序号</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名称</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型号</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载荷</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功率KW</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单位</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钻机</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ZJ-70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部</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井架</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JJ450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部</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天车</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TC-450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游动滑车</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YC-450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大钩</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DG-450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水龙头</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SL-450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转盘</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ZP-375</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200T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绞车</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JC-200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泥浆泵</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F-1600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1600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柴油机</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G12V190PJL-3</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810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11</w:t>
                  </w:r>
                </w:p>
              </w:tc>
              <w:tc>
                <w:tcPr>
                  <w:tcW w:w="57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四级固控装置</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振动筛×3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ZX-60×300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组</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除砂器</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NCS250×2</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除泥器</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ZQJ125×8-1.3×0.6</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离心机</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LW450-842N</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除气器</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HZQ1/4</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12</w:t>
                  </w:r>
                </w:p>
              </w:tc>
              <w:tc>
                <w:tcPr>
                  <w:tcW w:w="57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柴油发电机</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Vovol</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Vovol</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净化罐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套装水罐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油水罐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16</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钻井液不落地设备</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柴油罐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bl>
          <w:p>
            <w:pPr>
              <w:numPr>
                <w:ilvl w:val="0"/>
                <w:numId w:val="0"/>
              </w:numPr>
              <w:adjustRightInd w:val="0"/>
              <w:snapToGrid w:val="0"/>
              <w:spacing w:line="360" w:lineRule="auto"/>
              <w:ind w:firstLine="482" w:firstLineChars="200"/>
              <w:jc w:val="both"/>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试油工程</w:t>
            </w:r>
          </w:p>
          <w:p>
            <w:pPr>
              <w:numPr>
                <w:ilvl w:val="0"/>
                <w:numId w:val="0"/>
              </w:numPr>
              <w:adjustRightInd w:val="0"/>
              <w:snapToGrid w:val="0"/>
              <w:spacing w:line="360" w:lineRule="auto"/>
              <w:ind w:firstLine="528" w:firstLineChars="200"/>
              <w:jc w:val="both"/>
              <w:rPr>
                <w:rFonts w:hint="default" w:ascii="Times New Roman" w:hAnsi="Times New Roman" w:eastAsia="宋体" w:cs="Times New Roman"/>
                <w:spacing w:val="5"/>
                <w:sz w:val="23"/>
                <w:szCs w:val="23"/>
              </w:rPr>
            </w:pPr>
            <w:r>
              <w:rPr>
                <w:rFonts w:hint="default" w:ascii="Times New Roman" w:hAnsi="Times New Roman" w:eastAsia="宋体" w:cs="Times New Roman"/>
                <w:spacing w:val="12"/>
                <w:sz w:val="24"/>
                <w:szCs w:val="24"/>
              </w:rPr>
              <w:t>本</w:t>
            </w:r>
            <w:r>
              <w:rPr>
                <w:rFonts w:hint="default" w:ascii="Times New Roman" w:hAnsi="Times New Roman" w:eastAsia="宋体" w:cs="Times New Roman"/>
                <w:spacing w:val="7"/>
                <w:sz w:val="24"/>
                <w:szCs w:val="24"/>
              </w:rPr>
              <w:t>工程对完钻后的</w:t>
            </w:r>
            <w:r>
              <w:rPr>
                <w:rFonts w:hint="default" w:ascii="Times New Roman" w:hAnsi="Times New Roman" w:eastAsia="宋体" w:cs="Times New Roman"/>
                <w:spacing w:val="7"/>
                <w:sz w:val="24"/>
                <w:szCs w:val="24"/>
                <w:lang w:val="en-US" w:eastAsia="zh-CN"/>
              </w:rPr>
              <w:t>5</w:t>
            </w:r>
            <w:r>
              <w:rPr>
                <w:rFonts w:hint="default" w:ascii="Times New Roman" w:hAnsi="Times New Roman" w:eastAsia="宋体" w:cs="Times New Roman"/>
                <w:spacing w:val="7"/>
                <w:sz w:val="24"/>
                <w:szCs w:val="24"/>
              </w:rPr>
              <w:t>口新井进行试油，试油主要包括测井、油气测试、完井</w:t>
            </w:r>
            <w:r>
              <w:rPr>
                <w:rFonts w:hint="default" w:ascii="Times New Roman" w:hAnsi="Times New Roman" w:eastAsia="宋体" w:cs="Times New Roman"/>
                <w:spacing w:val="10"/>
                <w:sz w:val="24"/>
                <w:szCs w:val="24"/>
              </w:rPr>
              <w:t>等</w:t>
            </w:r>
            <w:r>
              <w:rPr>
                <w:rFonts w:hint="default" w:ascii="Times New Roman" w:hAnsi="Times New Roman" w:eastAsia="宋体" w:cs="Times New Roman"/>
                <w:spacing w:val="6"/>
                <w:sz w:val="24"/>
                <w:szCs w:val="24"/>
              </w:rPr>
              <w:t>工</w:t>
            </w:r>
            <w:r>
              <w:rPr>
                <w:rFonts w:hint="default" w:ascii="Times New Roman" w:hAnsi="Times New Roman" w:eastAsia="宋体" w:cs="Times New Roman"/>
                <w:spacing w:val="5"/>
                <w:sz w:val="24"/>
                <w:szCs w:val="24"/>
              </w:rPr>
              <w:t>序组成，试油期单井主要设备见表</w:t>
            </w:r>
            <w:r>
              <w:rPr>
                <w:rFonts w:hint="default" w:ascii="Times New Roman" w:hAnsi="Times New Roman" w:eastAsia="Times New Roman" w:cs="Times New Roman"/>
                <w:spacing w:val="5"/>
                <w:sz w:val="24"/>
                <w:szCs w:val="24"/>
              </w:rPr>
              <w:t>2-</w:t>
            </w:r>
            <w:r>
              <w:rPr>
                <w:rFonts w:hint="eastAsia" w:ascii="Times New Roman" w:hAnsi="Times New Roman" w:eastAsia="宋体" w:cs="Times New Roman"/>
                <w:spacing w:val="5"/>
                <w:sz w:val="24"/>
                <w:szCs w:val="24"/>
                <w:lang w:val="en-US" w:eastAsia="zh-CN"/>
              </w:rPr>
              <w:t>8</w:t>
            </w:r>
            <w:r>
              <w:rPr>
                <w:rFonts w:hint="default" w:ascii="Times New Roman" w:hAnsi="Times New Roman" w:eastAsia="宋体" w:cs="Times New Roman"/>
                <w:spacing w:val="5"/>
                <w:sz w:val="23"/>
                <w:szCs w:val="23"/>
              </w:rPr>
              <w:t>。</w:t>
            </w:r>
          </w:p>
          <w:p>
            <w:pPr>
              <w:numPr>
                <w:ilvl w:val="0"/>
                <w:numId w:val="0"/>
              </w:numPr>
              <w:adjustRightInd w:val="0"/>
              <w:snapToGrid w:val="0"/>
              <w:spacing w:line="240" w:lineRule="auto"/>
              <w:ind w:firstLine="446" w:firstLineChars="200"/>
              <w:jc w:val="center"/>
              <w:rPr>
                <w:rFonts w:hint="eastAsia" w:ascii="宋体" w:hAnsi="宋体" w:eastAsia="宋体" w:cs="宋体"/>
                <w:kern w:val="0"/>
                <w:sz w:val="21"/>
                <w:szCs w:val="21"/>
                <w:vertAlign w:val="baseline"/>
                <w:lang w:val="en-US" w:eastAsia="zh-CN"/>
              </w:rPr>
            </w:pPr>
            <w:r>
              <w:rPr>
                <w:rFonts w:ascii="宋体" w:hAnsi="宋体" w:eastAsia="宋体" w:cs="宋体"/>
                <w:b/>
                <w:bCs/>
                <w:spacing w:val="6"/>
                <w:sz w:val="21"/>
                <w:szCs w:val="21"/>
              </w:rPr>
              <w:t>表</w:t>
            </w:r>
            <w:r>
              <w:rPr>
                <w:rFonts w:ascii="Times New Roman" w:hAnsi="Times New Roman" w:eastAsia="Times New Roman" w:cs="Times New Roman"/>
                <w:b/>
                <w:bCs/>
                <w:spacing w:val="3"/>
                <w:sz w:val="21"/>
                <w:szCs w:val="21"/>
              </w:rPr>
              <w:t>2-</w:t>
            </w:r>
            <w:r>
              <w:rPr>
                <w:rFonts w:hint="eastAsia" w:ascii="Times New Roman" w:hAnsi="Times New Roman" w:eastAsia="宋体" w:cs="Times New Roman"/>
                <w:b/>
                <w:bCs/>
                <w:spacing w:val="3"/>
                <w:sz w:val="21"/>
                <w:szCs w:val="21"/>
                <w:lang w:val="en-US" w:eastAsia="zh-CN"/>
              </w:rPr>
              <w:t>8</w:t>
            </w:r>
            <w:r>
              <w:rPr>
                <w:rFonts w:ascii="Times New Roman" w:hAnsi="Times New Roman" w:eastAsia="Times New Roman" w:cs="Times New Roman"/>
                <w:b/>
                <w:bCs/>
                <w:spacing w:val="3"/>
                <w:sz w:val="21"/>
                <w:szCs w:val="21"/>
              </w:rPr>
              <w:t xml:space="preserve">  </w:t>
            </w:r>
            <w:r>
              <w:rPr>
                <w:rFonts w:ascii="宋体" w:hAnsi="宋体" w:eastAsia="宋体" w:cs="宋体"/>
                <w:b/>
                <w:bCs/>
                <w:spacing w:val="3"/>
                <w:sz w:val="21"/>
                <w:szCs w:val="21"/>
              </w:rPr>
              <w:t>试油期主要设备</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367"/>
              <w:gridCol w:w="2043"/>
              <w:gridCol w:w="953"/>
              <w:gridCol w:w="1246"/>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sz w:val="21"/>
                      <w:szCs w:val="21"/>
                    </w:rPr>
                    <w:t>序号</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设</w:t>
                  </w:r>
                  <w:r>
                    <w:rPr>
                      <w:rFonts w:hint="default" w:ascii="Times New Roman" w:hAnsi="Times New Roman" w:eastAsia="宋体" w:cs="Times New Roman"/>
                      <w:spacing w:val="6"/>
                      <w:sz w:val="21"/>
                      <w:szCs w:val="21"/>
                    </w:rPr>
                    <w:t>备名称</w:t>
                  </w:r>
                </w:p>
              </w:tc>
              <w:tc>
                <w:tcPr>
                  <w:tcW w:w="1240"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型号及规</w:t>
                  </w:r>
                  <w:r>
                    <w:rPr>
                      <w:rFonts w:hint="default" w:ascii="Times New Roman" w:hAnsi="Times New Roman" w:eastAsia="宋体" w:cs="Times New Roman"/>
                      <w:spacing w:val="6"/>
                      <w:sz w:val="21"/>
                      <w:szCs w:val="21"/>
                    </w:rPr>
                    <w:t>格</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单</w:t>
                  </w:r>
                  <w:r>
                    <w:rPr>
                      <w:rFonts w:hint="default" w:ascii="Times New Roman" w:hAnsi="Times New Roman" w:eastAsia="宋体" w:cs="Times New Roman"/>
                      <w:spacing w:val="3"/>
                      <w:sz w:val="21"/>
                      <w:szCs w:val="21"/>
                    </w:rPr>
                    <w:t>位</w:t>
                  </w:r>
                </w:p>
              </w:tc>
              <w:tc>
                <w:tcPr>
                  <w:tcW w:w="808"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数量</w:t>
                  </w:r>
                </w:p>
              </w:tc>
              <w:tc>
                <w:tcPr>
                  <w:tcW w:w="106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spacing w:val="4"/>
                      <w:sz w:val="21"/>
                      <w:szCs w:val="21"/>
                    </w:rPr>
                    <w:t>备</w:t>
                  </w:r>
                  <w:r>
                    <w:rPr>
                      <w:rFonts w:hint="default" w:ascii="Times New Roman" w:hAnsi="Times New Roman" w:eastAsia="宋体" w:cs="Times New Roman"/>
                      <w:spacing w:val="3"/>
                      <w:sz w:val="21"/>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1</w:t>
                  </w:r>
                </w:p>
              </w:tc>
              <w:tc>
                <w:tcPr>
                  <w:tcW w:w="885"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试油作业机</w:t>
                  </w:r>
                </w:p>
              </w:tc>
              <w:tc>
                <w:tcPr>
                  <w:tcW w:w="1240"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2"/>
                      <w:position w:val="2"/>
                      <w:sz w:val="21"/>
                      <w:szCs w:val="21"/>
                    </w:rPr>
                    <w:t>1</w:t>
                  </w:r>
                  <w:r>
                    <w:rPr>
                      <w:rFonts w:hint="default" w:ascii="Times New Roman" w:hAnsi="Times New Roman" w:eastAsia="Times New Roman" w:cs="Times New Roman"/>
                      <w:spacing w:val="-1"/>
                      <w:position w:val="2"/>
                      <w:sz w:val="21"/>
                      <w:szCs w:val="21"/>
                    </w:rPr>
                    <w:t>10t</w:t>
                  </w:r>
                </w:p>
              </w:tc>
              <w:tc>
                <w:tcPr>
                  <w:tcW w:w="621"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部</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4"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2</w:t>
                  </w:r>
                </w:p>
              </w:tc>
              <w:tc>
                <w:tcPr>
                  <w:tcW w:w="885" w:type="pct"/>
                  <w:noWrap w:val="0"/>
                  <w:vAlign w:val="center"/>
                </w:tcPr>
                <w:p>
                  <w:pPr>
                    <w:spacing w:before="28"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试</w:t>
                  </w:r>
                  <w:r>
                    <w:rPr>
                      <w:rFonts w:hint="default" w:ascii="Times New Roman" w:hAnsi="Times New Roman" w:eastAsia="宋体" w:cs="Times New Roman"/>
                      <w:spacing w:val="7"/>
                      <w:sz w:val="21"/>
                      <w:szCs w:val="21"/>
                    </w:rPr>
                    <w:t>油井架</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28"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部</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5"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3</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液</w:t>
                  </w:r>
                  <w:r>
                    <w:rPr>
                      <w:rFonts w:hint="default" w:ascii="Times New Roman" w:hAnsi="Times New Roman" w:eastAsia="宋体" w:cs="Times New Roman"/>
                      <w:spacing w:val="6"/>
                      <w:sz w:val="21"/>
                      <w:szCs w:val="21"/>
                    </w:rPr>
                    <w:t>压钳</w:t>
                  </w:r>
                </w:p>
              </w:tc>
              <w:tc>
                <w:tcPr>
                  <w:tcW w:w="1240"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1"/>
                      <w:sz w:val="21"/>
                      <w:szCs w:val="21"/>
                    </w:rPr>
                    <w:t>600</w:t>
                  </w:r>
                  <w:r>
                    <w:rPr>
                      <w:rFonts w:hint="default" w:ascii="Times New Roman" w:hAnsi="Times New Roman" w:eastAsia="宋体" w:cs="Times New Roman"/>
                      <w:spacing w:val="1"/>
                      <w:sz w:val="21"/>
                      <w:szCs w:val="21"/>
                    </w:rPr>
                    <w:t>型或</w:t>
                  </w:r>
                  <w:r>
                    <w:rPr>
                      <w:rFonts w:hint="default" w:ascii="Times New Roman" w:hAnsi="Times New Roman" w:eastAsia="Times New Roman" w:cs="Times New Roman"/>
                      <w:spacing w:val="1"/>
                      <w:sz w:val="21"/>
                      <w:szCs w:val="21"/>
                    </w:rPr>
                    <w:t>300</w:t>
                  </w:r>
                  <w:r>
                    <w:rPr>
                      <w:rFonts w:hint="default" w:ascii="Times New Roman" w:hAnsi="Times New Roman" w:eastAsia="宋体" w:cs="Times New Roman"/>
                      <w:spacing w:val="1"/>
                      <w:sz w:val="21"/>
                      <w:szCs w:val="21"/>
                    </w:rPr>
                    <w:t>型</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808" w:type="pct"/>
                  <w:noWrap w:val="0"/>
                  <w:vAlign w:val="center"/>
                </w:tcPr>
                <w:p>
                  <w:pPr>
                    <w:spacing w:before="29" w:line="240" w:lineRule="auto"/>
                    <w:jc w:val="center"/>
                    <w:rPr>
                      <w:rFonts w:hint="eastAsia" w:ascii="Times New Roman" w:hAnsi="Times New Roman" w:eastAsia="宋体" w:cs="Times New Roman"/>
                      <w:spacing w:val="10"/>
                      <w:sz w:val="21"/>
                      <w:szCs w:val="21"/>
                      <w:lang w:val="en-US" w:eastAsia="zh-CN"/>
                    </w:rPr>
                  </w:pPr>
                  <w:r>
                    <w:rPr>
                      <w:rFonts w:hint="eastAsia" w:ascii="Times New Roman" w:hAnsi="Times New Roman" w:eastAsia="宋体" w:cs="Times New Roman"/>
                      <w:spacing w:val="10"/>
                      <w:sz w:val="21"/>
                      <w:szCs w:val="21"/>
                      <w:lang w:val="en-US" w:eastAsia="zh-CN"/>
                    </w:rPr>
                    <w:t>1</w:t>
                  </w:r>
                </w:p>
              </w:tc>
              <w:tc>
                <w:tcPr>
                  <w:tcW w:w="1068"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足</w:t>
                  </w:r>
                  <w:r>
                    <w:rPr>
                      <w:rFonts w:hint="default" w:ascii="Times New Roman" w:hAnsi="Times New Roman" w:eastAsia="宋体" w:cs="Times New Roman"/>
                      <w:spacing w:val="8"/>
                      <w:sz w:val="21"/>
                      <w:szCs w:val="21"/>
                    </w:rPr>
                    <w:t>够长的配套管线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1"/>
                      <w:sz w:val="21"/>
                      <w:szCs w:val="21"/>
                    </w:rPr>
                    <w:t>4</w:t>
                  </w:r>
                </w:p>
              </w:tc>
              <w:tc>
                <w:tcPr>
                  <w:tcW w:w="885"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方罐</w:t>
                  </w:r>
                </w:p>
              </w:tc>
              <w:tc>
                <w:tcPr>
                  <w:tcW w:w="1240" w:type="pct"/>
                  <w:noWrap w:val="0"/>
                  <w:vAlign w:val="center"/>
                </w:tcPr>
                <w:p>
                  <w:pPr>
                    <w:spacing w:before="47"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5"/>
                      <w:position w:val="-1"/>
                      <w:sz w:val="21"/>
                      <w:szCs w:val="21"/>
                    </w:rPr>
                    <w:t>21</w:t>
                  </w:r>
                  <w:r>
                    <w:rPr>
                      <w:rFonts w:hint="default" w:ascii="Times New Roman" w:hAnsi="Times New Roman" w:eastAsia="Times New Roman" w:cs="Times New Roman"/>
                      <w:position w:val="-1"/>
                      <w:sz w:val="21"/>
                      <w:szCs w:val="21"/>
                    </w:rPr>
                    <w:t>m</w:t>
                  </w:r>
                  <w:r>
                    <w:rPr>
                      <w:rFonts w:hint="default" w:ascii="Times New Roman" w:hAnsi="Times New Roman" w:eastAsia="宋体" w:cs="Times New Roman"/>
                      <w:position w:val="-1"/>
                      <w:sz w:val="21"/>
                      <w:szCs w:val="21"/>
                      <w:vertAlign w:val="superscript"/>
                      <w:lang w:val="en-US" w:eastAsia="zh-CN"/>
                    </w:rPr>
                    <w:t>3</w:t>
                  </w:r>
                </w:p>
              </w:tc>
              <w:tc>
                <w:tcPr>
                  <w:tcW w:w="621"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个</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4</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position w:val="-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8"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5</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吊卡</w:t>
                  </w:r>
                </w:p>
              </w:tc>
              <w:tc>
                <w:tcPr>
                  <w:tcW w:w="1240"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12"/>
                      <w:position w:val="2"/>
                      <w:sz w:val="21"/>
                      <w:szCs w:val="21"/>
                    </w:rPr>
                    <w:t>Φ</w:t>
                  </w:r>
                  <w:r>
                    <w:rPr>
                      <w:rFonts w:hint="default" w:ascii="Times New Roman" w:hAnsi="Times New Roman" w:eastAsia="Times New Roman" w:cs="Times New Roman"/>
                      <w:spacing w:val="7"/>
                      <w:position w:val="2"/>
                      <w:sz w:val="21"/>
                      <w:szCs w:val="21"/>
                    </w:rPr>
                    <w:t>7</w:t>
                  </w:r>
                  <w:r>
                    <w:rPr>
                      <w:rFonts w:hint="default" w:ascii="Times New Roman" w:hAnsi="Times New Roman" w:eastAsia="Times New Roman" w:cs="Times New Roman"/>
                      <w:spacing w:val="6"/>
                      <w:position w:val="2"/>
                      <w:sz w:val="21"/>
                      <w:szCs w:val="21"/>
                    </w:rPr>
                    <w:t>3.0</w:t>
                  </w:r>
                  <w:r>
                    <w:rPr>
                      <w:rFonts w:hint="default" w:ascii="Times New Roman" w:hAnsi="Times New Roman" w:eastAsia="Times New Roman" w:cs="Times New Roman"/>
                      <w:position w:val="2"/>
                      <w:sz w:val="21"/>
                      <w:szCs w:val="21"/>
                    </w:rPr>
                    <w:t>mm</w:t>
                  </w:r>
                  <w:r>
                    <w:rPr>
                      <w:rFonts w:hint="default" w:ascii="Times New Roman" w:hAnsi="Times New Roman" w:eastAsia="Times New Roman" w:cs="Times New Roman"/>
                      <w:spacing w:val="6"/>
                      <w:position w:val="2"/>
                      <w:sz w:val="21"/>
                      <w:szCs w:val="21"/>
                    </w:rPr>
                    <w:t>/Φ88.9</w:t>
                  </w:r>
                  <w:r>
                    <w:rPr>
                      <w:rFonts w:hint="default" w:ascii="Times New Roman" w:hAnsi="Times New Roman" w:eastAsia="Times New Roman" w:cs="Times New Roman"/>
                      <w:position w:val="2"/>
                      <w:sz w:val="21"/>
                      <w:szCs w:val="21"/>
                    </w:rPr>
                    <w:t>mm</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只</w:t>
                  </w:r>
                </w:p>
              </w:tc>
              <w:tc>
                <w:tcPr>
                  <w:tcW w:w="808" w:type="pct"/>
                  <w:noWrap w:val="0"/>
                  <w:vAlign w:val="center"/>
                </w:tcPr>
                <w:p>
                  <w:pPr>
                    <w:spacing w:line="240" w:lineRule="auto"/>
                    <w:jc w:val="center"/>
                    <w:rPr>
                      <w:rFonts w:hint="default" w:ascii="Times New Roman" w:hAnsi="Times New Roman" w:eastAsia="宋体" w:cs="Times New Roman"/>
                      <w:spacing w:val="2"/>
                      <w:position w:val="2"/>
                      <w:sz w:val="21"/>
                      <w:szCs w:val="21"/>
                      <w:lang w:val="en-US" w:eastAsia="zh-CN"/>
                    </w:rPr>
                  </w:pPr>
                  <w:r>
                    <w:rPr>
                      <w:rFonts w:hint="eastAsia" w:ascii="Times New Roman" w:hAnsi="Times New Roman" w:eastAsia="宋体" w:cs="Times New Roman"/>
                      <w:spacing w:val="2"/>
                      <w:position w:val="2"/>
                      <w:sz w:val="21"/>
                      <w:szCs w:val="21"/>
                      <w:lang w:val="en-US" w:eastAsia="zh-CN"/>
                    </w:rPr>
                    <w:t>2/2</w:t>
                  </w:r>
                </w:p>
              </w:tc>
              <w:tc>
                <w:tcPr>
                  <w:tcW w:w="1068"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2"/>
                      <w:position w:val="2"/>
                      <w:sz w:val="21"/>
                      <w:szCs w:val="21"/>
                    </w:rPr>
                    <w:t>5</w:t>
                  </w:r>
                  <w:r>
                    <w:rPr>
                      <w:rFonts w:hint="default" w:ascii="Times New Roman" w:hAnsi="Times New Roman" w:eastAsia="Times New Roman" w:cs="Times New Roman"/>
                      <w:spacing w:val="1"/>
                      <w:position w:val="2"/>
                      <w:sz w:val="21"/>
                      <w:szCs w:val="21"/>
                    </w:rPr>
                    <w:t>0</w:t>
                  </w:r>
                  <w:r>
                    <w:rPr>
                      <w:rFonts w:hint="default" w:ascii="Times New Roman" w:hAnsi="Times New Roman" w:eastAsia="Times New Roman" w:cs="Times New Roman"/>
                      <w:positio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6</w:t>
                  </w:r>
                </w:p>
              </w:tc>
              <w:tc>
                <w:tcPr>
                  <w:tcW w:w="885"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吊环</w:t>
                  </w:r>
                </w:p>
              </w:tc>
              <w:tc>
                <w:tcPr>
                  <w:tcW w:w="1240"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SH</w:t>
                  </w:r>
                  <w:r>
                    <w:rPr>
                      <w:rFonts w:hint="default" w:ascii="Times New Roman" w:hAnsi="Times New Roman" w:eastAsia="Times New Roman" w:cs="Times New Roman"/>
                      <w:spacing w:val="4"/>
                      <w:sz w:val="21"/>
                      <w:szCs w:val="21"/>
                    </w:rPr>
                    <w:t>-</w:t>
                  </w:r>
                  <w:r>
                    <w:rPr>
                      <w:rFonts w:hint="default" w:ascii="Times New Roman" w:hAnsi="Times New Roman" w:eastAsia="Times New Roman" w:cs="Times New Roman"/>
                      <w:spacing w:val="3"/>
                      <w:sz w:val="21"/>
                      <w:szCs w:val="21"/>
                    </w:rPr>
                    <w:t>80</w:t>
                  </w:r>
                </w:p>
              </w:tc>
              <w:tc>
                <w:tcPr>
                  <w:tcW w:w="621"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副</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8"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7</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通管</w:t>
                  </w:r>
                  <w:r>
                    <w:rPr>
                      <w:rFonts w:hint="default" w:ascii="Times New Roman" w:hAnsi="Times New Roman" w:eastAsia="宋体" w:cs="Times New Roman"/>
                      <w:spacing w:val="6"/>
                      <w:sz w:val="21"/>
                      <w:szCs w:val="21"/>
                    </w:rPr>
                    <w:t>规</w:t>
                  </w:r>
                </w:p>
              </w:tc>
              <w:tc>
                <w:tcPr>
                  <w:tcW w:w="1240"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14"/>
                      <w:position w:val="2"/>
                      <w:sz w:val="21"/>
                      <w:szCs w:val="21"/>
                    </w:rPr>
                    <w:t>Φ730</w:t>
                  </w:r>
                  <w:r>
                    <w:rPr>
                      <w:rFonts w:hint="default" w:ascii="Times New Roman" w:hAnsi="Times New Roman" w:eastAsia="Times New Roman" w:cs="Times New Roman"/>
                      <w:position w:val="2"/>
                      <w:sz w:val="21"/>
                      <w:szCs w:val="21"/>
                    </w:rPr>
                    <w:t>mm</w:t>
                  </w:r>
                  <w:r>
                    <w:rPr>
                      <w:rFonts w:hint="default" w:ascii="Times New Roman" w:hAnsi="Times New Roman" w:eastAsia="Times New Roman" w:cs="Times New Roman"/>
                      <w:spacing w:val="14"/>
                      <w:position w:val="2"/>
                      <w:sz w:val="21"/>
                      <w:szCs w:val="21"/>
                    </w:rPr>
                    <w:t>/58</w:t>
                  </w:r>
                  <w:r>
                    <w:rPr>
                      <w:rFonts w:hint="default" w:ascii="Times New Roman" w:hAnsi="Times New Roman" w:eastAsia="Times New Roman" w:cs="Times New Roman"/>
                      <w:spacing w:val="13"/>
                      <w:position w:val="2"/>
                      <w:sz w:val="21"/>
                      <w:szCs w:val="21"/>
                    </w:rPr>
                    <w:t>0</w:t>
                  </w:r>
                  <w:r>
                    <w:rPr>
                      <w:rFonts w:hint="default" w:ascii="Times New Roman" w:hAnsi="Times New Roman" w:eastAsia="Times New Roman" w:cs="Times New Roman"/>
                      <w:position w:val="2"/>
                      <w:sz w:val="21"/>
                      <w:szCs w:val="21"/>
                    </w:rPr>
                    <w:t>mm</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个</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各2</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72"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8</w:t>
                  </w:r>
                </w:p>
              </w:tc>
              <w:tc>
                <w:tcPr>
                  <w:tcW w:w="885" w:type="pct"/>
                  <w:noWrap w:val="0"/>
                  <w:vAlign w:val="center"/>
                </w:tcPr>
                <w:p>
                  <w:pPr>
                    <w:spacing w:before="37"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提升短节</w:t>
                  </w:r>
                </w:p>
              </w:tc>
              <w:tc>
                <w:tcPr>
                  <w:tcW w:w="1240" w:type="pct"/>
                  <w:noWrap w:val="0"/>
                  <w:vAlign w:val="center"/>
                </w:tcPr>
                <w:p>
                  <w:pPr>
                    <w:spacing w:before="73"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7"/>
                      <w:sz w:val="21"/>
                      <w:szCs w:val="21"/>
                    </w:rPr>
                    <w:t>Φ</w:t>
                  </w:r>
                  <w:r>
                    <w:rPr>
                      <w:rFonts w:hint="default" w:ascii="Times New Roman" w:hAnsi="Times New Roman" w:eastAsia="Times New Roman" w:cs="Times New Roman"/>
                      <w:spacing w:val="6"/>
                      <w:sz w:val="21"/>
                      <w:szCs w:val="21"/>
                    </w:rPr>
                    <w:t>88.9</w:t>
                  </w:r>
                  <w:r>
                    <w:rPr>
                      <w:rFonts w:hint="default" w:ascii="Times New Roman" w:hAnsi="Times New Roman" w:eastAsia="Times New Roman" w:cs="Times New Roman"/>
                      <w:sz w:val="21"/>
                      <w:szCs w:val="21"/>
                    </w:rPr>
                    <w:t>mm</w:t>
                  </w:r>
                </w:p>
              </w:tc>
              <w:tc>
                <w:tcPr>
                  <w:tcW w:w="621" w:type="pct"/>
                  <w:noWrap w:val="0"/>
                  <w:vAlign w:val="center"/>
                </w:tcPr>
                <w:p>
                  <w:pPr>
                    <w:spacing w:before="37"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套</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9</w:t>
                  </w:r>
                </w:p>
              </w:tc>
              <w:tc>
                <w:tcPr>
                  <w:tcW w:w="8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调整短</w:t>
                  </w:r>
                  <w:r>
                    <w:rPr>
                      <w:rFonts w:hint="default" w:ascii="Times New Roman" w:hAnsi="Times New Roman" w:eastAsia="宋体" w:cs="Times New Roman"/>
                      <w:spacing w:val="6"/>
                      <w:sz w:val="21"/>
                      <w:szCs w:val="21"/>
                    </w:rPr>
                    <w:t>节</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7"/>
                      <w:sz w:val="21"/>
                      <w:szCs w:val="21"/>
                    </w:rPr>
                    <w:t>Φ</w:t>
                  </w:r>
                  <w:r>
                    <w:rPr>
                      <w:rFonts w:hint="default" w:ascii="Times New Roman" w:hAnsi="Times New Roman" w:eastAsia="Times New Roman" w:cs="Times New Roman"/>
                      <w:spacing w:val="6"/>
                      <w:sz w:val="21"/>
                      <w:szCs w:val="21"/>
                    </w:rPr>
                    <w:t>73.0</w:t>
                  </w:r>
                  <w:r>
                    <w:rPr>
                      <w:rFonts w:hint="default" w:ascii="Times New Roman" w:hAnsi="Times New Roman" w:eastAsia="Times New Roman" w:cs="Times New Roman"/>
                      <w:sz w:val="21"/>
                      <w:szCs w:val="21"/>
                    </w:rPr>
                    <w:t>mm</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5"/>
                      <w:sz w:val="21"/>
                      <w:szCs w:val="21"/>
                    </w:rPr>
                    <w:t>m</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w:t>
                  </w:r>
                  <w:r>
                    <w:rPr>
                      <w:rFonts w:hint="default" w:ascii="Times New Roman" w:hAnsi="Times New Roman" w:eastAsia="Times New Roman" w:cs="Times New Roman"/>
                      <w:spacing w:val="2"/>
                      <w:sz w:val="21"/>
                      <w:szCs w:val="21"/>
                    </w:rPr>
                    <w:t>0.3</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0.5</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1.0</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1.5</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4"/>
                      <w:sz w:val="21"/>
                      <w:szCs w:val="21"/>
                    </w:rPr>
                    <w:t>2.0</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4"/>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5"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0</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值班</w:t>
                  </w:r>
                  <w:r>
                    <w:rPr>
                      <w:rFonts w:hint="default" w:ascii="Times New Roman" w:hAnsi="Times New Roman" w:eastAsia="宋体" w:cs="Times New Roman"/>
                      <w:spacing w:val="6"/>
                      <w:sz w:val="21"/>
                      <w:szCs w:val="21"/>
                    </w:rPr>
                    <w:t>房</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套</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1</w:t>
                  </w:r>
                </w:p>
              </w:tc>
              <w:tc>
                <w:tcPr>
                  <w:tcW w:w="885"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发电</w:t>
                  </w:r>
                  <w:r>
                    <w:rPr>
                      <w:rFonts w:hint="default" w:ascii="Times New Roman" w:hAnsi="Times New Roman" w:eastAsia="宋体" w:cs="Times New Roman"/>
                      <w:spacing w:val="5"/>
                      <w:sz w:val="21"/>
                      <w:szCs w:val="21"/>
                    </w:rPr>
                    <w:t>房</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套</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8"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2</w:t>
                  </w:r>
                </w:p>
              </w:tc>
              <w:tc>
                <w:tcPr>
                  <w:tcW w:w="885" w:type="pct"/>
                  <w:noWrap w:val="0"/>
                  <w:vAlign w:val="center"/>
                </w:tcPr>
                <w:p>
                  <w:pPr>
                    <w:spacing w:before="32"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柴油发电机</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32"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2</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3</w:t>
                  </w:r>
                </w:p>
              </w:tc>
              <w:tc>
                <w:tcPr>
                  <w:tcW w:w="885"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泵车</w:t>
                  </w:r>
                </w:p>
              </w:tc>
              <w:tc>
                <w:tcPr>
                  <w:tcW w:w="1240"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5"/>
                      <w:sz w:val="21"/>
                      <w:szCs w:val="21"/>
                    </w:rPr>
                    <w:t>700</w:t>
                  </w:r>
                  <w:r>
                    <w:rPr>
                      <w:rFonts w:hint="default" w:ascii="Times New Roman" w:hAnsi="Times New Roman" w:eastAsia="宋体" w:cs="Times New Roman"/>
                      <w:spacing w:val="4"/>
                      <w:sz w:val="21"/>
                      <w:szCs w:val="21"/>
                    </w:rPr>
                    <w:t>型</w:t>
                  </w:r>
                </w:p>
              </w:tc>
              <w:tc>
                <w:tcPr>
                  <w:tcW w:w="621"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4</w:t>
                  </w:r>
                </w:p>
              </w:tc>
              <w:tc>
                <w:tcPr>
                  <w:tcW w:w="885"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储油罐</w:t>
                  </w:r>
                </w:p>
              </w:tc>
              <w:tc>
                <w:tcPr>
                  <w:tcW w:w="1240" w:type="pct"/>
                  <w:noWrap w:val="0"/>
                  <w:vAlign w:val="center"/>
                </w:tcPr>
                <w:p>
                  <w:pPr>
                    <w:spacing w:before="4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4"/>
                      <w:position w:val="-1"/>
                      <w:sz w:val="21"/>
                      <w:szCs w:val="21"/>
                    </w:rPr>
                    <w:t>6</w:t>
                  </w:r>
                  <w:r>
                    <w:rPr>
                      <w:rFonts w:hint="default" w:ascii="Times New Roman" w:hAnsi="Times New Roman" w:eastAsia="Times New Roman" w:cs="Times New Roman"/>
                      <w:spacing w:val="3"/>
                      <w:position w:val="-1"/>
                      <w:sz w:val="21"/>
                      <w:szCs w:val="21"/>
                    </w:rPr>
                    <w:t>0</w:t>
                  </w:r>
                  <w:r>
                    <w:rPr>
                      <w:rFonts w:hint="default" w:ascii="Times New Roman" w:hAnsi="Times New Roman" w:eastAsia="Times New Roman" w:cs="Times New Roman"/>
                      <w:position w:val="-1"/>
                      <w:sz w:val="21"/>
                      <w:szCs w:val="21"/>
                    </w:rPr>
                    <w:t>m</w:t>
                  </w:r>
                  <w:r>
                    <w:rPr>
                      <w:rFonts w:hint="default" w:ascii="Times New Roman" w:hAnsi="Times New Roman" w:eastAsia="宋体" w:cs="Times New Roman"/>
                      <w:position w:val="-1"/>
                      <w:sz w:val="21"/>
                      <w:szCs w:val="21"/>
                      <w:vertAlign w:val="superscript"/>
                      <w:lang w:val="en-US" w:eastAsia="zh-CN"/>
                    </w:rPr>
                    <w:t>3</w:t>
                  </w:r>
                </w:p>
              </w:tc>
              <w:tc>
                <w:tcPr>
                  <w:tcW w:w="621"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罐</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bl>
          <w:p>
            <w:pPr>
              <w:pStyle w:val="104"/>
              <w:ind w:firstLine="482" w:firstLineChars="200"/>
              <w:rPr>
                <w:sz w:val="24"/>
              </w:rPr>
            </w:pPr>
            <w:r>
              <w:rPr>
                <w:rFonts w:hint="eastAsia"/>
                <w:sz w:val="24"/>
                <w:lang w:val="en-US" w:eastAsia="zh-CN"/>
              </w:rPr>
              <w:t>5、</w:t>
            </w:r>
            <w:r>
              <w:rPr>
                <w:rFonts w:hint="eastAsia"/>
                <w:sz w:val="24"/>
              </w:rPr>
              <w:t>项目占地</w:t>
            </w:r>
          </w:p>
          <w:p>
            <w:pPr>
              <w:spacing w:line="360" w:lineRule="auto"/>
              <w:ind w:firstLine="480" w:firstLineChars="200"/>
              <w:rPr>
                <w:rFonts w:hint="default" w:ascii="Times New Roman" w:hAnsi="Times New Roman" w:cs="Times New Roman"/>
                <w:snapToGrid w:val="0"/>
                <w:kern w:val="0"/>
              </w:rPr>
            </w:pPr>
            <w:r>
              <w:rPr>
                <w:rFonts w:hint="default" w:ascii="Times New Roman" w:hAnsi="Times New Roman" w:eastAsia="宋体" w:cs="Times New Roman"/>
                <w:color w:val="000000"/>
                <w:kern w:val="0"/>
                <w:sz w:val="24"/>
                <w:szCs w:val="24"/>
                <w:lang w:val="en-US" w:eastAsia="zh-CN" w:bidi="ar"/>
              </w:rPr>
              <w:t>本项目总占地面积</w:t>
            </w:r>
            <w:r>
              <w:rPr>
                <w:rFonts w:hint="eastAsia" w:ascii="Times New Roman" w:hAnsi="Times New Roman" w:cs="Times New Roman"/>
                <w:color w:val="000000"/>
                <w:kern w:val="0"/>
                <w:sz w:val="24"/>
                <w:szCs w:val="24"/>
                <w:lang w:val="en-US" w:eastAsia="zh-CN" w:bidi="ar"/>
              </w:rPr>
              <w:t>33452</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，均为临时</w:t>
            </w:r>
            <w:r>
              <w:rPr>
                <w:rFonts w:hint="eastAsia" w:ascii="Times New Roman" w:hAnsi="Times New Roman" w:cs="Times New Roman"/>
                <w:color w:val="000000"/>
                <w:kern w:val="0"/>
                <w:sz w:val="24"/>
                <w:szCs w:val="24"/>
                <w:lang w:val="en-US" w:eastAsia="zh-CN" w:bidi="ar"/>
              </w:rPr>
              <w:t>占</w:t>
            </w:r>
            <w:r>
              <w:rPr>
                <w:rFonts w:hint="default" w:ascii="Times New Roman" w:hAnsi="Times New Roman" w:eastAsia="宋体" w:cs="Times New Roman"/>
                <w:color w:val="000000"/>
                <w:kern w:val="0"/>
                <w:sz w:val="24"/>
                <w:szCs w:val="24"/>
                <w:lang w:val="en-US" w:eastAsia="zh-CN" w:bidi="ar"/>
              </w:rPr>
              <w:t>地，占地类型均为</w:t>
            </w:r>
            <w:r>
              <w:rPr>
                <w:rFonts w:hint="eastAsia" w:ascii="Times New Roman" w:hAnsi="Times New Roman" w:cs="Times New Roman"/>
                <w:color w:val="000000"/>
                <w:kern w:val="0"/>
                <w:sz w:val="24"/>
                <w:szCs w:val="24"/>
                <w:lang w:val="en-US" w:eastAsia="zh-CN" w:bidi="ar"/>
              </w:rPr>
              <w:t>裸土</w:t>
            </w:r>
            <w:r>
              <w:rPr>
                <w:rFonts w:hint="default" w:ascii="Times New Roman" w:hAnsi="Times New Roman" w:eastAsia="宋体" w:cs="Times New Roman"/>
                <w:color w:val="000000"/>
                <w:kern w:val="0"/>
                <w:sz w:val="24"/>
                <w:szCs w:val="24"/>
                <w:lang w:val="en-US" w:eastAsia="zh-CN" w:bidi="ar"/>
              </w:rPr>
              <w:t>地。项目占地面积情况见表2-9。</w:t>
            </w:r>
          </w:p>
          <w:p>
            <w:pPr>
              <w:numPr>
                <w:ilvl w:val="0"/>
                <w:numId w:val="0"/>
              </w:numPr>
              <w:adjustRightInd w:val="0"/>
              <w:snapToGrid w:val="0"/>
              <w:spacing w:line="240" w:lineRule="auto"/>
              <w:ind w:firstLine="446" w:firstLineChars="200"/>
              <w:jc w:val="center"/>
              <w:rPr>
                <w:rFonts w:ascii="宋体" w:hAnsi="宋体" w:eastAsia="宋体" w:cs="宋体"/>
                <w:b/>
                <w:bCs/>
                <w:spacing w:val="6"/>
                <w:sz w:val="21"/>
                <w:szCs w:val="21"/>
              </w:rPr>
            </w:pPr>
            <w:r>
              <w:rPr>
                <w:rFonts w:hint="default" w:ascii="Times New Roman" w:hAnsi="Times New Roman" w:eastAsia="宋体" w:cs="Times New Roman"/>
                <w:b/>
                <w:bCs/>
                <w:spacing w:val="6"/>
                <w:sz w:val="21"/>
                <w:szCs w:val="21"/>
              </w:rPr>
              <w:t>表2-</w:t>
            </w:r>
            <w:r>
              <w:rPr>
                <w:rFonts w:hint="default" w:ascii="Times New Roman" w:hAnsi="Times New Roman" w:eastAsia="宋体" w:cs="Times New Roman"/>
                <w:b/>
                <w:bCs/>
                <w:spacing w:val="6"/>
                <w:sz w:val="21"/>
                <w:szCs w:val="21"/>
                <w:lang w:val="en-US" w:eastAsia="zh-CN"/>
              </w:rPr>
              <w:t>9</w:t>
            </w:r>
            <w:r>
              <w:rPr>
                <w:rFonts w:hint="default" w:ascii="Times New Roman" w:hAnsi="Times New Roman" w:eastAsia="宋体" w:cs="Times New Roman"/>
                <w:b/>
                <w:bCs/>
                <w:spacing w:val="6"/>
                <w:sz w:val="21"/>
                <w:szCs w:val="21"/>
              </w:rPr>
              <w:t xml:space="preserve">      项目占地情况一览表</w:t>
            </w:r>
          </w:p>
          <w:tbl>
            <w:tblPr>
              <w:tblStyle w:val="28"/>
              <w:tblpPr w:leftFromText="180" w:rightFromText="180" w:vertAnchor="text" w:horzAnchor="page" w:tblpX="171" w:tblpY="59"/>
              <w:tblOverlap w:val="never"/>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497"/>
              <w:gridCol w:w="1640"/>
              <w:gridCol w:w="1190"/>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860" w:type="dxa"/>
                  <w:noWrap w:val="0"/>
                  <w:vAlign w:val="center"/>
                </w:tcPr>
                <w:p>
                  <w:pPr>
                    <w:pStyle w:val="106"/>
                    <w:rPr>
                      <w:sz w:val="21"/>
                      <w:szCs w:val="21"/>
                    </w:rPr>
                  </w:pPr>
                  <w:r>
                    <w:rPr>
                      <w:sz w:val="21"/>
                      <w:szCs w:val="21"/>
                    </w:rPr>
                    <w:t>序号</w:t>
                  </w:r>
                </w:p>
              </w:tc>
              <w:tc>
                <w:tcPr>
                  <w:tcW w:w="1632" w:type="dxa"/>
                  <w:noWrap w:val="0"/>
                  <w:vAlign w:val="center"/>
                </w:tcPr>
                <w:p>
                  <w:pPr>
                    <w:pStyle w:val="106"/>
                    <w:rPr>
                      <w:sz w:val="21"/>
                      <w:szCs w:val="21"/>
                    </w:rPr>
                  </w:pPr>
                  <w:r>
                    <w:rPr>
                      <w:sz w:val="21"/>
                      <w:szCs w:val="21"/>
                    </w:rPr>
                    <w:t>分区</w:t>
                  </w:r>
                </w:p>
              </w:tc>
              <w:tc>
                <w:tcPr>
                  <w:tcW w:w="1738" w:type="dxa"/>
                  <w:noWrap w:val="0"/>
                  <w:vAlign w:val="center"/>
                </w:tcPr>
                <w:p>
                  <w:pPr>
                    <w:pStyle w:val="106"/>
                    <w:rPr>
                      <w:sz w:val="21"/>
                      <w:szCs w:val="21"/>
                    </w:rPr>
                  </w:pPr>
                  <w:r>
                    <w:rPr>
                      <w:sz w:val="21"/>
                      <w:szCs w:val="21"/>
                    </w:rPr>
                    <w:t>占地面积（</w:t>
                  </w:r>
                  <w:r>
                    <w:rPr>
                      <w:rFonts w:ascii="Times New Roman" w:hAnsi="Times New Roman"/>
                      <w:sz w:val="21"/>
                      <w:szCs w:val="21"/>
                    </w:rPr>
                    <w:t>m</w:t>
                  </w:r>
                  <w:r>
                    <w:rPr>
                      <w:rFonts w:ascii="Times New Roman" w:hAnsi="Times New Roman"/>
                      <w:sz w:val="21"/>
                      <w:szCs w:val="21"/>
                      <w:vertAlign w:val="superscript"/>
                    </w:rPr>
                    <w:t>2</w:t>
                  </w:r>
                  <w:r>
                    <w:rPr>
                      <w:sz w:val="21"/>
                      <w:szCs w:val="21"/>
                    </w:rPr>
                    <w:t>）</w:t>
                  </w:r>
                </w:p>
              </w:tc>
              <w:tc>
                <w:tcPr>
                  <w:tcW w:w="1286" w:type="dxa"/>
                  <w:noWrap w:val="0"/>
                  <w:vAlign w:val="center"/>
                </w:tcPr>
                <w:p>
                  <w:pPr>
                    <w:pStyle w:val="106"/>
                    <w:rPr>
                      <w:sz w:val="21"/>
                      <w:szCs w:val="21"/>
                    </w:rPr>
                  </w:pPr>
                  <w:r>
                    <w:rPr>
                      <w:sz w:val="21"/>
                      <w:szCs w:val="21"/>
                    </w:rPr>
                    <w:t>占地类型</w:t>
                  </w:r>
                </w:p>
              </w:tc>
              <w:tc>
                <w:tcPr>
                  <w:tcW w:w="2801" w:type="dxa"/>
                  <w:noWrap w:val="0"/>
                  <w:vAlign w:val="center"/>
                </w:tcPr>
                <w:p>
                  <w:pPr>
                    <w:pStyle w:val="106"/>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1</w:t>
                  </w:r>
                </w:p>
              </w:tc>
              <w:tc>
                <w:tcPr>
                  <w:tcW w:w="1632" w:type="dxa"/>
                  <w:noWrap w:val="0"/>
                  <w:vAlign w:val="center"/>
                </w:tcPr>
                <w:p>
                  <w:pPr>
                    <w:pStyle w:val="106"/>
                    <w:rPr>
                      <w:sz w:val="21"/>
                      <w:szCs w:val="21"/>
                    </w:rPr>
                  </w:pPr>
                  <w:r>
                    <w:rPr>
                      <w:rFonts w:hint="eastAsia"/>
                      <w:sz w:val="21"/>
                      <w:szCs w:val="21"/>
                      <w:lang w:val="en-US" w:eastAsia="zh-CN"/>
                    </w:rPr>
                    <w:t>钻井平台</w:t>
                  </w:r>
                  <w:r>
                    <w:rPr>
                      <w:sz w:val="21"/>
                      <w:szCs w:val="21"/>
                    </w:rPr>
                    <w:t>占地</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28052</w:t>
                  </w:r>
                </w:p>
              </w:tc>
              <w:tc>
                <w:tcPr>
                  <w:tcW w:w="1286" w:type="dxa"/>
                  <w:vMerge w:val="restart"/>
                  <w:noWrap w:val="0"/>
                  <w:vAlign w:val="center"/>
                </w:tcPr>
                <w:p>
                  <w:pPr>
                    <w:pStyle w:val="106"/>
                    <w:rPr>
                      <w:rFonts w:hint="eastAsia" w:eastAsia="宋体"/>
                      <w:sz w:val="21"/>
                      <w:szCs w:val="21"/>
                      <w:lang w:eastAsia="zh-CN"/>
                    </w:rPr>
                  </w:pPr>
                  <w:r>
                    <w:rPr>
                      <w:rFonts w:hint="eastAsia"/>
                      <w:sz w:val="21"/>
                      <w:szCs w:val="21"/>
                      <w:lang w:val="en-US" w:eastAsia="zh-CN"/>
                    </w:rPr>
                    <w:t>裸地</w:t>
                  </w:r>
                </w:p>
              </w:tc>
              <w:tc>
                <w:tcPr>
                  <w:tcW w:w="2801" w:type="dxa"/>
                  <w:noWrap w:val="0"/>
                  <w:vAlign w:val="center"/>
                </w:tcPr>
                <w:p>
                  <w:pPr>
                    <w:pStyle w:val="106"/>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2</w:t>
                  </w:r>
                </w:p>
              </w:tc>
              <w:tc>
                <w:tcPr>
                  <w:tcW w:w="1632" w:type="dxa"/>
                  <w:noWrap w:val="0"/>
                  <w:vAlign w:val="center"/>
                </w:tcPr>
                <w:p>
                  <w:pPr>
                    <w:pStyle w:val="106"/>
                    <w:rPr>
                      <w:sz w:val="21"/>
                      <w:szCs w:val="21"/>
                    </w:rPr>
                  </w:pPr>
                  <w:r>
                    <w:rPr>
                      <w:sz w:val="21"/>
                      <w:szCs w:val="21"/>
                    </w:rPr>
                    <w:t>施工生活营地</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3000</w:t>
                  </w:r>
                </w:p>
              </w:tc>
              <w:tc>
                <w:tcPr>
                  <w:tcW w:w="1286" w:type="dxa"/>
                  <w:vMerge w:val="continue"/>
                  <w:noWrap w:val="0"/>
                  <w:vAlign w:val="center"/>
                </w:tcPr>
                <w:p>
                  <w:pPr>
                    <w:pStyle w:val="106"/>
                    <w:rPr>
                      <w:sz w:val="21"/>
                      <w:szCs w:val="21"/>
                    </w:rPr>
                  </w:pPr>
                </w:p>
              </w:tc>
              <w:tc>
                <w:tcPr>
                  <w:tcW w:w="2801" w:type="dxa"/>
                  <w:noWrap w:val="0"/>
                  <w:vAlign w:val="center"/>
                </w:tcPr>
                <w:p>
                  <w:pPr>
                    <w:pStyle w:val="106"/>
                    <w:rPr>
                      <w:rFonts w:ascii="Times New Roman" w:hAnsi="Times New Roman"/>
                      <w:sz w:val="21"/>
                      <w:szCs w:val="21"/>
                    </w:rPr>
                  </w:pPr>
                  <w:r>
                    <w:rPr>
                      <w:rFonts w:ascii="Times New Roman" w:hAnsi="Times New Roman"/>
                      <w:sz w:val="21"/>
                      <w:szCs w:val="21"/>
                    </w:rPr>
                    <w:t>50m×</w:t>
                  </w:r>
                  <w:r>
                    <w:rPr>
                      <w:rFonts w:hint="eastAsia" w:ascii="Times New Roman" w:hAnsi="Times New Roman"/>
                      <w:sz w:val="21"/>
                      <w:szCs w:val="21"/>
                      <w:lang w:val="en-US" w:eastAsia="zh-CN"/>
                    </w:rPr>
                    <w:t>6</w:t>
                  </w:r>
                  <w:r>
                    <w:rPr>
                      <w:rFonts w:ascii="Times New Roman" w:hAnsi="Times New Roman"/>
                      <w:sz w:val="21"/>
                      <w:szCs w:val="21"/>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3</w:t>
                  </w:r>
                </w:p>
              </w:tc>
              <w:tc>
                <w:tcPr>
                  <w:tcW w:w="1632" w:type="dxa"/>
                  <w:noWrap w:val="0"/>
                  <w:vAlign w:val="center"/>
                </w:tcPr>
                <w:p>
                  <w:pPr>
                    <w:pStyle w:val="106"/>
                    <w:rPr>
                      <w:sz w:val="21"/>
                      <w:szCs w:val="21"/>
                    </w:rPr>
                  </w:pPr>
                  <w:r>
                    <w:rPr>
                      <w:sz w:val="21"/>
                      <w:szCs w:val="21"/>
                    </w:rPr>
                    <w:t>道路区</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2400</w:t>
                  </w:r>
                </w:p>
              </w:tc>
              <w:tc>
                <w:tcPr>
                  <w:tcW w:w="1286" w:type="dxa"/>
                  <w:vMerge w:val="continue"/>
                  <w:noWrap w:val="0"/>
                  <w:vAlign w:val="center"/>
                </w:tcPr>
                <w:p>
                  <w:pPr>
                    <w:pStyle w:val="106"/>
                    <w:rPr>
                      <w:sz w:val="21"/>
                      <w:szCs w:val="21"/>
                    </w:rPr>
                  </w:pPr>
                </w:p>
              </w:tc>
              <w:tc>
                <w:tcPr>
                  <w:tcW w:w="2801" w:type="dxa"/>
                  <w:noWrap w:val="0"/>
                  <w:vAlign w:val="center"/>
                </w:tcPr>
                <w:p>
                  <w:pPr>
                    <w:pStyle w:val="106"/>
                    <w:rPr>
                      <w:rFonts w:ascii="Times New Roman" w:hAnsi="Times New Roman"/>
                      <w:sz w:val="21"/>
                      <w:szCs w:val="21"/>
                    </w:rPr>
                  </w:pPr>
                  <w:r>
                    <w:rPr>
                      <w:rFonts w:ascii="Times New Roman" w:hAnsi="Times New Roman"/>
                      <w:sz w:val="21"/>
                      <w:szCs w:val="21"/>
                    </w:rPr>
                    <w:t>道路长度</w:t>
                  </w:r>
                  <w:r>
                    <w:rPr>
                      <w:rFonts w:hint="eastAsia" w:ascii="Times New Roman" w:hAnsi="Times New Roman"/>
                      <w:sz w:val="21"/>
                      <w:szCs w:val="21"/>
                      <w:lang w:val="en-US" w:eastAsia="zh-CN"/>
                    </w:rPr>
                    <w:t>400</w:t>
                  </w:r>
                  <w:r>
                    <w:rPr>
                      <w:rFonts w:ascii="Times New Roman" w:hAnsi="Times New Roman"/>
                      <w:sz w:val="21"/>
                      <w:szCs w:val="21"/>
                    </w:rPr>
                    <w:t>m，宽度</w:t>
                  </w:r>
                  <w:r>
                    <w:rPr>
                      <w:rFonts w:hint="eastAsia" w:ascii="Times New Roman" w:hAnsi="Times New Roman"/>
                      <w:sz w:val="21"/>
                      <w:szCs w:val="21"/>
                      <w:lang w:val="en-US" w:eastAsia="zh-CN"/>
                    </w:rPr>
                    <w:t>6</w:t>
                  </w:r>
                  <w:r>
                    <w:rPr>
                      <w:rFonts w:ascii="Times New Roman" w:hAnsi="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4</w:t>
                  </w:r>
                </w:p>
              </w:tc>
              <w:tc>
                <w:tcPr>
                  <w:tcW w:w="1632" w:type="dxa"/>
                  <w:noWrap w:val="0"/>
                  <w:vAlign w:val="center"/>
                </w:tcPr>
                <w:p>
                  <w:pPr>
                    <w:pStyle w:val="106"/>
                    <w:rPr>
                      <w:sz w:val="21"/>
                      <w:szCs w:val="21"/>
                    </w:rPr>
                  </w:pPr>
                  <w:r>
                    <w:rPr>
                      <w:sz w:val="21"/>
                      <w:szCs w:val="21"/>
                    </w:rPr>
                    <w:t>合计</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33452</w:t>
                  </w:r>
                </w:p>
              </w:tc>
              <w:tc>
                <w:tcPr>
                  <w:tcW w:w="1286" w:type="dxa"/>
                  <w:noWrap w:val="0"/>
                  <w:vAlign w:val="center"/>
                </w:tcPr>
                <w:p>
                  <w:pPr>
                    <w:pStyle w:val="106"/>
                    <w:rPr>
                      <w:rFonts w:ascii="Times New Roman" w:hAnsi="Times New Roman"/>
                      <w:sz w:val="21"/>
                      <w:szCs w:val="21"/>
                    </w:rPr>
                  </w:pPr>
                  <w:r>
                    <w:rPr>
                      <w:rFonts w:ascii="Times New Roman" w:hAnsi="Times New Roman"/>
                      <w:sz w:val="21"/>
                      <w:szCs w:val="21"/>
                    </w:rPr>
                    <w:t>/</w:t>
                  </w:r>
                </w:p>
              </w:tc>
              <w:tc>
                <w:tcPr>
                  <w:tcW w:w="2801" w:type="dxa"/>
                  <w:noWrap w:val="0"/>
                  <w:vAlign w:val="center"/>
                </w:tcPr>
                <w:p>
                  <w:pPr>
                    <w:pStyle w:val="106"/>
                    <w:rPr>
                      <w:rFonts w:ascii="Times New Roman" w:hAnsi="Times New Roman"/>
                      <w:sz w:val="21"/>
                      <w:szCs w:val="21"/>
                    </w:rPr>
                  </w:pPr>
                  <w:r>
                    <w:rPr>
                      <w:rFonts w:ascii="Times New Roman" w:hAnsi="Times New Roman"/>
                      <w:sz w:val="21"/>
                      <w:szCs w:val="21"/>
                    </w:rPr>
                    <w:t>/</w:t>
                  </w:r>
                </w:p>
              </w:tc>
            </w:tr>
          </w:tbl>
          <w:p>
            <w:pPr>
              <w:pStyle w:val="104"/>
              <w:ind w:firstLine="482"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6、公用工程</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6.1 给水</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bidi="ar"/>
              </w:rPr>
            </w:pPr>
            <w:bookmarkStart w:id="10" w:name="_Hlk2809316"/>
            <w:r>
              <w:rPr>
                <w:rFonts w:hint="eastAsia" w:ascii="宋体" w:hAnsi="宋体" w:eastAsia="宋体" w:cs="宋体"/>
                <w:color w:val="000000"/>
                <w:kern w:val="0"/>
                <w:sz w:val="24"/>
                <w:szCs w:val="24"/>
                <w:lang w:val="en-US" w:eastAsia="zh-CN" w:bidi="ar"/>
              </w:rPr>
              <w:t>本项目在钻井过程中用水主要为钻井液配比用水。根据建设单位提供的资料，钻井期</w:t>
            </w:r>
            <w:r>
              <w:rPr>
                <w:rFonts w:hint="eastAsia" w:ascii="宋体" w:hAnsi="宋体" w:cs="宋体"/>
                <w:color w:val="000000"/>
                <w:kern w:val="0"/>
                <w:sz w:val="24"/>
                <w:szCs w:val="24"/>
                <w:lang w:val="en-US" w:eastAsia="zh-CN" w:bidi="ar"/>
              </w:rPr>
              <w:t>单井</w:t>
            </w:r>
            <w:r>
              <w:rPr>
                <w:rFonts w:hint="eastAsia" w:ascii="宋体" w:hAnsi="宋体" w:eastAsia="宋体" w:cs="宋体"/>
                <w:color w:val="000000"/>
                <w:kern w:val="0"/>
                <w:sz w:val="24"/>
                <w:szCs w:val="24"/>
                <w:lang w:val="en-US" w:eastAsia="zh-CN" w:bidi="ar"/>
              </w:rPr>
              <w:t>泥浆配比用水100</w:t>
            </w:r>
            <w:r>
              <w:rPr>
                <w:rFonts w:hint="eastAsia" w:ascii="宋体" w:hAnsi="宋体" w:cs="宋体"/>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r>
              <w:rPr>
                <w:rFonts w:hint="eastAsia" w:ascii="宋体" w:hAnsi="宋体" w:cs="宋体"/>
                <w:color w:val="000000"/>
                <w:kern w:val="0"/>
                <w:sz w:val="24"/>
                <w:szCs w:val="24"/>
                <w:vertAlign w:val="baseline"/>
                <w:lang w:val="en-US" w:eastAsia="zh-CN" w:bidi="ar"/>
              </w:rPr>
              <w:t>/井，本项目5口井，生产用水5000m</w:t>
            </w:r>
            <w:r>
              <w:rPr>
                <w:rFonts w:hint="eastAsia" w:ascii="宋体" w:hAnsi="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。试油期，设2人巡井，不在井场食宿。</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钻井期钻井人数30人，</w:t>
            </w:r>
            <w:r>
              <w:rPr>
                <w:rFonts w:hint="eastAsia" w:ascii="宋体" w:hAnsi="宋体" w:cs="宋体"/>
                <w:color w:val="000000"/>
                <w:kern w:val="0"/>
                <w:sz w:val="24"/>
                <w:szCs w:val="24"/>
                <w:lang w:val="en-US" w:eastAsia="zh-CN" w:bidi="ar"/>
              </w:rPr>
              <w:t>单井</w:t>
            </w:r>
            <w:r>
              <w:rPr>
                <w:rFonts w:hint="eastAsia" w:ascii="宋体" w:hAnsi="宋体" w:eastAsia="宋体" w:cs="宋体"/>
                <w:color w:val="000000"/>
                <w:kern w:val="0"/>
                <w:sz w:val="24"/>
                <w:szCs w:val="24"/>
                <w:lang w:val="en-US" w:eastAsia="zh-CN" w:bidi="ar"/>
              </w:rPr>
              <w:t>钻井天数</w:t>
            </w: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0天，</w:t>
            </w:r>
            <w:r>
              <w:rPr>
                <w:rFonts w:hint="eastAsia" w:ascii="宋体" w:hAnsi="宋体" w:cs="宋体"/>
                <w:color w:val="000000"/>
                <w:kern w:val="0"/>
                <w:sz w:val="24"/>
                <w:szCs w:val="24"/>
                <w:lang w:val="en-US" w:eastAsia="zh-CN" w:bidi="ar"/>
              </w:rPr>
              <w:t>本项目设置5口评价井，</w:t>
            </w:r>
            <w:r>
              <w:rPr>
                <w:rFonts w:hint="eastAsia" w:ascii="宋体" w:hAnsi="宋体" w:eastAsia="宋体" w:cs="宋体"/>
                <w:color w:val="000000"/>
                <w:kern w:val="0"/>
                <w:sz w:val="24"/>
                <w:szCs w:val="24"/>
                <w:lang w:val="en-US" w:eastAsia="zh-CN" w:bidi="ar"/>
              </w:rPr>
              <w:t>按每人每天用水80L计算，钻井期生活用水</w:t>
            </w:r>
            <w:r>
              <w:rPr>
                <w:rFonts w:hint="eastAsia" w:ascii="宋体" w:hAnsi="宋体" w:cs="宋体"/>
                <w:color w:val="000000"/>
                <w:kern w:val="0"/>
                <w:sz w:val="24"/>
                <w:szCs w:val="24"/>
                <w:lang w:val="en-US" w:eastAsia="zh-CN" w:bidi="ar"/>
              </w:rPr>
              <w:t>840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。本项目用水由罐车就近拉运至井场；因本项目钻井期用水量较小，供水可满足其需求量。</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kern w:val="0"/>
                <w:sz w:val="24"/>
                <w:szCs w:val="24"/>
                <w:lang w:val="en-US" w:eastAsia="zh-CN" w:bidi="ar"/>
              </w:rPr>
            </w:pPr>
            <w:bookmarkStart w:id="11" w:name="_Hlk27231025"/>
            <w:r>
              <w:rPr>
                <w:rFonts w:hint="eastAsia" w:ascii="Times New Roman" w:hAnsi="Times New Roman" w:eastAsia="宋体" w:cs="Times New Roman"/>
                <w:b/>
                <w:bCs/>
                <w:color w:val="000000"/>
                <w:kern w:val="0"/>
                <w:sz w:val="24"/>
                <w:szCs w:val="24"/>
                <w:lang w:val="en-US" w:eastAsia="zh-CN" w:bidi="ar"/>
              </w:rPr>
              <w:t>6.2 排水</w:t>
            </w:r>
          </w:p>
          <w:bookmarkEnd w:id="10"/>
          <w:bookmarkEnd w:id="11"/>
          <w:p>
            <w:pPr>
              <w:keepNext w:val="0"/>
              <w:keepLines w:val="0"/>
              <w:pageBreakBefore w:val="0"/>
              <w:widowControl w:val="0"/>
              <w:kinsoku/>
              <w:wordWrap/>
              <w:overflowPunct/>
              <w:topLinePunct w:val="0"/>
              <w:autoSpaceDE/>
              <w:autoSpaceDN/>
              <w:bidi w:val="0"/>
              <w:adjustRightInd/>
              <w:snapToGrid/>
              <w:spacing w:line="360" w:lineRule="auto"/>
              <w:ind w:left="0" w:right="0" w:firstLine="512" w:firstLineChars="200"/>
              <w:textAlignment w:val="auto"/>
              <w:outlineLvl w:val="1"/>
              <w:rPr>
                <w:rFonts w:hint="default" w:ascii="Times New Roman" w:hAnsi="Times New Roman" w:eastAsia="宋体" w:cs="Times New Roman"/>
                <w:b w:val="0"/>
                <w:bCs w:val="0"/>
                <w:spacing w:val="8"/>
                <w:sz w:val="24"/>
                <w:szCs w:val="24"/>
              </w:rPr>
            </w:pPr>
            <w:r>
              <w:rPr>
                <w:rFonts w:hint="default" w:ascii="Times New Roman" w:hAnsi="Times New Roman" w:eastAsia="宋体" w:cs="Times New Roman"/>
                <w:b w:val="0"/>
                <w:bCs w:val="0"/>
                <w:spacing w:val="8"/>
                <w:sz w:val="24"/>
                <w:szCs w:val="24"/>
              </w:rPr>
              <w:t>本项目在钻井过程中采用“钻井泥浆不落地技术”，分离出的液相循环使用，无钻井废水产生。本项目废水主要为试油期井下作业废水。</w:t>
            </w:r>
          </w:p>
          <w:p>
            <w:pPr>
              <w:keepNext w:val="0"/>
              <w:keepLines w:val="0"/>
              <w:pageBreakBefore w:val="0"/>
              <w:widowControl w:val="0"/>
              <w:kinsoku/>
              <w:wordWrap/>
              <w:overflowPunct/>
              <w:topLinePunct w:val="0"/>
              <w:autoSpaceDE/>
              <w:autoSpaceDN/>
              <w:bidi w:val="0"/>
              <w:adjustRightInd/>
              <w:snapToGrid/>
              <w:spacing w:line="360" w:lineRule="auto"/>
              <w:ind w:left="0" w:right="0" w:firstLine="512" w:firstLineChars="200"/>
              <w:textAlignment w:val="auto"/>
              <w:outlineLvl w:val="1"/>
              <w:rPr>
                <w:rFonts w:hint="default" w:ascii="Times New Roman" w:hAnsi="Times New Roman" w:eastAsia="宋体" w:cs="Times New Roman"/>
                <w:b w:val="0"/>
                <w:bCs w:val="0"/>
                <w:spacing w:val="8"/>
                <w:sz w:val="24"/>
                <w:szCs w:val="24"/>
              </w:rPr>
            </w:pPr>
            <w:r>
              <w:rPr>
                <w:rFonts w:hint="default" w:ascii="Times New Roman" w:hAnsi="Times New Roman" w:eastAsia="宋体" w:cs="Times New Roman"/>
                <w:b w:val="0"/>
                <w:bCs w:val="0"/>
                <w:spacing w:val="8"/>
                <w:sz w:val="24"/>
                <w:szCs w:val="24"/>
              </w:rPr>
              <w:t>试油期间井下作业废水为洗井废水，井下作业废水入罐收集后拉运至吉祥联合站处理。</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2"/>
              <w:rPr>
                <w:rFonts w:hint="default" w:ascii="Times New Roman" w:hAnsi="Times New Roman" w:eastAsia="宋体" w:cs="Times New Roman"/>
                <w:sz w:val="24"/>
                <w:szCs w:val="24"/>
              </w:rPr>
            </w:pPr>
            <w:r>
              <w:rPr>
                <w:rFonts w:hint="eastAsia" w:ascii="Times New Roman" w:hAnsi="Times New Roman" w:eastAsia="宋体" w:cs="Times New Roman"/>
                <w:b/>
                <w:bCs/>
                <w:spacing w:val="6"/>
                <w:sz w:val="24"/>
                <w:szCs w:val="24"/>
                <w:lang w:val="en-US" w:eastAsia="zh-CN"/>
              </w:rPr>
              <w:t>6</w:t>
            </w:r>
            <w:r>
              <w:rPr>
                <w:rFonts w:hint="default" w:ascii="Times New Roman" w:hAnsi="Times New Roman" w:eastAsia="Times New Roman" w:cs="Times New Roman"/>
                <w:b/>
                <w:bCs/>
                <w:spacing w:val="4"/>
                <w:sz w:val="24"/>
                <w:szCs w:val="24"/>
              </w:rPr>
              <w:t>.3</w:t>
            </w:r>
            <w:r>
              <w:rPr>
                <w:rFonts w:hint="default" w:ascii="Times New Roman" w:hAnsi="Times New Roman" w:eastAsia="宋体" w:cs="Times New Roman"/>
                <w:b/>
                <w:bCs/>
                <w:spacing w:val="4"/>
                <w:sz w:val="24"/>
                <w:szCs w:val="24"/>
              </w:rPr>
              <w:t>供暖</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rPr>
              <w:t>本</w:t>
            </w:r>
            <w:r>
              <w:rPr>
                <w:rFonts w:hint="default" w:ascii="Times New Roman" w:hAnsi="Times New Roman" w:eastAsia="宋体" w:cs="Times New Roman"/>
                <w:spacing w:val="11"/>
                <w:sz w:val="24"/>
                <w:szCs w:val="24"/>
              </w:rPr>
              <w:t>项</w:t>
            </w:r>
            <w:r>
              <w:rPr>
                <w:rFonts w:hint="default" w:ascii="Times New Roman" w:hAnsi="Times New Roman" w:eastAsia="宋体" w:cs="Times New Roman"/>
                <w:spacing w:val="8"/>
                <w:sz w:val="24"/>
                <w:szCs w:val="24"/>
              </w:rPr>
              <w:t>目钻井期不在冬季，无需供暖。</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val="en-US" w:eastAsia="zh-CN"/>
              </w:rPr>
              <w:t>6</w:t>
            </w:r>
            <w:r>
              <w:rPr>
                <w:rFonts w:hint="default" w:ascii="Times New Roman" w:hAnsi="Times New Roman" w:eastAsia="Times New Roman" w:cs="Times New Roman"/>
                <w:b/>
                <w:bCs/>
                <w:spacing w:val="4"/>
                <w:sz w:val="24"/>
                <w:szCs w:val="24"/>
              </w:rPr>
              <w:t>.4</w:t>
            </w:r>
            <w:r>
              <w:rPr>
                <w:rFonts w:hint="default" w:ascii="Times New Roman" w:hAnsi="Times New Roman" w:eastAsia="宋体" w:cs="Times New Roman"/>
                <w:b/>
                <w:bCs/>
                <w:spacing w:val="4"/>
                <w:sz w:val="24"/>
                <w:szCs w:val="24"/>
              </w:rPr>
              <w:t>供电</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钻</w:t>
            </w:r>
            <w:r>
              <w:rPr>
                <w:rFonts w:hint="default" w:ascii="Times New Roman" w:hAnsi="Times New Roman" w:eastAsia="宋体" w:cs="Times New Roman"/>
                <w:spacing w:val="9"/>
                <w:sz w:val="24"/>
                <w:szCs w:val="24"/>
              </w:rPr>
              <w:t>井作业过程中需要使用柴油机和柴油发电机，要消耗一定量的柴油(均为</w:t>
            </w:r>
            <w:r>
              <w:rPr>
                <w:rFonts w:hint="default" w:ascii="Times New Roman" w:hAnsi="Times New Roman" w:eastAsia="宋体" w:cs="Times New Roman"/>
                <w:spacing w:val="5"/>
                <w:sz w:val="24"/>
                <w:szCs w:val="24"/>
              </w:rPr>
              <w:t>符合国家标准的合格柴油)。</w:t>
            </w:r>
          </w:p>
          <w:p>
            <w:pPr>
              <w:keepNext w:val="0"/>
              <w:keepLines w:val="0"/>
              <w:pageBreakBefore w:val="0"/>
              <w:widowControl w:val="0"/>
              <w:kinsoku/>
              <w:wordWrap/>
              <w:overflowPunct/>
              <w:topLinePunct w:val="0"/>
              <w:autoSpaceDE/>
              <w:autoSpaceDN/>
              <w:bidi w:val="0"/>
              <w:adjustRightInd/>
              <w:snapToGrid/>
              <w:spacing w:line="360" w:lineRule="auto"/>
              <w:ind w:left="0" w:right="0" w:firstLine="451"/>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每井钻井队配备钻井柴油机</w:t>
            </w:r>
            <w:r>
              <w:rPr>
                <w:rFonts w:hint="default" w:ascii="Times New Roman" w:hAnsi="Times New Roman" w:eastAsia="Times New Roman" w:cs="Times New Roman"/>
                <w:spacing w:val="-2"/>
                <w:sz w:val="24"/>
                <w:szCs w:val="24"/>
              </w:rPr>
              <w:t>3</w:t>
            </w:r>
            <w:r>
              <w:rPr>
                <w:rFonts w:hint="default" w:ascii="Times New Roman" w:hAnsi="Times New Roman" w:eastAsia="宋体" w:cs="Times New Roman"/>
                <w:spacing w:val="-2"/>
                <w:sz w:val="24"/>
                <w:szCs w:val="24"/>
              </w:rPr>
              <w:t>台(</w:t>
            </w:r>
            <w:r>
              <w:rPr>
                <w:rFonts w:hint="default" w:ascii="Times New Roman" w:hAnsi="Times New Roman" w:eastAsia="Times New Roman" w:cs="Times New Roman"/>
                <w:spacing w:val="-2"/>
                <w:sz w:val="24"/>
                <w:szCs w:val="24"/>
              </w:rPr>
              <w:t>2</w:t>
            </w:r>
            <w:r>
              <w:rPr>
                <w:rFonts w:hint="default" w:ascii="Times New Roman" w:hAnsi="Times New Roman" w:eastAsia="宋体" w:cs="Times New Roman"/>
                <w:spacing w:val="-2"/>
                <w:sz w:val="24"/>
                <w:szCs w:val="24"/>
              </w:rPr>
              <w:t>用</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备)，柴油发电机</w:t>
            </w:r>
            <w:r>
              <w:rPr>
                <w:rFonts w:hint="default" w:ascii="Times New Roman" w:hAnsi="Times New Roman" w:eastAsia="Times New Roman" w:cs="Times New Roman"/>
                <w:spacing w:val="-2"/>
                <w:sz w:val="24"/>
                <w:szCs w:val="24"/>
              </w:rPr>
              <w:t>2</w:t>
            </w:r>
            <w:r>
              <w:rPr>
                <w:rFonts w:hint="default" w:ascii="Times New Roman" w:hAnsi="Times New Roman" w:eastAsia="宋体" w:cs="Times New Roman"/>
                <w:spacing w:val="-2"/>
                <w:sz w:val="24"/>
                <w:szCs w:val="24"/>
              </w:rPr>
              <w:t>台(</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用</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备</w:t>
            </w:r>
            <w:r>
              <w:rPr>
                <w:rFonts w:hint="default" w:ascii="Times New Roman" w:hAnsi="Times New Roman" w:eastAsia="宋体" w:cs="Times New Roman"/>
                <w:spacing w:val="-1"/>
                <w:sz w:val="24"/>
                <w:szCs w:val="24"/>
              </w:rPr>
              <w:t>)</w:t>
            </w:r>
            <w:r>
              <w:rPr>
                <w:rFonts w:hint="default" w:ascii="Times New Roman" w:hAnsi="Times New Roman" w:eastAsia="宋体" w:cs="Times New Roman"/>
                <w:sz w:val="24"/>
                <w:szCs w:val="24"/>
              </w:rPr>
              <w:t>；</w:t>
            </w:r>
            <w:r>
              <w:rPr>
                <w:rFonts w:hint="default" w:ascii="Times New Roman" w:hAnsi="Times New Roman" w:eastAsia="宋体" w:cs="Times New Roman"/>
                <w:spacing w:val="7"/>
                <w:sz w:val="24"/>
                <w:szCs w:val="24"/>
              </w:rPr>
              <w:t>电</w:t>
            </w:r>
            <w:r>
              <w:rPr>
                <w:rFonts w:hint="default" w:ascii="Times New Roman" w:hAnsi="Times New Roman" w:eastAsia="宋体" w:cs="Times New Roman"/>
                <w:spacing w:val="5"/>
                <w:sz w:val="24"/>
                <w:szCs w:val="24"/>
              </w:rPr>
              <w:t>力供应有充分保障。</w:t>
            </w:r>
          </w:p>
          <w:p>
            <w:pPr>
              <w:keepNext w:val="0"/>
              <w:keepLines w:val="0"/>
              <w:pageBreakBefore w:val="0"/>
              <w:widowControl w:val="0"/>
              <w:kinsoku/>
              <w:wordWrap/>
              <w:overflowPunct/>
              <w:topLinePunct w:val="0"/>
              <w:autoSpaceDE/>
              <w:autoSpaceDN/>
              <w:bidi w:val="0"/>
              <w:adjustRightInd/>
              <w:snapToGrid/>
              <w:spacing w:line="360" w:lineRule="auto"/>
              <w:ind w:left="0" w:right="0" w:firstLine="506" w:firstLineChars="200"/>
              <w:textAlignment w:val="auto"/>
              <w:outlineLvl w:val="1"/>
              <w:rPr>
                <w:rFonts w:hint="default" w:ascii="Times New Roman" w:hAnsi="Times New Roman" w:eastAsia="宋体" w:cs="Times New Roman"/>
                <w:sz w:val="24"/>
                <w:szCs w:val="24"/>
              </w:rPr>
            </w:pPr>
            <w:r>
              <w:rPr>
                <w:rFonts w:hint="eastAsia" w:cs="Times New Roman"/>
                <w:b/>
                <w:bCs/>
                <w:spacing w:val="6"/>
                <w:sz w:val="24"/>
                <w:szCs w:val="24"/>
                <w:lang w:val="en-US" w:eastAsia="zh-CN"/>
              </w:rPr>
              <w:t>7、</w:t>
            </w:r>
            <w:r>
              <w:rPr>
                <w:rFonts w:hint="default" w:ascii="Times New Roman" w:hAnsi="Times New Roman" w:eastAsia="宋体" w:cs="Times New Roman"/>
                <w:b/>
                <w:bCs/>
                <w:spacing w:val="6"/>
                <w:sz w:val="24"/>
                <w:szCs w:val="24"/>
              </w:rPr>
              <w:t>依托工程</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default" w:ascii="Times New Roman" w:hAnsi="Times New Roman" w:eastAsia="Times New Roman" w:cs="Times New Roman"/>
                <w:b/>
                <w:bCs/>
                <w:spacing w:val="7"/>
                <w:sz w:val="24"/>
                <w:szCs w:val="24"/>
              </w:rPr>
            </w:pPr>
            <w:r>
              <w:rPr>
                <w:rFonts w:hint="eastAsia" w:eastAsia="宋体" w:cs="Times New Roman"/>
                <w:b/>
                <w:bCs/>
                <w:spacing w:val="7"/>
                <w:sz w:val="24"/>
                <w:szCs w:val="24"/>
                <w:lang w:val="en-US" w:eastAsia="zh-CN"/>
              </w:rPr>
              <w:t>7</w:t>
            </w:r>
            <w:r>
              <w:rPr>
                <w:rFonts w:hint="default" w:ascii="Times New Roman" w:hAnsi="Times New Roman" w:eastAsia="Times New Roman" w:cs="Times New Roman"/>
                <w:b/>
                <w:bCs/>
                <w:spacing w:val="7"/>
                <w:sz w:val="24"/>
                <w:szCs w:val="24"/>
              </w:rPr>
              <w:t>.1吉祥联合站</w:t>
            </w:r>
          </w:p>
          <w:p>
            <w:pPr>
              <w:keepNext w:val="0"/>
              <w:keepLines w:val="0"/>
              <w:pageBreakBefore w:val="0"/>
              <w:widowControl w:val="0"/>
              <w:kinsoku/>
              <w:wordWrap/>
              <w:overflowPunct/>
              <w:topLinePunct w:val="0"/>
              <w:autoSpaceDE/>
              <w:autoSpaceDN/>
              <w:bidi w:val="0"/>
              <w:adjustRightInd/>
              <w:snapToGrid/>
              <w:spacing w:line="360" w:lineRule="auto"/>
              <w:ind w:left="0" w:right="0" w:firstLine="54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7"/>
                <w:sz w:val="24"/>
                <w:szCs w:val="24"/>
                <w:lang w:eastAsia="zh-CN"/>
              </w:rPr>
              <w:t>（</w:t>
            </w:r>
            <w:r>
              <w:rPr>
                <w:rFonts w:hint="eastAsia" w:ascii="Times New Roman" w:hAnsi="Times New Roman" w:eastAsia="宋体" w:cs="Times New Roman"/>
                <w:spacing w:val="17"/>
                <w:sz w:val="24"/>
                <w:szCs w:val="24"/>
                <w:lang w:val="en-US" w:eastAsia="zh-CN"/>
              </w:rPr>
              <w:t>1</w:t>
            </w:r>
            <w:r>
              <w:rPr>
                <w:rFonts w:hint="eastAsia" w:ascii="Times New Roman" w:hAnsi="Times New Roman" w:eastAsia="宋体" w:cs="Times New Roman"/>
                <w:spacing w:val="17"/>
                <w:sz w:val="24"/>
                <w:szCs w:val="24"/>
                <w:lang w:eastAsia="zh-CN"/>
              </w:rPr>
              <w:t>）</w:t>
            </w:r>
            <w:r>
              <w:rPr>
                <w:rFonts w:hint="default" w:ascii="Times New Roman" w:hAnsi="Times New Roman" w:eastAsia="宋体" w:cs="Times New Roman"/>
                <w:spacing w:val="16"/>
                <w:sz w:val="24"/>
                <w:szCs w:val="24"/>
              </w:rPr>
              <w:t>吉祥联合站环保手续</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新疆油田公司于</w:t>
            </w:r>
            <w:r>
              <w:rPr>
                <w:rFonts w:hint="default" w:ascii="Times New Roman" w:hAnsi="Times New Roman" w:eastAsia="Times New Roman" w:cs="Times New Roman"/>
                <w:spacing w:val="1"/>
                <w:sz w:val="24"/>
                <w:szCs w:val="24"/>
              </w:rPr>
              <w:t>2014</w:t>
            </w:r>
            <w:r>
              <w:rPr>
                <w:rFonts w:hint="default" w:ascii="Times New Roman" w:hAnsi="Times New Roman" w:eastAsia="宋体" w:cs="Times New Roman"/>
                <w:spacing w:val="1"/>
                <w:sz w:val="24"/>
                <w:szCs w:val="24"/>
              </w:rPr>
              <w:t>年</w:t>
            </w:r>
            <w:r>
              <w:rPr>
                <w:rFonts w:hint="default" w:ascii="Times New Roman" w:hAnsi="Times New Roman" w:eastAsia="Times New Roman" w:cs="Times New Roman"/>
                <w:spacing w:val="1"/>
                <w:sz w:val="24"/>
                <w:szCs w:val="24"/>
              </w:rPr>
              <w:t>1</w:t>
            </w:r>
            <w:r>
              <w:rPr>
                <w:rFonts w:hint="default" w:ascii="Times New Roman" w:hAnsi="Times New Roman" w:eastAsia="宋体" w:cs="Times New Roman"/>
                <w:spacing w:val="1"/>
                <w:sz w:val="24"/>
                <w:szCs w:val="24"/>
              </w:rPr>
              <w:t>月</w:t>
            </w:r>
            <w:r>
              <w:rPr>
                <w:rFonts w:hint="default" w:ascii="Times New Roman" w:hAnsi="Times New Roman" w:eastAsia="Times New Roman" w:cs="Times New Roman"/>
                <w:spacing w:val="1"/>
                <w:sz w:val="24"/>
                <w:szCs w:val="24"/>
              </w:rPr>
              <w:t>2</w:t>
            </w:r>
            <w:r>
              <w:rPr>
                <w:rFonts w:hint="default" w:ascii="Times New Roman" w:hAnsi="Times New Roman" w:eastAsia="Times New Roman" w:cs="Times New Roman"/>
                <w:sz w:val="24"/>
                <w:szCs w:val="24"/>
              </w:rPr>
              <w:t>9</w:t>
            </w:r>
            <w:r>
              <w:rPr>
                <w:rFonts w:hint="default" w:ascii="Times New Roman" w:hAnsi="Times New Roman" w:eastAsia="宋体" w:cs="Times New Roman"/>
                <w:sz w:val="24"/>
                <w:szCs w:val="24"/>
              </w:rPr>
              <w:t>日取得《吉</w:t>
            </w:r>
            <w:r>
              <w:rPr>
                <w:rFonts w:hint="default" w:ascii="Times New Roman" w:hAnsi="Times New Roman" w:eastAsia="Times New Roman" w:cs="Times New Roman"/>
                <w:sz w:val="24"/>
                <w:szCs w:val="24"/>
              </w:rPr>
              <w:t>7</w:t>
            </w:r>
            <w:r>
              <w:rPr>
                <w:rFonts w:hint="default" w:ascii="Times New Roman" w:hAnsi="Times New Roman" w:eastAsia="宋体" w:cs="Times New Roman"/>
                <w:sz w:val="24"/>
                <w:szCs w:val="24"/>
              </w:rPr>
              <w:t>井区吉</w:t>
            </w:r>
            <w:r>
              <w:rPr>
                <w:rFonts w:hint="default" w:ascii="Times New Roman" w:hAnsi="Times New Roman" w:eastAsia="Times New Roman" w:cs="Times New Roman"/>
                <w:sz w:val="24"/>
                <w:szCs w:val="24"/>
              </w:rPr>
              <w:t>006</w:t>
            </w:r>
            <w:r>
              <w:rPr>
                <w:rFonts w:hint="default" w:ascii="Times New Roman" w:hAnsi="Times New Roman" w:eastAsia="宋体" w:cs="Times New Roman"/>
                <w:sz w:val="24"/>
                <w:szCs w:val="24"/>
              </w:rPr>
              <w:t>井断块梧桐沟组油</w:t>
            </w:r>
            <w:r>
              <w:rPr>
                <w:rFonts w:hint="default" w:ascii="Times New Roman" w:hAnsi="Times New Roman" w:eastAsia="宋体" w:cs="Times New Roman"/>
                <w:spacing w:val="5"/>
                <w:sz w:val="24"/>
                <w:szCs w:val="24"/>
              </w:rPr>
              <w:t>藏建设工程环境影响报告书》批复(新环函</w:t>
            </w:r>
            <w:r>
              <w:rPr>
                <w:rFonts w:hint="default" w:ascii="Times New Roman" w:hAnsi="Times New Roman" w:eastAsia="Times New Roman" w:cs="Times New Roman"/>
                <w:spacing w:val="5"/>
                <w:sz w:val="24"/>
                <w:szCs w:val="24"/>
              </w:rPr>
              <w:t>[2014]134</w:t>
            </w:r>
            <w:r>
              <w:rPr>
                <w:rFonts w:hint="default" w:ascii="Times New Roman" w:hAnsi="Times New Roman" w:eastAsia="宋体" w:cs="Times New Roman"/>
                <w:spacing w:val="5"/>
                <w:sz w:val="24"/>
                <w:szCs w:val="24"/>
              </w:rPr>
              <w:t>号)，该环评审批在吉</w:t>
            </w:r>
            <w:r>
              <w:rPr>
                <w:rFonts w:hint="default" w:ascii="Times New Roman" w:hAnsi="Times New Roman" w:eastAsia="Times New Roman" w:cs="Times New Roman"/>
                <w:spacing w:val="1"/>
                <w:sz w:val="24"/>
                <w:szCs w:val="24"/>
              </w:rPr>
              <w:t>7</w:t>
            </w:r>
            <w:r>
              <w:rPr>
                <w:rFonts w:hint="default" w:ascii="Times New Roman" w:hAnsi="Times New Roman" w:eastAsia="宋体" w:cs="Times New Roman"/>
                <w:spacing w:val="6"/>
                <w:sz w:val="24"/>
                <w:szCs w:val="24"/>
              </w:rPr>
              <w:t>井区建设</w:t>
            </w:r>
            <w:r>
              <w:rPr>
                <w:rFonts w:hint="default" w:ascii="Times New Roman" w:hAnsi="Times New Roman" w:eastAsia="Times New Roman" w:cs="Times New Roman"/>
                <w:spacing w:val="6"/>
                <w:sz w:val="24"/>
                <w:szCs w:val="24"/>
              </w:rPr>
              <w:t>1</w:t>
            </w:r>
            <w:r>
              <w:rPr>
                <w:rFonts w:hint="default" w:ascii="Times New Roman" w:hAnsi="Times New Roman" w:eastAsia="宋体" w:cs="Times New Roman"/>
                <w:spacing w:val="6"/>
                <w:sz w:val="24"/>
                <w:szCs w:val="24"/>
              </w:rPr>
              <w:t>座拉油注</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3"/>
                <w:sz w:val="24"/>
                <w:szCs w:val="24"/>
              </w:rPr>
              <w:t>站。</w:t>
            </w:r>
            <w:r>
              <w:rPr>
                <w:rFonts w:hint="default" w:ascii="Times New Roman" w:hAnsi="Times New Roman" w:eastAsia="Times New Roman" w:cs="Times New Roman"/>
                <w:spacing w:val="3"/>
                <w:sz w:val="24"/>
                <w:szCs w:val="24"/>
              </w:rPr>
              <w:t>2014</w:t>
            </w:r>
            <w:r>
              <w:rPr>
                <w:rFonts w:hint="default" w:ascii="Times New Roman" w:hAnsi="Times New Roman" w:eastAsia="宋体" w:cs="Times New Roman"/>
                <w:spacing w:val="3"/>
                <w:sz w:val="24"/>
                <w:szCs w:val="24"/>
              </w:rPr>
              <w:t>年</w:t>
            </w:r>
            <w:r>
              <w:rPr>
                <w:rFonts w:hint="default" w:ascii="Times New Roman" w:hAnsi="Times New Roman" w:eastAsia="Times New Roman" w:cs="Times New Roman"/>
                <w:spacing w:val="3"/>
                <w:sz w:val="24"/>
                <w:szCs w:val="24"/>
              </w:rPr>
              <w:t>7</w:t>
            </w:r>
            <w:r>
              <w:rPr>
                <w:rFonts w:hint="default" w:ascii="Times New Roman" w:hAnsi="Times New Roman" w:eastAsia="宋体" w:cs="Times New Roman"/>
                <w:spacing w:val="3"/>
                <w:sz w:val="24"/>
                <w:szCs w:val="24"/>
              </w:rPr>
              <w:t>月</w:t>
            </w:r>
            <w:r>
              <w:rPr>
                <w:rFonts w:hint="default" w:ascii="Times New Roman" w:hAnsi="Times New Roman" w:eastAsia="Times New Roman" w:cs="Times New Roman"/>
                <w:spacing w:val="3"/>
                <w:sz w:val="24"/>
                <w:szCs w:val="24"/>
              </w:rPr>
              <w:t>23</w:t>
            </w:r>
            <w:r>
              <w:rPr>
                <w:rFonts w:hint="default" w:ascii="Times New Roman" w:hAnsi="Times New Roman" w:eastAsia="宋体" w:cs="Times New Roman"/>
                <w:spacing w:val="3"/>
                <w:sz w:val="24"/>
                <w:szCs w:val="24"/>
              </w:rPr>
              <w:t>日，新疆油田公司取得《昌吉油田吉</w:t>
            </w:r>
            <w:r>
              <w:rPr>
                <w:rFonts w:hint="default" w:ascii="Times New Roman" w:hAnsi="Times New Roman" w:eastAsia="Times New Roman" w:cs="Times New Roman"/>
                <w:spacing w:val="14"/>
                <w:sz w:val="24"/>
                <w:szCs w:val="24"/>
              </w:rPr>
              <w:t>7</w:t>
            </w:r>
            <w:r>
              <w:rPr>
                <w:rFonts w:hint="default" w:ascii="Times New Roman" w:hAnsi="Times New Roman" w:eastAsia="宋体" w:cs="Times New Roman"/>
                <w:spacing w:val="7"/>
                <w:sz w:val="24"/>
                <w:szCs w:val="24"/>
              </w:rPr>
              <w:t>井区梧桐沟组中深层稠油油藏常规水驱开发建设项目环境影响报告书》批复(新</w:t>
            </w:r>
            <w:r>
              <w:rPr>
                <w:rFonts w:hint="default" w:ascii="Times New Roman" w:hAnsi="Times New Roman" w:eastAsia="宋体" w:cs="Times New Roman"/>
                <w:spacing w:val="8"/>
                <w:sz w:val="24"/>
                <w:szCs w:val="24"/>
              </w:rPr>
              <w:t>环函</w:t>
            </w:r>
            <w:r>
              <w:rPr>
                <w:rFonts w:hint="default" w:ascii="Times New Roman" w:hAnsi="Times New Roman" w:eastAsia="Times New Roman" w:cs="Times New Roman"/>
                <w:spacing w:val="8"/>
                <w:sz w:val="24"/>
                <w:szCs w:val="24"/>
              </w:rPr>
              <w:t>[2014</w:t>
            </w:r>
            <w:r>
              <w:rPr>
                <w:rFonts w:hint="default" w:ascii="Times New Roman" w:hAnsi="Times New Roman" w:eastAsia="Times New Roman" w:cs="Times New Roman"/>
                <w:spacing w:val="5"/>
                <w:sz w:val="24"/>
                <w:szCs w:val="24"/>
              </w:rPr>
              <w:t>]</w:t>
            </w:r>
            <w:r>
              <w:rPr>
                <w:rFonts w:hint="default" w:ascii="Times New Roman" w:hAnsi="Times New Roman" w:eastAsia="Times New Roman" w:cs="Times New Roman"/>
                <w:spacing w:val="4"/>
                <w:sz w:val="24"/>
                <w:szCs w:val="24"/>
              </w:rPr>
              <w:t>918</w:t>
            </w:r>
            <w:r>
              <w:rPr>
                <w:rFonts w:hint="default" w:ascii="Times New Roman" w:hAnsi="Times New Roman" w:eastAsia="宋体" w:cs="Times New Roman"/>
                <w:spacing w:val="4"/>
                <w:sz w:val="24"/>
                <w:szCs w:val="24"/>
              </w:rPr>
              <w:t>号)，该环评审批对吉</w:t>
            </w:r>
            <w:r>
              <w:rPr>
                <w:rFonts w:hint="default" w:ascii="Times New Roman" w:hAnsi="Times New Roman" w:eastAsia="Times New Roman" w:cs="Times New Roman"/>
                <w:spacing w:val="4"/>
                <w:sz w:val="24"/>
                <w:szCs w:val="24"/>
              </w:rPr>
              <w:t>7</w:t>
            </w:r>
            <w:r>
              <w:rPr>
                <w:rFonts w:hint="default" w:ascii="Times New Roman" w:hAnsi="Times New Roman" w:eastAsia="宋体" w:cs="Times New Roman"/>
                <w:spacing w:val="4"/>
                <w:sz w:val="24"/>
                <w:szCs w:val="24"/>
              </w:rPr>
              <w:t>集中拉油注水站进行扩建。</w:t>
            </w:r>
            <w:r>
              <w:rPr>
                <w:rFonts w:hint="default" w:ascii="Times New Roman" w:hAnsi="Times New Roman" w:eastAsia="Times New Roman" w:cs="Times New Roman"/>
                <w:spacing w:val="4"/>
                <w:sz w:val="24"/>
                <w:szCs w:val="24"/>
              </w:rPr>
              <w:t>2018</w:t>
            </w:r>
            <w:r>
              <w:rPr>
                <w:rFonts w:hint="default" w:ascii="Times New Roman" w:hAnsi="Times New Roman" w:eastAsia="宋体" w:cs="Times New Roman"/>
                <w:spacing w:val="4"/>
                <w:sz w:val="24"/>
                <w:szCs w:val="24"/>
              </w:rPr>
              <w:t>年</w:t>
            </w:r>
            <w:r>
              <w:rPr>
                <w:rFonts w:hint="default" w:ascii="Times New Roman" w:hAnsi="Times New Roman" w:eastAsia="Times New Roman" w:cs="Times New Roman"/>
                <w:spacing w:val="4"/>
                <w:sz w:val="24"/>
                <w:szCs w:val="24"/>
              </w:rPr>
              <w:t>8</w:t>
            </w:r>
            <w:r>
              <w:rPr>
                <w:rFonts w:hint="default" w:ascii="Times New Roman" w:hAnsi="Times New Roman" w:eastAsia="宋体" w:cs="Times New Roman"/>
                <w:spacing w:val="4"/>
                <w:sz w:val="24"/>
                <w:szCs w:val="24"/>
              </w:rPr>
              <w:t>月</w:t>
            </w:r>
            <w:r>
              <w:rPr>
                <w:rFonts w:hint="default" w:ascii="Times New Roman" w:hAnsi="Times New Roman" w:eastAsia="Times New Roman" w:cs="Times New Roman"/>
                <w:spacing w:val="8"/>
                <w:sz w:val="24"/>
                <w:szCs w:val="24"/>
              </w:rPr>
              <w:t>19</w:t>
            </w:r>
            <w:r>
              <w:rPr>
                <w:rFonts w:hint="default" w:ascii="Times New Roman" w:hAnsi="Times New Roman" w:eastAsia="宋体" w:cs="Times New Roman"/>
                <w:spacing w:val="8"/>
                <w:sz w:val="24"/>
                <w:szCs w:val="24"/>
              </w:rPr>
              <w:t>日吉</w:t>
            </w:r>
            <w:r>
              <w:rPr>
                <w:rFonts w:hint="default" w:ascii="Times New Roman" w:hAnsi="Times New Roman" w:eastAsia="Times New Roman" w:cs="Times New Roman"/>
                <w:spacing w:val="4"/>
                <w:sz w:val="24"/>
                <w:szCs w:val="24"/>
              </w:rPr>
              <w:t>7</w:t>
            </w:r>
            <w:r>
              <w:rPr>
                <w:rFonts w:hint="default" w:ascii="Times New Roman" w:hAnsi="Times New Roman" w:eastAsia="宋体" w:cs="Times New Roman"/>
                <w:spacing w:val="4"/>
                <w:sz w:val="24"/>
                <w:szCs w:val="24"/>
              </w:rPr>
              <w:t>集中拉油站通过自主验收，该站污水处理规模为</w:t>
            </w:r>
            <w:r>
              <w:rPr>
                <w:rFonts w:hint="default" w:ascii="Times New Roman" w:hAnsi="Times New Roman" w:eastAsia="Times New Roman" w:cs="Times New Roman"/>
                <w:spacing w:val="4"/>
                <w:sz w:val="24"/>
                <w:szCs w:val="24"/>
              </w:rPr>
              <w:t>1800</w:t>
            </w:r>
            <w:r>
              <w:rPr>
                <w:rFonts w:hint="default" w:ascii="Times New Roman" w:hAnsi="Times New Roman" w:eastAsia="Times New Roman"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pacing w:val="4"/>
                <w:sz w:val="24"/>
                <w:szCs w:val="24"/>
              </w:rPr>
              <w:t>/</w:t>
            </w:r>
            <w:r>
              <w:rPr>
                <w:rFonts w:hint="default" w:ascii="Times New Roman" w:hAnsi="Times New Roman" w:eastAsia="Times New Roman" w:cs="Times New Roman"/>
                <w:sz w:val="24"/>
                <w:szCs w:val="24"/>
              </w:rPr>
              <w:t>d</w:t>
            </w:r>
            <w:r>
              <w:rPr>
                <w:rFonts w:hint="default" w:ascii="Times New Roman" w:hAnsi="Times New Roman" w:eastAsia="宋体" w:cs="Times New Roman"/>
                <w:spacing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宋体" w:cs="Times New Roman"/>
                <w:sz w:val="24"/>
                <w:szCs w:val="24"/>
              </w:rPr>
            </w:pPr>
            <w:r>
              <w:rPr>
                <w:rFonts w:hint="default" w:ascii="Times New Roman" w:hAnsi="Times New Roman" w:eastAsia="Times New Roman" w:cs="Times New Roman"/>
                <w:spacing w:val="-1"/>
                <w:sz w:val="24"/>
                <w:szCs w:val="24"/>
              </w:rPr>
              <w:t>2018</w:t>
            </w:r>
            <w:r>
              <w:rPr>
                <w:rFonts w:hint="default" w:ascii="Times New Roman" w:hAnsi="Times New Roman" w:eastAsia="宋体" w:cs="Times New Roman"/>
                <w:spacing w:val="-1"/>
                <w:sz w:val="24"/>
                <w:szCs w:val="24"/>
              </w:rPr>
              <w:t>年</w:t>
            </w:r>
            <w:r>
              <w:rPr>
                <w:rFonts w:hint="default" w:ascii="Times New Roman" w:hAnsi="Times New Roman" w:eastAsia="Times New Roman" w:cs="Times New Roman"/>
                <w:spacing w:val="-1"/>
                <w:sz w:val="24"/>
                <w:szCs w:val="24"/>
              </w:rPr>
              <w:t>12</w:t>
            </w:r>
            <w:r>
              <w:rPr>
                <w:rFonts w:hint="default" w:ascii="Times New Roman" w:hAnsi="Times New Roman" w:eastAsia="宋体" w:cs="Times New Roman"/>
                <w:sz w:val="24"/>
                <w:szCs w:val="24"/>
              </w:rPr>
              <w:t>月</w:t>
            </w:r>
            <w:r>
              <w:rPr>
                <w:rFonts w:hint="default" w:ascii="Times New Roman" w:hAnsi="Times New Roman" w:eastAsia="Times New Roman" w:cs="Times New Roman"/>
                <w:sz w:val="24"/>
                <w:szCs w:val="24"/>
              </w:rPr>
              <w:t>24</w:t>
            </w:r>
            <w:r>
              <w:rPr>
                <w:rFonts w:hint="default" w:ascii="Times New Roman" w:hAnsi="Times New Roman" w:eastAsia="宋体" w:cs="Times New Roman"/>
                <w:sz w:val="24"/>
                <w:szCs w:val="24"/>
              </w:rPr>
              <w:t>日，昌吉州生态环境局出具环评批复(昌州环评</w:t>
            </w:r>
            <w:r>
              <w:rPr>
                <w:rFonts w:hint="default" w:ascii="Times New Roman" w:hAnsi="Times New Roman" w:eastAsia="Times New Roman" w:cs="Times New Roman"/>
                <w:sz w:val="24"/>
                <w:szCs w:val="24"/>
              </w:rPr>
              <w:t>[2018]76</w:t>
            </w:r>
            <w:r>
              <w:rPr>
                <w:rFonts w:hint="default" w:ascii="Times New Roman" w:hAnsi="Times New Roman" w:eastAsia="宋体" w:cs="Times New Roman"/>
                <w:sz w:val="24"/>
                <w:szCs w:val="24"/>
              </w:rPr>
              <w:t>号)，</w:t>
            </w:r>
            <w:r>
              <w:rPr>
                <w:rFonts w:hint="default" w:ascii="Times New Roman" w:hAnsi="Times New Roman" w:eastAsia="宋体" w:cs="Times New Roman"/>
                <w:spacing w:val="2"/>
                <w:sz w:val="24"/>
                <w:szCs w:val="24"/>
              </w:rPr>
              <w:t>将吉</w:t>
            </w:r>
            <w:r>
              <w:rPr>
                <w:rFonts w:hint="default" w:ascii="Times New Roman" w:hAnsi="Times New Roman" w:eastAsia="Times New Roman" w:cs="Times New Roman"/>
                <w:spacing w:val="1"/>
                <w:sz w:val="24"/>
                <w:szCs w:val="24"/>
              </w:rPr>
              <w:t>7</w:t>
            </w:r>
            <w:r>
              <w:rPr>
                <w:rFonts w:hint="default" w:ascii="Times New Roman" w:hAnsi="Times New Roman" w:eastAsia="宋体" w:cs="Times New Roman"/>
                <w:spacing w:val="1"/>
                <w:sz w:val="24"/>
                <w:szCs w:val="24"/>
              </w:rPr>
              <w:t>井区集中拉油注水站改扩建为原油处理联合站，并更名为吉祥联合站。</w:t>
            </w:r>
            <w:r>
              <w:rPr>
                <w:rFonts w:hint="default" w:ascii="Times New Roman" w:hAnsi="Times New Roman" w:eastAsia="Times New Roman" w:cs="Times New Roman"/>
                <w:spacing w:val="1"/>
                <w:sz w:val="24"/>
                <w:szCs w:val="24"/>
              </w:rPr>
              <w:t>2019</w:t>
            </w:r>
            <w:r>
              <w:rPr>
                <w:rFonts w:hint="default" w:ascii="Times New Roman" w:hAnsi="Times New Roman" w:eastAsia="宋体" w:cs="Times New Roman"/>
                <w:spacing w:val="-1"/>
                <w:sz w:val="24"/>
                <w:szCs w:val="24"/>
              </w:rPr>
              <w:t>年</w:t>
            </w:r>
            <w:r>
              <w:rPr>
                <w:rFonts w:hint="default" w:ascii="Times New Roman" w:hAnsi="Times New Roman" w:eastAsia="Times New Roman" w:cs="Times New Roman"/>
                <w:spacing w:val="-1"/>
                <w:sz w:val="24"/>
                <w:szCs w:val="24"/>
              </w:rPr>
              <w:t>11</w:t>
            </w:r>
            <w:r>
              <w:rPr>
                <w:rFonts w:hint="default" w:ascii="Times New Roman" w:hAnsi="Times New Roman" w:eastAsia="宋体" w:cs="Times New Roman"/>
                <w:spacing w:val="-1"/>
                <w:sz w:val="24"/>
                <w:szCs w:val="24"/>
              </w:rPr>
              <w:t>月</w:t>
            </w:r>
            <w:r>
              <w:rPr>
                <w:rFonts w:hint="default" w:ascii="Times New Roman" w:hAnsi="Times New Roman" w:eastAsia="Times New Roman" w:cs="Times New Roman"/>
                <w:spacing w:val="-1"/>
                <w:sz w:val="24"/>
                <w:szCs w:val="24"/>
              </w:rPr>
              <w:t>14</w:t>
            </w:r>
            <w:r>
              <w:rPr>
                <w:rFonts w:hint="default" w:ascii="Times New Roman" w:hAnsi="Times New Roman" w:eastAsia="宋体" w:cs="Times New Roman"/>
                <w:spacing w:val="-1"/>
                <w:sz w:val="24"/>
                <w:szCs w:val="24"/>
              </w:rPr>
              <w:t>日通过</w:t>
            </w:r>
            <w:r>
              <w:rPr>
                <w:rFonts w:hint="default" w:ascii="Times New Roman" w:hAnsi="Times New Roman" w:eastAsia="宋体" w:cs="Times New Roman"/>
                <w:sz w:val="24"/>
                <w:szCs w:val="24"/>
              </w:rPr>
              <w:t>自主验收。</w:t>
            </w:r>
          </w:p>
          <w:p>
            <w:pPr>
              <w:keepNext w:val="0"/>
              <w:keepLines w:val="0"/>
              <w:pageBreakBefore w:val="0"/>
              <w:widowControl w:val="0"/>
              <w:kinsoku/>
              <w:wordWrap/>
              <w:overflowPunct/>
              <w:topLinePunct w:val="0"/>
              <w:autoSpaceDE/>
              <w:autoSpaceDN/>
              <w:bidi w:val="0"/>
              <w:adjustRightInd/>
              <w:snapToGrid/>
              <w:spacing w:line="360" w:lineRule="auto"/>
              <w:ind w:left="0" w:right="0" w:firstLine="55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9"/>
                <w:sz w:val="24"/>
                <w:szCs w:val="24"/>
                <w:lang w:eastAsia="zh-CN"/>
              </w:rPr>
              <w:t>（</w:t>
            </w:r>
            <w:r>
              <w:rPr>
                <w:rFonts w:hint="eastAsia" w:ascii="Times New Roman" w:hAnsi="Times New Roman" w:eastAsia="宋体" w:cs="Times New Roman"/>
                <w:spacing w:val="19"/>
                <w:sz w:val="24"/>
                <w:szCs w:val="24"/>
                <w:lang w:val="en-US" w:eastAsia="zh-CN"/>
              </w:rPr>
              <w:t>2</w:t>
            </w:r>
            <w:r>
              <w:rPr>
                <w:rFonts w:hint="eastAsia" w:ascii="Times New Roman" w:hAnsi="Times New Roman" w:eastAsia="宋体" w:cs="Times New Roman"/>
                <w:spacing w:val="19"/>
                <w:sz w:val="24"/>
                <w:szCs w:val="24"/>
                <w:lang w:eastAsia="zh-CN"/>
              </w:rPr>
              <w:t>）</w:t>
            </w:r>
            <w:r>
              <w:rPr>
                <w:rFonts w:hint="default" w:ascii="Times New Roman" w:hAnsi="Times New Roman" w:eastAsia="宋体" w:cs="Times New Roman"/>
                <w:spacing w:val="17"/>
                <w:sz w:val="24"/>
                <w:szCs w:val="24"/>
              </w:rPr>
              <w:t>吉祥联合站概况</w:t>
            </w:r>
          </w:p>
          <w:p>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本</w:t>
            </w:r>
            <w:r>
              <w:rPr>
                <w:rFonts w:hint="default" w:ascii="Times New Roman" w:hAnsi="Times New Roman" w:eastAsia="宋体" w:cs="Times New Roman"/>
                <w:spacing w:val="9"/>
                <w:sz w:val="24"/>
                <w:szCs w:val="24"/>
              </w:rPr>
              <w:t>项目井下作业废水依托吉祥联合站污水处理系统。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吉</w:t>
            </w:r>
            <w:r>
              <w:rPr>
                <w:rFonts w:hint="default" w:ascii="Times New Roman" w:hAnsi="Times New Roman" w:eastAsia="宋体" w:cs="Times New Roman"/>
                <w:spacing w:val="9"/>
                <w:sz w:val="24"/>
                <w:szCs w:val="24"/>
              </w:rPr>
              <w:t>祥联合站主要处理工艺有原油处理、伴生气处理、废水处理及注水，各系</w:t>
            </w:r>
            <w:r>
              <w:rPr>
                <w:rFonts w:hint="default" w:ascii="Times New Roman" w:hAnsi="Times New Roman" w:eastAsia="宋体" w:cs="Times New Roman"/>
                <w:spacing w:val="1"/>
                <w:sz w:val="24"/>
                <w:szCs w:val="24"/>
              </w:rPr>
              <w:t>统处理规模分别为</w:t>
            </w:r>
            <w:r>
              <w:rPr>
                <w:rFonts w:hint="default" w:ascii="Times New Roman" w:hAnsi="Times New Roman" w:eastAsia="Times New Roman" w:cs="Times New Roman"/>
                <w:spacing w:val="1"/>
                <w:sz w:val="24"/>
                <w:szCs w:val="24"/>
              </w:rPr>
              <w:t>45×10</w:t>
            </w:r>
            <w:r>
              <w:rPr>
                <w:rFonts w:hint="default" w:ascii="Times New Roman" w:hAnsi="Times New Roman" w:eastAsia="宋体" w:cs="Times New Roman"/>
                <w:spacing w:val="1"/>
                <w:sz w:val="24"/>
                <w:szCs w:val="24"/>
                <w:vertAlign w:val="superscript"/>
                <w:lang w:val="en-US" w:eastAsia="zh-CN"/>
              </w:rPr>
              <w:t>4</w:t>
            </w:r>
            <w:r>
              <w:rPr>
                <w:rFonts w:hint="default" w:ascii="Times New Roman" w:hAnsi="Times New Roman" w:eastAsia="Times New Roman" w:cs="Times New Roman"/>
                <w:sz w:val="24"/>
                <w:szCs w:val="24"/>
              </w:rPr>
              <w:t>t</w:t>
            </w:r>
            <w:r>
              <w:rPr>
                <w:rFonts w:hint="default" w:ascii="Times New Roman" w:hAnsi="Times New Roman" w:eastAsia="Times New Roman" w:cs="Times New Roman"/>
                <w:spacing w:val="1"/>
                <w:sz w:val="24"/>
                <w:szCs w:val="24"/>
              </w:rPr>
              <w:t>/</w:t>
            </w:r>
            <w:r>
              <w:rPr>
                <w:rFonts w:hint="default" w:ascii="Times New Roman" w:hAnsi="Times New Roman" w:eastAsia="Times New Roman" w:cs="Times New Roman"/>
                <w:sz w:val="24"/>
                <w:szCs w:val="24"/>
              </w:rPr>
              <w:t>a</w:t>
            </w:r>
            <w:r>
              <w:rPr>
                <w:rFonts w:hint="default" w:ascii="Times New Roman" w:hAnsi="Times New Roman" w:eastAsia="宋体" w:cs="Times New Roman"/>
                <w:spacing w:val="1"/>
                <w:sz w:val="24"/>
                <w:szCs w:val="24"/>
              </w:rPr>
              <w:t>、</w:t>
            </w:r>
            <w:r>
              <w:rPr>
                <w:rFonts w:hint="default" w:ascii="Times New Roman" w:hAnsi="Times New Roman" w:eastAsia="Times New Roman" w:cs="Times New Roman"/>
                <w:spacing w:val="1"/>
                <w:sz w:val="24"/>
                <w:szCs w:val="24"/>
              </w:rPr>
              <w:t>2.5×10</w:t>
            </w:r>
            <w:r>
              <w:rPr>
                <w:rFonts w:hint="eastAsia" w:ascii="Times New Roman" w:hAnsi="Times New Roman" w:eastAsia="宋体" w:cs="Times New Roman"/>
                <w:spacing w:val="1"/>
                <w:sz w:val="24"/>
                <w:szCs w:val="24"/>
                <w:vertAlign w:val="superscript"/>
                <w:lang w:val="en-US" w:eastAsia="zh-CN"/>
              </w:rPr>
              <w:t>4</w:t>
            </w:r>
            <w:r>
              <w:rPr>
                <w:rFonts w:hint="default" w:ascii="Times New Roman" w:hAnsi="Times New Roman" w:eastAsia="Times New Roman"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pacing w:val="1"/>
                <w:sz w:val="24"/>
                <w:szCs w:val="24"/>
              </w:rPr>
              <w:t>/</w:t>
            </w:r>
            <w:r>
              <w:rPr>
                <w:rFonts w:hint="default" w:ascii="Times New Roman" w:hAnsi="Times New Roman" w:eastAsia="Times New Roman" w:cs="Times New Roman"/>
                <w:sz w:val="24"/>
                <w:szCs w:val="24"/>
              </w:rPr>
              <w:t>d</w:t>
            </w:r>
            <w:r>
              <w:rPr>
                <w:rFonts w:hint="default" w:ascii="Times New Roman" w:hAnsi="Times New Roman" w:eastAsia="宋体" w:cs="Times New Roman"/>
                <w:spacing w:val="1"/>
                <w:sz w:val="24"/>
                <w:szCs w:val="24"/>
              </w:rPr>
              <w:t>、</w:t>
            </w:r>
            <w:r>
              <w:rPr>
                <w:rFonts w:hint="default" w:ascii="Times New Roman" w:hAnsi="Times New Roman" w:eastAsia="Times New Roman" w:cs="Times New Roman"/>
                <w:spacing w:val="1"/>
                <w:sz w:val="24"/>
                <w:szCs w:val="24"/>
              </w:rPr>
              <w:t>1800</w:t>
            </w:r>
            <w:r>
              <w:rPr>
                <w:rFonts w:hint="default" w:ascii="Times New Roman" w:hAnsi="Times New Roman" w:eastAsia="Times New Roman"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pacing w:val="1"/>
                <w:sz w:val="24"/>
                <w:szCs w:val="24"/>
              </w:rPr>
              <w:t>/</w:t>
            </w:r>
            <w:r>
              <w:rPr>
                <w:rFonts w:hint="default" w:ascii="Times New Roman" w:hAnsi="Times New Roman" w:eastAsia="Times New Roman" w:cs="Times New Roman"/>
                <w:sz w:val="24"/>
                <w:szCs w:val="24"/>
              </w:rPr>
              <w:t>d</w:t>
            </w:r>
            <w:r>
              <w:rPr>
                <w:rFonts w:hint="default" w:ascii="Times New Roman" w:hAnsi="Times New Roman" w:eastAsia="宋体" w:cs="Times New Roman"/>
                <w:sz w:val="24"/>
                <w:szCs w:val="24"/>
              </w:rPr>
              <w:t>和</w:t>
            </w:r>
            <w:r>
              <w:rPr>
                <w:rFonts w:hint="default" w:ascii="Times New Roman" w:hAnsi="Times New Roman" w:eastAsia="Times New Roman" w:cs="Times New Roman"/>
                <w:sz w:val="24"/>
                <w:szCs w:val="24"/>
              </w:rPr>
              <w:t>2592m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z w:val="24"/>
                <w:szCs w:val="24"/>
              </w:rPr>
              <w:t>/d</w:t>
            </w:r>
            <w:r>
              <w:rPr>
                <w:rFonts w:hint="default" w:ascii="Times New Roman" w:hAnsi="Times New Roman" w:eastAsia="宋体" w:cs="Times New Roman"/>
                <w:sz w:val="24"/>
                <w:szCs w:val="24"/>
              </w:rPr>
              <w:t>。</w:t>
            </w:r>
            <w:r>
              <w:rPr>
                <w:rFonts w:hint="default" w:ascii="Times New Roman" w:hAnsi="Times New Roman" w:eastAsia="宋体" w:cs="Times New Roman"/>
                <w:spacing w:val="8"/>
                <w:sz w:val="24"/>
                <w:szCs w:val="24"/>
              </w:rPr>
              <w:t>原油处理</w:t>
            </w:r>
            <w:r>
              <w:rPr>
                <w:rFonts w:hint="default" w:ascii="Times New Roman" w:hAnsi="Times New Roman" w:eastAsia="宋体" w:cs="Times New Roman"/>
                <w:spacing w:val="5"/>
                <w:sz w:val="24"/>
                <w:szCs w:val="24"/>
              </w:rPr>
              <w:t>工</w:t>
            </w:r>
            <w:r>
              <w:rPr>
                <w:rFonts w:hint="default" w:ascii="Times New Roman" w:hAnsi="Times New Roman" w:eastAsia="宋体" w:cs="Times New Roman"/>
                <w:spacing w:val="4"/>
                <w:sz w:val="24"/>
                <w:szCs w:val="24"/>
              </w:rPr>
              <w:t>艺：油区来液首先进入气液两相分离器，分离出的伴生气经除油、</w:t>
            </w:r>
            <w:r>
              <w:rPr>
                <w:rFonts w:hint="default" w:ascii="Times New Roman" w:hAnsi="Times New Roman" w:eastAsia="宋体" w:cs="Times New Roman"/>
                <w:spacing w:val="18"/>
                <w:sz w:val="24"/>
                <w:szCs w:val="24"/>
              </w:rPr>
              <w:t>过</w:t>
            </w:r>
            <w:r>
              <w:rPr>
                <w:rFonts w:hint="default" w:ascii="Times New Roman" w:hAnsi="Times New Roman" w:eastAsia="宋体" w:cs="Times New Roman"/>
                <w:spacing w:val="13"/>
                <w:sz w:val="24"/>
                <w:szCs w:val="24"/>
              </w:rPr>
              <w:t>滤</w:t>
            </w:r>
            <w:r>
              <w:rPr>
                <w:rFonts w:hint="default" w:ascii="Times New Roman" w:hAnsi="Times New Roman" w:eastAsia="宋体" w:cs="Times New Roman"/>
                <w:spacing w:val="9"/>
                <w:sz w:val="24"/>
                <w:szCs w:val="24"/>
              </w:rPr>
              <w:t>、加热后作为站内燃料气气源为相变加热炉供气；分离出的含水原油进入相</w:t>
            </w:r>
            <w:r>
              <w:rPr>
                <w:rFonts w:hint="default" w:ascii="Times New Roman" w:hAnsi="Times New Roman" w:eastAsia="宋体" w:cs="Times New Roman"/>
                <w:spacing w:val="10"/>
                <w:sz w:val="24"/>
                <w:szCs w:val="24"/>
              </w:rPr>
              <w:t>变炉的油</w:t>
            </w:r>
            <w:r>
              <w:rPr>
                <w:rFonts w:hint="default" w:ascii="Times New Roman" w:hAnsi="Times New Roman" w:eastAsia="Times New Roman" w:cs="Times New Roman"/>
                <w:spacing w:val="10"/>
                <w:sz w:val="24"/>
                <w:szCs w:val="24"/>
              </w:rPr>
              <w:t>-</w:t>
            </w:r>
            <w:r>
              <w:rPr>
                <w:rFonts w:hint="default" w:ascii="Times New Roman" w:hAnsi="Times New Roman" w:eastAsia="宋体" w:cs="Times New Roman"/>
                <w:spacing w:val="10"/>
                <w:sz w:val="24"/>
                <w:szCs w:val="24"/>
              </w:rPr>
              <w:t>汽</w:t>
            </w:r>
            <w:r>
              <w:rPr>
                <w:rFonts w:hint="default" w:ascii="Times New Roman" w:hAnsi="Times New Roman" w:eastAsia="宋体" w:cs="Times New Roman"/>
                <w:spacing w:val="5"/>
                <w:sz w:val="24"/>
                <w:szCs w:val="24"/>
              </w:rPr>
              <w:t>换热器与蒸汽换热，出口油温升至</w:t>
            </w:r>
            <w:r>
              <w:rPr>
                <w:rFonts w:hint="default" w:ascii="Times New Roman" w:hAnsi="Times New Roman" w:eastAsia="Times New Roman" w:cs="Times New Roman"/>
                <w:spacing w:val="5"/>
                <w:sz w:val="24"/>
                <w:szCs w:val="24"/>
              </w:rPr>
              <w:t>70℃</w:t>
            </w:r>
            <w:r>
              <w:rPr>
                <w:rFonts w:hint="default" w:ascii="Times New Roman" w:hAnsi="Times New Roman" w:eastAsia="宋体" w:cs="Times New Roman"/>
                <w:spacing w:val="5"/>
                <w:sz w:val="24"/>
                <w:szCs w:val="24"/>
              </w:rPr>
              <w:t>。换热后的原油进入沉降罐</w:t>
            </w:r>
            <w:r>
              <w:rPr>
                <w:rFonts w:hint="default" w:ascii="Times New Roman" w:hAnsi="Times New Roman" w:eastAsia="宋体" w:cs="Times New Roman"/>
                <w:spacing w:val="14"/>
                <w:sz w:val="24"/>
                <w:szCs w:val="24"/>
              </w:rPr>
              <w:t>内，</w:t>
            </w:r>
            <w:r>
              <w:rPr>
                <w:rFonts w:hint="default" w:ascii="Times New Roman" w:hAnsi="Times New Roman" w:eastAsia="宋体" w:cs="Times New Roman"/>
                <w:spacing w:val="8"/>
                <w:sz w:val="24"/>
                <w:szCs w:val="24"/>
              </w:rPr>
              <w:t>沉</w:t>
            </w:r>
            <w:r>
              <w:rPr>
                <w:rFonts w:hint="default" w:ascii="Times New Roman" w:hAnsi="Times New Roman" w:eastAsia="宋体" w:cs="Times New Roman"/>
                <w:spacing w:val="7"/>
                <w:sz w:val="24"/>
                <w:szCs w:val="24"/>
              </w:rPr>
              <w:t>降</w:t>
            </w:r>
            <w:r>
              <w:rPr>
                <w:rFonts w:hint="default" w:ascii="Times New Roman" w:hAnsi="Times New Roman" w:eastAsia="Times New Roman" w:cs="Times New Roman"/>
                <w:spacing w:val="7"/>
                <w:sz w:val="24"/>
                <w:szCs w:val="24"/>
              </w:rPr>
              <w:t>12</w:t>
            </w:r>
            <w:r>
              <w:rPr>
                <w:rFonts w:hint="default" w:ascii="Times New Roman" w:hAnsi="Times New Roman" w:eastAsia="Times New Roman" w:cs="Times New Roman"/>
                <w:sz w:val="24"/>
                <w:szCs w:val="24"/>
              </w:rPr>
              <w:t>h</w:t>
            </w:r>
            <w:r>
              <w:rPr>
                <w:rFonts w:hint="default" w:ascii="Times New Roman" w:hAnsi="Times New Roman" w:eastAsia="宋体" w:cs="Times New Roman"/>
                <w:spacing w:val="7"/>
                <w:sz w:val="24"/>
                <w:szCs w:val="24"/>
              </w:rPr>
              <w:t>后，底水自压进入储水罐，一部分经掺水泵回掺至采油井口，另一</w:t>
            </w:r>
            <w:r>
              <w:rPr>
                <w:rFonts w:hint="default" w:ascii="Times New Roman" w:hAnsi="Times New Roman" w:eastAsia="宋体" w:cs="Times New Roman"/>
                <w:spacing w:val="18"/>
                <w:sz w:val="24"/>
                <w:szCs w:val="24"/>
              </w:rPr>
              <w:t>部</w:t>
            </w:r>
            <w:r>
              <w:rPr>
                <w:rFonts w:hint="default" w:ascii="Times New Roman" w:hAnsi="Times New Roman" w:eastAsia="宋体" w:cs="Times New Roman"/>
                <w:spacing w:val="10"/>
                <w:sz w:val="24"/>
                <w:szCs w:val="24"/>
              </w:rPr>
              <w:t>分</w:t>
            </w:r>
            <w:r>
              <w:rPr>
                <w:rFonts w:hint="default" w:ascii="Times New Roman" w:hAnsi="Times New Roman" w:eastAsia="宋体" w:cs="Times New Roman"/>
                <w:spacing w:val="9"/>
                <w:sz w:val="24"/>
                <w:szCs w:val="24"/>
              </w:rPr>
              <w:t>去污水处理系统。沉降脱水后的低含水原油自压进入站内拉油罐，最终通过</w:t>
            </w:r>
            <w:r>
              <w:rPr>
                <w:rFonts w:hint="default" w:ascii="Times New Roman" w:hAnsi="Times New Roman" w:eastAsia="宋体" w:cs="Times New Roman"/>
                <w:spacing w:val="16"/>
                <w:sz w:val="24"/>
                <w:szCs w:val="24"/>
              </w:rPr>
              <w:t>装</w:t>
            </w:r>
            <w:r>
              <w:rPr>
                <w:rFonts w:hint="default" w:ascii="Times New Roman" w:hAnsi="Times New Roman" w:eastAsia="宋体" w:cs="Times New Roman"/>
                <w:spacing w:val="8"/>
                <w:sz w:val="24"/>
                <w:szCs w:val="24"/>
              </w:rPr>
              <w:t>车泵装车输送至北三台油库。</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8"/>
                <w:sz w:val="24"/>
                <w:szCs w:val="24"/>
              </w:rPr>
              <w:t>伴</w:t>
            </w:r>
            <w:r>
              <w:rPr>
                <w:rFonts w:hint="default" w:ascii="Times New Roman" w:hAnsi="Times New Roman" w:eastAsia="宋体" w:cs="Times New Roman"/>
                <w:spacing w:val="9"/>
                <w:sz w:val="24"/>
                <w:szCs w:val="24"/>
              </w:rPr>
              <w:t>生气处理工艺：集中拉油注水站生产分离来气进入到精细分离器，分离出</w:t>
            </w:r>
            <w:r>
              <w:rPr>
                <w:rFonts w:hint="default" w:ascii="Times New Roman" w:hAnsi="Times New Roman" w:eastAsia="宋体" w:cs="Times New Roman"/>
                <w:spacing w:val="10"/>
                <w:sz w:val="24"/>
                <w:szCs w:val="24"/>
              </w:rPr>
              <w:t>因集输温</w:t>
            </w:r>
            <w:r>
              <w:rPr>
                <w:rFonts w:hint="default" w:ascii="Times New Roman" w:hAnsi="Times New Roman" w:eastAsia="宋体" w:cs="Times New Roman"/>
                <w:spacing w:val="8"/>
                <w:sz w:val="24"/>
                <w:szCs w:val="24"/>
              </w:rPr>
              <w:t>降</w:t>
            </w:r>
            <w:r>
              <w:rPr>
                <w:rFonts w:hint="default" w:ascii="Times New Roman" w:hAnsi="Times New Roman" w:eastAsia="宋体" w:cs="Times New Roman"/>
                <w:spacing w:val="5"/>
                <w:sz w:val="24"/>
                <w:szCs w:val="24"/>
              </w:rPr>
              <w:t>析出的液烃和杂质，然后去电加热器，加热到</w:t>
            </w:r>
            <w:r>
              <w:rPr>
                <w:rFonts w:hint="default" w:ascii="Times New Roman" w:hAnsi="Times New Roman" w:eastAsia="Times New Roman" w:cs="Times New Roman"/>
                <w:spacing w:val="5"/>
                <w:sz w:val="24"/>
                <w:szCs w:val="24"/>
              </w:rPr>
              <w:t>40℃</w:t>
            </w:r>
            <w:r>
              <w:rPr>
                <w:rFonts w:hint="default" w:ascii="Times New Roman" w:hAnsi="Times New Roman" w:eastAsia="宋体" w:cs="Times New Roman"/>
                <w:spacing w:val="5"/>
                <w:sz w:val="24"/>
                <w:szCs w:val="24"/>
              </w:rPr>
              <w:t>左右，保证去相变</w:t>
            </w:r>
            <w:r>
              <w:rPr>
                <w:rFonts w:hint="default" w:ascii="Times New Roman" w:hAnsi="Times New Roman" w:eastAsia="宋体" w:cs="Times New Roman"/>
                <w:spacing w:val="18"/>
                <w:sz w:val="24"/>
                <w:szCs w:val="24"/>
              </w:rPr>
              <w:t>加</w:t>
            </w:r>
            <w:r>
              <w:rPr>
                <w:rFonts w:hint="default" w:ascii="Times New Roman" w:hAnsi="Times New Roman" w:eastAsia="宋体" w:cs="Times New Roman"/>
                <w:spacing w:val="13"/>
                <w:sz w:val="24"/>
                <w:szCs w:val="24"/>
              </w:rPr>
              <w:t>热</w:t>
            </w:r>
            <w:r>
              <w:rPr>
                <w:rFonts w:hint="default" w:ascii="Times New Roman" w:hAnsi="Times New Roman" w:eastAsia="宋体" w:cs="Times New Roman"/>
                <w:spacing w:val="9"/>
                <w:sz w:val="24"/>
                <w:szCs w:val="24"/>
              </w:rPr>
              <w:t>炉及采暖炉作为燃料气使用时无游离水和液烃析出。精细分离器分离出的液</w:t>
            </w:r>
            <w:r>
              <w:rPr>
                <w:rFonts w:hint="default" w:ascii="Times New Roman" w:hAnsi="Times New Roman" w:eastAsia="宋体" w:cs="Times New Roman"/>
                <w:spacing w:val="16"/>
                <w:sz w:val="24"/>
                <w:szCs w:val="24"/>
              </w:rPr>
              <w:t>烃</w:t>
            </w:r>
            <w:r>
              <w:rPr>
                <w:rFonts w:hint="default" w:ascii="Times New Roman" w:hAnsi="Times New Roman" w:eastAsia="宋体" w:cs="Times New Roman"/>
                <w:spacing w:val="12"/>
                <w:sz w:val="24"/>
                <w:szCs w:val="24"/>
              </w:rPr>
              <w:t>进</w:t>
            </w:r>
            <w:r>
              <w:rPr>
                <w:rFonts w:hint="default" w:ascii="Times New Roman" w:hAnsi="Times New Roman" w:eastAsia="宋体" w:cs="Times New Roman"/>
                <w:spacing w:val="8"/>
                <w:sz w:val="24"/>
                <w:szCs w:val="24"/>
              </w:rPr>
              <w:t>入到集中拉油注水站排污系统。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hint="default" w:ascii="Times New Roman" w:hAnsi="Times New Roman" w:eastAsia="宋体" w:cs="Times New Roman"/>
                <w:spacing w:val="11"/>
                <w:position w:val="1"/>
                <w:sz w:val="24"/>
                <w:szCs w:val="24"/>
              </w:rPr>
            </w:pPr>
            <w:r>
              <w:rPr>
                <w:rFonts w:hint="default" w:ascii="Times New Roman" w:hAnsi="Times New Roman" w:eastAsia="宋体" w:cs="Times New Roman"/>
                <w:spacing w:val="18"/>
                <w:sz w:val="24"/>
                <w:szCs w:val="24"/>
              </w:rPr>
              <w:t>废</w:t>
            </w:r>
            <w:r>
              <w:rPr>
                <w:rFonts w:hint="default" w:ascii="Times New Roman" w:hAnsi="Times New Roman" w:eastAsia="宋体" w:cs="Times New Roman"/>
                <w:spacing w:val="12"/>
                <w:sz w:val="24"/>
                <w:szCs w:val="24"/>
              </w:rPr>
              <w:t>水</w:t>
            </w:r>
            <w:r>
              <w:rPr>
                <w:rFonts w:hint="default" w:ascii="Times New Roman" w:hAnsi="Times New Roman" w:eastAsia="宋体" w:cs="Times New Roman"/>
                <w:spacing w:val="9"/>
                <w:sz w:val="24"/>
                <w:szCs w:val="24"/>
              </w:rPr>
              <w:t>处理工艺：污水进入调储罐，串联运行，实现对污水处理系统来水的水</w:t>
            </w:r>
            <w:r>
              <w:rPr>
                <w:rFonts w:hint="default" w:ascii="Times New Roman" w:hAnsi="Times New Roman" w:eastAsia="宋体" w:cs="Times New Roman"/>
                <w:spacing w:val="24"/>
                <w:sz w:val="24"/>
                <w:szCs w:val="24"/>
              </w:rPr>
              <w:t>质水量调节和初步除油功能，经重力沉降除油物理过程，调储罐出水含油</w:t>
            </w:r>
            <w:r>
              <w:rPr>
                <w:rFonts w:hint="default" w:ascii="Times New Roman" w:hAnsi="Times New Roman" w:eastAsia="宋体" w:cs="Times New Roman"/>
                <w:spacing w:val="20"/>
                <w:sz w:val="24"/>
                <w:szCs w:val="24"/>
              </w:rPr>
              <w:t>≤</w:t>
            </w:r>
            <w:r>
              <w:rPr>
                <w:rFonts w:hint="default" w:ascii="Times New Roman" w:hAnsi="Times New Roman" w:eastAsia="Times New Roman" w:cs="Times New Roman"/>
                <w:spacing w:val="6"/>
                <w:sz w:val="24"/>
                <w:szCs w:val="24"/>
              </w:rPr>
              <w:t>150</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6"/>
                <w:sz w:val="24"/>
                <w:szCs w:val="24"/>
              </w:rPr>
              <w:t>/</w:t>
            </w:r>
            <w:r>
              <w:rPr>
                <w:rFonts w:hint="default" w:ascii="Times New Roman" w:hAnsi="Times New Roman" w:eastAsia="Times New Roman" w:cs="Times New Roman"/>
                <w:sz w:val="24"/>
                <w:szCs w:val="24"/>
              </w:rPr>
              <w:t>L</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3"/>
                <w:sz w:val="24"/>
                <w:szCs w:val="24"/>
              </w:rPr>
              <w:t>悬浮物≤</w:t>
            </w:r>
            <w:r>
              <w:rPr>
                <w:rFonts w:hint="default" w:ascii="Times New Roman" w:hAnsi="Times New Roman" w:eastAsia="Times New Roman" w:cs="Times New Roman"/>
                <w:spacing w:val="3"/>
                <w:sz w:val="24"/>
                <w:szCs w:val="24"/>
              </w:rPr>
              <w:t>150</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3"/>
                <w:sz w:val="24"/>
                <w:szCs w:val="24"/>
              </w:rPr>
              <w:t>/</w:t>
            </w:r>
            <w:r>
              <w:rPr>
                <w:rFonts w:hint="default" w:ascii="Times New Roman" w:hAnsi="Times New Roman" w:eastAsia="Times New Roman" w:cs="Times New Roman"/>
                <w:sz w:val="24"/>
                <w:szCs w:val="24"/>
              </w:rPr>
              <w:t>L</w:t>
            </w:r>
            <w:r>
              <w:rPr>
                <w:rFonts w:hint="default" w:ascii="Times New Roman" w:hAnsi="Times New Roman" w:eastAsia="宋体" w:cs="Times New Roman"/>
                <w:spacing w:val="3"/>
                <w:sz w:val="24"/>
                <w:szCs w:val="24"/>
              </w:rPr>
              <w:t>，经污水反应提升泵提升进入聚结除油装置(包括</w:t>
            </w:r>
            <w:r>
              <w:rPr>
                <w:rFonts w:hint="default" w:ascii="Times New Roman" w:hAnsi="Times New Roman" w:eastAsia="Times New Roman" w:cs="Times New Roman"/>
                <w:spacing w:val="3"/>
                <w:sz w:val="24"/>
                <w:szCs w:val="24"/>
              </w:rPr>
              <w:t>2</w:t>
            </w:r>
            <w:r>
              <w:rPr>
                <w:rFonts w:hint="default" w:ascii="Times New Roman" w:hAnsi="Times New Roman" w:eastAsia="宋体" w:cs="Times New Roman"/>
                <w:spacing w:val="13"/>
                <w:sz w:val="24"/>
                <w:szCs w:val="24"/>
              </w:rPr>
              <w:t>座</w:t>
            </w:r>
            <w:r>
              <w:rPr>
                <w:rFonts w:hint="default" w:ascii="Times New Roman" w:hAnsi="Times New Roman" w:eastAsia="宋体" w:cs="Times New Roman"/>
                <w:spacing w:val="9"/>
                <w:sz w:val="24"/>
                <w:szCs w:val="24"/>
              </w:rPr>
              <w:t>卧式微涡旋絮凝反应沉降罐及配套管汇)，同时投加药剂，在装置进水管线上</w:t>
            </w:r>
            <w:r>
              <w:rPr>
                <w:rFonts w:hint="default" w:ascii="Times New Roman" w:hAnsi="Times New Roman" w:eastAsia="宋体" w:cs="Times New Roman"/>
                <w:spacing w:val="18"/>
                <w:sz w:val="24"/>
                <w:szCs w:val="24"/>
              </w:rPr>
              <w:t>加</w:t>
            </w:r>
            <w:r>
              <w:rPr>
                <w:rFonts w:hint="default" w:ascii="Times New Roman" w:hAnsi="Times New Roman" w:eastAsia="宋体" w:cs="Times New Roman"/>
                <w:spacing w:val="13"/>
                <w:sz w:val="24"/>
                <w:szCs w:val="24"/>
              </w:rPr>
              <w:t>入</w:t>
            </w:r>
            <w:r>
              <w:rPr>
                <w:rFonts w:hint="default" w:ascii="Times New Roman" w:hAnsi="Times New Roman" w:eastAsia="宋体" w:cs="Times New Roman"/>
                <w:spacing w:val="9"/>
                <w:sz w:val="24"/>
                <w:szCs w:val="24"/>
              </w:rPr>
              <w:t>净水剂、在装置内加入助凝剂，在污水反应提升泵进口加助沉剂。随后处理</w:t>
            </w:r>
            <w:r>
              <w:rPr>
                <w:rFonts w:hint="default" w:ascii="Times New Roman" w:hAnsi="Times New Roman" w:eastAsia="宋体" w:cs="Times New Roman"/>
                <w:spacing w:val="18"/>
                <w:sz w:val="24"/>
                <w:szCs w:val="24"/>
              </w:rPr>
              <w:t>污</w:t>
            </w:r>
            <w:r>
              <w:rPr>
                <w:rFonts w:hint="default" w:ascii="Times New Roman" w:hAnsi="Times New Roman" w:eastAsia="宋体" w:cs="Times New Roman"/>
                <w:spacing w:val="13"/>
                <w:sz w:val="24"/>
                <w:szCs w:val="24"/>
              </w:rPr>
              <w:t>水</w:t>
            </w:r>
            <w:r>
              <w:rPr>
                <w:rFonts w:hint="default" w:ascii="Times New Roman" w:hAnsi="Times New Roman" w:eastAsia="宋体" w:cs="Times New Roman"/>
                <w:spacing w:val="9"/>
                <w:sz w:val="24"/>
                <w:szCs w:val="24"/>
              </w:rPr>
              <w:t>进入多介质过滤器、纤维束过滤器，最终到达净化水罐，由喂水泵打入注水</w:t>
            </w:r>
            <w:r>
              <w:rPr>
                <w:rFonts w:hint="default" w:ascii="Times New Roman" w:hAnsi="Times New Roman" w:eastAsia="宋体" w:cs="Times New Roman"/>
                <w:spacing w:val="-4"/>
                <w:sz w:val="24"/>
                <w:szCs w:val="24"/>
              </w:rPr>
              <w:t>系统。污水处理后达到《碎屑岩油藏注水水质推荐指标及分析方法》</w:t>
            </w:r>
            <w:r>
              <w:rPr>
                <w:rFonts w:hint="default" w:ascii="Times New Roman" w:hAnsi="Times New Roman" w:eastAsia="宋体" w:cs="Times New Roman"/>
                <w:spacing w:val="22"/>
                <w:position w:val="1"/>
                <w:sz w:val="24"/>
                <w:szCs w:val="24"/>
              </w:rPr>
              <w:t>(</w:t>
            </w:r>
            <w:r>
              <w:rPr>
                <w:rFonts w:hint="default" w:ascii="Times New Roman" w:hAnsi="Times New Roman" w:eastAsia="Times New Roman" w:cs="Times New Roman"/>
                <w:position w:val="1"/>
                <w:sz w:val="24"/>
                <w:szCs w:val="24"/>
              </w:rPr>
              <w:t>SY</w:t>
            </w:r>
            <w:r>
              <w:rPr>
                <w:rFonts w:hint="default" w:ascii="Times New Roman" w:hAnsi="Times New Roman" w:eastAsia="Times New Roman" w:cs="Times New Roman"/>
                <w:spacing w:val="15"/>
                <w:position w:val="1"/>
                <w:sz w:val="24"/>
                <w:szCs w:val="24"/>
              </w:rPr>
              <w:t>/</w:t>
            </w:r>
            <w:r>
              <w:rPr>
                <w:rFonts w:hint="default" w:ascii="Times New Roman" w:hAnsi="Times New Roman" w:eastAsia="Times New Roman" w:cs="Times New Roman"/>
                <w:position w:val="1"/>
                <w:sz w:val="24"/>
                <w:szCs w:val="24"/>
              </w:rPr>
              <w:t>T</w:t>
            </w:r>
            <w:r>
              <w:rPr>
                <w:rFonts w:hint="default" w:ascii="Times New Roman" w:hAnsi="Times New Roman" w:eastAsia="Times New Roman" w:cs="Times New Roman"/>
                <w:spacing w:val="11"/>
                <w:position w:val="1"/>
                <w:sz w:val="24"/>
                <w:szCs w:val="24"/>
              </w:rPr>
              <w:t>5329-2012</w:t>
            </w:r>
            <w:r>
              <w:rPr>
                <w:rFonts w:hint="default" w:ascii="Times New Roman" w:hAnsi="Times New Roman" w:eastAsia="宋体" w:cs="Times New Roman"/>
                <w:spacing w:val="11"/>
                <w:position w:val="1"/>
                <w:sz w:val="24"/>
                <w:szCs w:val="24"/>
              </w:rPr>
              <w:t>)中标准限值要求后回注。</w:t>
            </w:r>
          </w:p>
          <w:p>
            <w:pPr>
              <w:pStyle w:val="2"/>
              <w:rPr>
                <w:rFonts w:hint="default"/>
              </w:rPr>
            </w:pPr>
            <w:r>
              <w:drawing>
                <wp:inline distT="0" distB="0" distL="114300" distR="114300">
                  <wp:extent cx="4940300" cy="1607185"/>
                  <wp:effectExtent l="0" t="0" r="1270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4940300" cy="1607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jc w:val="center"/>
              <w:textAlignment w:val="auto"/>
              <w:rPr>
                <w:rFonts w:hint="default" w:ascii="宋体" w:hAnsi="宋体" w:eastAsia="宋体" w:cs="Times New Roman"/>
                <w:kern w:val="0"/>
                <w:sz w:val="24"/>
                <w:szCs w:val="24"/>
                <w:lang w:val="en-US" w:eastAsia="zh-CN" w:bidi="ar-SA"/>
              </w:rPr>
            </w:pPr>
            <w:r>
              <w:rPr>
                <w:rFonts w:hint="default" w:ascii="Times New Roman" w:hAnsi="Times New Roman" w:cs="Times New Roman"/>
                <w:b/>
                <w:bCs/>
                <w:kern w:val="0"/>
                <w:sz w:val="21"/>
                <w:szCs w:val="21"/>
                <w:lang w:val="en-US" w:eastAsia="zh-CN" w:bidi="ar-SA"/>
              </w:rPr>
              <w:t>图2-2  吉祥联合站工艺流程图</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（3）</w:t>
            </w:r>
            <w:r>
              <w:rPr>
                <w:rFonts w:hint="default" w:ascii="宋体" w:hAnsi="宋体" w:eastAsia="宋体" w:cs="Times New Roman"/>
                <w:kern w:val="0"/>
                <w:sz w:val="24"/>
                <w:szCs w:val="24"/>
                <w:lang w:val="en-US" w:eastAsia="zh-CN" w:bidi="ar-SA"/>
              </w:rPr>
              <w:t>依托可行性</w:t>
            </w:r>
          </w:p>
          <w:p>
            <w:pPr>
              <w:pStyle w:val="2"/>
              <w:spacing w:line="360" w:lineRule="auto"/>
              <w:ind w:firstLine="516" w:firstLineChars="200"/>
              <w:jc w:val="both"/>
              <w:rPr>
                <w:rFonts w:hint="default" w:ascii="Times New Roman" w:hAnsi="Times New Roman" w:eastAsia="宋体" w:cs="Times New Roman"/>
                <w:b w:val="0"/>
                <w:bCs/>
                <w:color w:val="auto"/>
                <w:spacing w:val="9"/>
                <w:kern w:val="2"/>
                <w:sz w:val="24"/>
                <w:szCs w:val="24"/>
                <w:lang w:val="en-US" w:eastAsia="zh-CN" w:bidi="ar-SA"/>
              </w:rPr>
            </w:pPr>
            <w:r>
              <w:rPr>
                <w:rFonts w:hint="default" w:ascii="Times New Roman" w:hAnsi="Times New Roman" w:eastAsia="宋体" w:cs="Times New Roman"/>
                <w:b w:val="0"/>
                <w:bCs/>
                <w:color w:val="auto"/>
                <w:spacing w:val="9"/>
                <w:kern w:val="2"/>
                <w:sz w:val="24"/>
                <w:szCs w:val="24"/>
                <w:lang w:val="en-US" w:eastAsia="zh-CN" w:bidi="ar-SA"/>
              </w:rPr>
              <w:t>根据《新疆准葛尔盆地准东地区油气勘查区块内部流转协议》，吐哈油田分公司在准东流转区块内所产油、气、水统一进入新疆油田公司处理系统，处理费用由吐哈油田分公司承担。吉祥联合站目前实际处理原油量43.8×10</w:t>
            </w:r>
            <w:r>
              <w:rPr>
                <w:rFonts w:hint="default" w:ascii="Times New Roman" w:hAnsi="Times New Roman" w:eastAsia="宋体" w:cs="Times New Roman"/>
                <w:b w:val="0"/>
                <w:bCs/>
                <w:color w:val="auto"/>
                <w:spacing w:val="9"/>
                <w:kern w:val="2"/>
                <w:sz w:val="24"/>
                <w:szCs w:val="24"/>
                <w:vertAlign w:val="superscript"/>
                <w:lang w:val="en-US" w:eastAsia="zh-CN" w:bidi="ar-SA"/>
              </w:rPr>
              <w:t>4</w:t>
            </w:r>
            <w:r>
              <w:rPr>
                <w:rFonts w:hint="default" w:ascii="Times New Roman" w:hAnsi="Times New Roman" w:eastAsia="宋体" w:cs="Times New Roman"/>
                <w:b w:val="0"/>
                <w:bCs/>
                <w:color w:val="auto"/>
                <w:spacing w:val="9"/>
                <w:kern w:val="2"/>
                <w:sz w:val="24"/>
                <w:szCs w:val="24"/>
                <w:lang w:val="en-US" w:eastAsia="zh-CN" w:bidi="ar-SA"/>
              </w:rPr>
              <w:t>t/a，废水处理量1500m</w:t>
            </w:r>
            <w:r>
              <w:rPr>
                <w:rFonts w:hint="default" w:ascii="Times New Roman" w:hAnsi="Times New Roman" w:eastAsia="宋体" w:cs="Times New Roman"/>
                <w:b w:val="0"/>
                <w:bCs/>
                <w:color w:val="auto"/>
                <w:spacing w:val="9"/>
                <w:kern w:val="2"/>
                <w:sz w:val="24"/>
                <w:szCs w:val="24"/>
                <w:vertAlign w:val="superscript"/>
                <w:lang w:val="en-US" w:eastAsia="zh-CN" w:bidi="ar-SA"/>
              </w:rPr>
              <w:t>3</w:t>
            </w:r>
            <w:r>
              <w:rPr>
                <w:rFonts w:hint="default" w:ascii="Times New Roman" w:hAnsi="Times New Roman" w:eastAsia="宋体" w:cs="Times New Roman"/>
                <w:b w:val="0"/>
                <w:bCs/>
                <w:color w:val="auto"/>
                <w:spacing w:val="9"/>
                <w:kern w:val="2"/>
                <w:sz w:val="24"/>
                <w:szCs w:val="24"/>
                <w:lang w:val="en-US" w:eastAsia="zh-CN" w:bidi="ar-SA"/>
              </w:rPr>
              <w:t>/d，本项目产生井下作业废水量共计901.70m</w:t>
            </w:r>
            <w:r>
              <w:rPr>
                <w:rFonts w:hint="default" w:ascii="Times New Roman" w:hAnsi="Times New Roman" w:eastAsia="宋体" w:cs="Times New Roman"/>
                <w:b w:val="0"/>
                <w:bCs/>
                <w:color w:val="auto"/>
                <w:spacing w:val="9"/>
                <w:kern w:val="2"/>
                <w:sz w:val="24"/>
                <w:szCs w:val="24"/>
                <w:vertAlign w:val="superscript"/>
                <w:lang w:val="en-US" w:eastAsia="zh-CN" w:bidi="ar-SA"/>
              </w:rPr>
              <w:t>3</w:t>
            </w:r>
            <w:r>
              <w:rPr>
                <w:rFonts w:hint="default" w:ascii="Times New Roman" w:hAnsi="Times New Roman" w:eastAsia="宋体" w:cs="Times New Roman"/>
                <w:b w:val="0"/>
                <w:bCs/>
                <w:color w:val="auto"/>
                <w:spacing w:val="9"/>
                <w:kern w:val="2"/>
                <w:sz w:val="24"/>
                <w:szCs w:val="24"/>
                <w:lang w:val="en-US" w:eastAsia="zh-CN" w:bidi="ar-SA"/>
              </w:rPr>
              <w:t>，剩余处理能力可以满足本工程需求。本项目井下作业废液采用专用废液收集罐收集后运至吉祥联合站处理。</w:t>
            </w:r>
            <w:r>
              <w:rPr>
                <w:rFonts w:hint="eastAsia" w:ascii="Times New Roman" w:hAnsi="Times New Roman" w:eastAsia="宋体" w:cs="Times New Roman"/>
                <w:b w:val="0"/>
                <w:bCs/>
                <w:color w:val="auto"/>
                <w:spacing w:val="9"/>
                <w:kern w:val="2"/>
                <w:sz w:val="24"/>
                <w:szCs w:val="24"/>
                <w:lang w:val="en-US" w:eastAsia="zh-CN" w:bidi="ar-SA"/>
              </w:rPr>
              <w:t xml:space="preserve">                            </w:t>
            </w:r>
            <w:r>
              <w:rPr>
                <w:rFonts w:hint="eastAsia" w:ascii="Times New Roman" w:hAnsi="Times New Roman" w:eastAsia="宋体" w:cs="Times New Roman"/>
                <w:b/>
                <w:bCs w:val="0"/>
                <w:color w:val="auto"/>
                <w:spacing w:val="9"/>
                <w:kern w:val="2"/>
                <w:sz w:val="24"/>
                <w:szCs w:val="24"/>
                <w:lang w:val="en-US" w:eastAsia="zh-CN" w:bidi="ar-SA"/>
              </w:rPr>
              <w:t>7.2奇台县城污水处理厂</w:t>
            </w:r>
          </w:p>
          <w:p>
            <w:pPr>
              <w:pStyle w:val="2"/>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奇台县城污水处理厂位于奇台县西北13.8km，污水处理厂建设规模为2.5万m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/d，于2009年2月20日取得新疆维吾尔自治区环保局批复（新环监函〔2009〕58号），2010年10月开工建设，2013年9月22日自治区环保厅以新环监函〔2013〕866号文批复同意项目投入试运行。2014 年12月4日昌吉回族自治州环境保护局以昌州环函〔2014〕299号文批复通过项目竣工环境保护验收。</w:t>
            </w:r>
            <w:r>
              <w:rPr>
                <w:rFonts w:hint="eastAsia" w:ascii="Times New Roman" w:hAnsi="Times New Roman" w:eastAsia="宋体" w:cs="Times New Roman"/>
                <w:b w:val="0"/>
                <w:bCs/>
                <w:color w:val="auto"/>
                <w:kern w:val="2"/>
                <w:sz w:val="24"/>
                <w:szCs w:val="24"/>
                <w:lang w:val="en-US" w:eastAsia="zh-CN" w:bidi="ar-SA"/>
              </w:rPr>
              <w:t>2016年10月，取得原昌吉州环境保护局以昌州环评[2016]61号文的批复，2016年8月开始提标改造，2016年12月，投入生产。2018年4月，完成自主竣工环境保护验收。</w:t>
            </w:r>
          </w:p>
          <w:p>
            <w:pPr>
              <w:pStyle w:val="2"/>
              <w:spacing w:line="360" w:lineRule="auto"/>
              <w:ind w:firstLine="480" w:firstLineChars="200"/>
              <w:jc w:val="both"/>
              <w:rPr>
                <w:rFonts w:ascii="宋体" w:hAnsi="宋体" w:cs="宋体"/>
                <w:color w:val="FF0000"/>
                <w:sz w:val="24"/>
              </w:rPr>
            </w:pPr>
            <w:r>
              <w:rPr>
                <w:rFonts w:hint="eastAsia" w:ascii="Times New Roman" w:hAnsi="Times New Roman" w:eastAsia="宋体" w:cs="Times New Roman"/>
                <w:b w:val="0"/>
                <w:bCs/>
                <w:color w:val="auto"/>
                <w:kern w:val="2"/>
                <w:sz w:val="24"/>
                <w:szCs w:val="24"/>
                <w:lang w:val="en-US" w:eastAsia="zh-CN" w:bidi="ar-SA"/>
              </w:rPr>
              <w:t>奇台县城污水处理厂</w:t>
            </w:r>
            <w:r>
              <w:rPr>
                <w:rFonts w:hint="default" w:ascii="Times New Roman" w:hAnsi="Times New Roman" w:eastAsia="宋体" w:cs="Times New Roman"/>
                <w:b w:val="0"/>
                <w:bCs/>
                <w:color w:val="auto"/>
                <w:kern w:val="2"/>
                <w:sz w:val="24"/>
                <w:szCs w:val="24"/>
                <w:lang w:val="en-US" w:eastAsia="zh-CN" w:bidi="ar-SA"/>
              </w:rPr>
              <w:t>处理采用</w:t>
            </w:r>
            <w:r>
              <w:rPr>
                <w:rFonts w:hint="eastAsia" w:ascii="Times New Roman" w:hAnsi="Times New Roman" w:eastAsia="宋体" w:cs="Times New Roman"/>
                <w:b w:val="0"/>
                <w:bCs/>
                <w:color w:val="auto"/>
                <w:kern w:val="2"/>
                <w:sz w:val="24"/>
                <w:szCs w:val="24"/>
                <w:lang w:val="en-US" w:eastAsia="zh-CN" w:bidi="ar-SA"/>
              </w:rPr>
              <w:t>格栅+氧化沟+MBR膜池工艺</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污泥采用叠螺式脱水+低温干化，消毒采用臭氧消毒，</w:t>
            </w:r>
            <w:r>
              <w:rPr>
                <w:rFonts w:hint="default" w:ascii="Times New Roman" w:hAnsi="Times New Roman" w:eastAsia="宋体" w:cs="Times New Roman"/>
                <w:b w:val="0"/>
                <w:bCs/>
                <w:color w:val="auto"/>
                <w:kern w:val="2"/>
                <w:sz w:val="24"/>
                <w:szCs w:val="24"/>
                <w:lang w:val="en-US" w:eastAsia="zh-CN" w:bidi="ar-SA"/>
              </w:rPr>
              <w:t>污水处理后出水水质达到《城镇污水处理厂污染物排放标准》（GB18918-2002）</w:t>
            </w:r>
            <w:r>
              <w:rPr>
                <w:rFonts w:hint="eastAsia" w:ascii="Times New Roman" w:hAnsi="Times New Roman" w:eastAsia="宋体" w:cs="Times New Roman"/>
                <w:b w:val="0"/>
                <w:bCs/>
                <w:color w:val="auto"/>
                <w:kern w:val="2"/>
                <w:sz w:val="24"/>
                <w:szCs w:val="24"/>
                <w:lang w:val="en-US" w:eastAsia="zh-CN" w:bidi="ar-SA"/>
              </w:rPr>
              <w:t>一</w:t>
            </w:r>
            <w:r>
              <w:rPr>
                <w:rFonts w:hint="default" w:ascii="Times New Roman" w:hAnsi="Times New Roman" w:eastAsia="宋体" w:cs="Times New Roman"/>
                <w:b w:val="0"/>
                <w:bCs/>
                <w:color w:val="auto"/>
                <w:kern w:val="2"/>
                <w:sz w:val="24"/>
                <w:szCs w:val="24"/>
                <w:lang w:val="en-US" w:eastAsia="zh-CN" w:bidi="ar-SA"/>
              </w:rPr>
              <w:t>级</w:t>
            </w:r>
            <w:r>
              <w:rPr>
                <w:rFonts w:hint="eastAsia" w:ascii="Times New Roman" w:hAnsi="Times New Roman" w:eastAsia="宋体" w:cs="Times New Roman"/>
                <w:b w:val="0"/>
                <w:bCs/>
                <w:color w:val="auto"/>
                <w:kern w:val="2"/>
                <w:sz w:val="24"/>
                <w:szCs w:val="24"/>
                <w:lang w:val="en-US" w:eastAsia="zh-CN" w:bidi="ar-SA"/>
              </w:rPr>
              <w:t>A</w:t>
            </w:r>
            <w:r>
              <w:rPr>
                <w:rFonts w:hint="default" w:ascii="Times New Roman" w:hAnsi="Times New Roman" w:eastAsia="宋体" w:cs="Times New Roman"/>
                <w:b w:val="0"/>
                <w:bCs/>
                <w:color w:val="auto"/>
                <w:kern w:val="2"/>
                <w:sz w:val="24"/>
                <w:szCs w:val="24"/>
                <w:lang w:val="en-US" w:eastAsia="zh-CN" w:bidi="ar-SA"/>
              </w:rPr>
              <w:t>标准，通过管道排入北部沙漠用于生态林建设。</w:t>
            </w:r>
            <w:r>
              <w:rPr>
                <w:rFonts w:hint="eastAsia" w:ascii="Times New Roman" w:hAnsi="Times New Roman" w:eastAsia="宋体" w:cs="Times New Roman"/>
                <w:b w:val="0"/>
                <w:bCs/>
                <w:color w:val="auto"/>
                <w:kern w:val="2"/>
                <w:sz w:val="24"/>
                <w:szCs w:val="24"/>
                <w:lang w:val="en-US" w:eastAsia="zh-CN" w:bidi="ar-SA"/>
              </w:rPr>
              <w:t>污水处理厂目前实际处理规模为20000m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/d，剩余处理量较大。本项目施工期生活污水产生量为672</w:t>
            </w:r>
            <w:r>
              <w:rPr>
                <w:rFonts w:hint="default" w:ascii="Times New Roman" w:hAnsi="Times New Roman" w:eastAsia="宋体" w:cs="Times New Roman"/>
                <w:b w:val="0"/>
                <w:bCs/>
                <w:color w:val="auto"/>
                <w:kern w:val="2"/>
                <w:sz w:val="24"/>
                <w:szCs w:val="24"/>
                <w:lang w:val="en-US" w:eastAsia="zh-CN" w:bidi="ar-SA"/>
              </w:rPr>
              <w:t>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，定期由吸污车拉运至奇台县城污水处理厂进行进一步处理，依托可行。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3" w:hRule="atLeast"/>
          <w:jc w:val="center"/>
        </w:trPr>
        <w:tc>
          <w:tcPr>
            <w:tcW w:w="267" w:type="pct"/>
            <w:vAlign w:val="center"/>
          </w:tcPr>
          <w:p>
            <w:pPr>
              <w:adjustRightInd w:val="0"/>
              <w:snapToGrid w:val="0"/>
              <w:jc w:val="both"/>
              <w:rPr>
                <w:rFonts w:ascii="宋体" w:hAnsi="宋体" w:cs="宋体"/>
                <w:kern w:val="0"/>
                <w:sz w:val="24"/>
              </w:rPr>
            </w:pPr>
            <w:r>
              <w:rPr>
                <w:rFonts w:hint="eastAsia" w:ascii="宋体" w:hAnsi="宋体" w:cs="宋体"/>
                <w:kern w:val="0"/>
                <w:sz w:val="24"/>
              </w:rPr>
              <w:t>总平面及现场布置</w:t>
            </w:r>
          </w:p>
        </w:tc>
        <w:tc>
          <w:tcPr>
            <w:tcW w:w="4732" w:type="pct"/>
            <w:vAlign w:val="center"/>
          </w:tcPr>
          <w:p>
            <w:pPr>
              <w:pStyle w:val="59"/>
              <w:ind w:firstLine="482"/>
              <w:rPr>
                <w:b/>
                <w:bCs/>
              </w:rPr>
            </w:pPr>
            <w:r>
              <w:rPr>
                <w:rFonts w:hint="eastAsia"/>
                <w:b/>
                <w:bCs/>
              </w:rPr>
              <w:t>1、钻井期井场平面布置</w:t>
            </w:r>
          </w:p>
          <w:p>
            <w:pPr>
              <w:pStyle w:val="59"/>
              <w:ind w:firstLine="480"/>
              <w:rPr>
                <w:rFonts w:hint="default" w:ascii="Times New Roman" w:hAnsi="Times New Roman" w:cs="Times New Roman"/>
              </w:rPr>
            </w:pPr>
            <w:r>
              <w:rPr>
                <w:rFonts w:hint="default" w:ascii="Times New Roman" w:hAnsi="Times New Roman" w:cs="Times New Roman"/>
              </w:rPr>
              <w:t>钻井期井场布置依据《钻前工程及井场布置技术要求》(SY/T5466-2013)相关要求，设有值班房、钳工房、录井房、配电房、发电房、罐区、不落地系统等，井场平面布置如图</w:t>
            </w:r>
            <w:r>
              <w:rPr>
                <w:rFonts w:hint="default" w:ascii="Times New Roman" w:hAnsi="Times New Roman" w:cs="Times New Roman"/>
                <w:lang w:val="en-US" w:eastAsia="zh-CN"/>
              </w:rPr>
              <w:t>2-3</w:t>
            </w:r>
            <w:r>
              <w:rPr>
                <w:rFonts w:hint="default" w:ascii="Times New Roman" w:hAnsi="Times New Roman" w:cs="Times New Roman"/>
              </w:rPr>
              <w:t>所示。</w:t>
            </w:r>
          </w:p>
          <w:p>
            <w:pPr>
              <w:pStyle w:val="59"/>
              <w:ind w:left="0" w:leftChars="0" w:firstLine="0" w:firstLineChars="0"/>
              <w:jc w:val="center"/>
              <w:rPr>
                <w:rFonts w:hint="eastAsia"/>
              </w:rPr>
            </w:pPr>
            <w:r>
              <w:rPr>
                <w:sz w:val="21"/>
                <w:szCs w:val="21"/>
              </w:rPr>
              <w:drawing>
                <wp:anchor distT="0" distB="0" distL="114300" distR="114300" simplePos="0" relativeHeight="251660288" behindDoc="0" locked="0" layoutInCell="1" allowOverlap="1">
                  <wp:simplePos x="0" y="0"/>
                  <wp:positionH relativeFrom="column">
                    <wp:posOffset>156210</wp:posOffset>
                  </wp:positionH>
                  <wp:positionV relativeFrom="paragraph">
                    <wp:posOffset>238125</wp:posOffset>
                  </wp:positionV>
                  <wp:extent cx="4359910" cy="2451100"/>
                  <wp:effectExtent l="0" t="0" r="2540" b="635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4359910" cy="2451100"/>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宋体" w:cs="Times New Roman"/>
                <w:b/>
                <w:bCs/>
                <w:color w:val="000000"/>
                <w:kern w:val="0"/>
                <w:sz w:val="21"/>
                <w:szCs w:val="21"/>
                <w:lang w:val="en-US" w:eastAsia="zh-CN" w:bidi="ar"/>
              </w:rPr>
              <w:t>2</w:t>
            </w:r>
            <w:r>
              <w:rPr>
                <w:rFonts w:hint="eastAsia" w:ascii="Times New Roman" w:hAnsi="Times New Roman" w:cs="Times New Roman"/>
                <w:b/>
                <w:bCs/>
                <w:color w:val="000000"/>
                <w:kern w:val="0"/>
                <w:sz w:val="21"/>
                <w:szCs w:val="21"/>
                <w:lang w:val="en-US" w:eastAsia="zh-CN" w:bidi="ar"/>
              </w:rPr>
              <w:t>-3</w:t>
            </w:r>
            <w:r>
              <w:rPr>
                <w:rFonts w:hint="eastAsia" w:ascii="宋体" w:hAnsi="宋体" w:eastAsia="宋体" w:cs="宋体"/>
                <w:b/>
                <w:bCs/>
                <w:color w:val="000000"/>
                <w:kern w:val="0"/>
                <w:sz w:val="21"/>
                <w:szCs w:val="21"/>
                <w:lang w:val="en-US" w:eastAsia="zh-CN" w:bidi="ar"/>
              </w:rPr>
              <w:t>钻井井场平面布置示意图</w:t>
            </w:r>
          </w:p>
          <w:p>
            <w:pPr>
              <w:pStyle w:val="59"/>
              <w:ind w:firstLine="482"/>
              <w:rPr>
                <w:b/>
                <w:bCs/>
              </w:rPr>
            </w:pPr>
            <w:r>
              <w:rPr>
                <w:rFonts w:hint="eastAsia"/>
                <w:b/>
                <w:bCs/>
              </w:rPr>
              <w:t>2、试油期井场平面布置</w:t>
            </w:r>
          </w:p>
          <w:p>
            <w:pPr>
              <w:pStyle w:val="59"/>
              <w:ind w:firstLine="480"/>
              <w:rPr>
                <w:rFonts w:hint="eastAsia"/>
                <w:kern w:val="2"/>
              </w:rPr>
            </w:pPr>
            <w:r>
              <w:rPr>
                <w:rFonts w:hint="eastAsia"/>
                <w:kern w:val="2"/>
              </w:rPr>
              <w:t>试油期井场布置井口方罐、发电机房、值班房、井口放喷罐、消防沙箱等设施并设置紧急集合点，平面布置见图</w:t>
            </w:r>
            <w:r>
              <w:rPr>
                <w:rFonts w:hint="eastAsia"/>
                <w:kern w:val="2"/>
                <w:lang w:val="en-US" w:eastAsia="zh-CN"/>
              </w:rPr>
              <w:t>2-4</w:t>
            </w:r>
            <w:r>
              <w:rPr>
                <w:rFonts w:hint="eastAsia"/>
                <w:kern w:val="2"/>
              </w:rPr>
              <w:t>。</w:t>
            </w:r>
          </w:p>
          <w:p>
            <w:pPr>
              <w:keepNext w:val="0"/>
              <w:keepLines w:val="0"/>
              <w:widowControl/>
              <w:suppressLineNumbers w:val="0"/>
              <w:jc w:val="center"/>
              <w:rPr>
                <w:rFonts w:hint="eastAsia"/>
                <w:kern w:val="2"/>
              </w:rPr>
            </w:pPr>
            <w:r>
              <w:rPr>
                <w:sz w:val="21"/>
                <w:szCs w:val="21"/>
              </w:rPr>
              <w:drawing>
                <wp:anchor distT="0" distB="0" distL="114300" distR="114300" simplePos="0" relativeHeight="251661312" behindDoc="0" locked="0" layoutInCell="1" allowOverlap="1">
                  <wp:simplePos x="0" y="0"/>
                  <wp:positionH relativeFrom="column">
                    <wp:posOffset>420370</wp:posOffset>
                  </wp:positionH>
                  <wp:positionV relativeFrom="paragraph">
                    <wp:posOffset>101600</wp:posOffset>
                  </wp:positionV>
                  <wp:extent cx="4695190" cy="3477260"/>
                  <wp:effectExtent l="0" t="0" r="10160" b="8890"/>
                  <wp:wrapTopAndBottom/>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9"/>
                          <a:stretch>
                            <a:fillRect/>
                          </a:stretch>
                        </pic:blipFill>
                        <pic:spPr>
                          <a:xfrm>
                            <a:off x="0" y="0"/>
                            <a:ext cx="4695190" cy="3477260"/>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宋体" w:cs="Times New Roman"/>
                <w:b/>
                <w:bCs/>
                <w:color w:val="000000"/>
                <w:kern w:val="0"/>
                <w:sz w:val="21"/>
                <w:szCs w:val="21"/>
                <w:lang w:val="en-US" w:eastAsia="zh-CN" w:bidi="ar"/>
              </w:rPr>
              <w:t>2-</w:t>
            </w:r>
            <w:r>
              <w:rPr>
                <w:rFonts w:hint="eastAsia" w:cs="Times New Roman"/>
                <w:b/>
                <w:bCs/>
                <w:color w:val="000000"/>
                <w:kern w:val="0"/>
                <w:sz w:val="21"/>
                <w:szCs w:val="21"/>
                <w:lang w:val="en-US" w:eastAsia="zh-CN" w:bidi="ar"/>
              </w:rPr>
              <w:t>4</w:t>
            </w:r>
            <w:r>
              <w:rPr>
                <w:rFonts w:hint="eastAsia" w:ascii="宋体" w:hAnsi="宋体" w:eastAsia="宋体" w:cs="宋体"/>
                <w:b/>
                <w:bCs/>
                <w:color w:val="000000"/>
                <w:kern w:val="0"/>
                <w:sz w:val="21"/>
                <w:szCs w:val="21"/>
                <w:lang w:val="en-US" w:eastAsia="zh-CN" w:bidi="ar"/>
              </w:rPr>
              <w:t>油气测试井场平面布置图示意图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67" w:type="pct"/>
            <w:vAlign w:val="center"/>
          </w:tcPr>
          <w:p>
            <w:pPr>
              <w:adjustRightInd w:val="0"/>
              <w:snapToGrid w:val="0"/>
              <w:jc w:val="center"/>
              <w:rPr>
                <w:rFonts w:ascii="宋体" w:hAnsi="宋体" w:cs="宋体"/>
                <w:kern w:val="0"/>
                <w:sz w:val="24"/>
              </w:rPr>
            </w:pPr>
            <w:r>
              <w:rPr>
                <w:rFonts w:hint="eastAsia" w:ascii="宋体" w:hAnsi="宋体" w:cs="宋体"/>
                <w:kern w:val="0"/>
                <w:sz w:val="24"/>
              </w:rPr>
              <w:t>施工方案</w:t>
            </w:r>
          </w:p>
        </w:tc>
        <w:tc>
          <w:tcPr>
            <w:tcW w:w="4732" w:type="pct"/>
            <w:vAlign w:val="center"/>
          </w:tcPr>
          <w:p>
            <w:pPr>
              <w:pStyle w:val="59"/>
              <w:spacing w:line="360" w:lineRule="auto"/>
              <w:ind w:firstLine="480"/>
              <w:rPr>
                <w:lang w:bidi="ar"/>
              </w:rPr>
            </w:pPr>
            <w:r>
              <w:rPr>
                <w:rFonts w:hint="eastAsia"/>
                <w:lang w:bidi="ar"/>
              </w:rPr>
              <w:t>本次勘探目的是探明区域含油气性质和储层分布，扩大勘探成果，施工时序依次为钻井、试油、完井三部分。</w:t>
            </w:r>
          </w:p>
          <w:p>
            <w:pPr>
              <w:pStyle w:val="59"/>
              <w:numPr>
                <w:ilvl w:val="0"/>
                <w:numId w:val="0"/>
              </w:numPr>
              <w:spacing w:line="360" w:lineRule="auto"/>
              <w:ind w:firstLine="482" w:firstLineChars="200"/>
              <w:rPr>
                <w:rFonts w:hint="eastAsia" w:hAnsi="等线" w:cs="宋体"/>
                <w:b/>
                <w:bCs/>
                <w:lang w:val="en-US" w:eastAsia="zh-CN" w:bidi="ar"/>
              </w:rPr>
            </w:pPr>
            <w:r>
              <w:rPr>
                <w:rFonts w:hint="eastAsia" w:hAnsi="等线" w:cs="宋体"/>
                <w:b/>
                <w:bCs/>
                <w:lang w:val="en-US" w:eastAsia="zh-CN" w:bidi="ar"/>
              </w:rPr>
              <w:t>1、</w:t>
            </w:r>
            <w:r>
              <w:rPr>
                <w:rFonts w:hint="eastAsia" w:hAnsi="等线" w:cs="宋体"/>
                <w:b/>
                <w:bCs/>
                <w:lang w:bidi="ar"/>
              </w:rPr>
              <w:t>钻井</w:t>
            </w:r>
            <w:r>
              <w:rPr>
                <w:rFonts w:hint="eastAsia" w:hAnsi="等线" w:cs="宋体"/>
                <w:b/>
                <w:bCs/>
                <w:lang w:val="en-US" w:eastAsia="zh-CN" w:bidi="ar"/>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钻井工艺流程及产污位置见图2-</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default" w:ascii="宋体" w:hAnsi="宋体" w:eastAsia="宋体" w:cs="宋体"/>
                <w:b/>
                <w:bCs/>
                <w:color w:val="000000"/>
                <w:kern w:val="0"/>
                <w:sz w:val="21"/>
                <w:szCs w:val="21"/>
                <w:lang w:val="en-US" w:eastAsia="zh-CN" w:bidi="ar"/>
              </w:rPr>
              <w:drawing>
                <wp:anchor distT="0" distB="0" distL="114300" distR="114300" simplePos="0" relativeHeight="251662336" behindDoc="0" locked="0" layoutInCell="1" allowOverlap="1">
                  <wp:simplePos x="0" y="0"/>
                  <wp:positionH relativeFrom="column">
                    <wp:posOffset>418465</wp:posOffset>
                  </wp:positionH>
                  <wp:positionV relativeFrom="paragraph">
                    <wp:posOffset>146050</wp:posOffset>
                  </wp:positionV>
                  <wp:extent cx="5003800" cy="2033905"/>
                  <wp:effectExtent l="0" t="0" r="6350" b="4445"/>
                  <wp:wrapTopAndBottom/>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0"/>
                          <a:srcRect b="14309"/>
                          <a:stretch>
                            <a:fillRect/>
                          </a:stretch>
                        </pic:blipFill>
                        <pic:spPr>
                          <a:xfrm>
                            <a:off x="0" y="0"/>
                            <a:ext cx="5003800" cy="2033905"/>
                          </a:xfrm>
                          <a:prstGeom prst="rect">
                            <a:avLst/>
                          </a:prstGeom>
                          <a:noFill/>
                          <a:ln>
                            <a:noFill/>
                          </a:ln>
                        </pic:spPr>
                      </pic:pic>
                    </a:graphicData>
                  </a:graphic>
                </wp:anchor>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2-5</w:t>
            </w:r>
            <w:r>
              <w:rPr>
                <w:rFonts w:hint="eastAsia" w:ascii="宋体" w:hAnsi="宋体" w:eastAsia="宋体" w:cs="宋体"/>
                <w:b/>
                <w:bCs/>
                <w:color w:val="000000"/>
                <w:kern w:val="0"/>
                <w:sz w:val="21"/>
                <w:szCs w:val="21"/>
                <w:lang w:val="en-US" w:eastAsia="zh-CN" w:bidi="ar"/>
              </w:rPr>
              <w:t xml:space="preserve"> 钻井工艺流程及产污节点图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钻井工程包括：钻前作业、设备</w:t>
            </w:r>
            <w:r>
              <w:rPr>
                <w:rFonts w:hint="eastAsia" w:ascii="宋体" w:hAnsi="宋体" w:eastAsia="宋体" w:cs="宋体"/>
                <w:color w:val="000000"/>
                <w:kern w:val="0"/>
                <w:sz w:val="24"/>
                <w:szCs w:val="24"/>
                <w:lang w:val="en-US" w:eastAsia="zh-CN" w:bidi="ar"/>
              </w:rPr>
              <w:t>进场，钻井施工、试油作业、地貌恢复。</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1.1钻前作业</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（1）钻前整理场地，并保证全套钻井设备达到相关的安装标准。</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（2）在钻机安装的过程中，注意保护井口设备。</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（3）要求天车、转盘、井口三点成一条铅垂线，误差小于10mm；确保在施工过程中不偏磨井口套管及井控设备。</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（4）设备运转正常，安全装置灵活好用。各种仪器仪表准确灵敏好用。</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（5）地面高压管线用清水按标准试压。</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（6）钻具在入井前必须用通径规通径。</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（7）对所有的下井钻具进行外观检查和超声波探伤，准确丈量钻具，钻具记录上注明内外径、扣型，特殊工具要画草图。</w:t>
            </w:r>
          </w:p>
          <w:p>
            <w:pPr>
              <w:keepNext w:val="0"/>
              <w:keepLines w:val="0"/>
              <w:widowControl/>
              <w:suppressLineNumbers w:val="0"/>
              <w:spacing w:line="360" w:lineRule="auto"/>
              <w:ind w:firstLine="480" w:firstLineChars="200"/>
              <w:jc w:val="both"/>
              <w:rPr>
                <w:rFonts w:hint="default"/>
              </w:rPr>
            </w:pPr>
            <w:r>
              <w:rPr>
                <w:rFonts w:hint="default" w:ascii="Times New Roman" w:hAnsi="Times New Roman" w:eastAsia="宋体" w:cs="Times New Roman"/>
                <w:color w:val="000000"/>
                <w:kern w:val="0"/>
                <w:sz w:val="24"/>
                <w:szCs w:val="24"/>
                <w:lang w:val="en-US" w:eastAsia="zh-CN" w:bidi="ar"/>
              </w:rPr>
              <w:t>（8）修建进场道路。</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1.2钻井施工</w:t>
            </w:r>
          </w:p>
          <w:p>
            <w:pPr>
              <w:keepNext w:val="0"/>
              <w:keepLines w:val="0"/>
              <w:widowControl/>
              <w:suppressLineNumbers w:val="0"/>
              <w:spacing w:line="360" w:lineRule="auto"/>
              <w:ind w:firstLine="420" w:firstLineChars="200"/>
              <w:jc w:val="both"/>
            </w:pPr>
            <w:r>
              <w:drawing>
                <wp:anchor distT="0" distB="0" distL="114300" distR="114300" simplePos="0" relativeHeight="251663360" behindDoc="0" locked="0" layoutInCell="1" allowOverlap="1">
                  <wp:simplePos x="0" y="0"/>
                  <wp:positionH relativeFrom="column">
                    <wp:posOffset>643255</wp:posOffset>
                  </wp:positionH>
                  <wp:positionV relativeFrom="paragraph">
                    <wp:posOffset>1200785</wp:posOffset>
                  </wp:positionV>
                  <wp:extent cx="4060825" cy="3087370"/>
                  <wp:effectExtent l="0" t="0" r="15875" b="17780"/>
                  <wp:wrapTopAndBottom/>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1"/>
                          <a:stretch>
                            <a:fillRect/>
                          </a:stretch>
                        </pic:blipFill>
                        <pic:spPr>
                          <a:xfrm>
                            <a:off x="0" y="0"/>
                            <a:ext cx="4060825" cy="3087370"/>
                          </a:xfrm>
                          <a:prstGeom prst="rect">
                            <a:avLst/>
                          </a:prstGeom>
                          <a:noFill/>
                          <a:ln>
                            <a:noFill/>
                          </a:ln>
                        </pic:spPr>
                      </pic:pic>
                    </a:graphicData>
                  </a:graphic>
                </wp:anchor>
              </w:drawing>
            </w:r>
            <w:r>
              <w:rPr>
                <w:rFonts w:hint="default" w:ascii="Times New Roman" w:hAnsi="Times New Roman" w:eastAsia="宋体" w:cs="Times New Roman"/>
                <w:color w:val="000000"/>
                <w:kern w:val="0"/>
                <w:sz w:val="24"/>
                <w:szCs w:val="24"/>
                <w:lang w:val="en-US" w:eastAsia="zh-CN" w:bidi="ar"/>
              </w:rPr>
              <w:t>钻井是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eastAsia"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2-6</w:t>
            </w:r>
            <w:r>
              <w:rPr>
                <w:rFonts w:hint="eastAsia" w:ascii="宋体" w:hAnsi="宋体" w:eastAsia="宋体" w:cs="宋体"/>
                <w:b/>
                <w:bCs/>
                <w:color w:val="000000"/>
                <w:kern w:val="0"/>
                <w:sz w:val="21"/>
                <w:szCs w:val="21"/>
                <w:lang w:val="en-US" w:eastAsia="zh-CN" w:bidi="ar"/>
              </w:rPr>
              <w:t xml:space="preserve"> 钻井</w:t>
            </w:r>
            <w:r>
              <w:rPr>
                <w:rFonts w:hint="eastAsia" w:ascii="宋体" w:hAnsi="宋体" w:cs="宋体"/>
                <w:b/>
                <w:bCs/>
                <w:color w:val="000000"/>
                <w:kern w:val="0"/>
                <w:sz w:val="21"/>
                <w:szCs w:val="21"/>
                <w:lang w:val="en-US" w:eastAsia="zh-CN" w:bidi="ar"/>
              </w:rPr>
              <w:t>施工作业</w:t>
            </w:r>
            <w:r>
              <w:rPr>
                <w:rFonts w:hint="eastAsia" w:ascii="宋体" w:hAnsi="宋体" w:eastAsia="宋体" w:cs="宋体"/>
                <w:b/>
                <w:bCs/>
                <w:color w:val="000000"/>
                <w:kern w:val="0"/>
                <w:sz w:val="21"/>
                <w:szCs w:val="21"/>
                <w:lang w:val="en-US" w:eastAsia="zh-CN" w:bidi="ar"/>
              </w:rPr>
              <w:t>流程及产污节点图</w:t>
            </w:r>
          </w:p>
          <w:p>
            <w:pPr>
              <w:keepNext w:val="0"/>
              <w:keepLines w:val="0"/>
              <w:widowControl/>
              <w:suppressLineNumbers w:val="0"/>
              <w:spacing w:line="360" w:lineRule="auto"/>
              <w:ind w:firstLine="480" w:firstLineChars="200"/>
              <w:jc w:val="both"/>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钻井时井筒排出的钻井泥浆及岩屑进入泥浆不落地循环系统，该系统设置振动筛、除砂器、除泥器、离心机四级处理，经四级处理后，岩屑与钻井液完全分离，钻井液返回井筒，岩屑排至岩屑储罐暂存。 钻井泥浆不落地装置示意图</w:t>
            </w:r>
            <w:r>
              <w:rPr>
                <w:rFonts w:hint="eastAsia" w:ascii="宋体" w:hAnsi="宋体" w:cs="宋体"/>
                <w:color w:val="000000"/>
                <w:kern w:val="0"/>
                <w:sz w:val="24"/>
                <w:szCs w:val="24"/>
                <w:lang w:val="en-US" w:eastAsia="zh-CN" w:bidi="ar"/>
              </w:rPr>
              <w:t>见图2-7。</w:t>
            </w:r>
          </w:p>
          <w:p>
            <w:pPr>
              <w:keepNext w:val="0"/>
              <w:keepLines w:val="0"/>
              <w:widowControl/>
              <w:suppressLineNumbers w:val="0"/>
              <w:spacing w:line="360" w:lineRule="auto"/>
              <w:ind w:firstLine="480" w:firstLineChars="200"/>
              <w:jc w:val="both"/>
            </w:pPr>
            <w:r>
              <w:rPr>
                <w:rFonts w:hint="eastAsia" w:ascii="宋体" w:hAnsi="宋体" w:eastAsia="宋体" w:cs="宋体"/>
                <w:color w:val="000000"/>
                <w:kern w:val="0"/>
                <w:sz w:val="24"/>
                <w:szCs w:val="24"/>
                <w:lang w:val="en-US" w:eastAsia="zh-CN" w:bidi="ar"/>
              </w:rPr>
              <w:t>钻井过程中使用水基钻井液</w:t>
            </w:r>
            <w:r>
              <w:rPr>
                <w:rFonts w:hint="eastAsia" w:ascii="宋体" w:hAnsi="宋体" w:cs="宋体"/>
                <w:color w:val="000000"/>
                <w:kern w:val="0"/>
                <w:sz w:val="24"/>
                <w:szCs w:val="24"/>
                <w:lang w:val="en-US" w:eastAsia="zh-CN" w:bidi="ar"/>
              </w:rPr>
              <w:t>和油基钻井液</w:t>
            </w:r>
            <w:r>
              <w:rPr>
                <w:rFonts w:hint="eastAsia" w:ascii="宋体" w:hAnsi="宋体" w:eastAsia="宋体" w:cs="宋体"/>
                <w:color w:val="000000"/>
                <w:kern w:val="0"/>
                <w:sz w:val="24"/>
                <w:szCs w:val="24"/>
                <w:lang w:val="en-US" w:eastAsia="zh-CN" w:bidi="ar"/>
              </w:rPr>
              <w:t>，钻井泥浆及岩屑使用井场不落地系统进行处理。工艺流程如下：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）钻井井口产生的钻井泥浆、岩屑混合物经振动筛、除砂器、除泥器、离心机四级实现初步分离，分离出的液相进入废水收集罐，用于钻井液配制</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分离出的混合物进入收集箱待进一步处理。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收集箱中的混合物经不落地系统进一步固液分离，进入岩屑储罐暂存，钻井一开采用水基钻井液，二开采用油基钻井液；分离出的液相回用于钻井，水基岩屑实现无害化处置，油基钻井岩屑和废弃油基钻井泥浆委托有资质的单位进行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4"/>
                <w:szCs w:val="24"/>
                <w:lang w:val="en-US" w:eastAsia="zh-CN" w:bidi="ar"/>
              </w:rPr>
            </w:pPr>
            <w:r>
              <w:drawing>
                <wp:anchor distT="0" distB="0" distL="114300" distR="114300" simplePos="0" relativeHeight="251664384" behindDoc="0" locked="0" layoutInCell="1" allowOverlap="1">
                  <wp:simplePos x="0" y="0"/>
                  <wp:positionH relativeFrom="column">
                    <wp:posOffset>-24130</wp:posOffset>
                  </wp:positionH>
                  <wp:positionV relativeFrom="paragraph">
                    <wp:posOffset>695960</wp:posOffset>
                  </wp:positionV>
                  <wp:extent cx="5102860" cy="3362960"/>
                  <wp:effectExtent l="0" t="0" r="2540" b="889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102860" cy="3362960"/>
                          </a:xfrm>
                          <a:prstGeom prst="rect">
                            <a:avLst/>
                          </a:prstGeom>
                          <a:noFill/>
                          <a:ln>
                            <a:noFill/>
                          </a:ln>
                        </pic:spPr>
                      </pic:pic>
                    </a:graphicData>
                  </a:graphic>
                </wp:anchor>
              </w:drawing>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）钻井结束后剩余钻井泥浆由钻井队回收，送至下个井场循环利用，不外排；防渗膜由钻井队回收利用。</w:t>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2-7</w:t>
            </w:r>
            <w:r>
              <w:rPr>
                <w:rFonts w:hint="eastAsia" w:ascii="宋体" w:hAnsi="宋体" w:eastAsia="宋体" w:cs="宋体"/>
                <w:b/>
                <w:bCs/>
                <w:color w:val="000000"/>
                <w:kern w:val="0"/>
                <w:sz w:val="21"/>
                <w:szCs w:val="21"/>
                <w:lang w:val="en-US" w:eastAsia="zh-CN" w:bidi="ar"/>
              </w:rPr>
              <w:t xml:space="preserve"> </w:t>
            </w:r>
            <w:r>
              <w:rPr>
                <w:rFonts w:hint="eastAsia" w:ascii="宋体" w:hAnsi="宋体" w:cs="宋体"/>
                <w:b/>
                <w:bCs/>
                <w:color w:val="000000"/>
                <w:kern w:val="0"/>
                <w:sz w:val="21"/>
                <w:szCs w:val="21"/>
                <w:lang w:val="en-US" w:eastAsia="zh-CN" w:bidi="ar"/>
              </w:rPr>
              <w:t>钻井泥浆不落地装置示意图</w:t>
            </w:r>
          </w:p>
          <w:p>
            <w:pPr>
              <w:keepNext w:val="0"/>
              <w:keepLines w:val="0"/>
              <w:widowControl/>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1.3</w:t>
            </w:r>
            <w:r>
              <w:rPr>
                <w:rFonts w:hint="eastAsia" w:ascii="Times New Roman" w:hAnsi="Times New Roman" w:eastAsia="宋体" w:cs="Times New Roman"/>
                <w:b/>
                <w:bCs/>
                <w:color w:val="000000"/>
                <w:kern w:val="0"/>
                <w:sz w:val="24"/>
                <w:szCs w:val="24"/>
                <w:lang w:val="en-US" w:eastAsia="zh-CN" w:bidi="ar"/>
              </w:rPr>
              <w:t>固井作业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固井是在已钻成的井眼内下入套管，然后在套管与井壁之间环空内注入水泥浆将套管和地层固结在一起的工艺过程，可防止复杂情况以保证安全继续钻进下一段井眼或保证顺利开采生产层中的油、气。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pStyle w:val="59"/>
              <w:numPr>
                <w:ilvl w:val="0"/>
                <w:numId w:val="0"/>
              </w:numPr>
              <w:spacing w:line="360" w:lineRule="auto"/>
              <w:ind w:firstLine="480" w:firstLineChars="200"/>
              <w:jc w:val="both"/>
              <w:rPr>
                <w:rFonts w:hint="default" w:hAnsi="等线" w:cs="宋体"/>
                <w:b/>
                <w:bCs/>
                <w:lang w:val="en-US" w:eastAsia="zh-CN" w:bidi="ar"/>
              </w:rPr>
            </w:pPr>
            <w:r>
              <w:rPr>
                <w:rFonts w:hint="eastAsia" w:ascii="宋体" w:hAnsi="宋体" w:eastAsia="宋体" w:cs="宋体"/>
                <w:color w:val="000000"/>
                <w:kern w:val="0"/>
                <w:sz w:val="24"/>
                <w:szCs w:val="24"/>
                <w:lang w:val="en-US" w:eastAsia="zh-CN" w:bidi="ar"/>
              </w:rPr>
              <w:t>另外，现场施工前根据实际情况要作水泥浆配方及性能复核试验，同时，如果是钻进中井漏严重，则应考虑采用双凝水泥浆体系固井，从而提高固井质量，防止因为井漏事故造成地下水环境污染。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试油作业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试油就是利用专用的设备和方法，对通过地震勘察、钻井录井、测井等间接手段初步确定的可能含油（气）层位进行直接的测试，并取得目的层的产能、压力、温度、油气水性质以及地质资料的工艺过程。试油作业流程见图</w:t>
            </w:r>
            <w:r>
              <w:rPr>
                <w:rFonts w:hint="default" w:ascii="Times New Roman" w:hAnsi="Times New Roman" w:eastAsia="宋体" w:cs="Times New Roman"/>
                <w:color w:val="000000"/>
                <w:kern w:val="0"/>
                <w:sz w:val="24"/>
                <w:szCs w:val="24"/>
                <w:lang w:val="en-US" w:eastAsia="zh-CN" w:bidi="ar"/>
              </w:rPr>
              <w:t>2-</w:t>
            </w:r>
            <w:r>
              <w:rPr>
                <w:rFonts w:hint="eastAsia"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drawing>
                <wp:anchor distT="0" distB="0" distL="114300" distR="114300" simplePos="0" relativeHeight="251665408" behindDoc="0" locked="0" layoutInCell="1" allowOverlap="1">
                  <wp:simplePos x="0" y="0"/>
                  <wp:positionH relativeFrom="column">
                    <wp:posOffset>74930</wp:posOffset>
                  </wp:positionH>
                  <wp:positionV relativeFrom="paragraph">
                    <wp:posOffset>39370</wp:posOffset>
                  </wp:positionV>
                  <wp:extent cx="4775200" cy="2530475"/>
                  <wp:effectExtent l="0" t="0" r="0" b="0"/>
                  <wp:wrapTopAndBottom/>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3"/>
                          <a:srcRect b="7088"/>
                          <a:stretch>
                            <a:fillRect/>
                          </a:stretch>
                        </pic:blipFill>
                        <pic:spPr>
                          <a:xfrm>
                            <a:off x="0" y="0"/>
                            <a:ext cx="4775200" cy="2530475"/>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图2-</w:t>
            </w:r>
            <w:r>
              <w:rPr>
                <w:rFonts w:hint="eastAsia" w:ascii="宋体" w:hAnsi="宋体" w:cs="宋体"/>
                <w:b/>
                <w:bCs/>
                <w:color w:val="000000"/>
                <w:kern w:val="0"/>
                <w:sz w:val="21"/>
                <w:szCs w:val="21"/>
                <w:lang w:val="en-US" w:eastAsia="zh-CN" w:bidi="ar"/>
              </w:rPr>
              <w:t>8</w:t>
            </w:r>
            <w:r>
              <w:rPr>
                <w:rFonts w:hint="eastAsia" w:ascii="宋体" w:hAnsi="宋体" w:eastAsia="宋体" w:cs="宋体"/>
                <w:b/>
                <w:bCs/>
                <w:color w:val="000000"/>
                <w:kern w:val="0"/>
                <w:sz w:val="21"/>
                <w:szCs w:val="21"/>
                <w:lang w:val="en-US" w:eastAsia="zh-CN" w:bidi="ar"/>
              </w:rPr>
              <w:t xml:space="preserve"> 试油作业流程及产污节点图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钻后工程</w:t>
            </w:r>
          </w:p>
          <w:p>
            <w:pPr>
              <w:pStyle w:val="59"/>
              <w:numPr>
                <w:ilvl w:val="0"/>
                <w:numId w:val="0"/>
              </w:numPr>
              <w:spacing w:line="520" w:lineRule="exact"/>
              <w:ind w:firstLine="480" w:firstLineChars="200"/>
              <w:rPr>
                <w:rFonts w:hint="default" w:hAnsi="等线" w:cs="宋体"/>
                <w:b/>
                <w:bCs/>
                <w:lang w:val="en-US" w:eastAsia="zh-CN" w:bidi="ar"/>
              </w:rPr>
            </w:pPr>
            <w:r>
              <w:rPr>
                <w:rFonts w:hint="eastAsia" w:ascii="宋体" w:hAnsi="宋体" w:eastAsia="宋体" w:cs="宋体"/>
                <w:color w:val="000000"/>
                <w:kern w:val="0"/>
                <w:sz w:val="24"/>
                <w:szCs w:val="24"/>
                <w:lang w:val="en-US" w:eastAsia="zh-CN" w:bidi="ar"/>
              </w:rPr>
              <w:t>测试完井后。要换装井口装置，有油时井口需换装采油树，其余设施将拆除、搬迁，钻井液材料全部进行回收，井场无遗留，钻井过程中产生的各类废物进行清理，并进行产能建设</w:t>
            </w:r>
            <w:r>
              <w:rPr>
                <w:rFonts w:hint="eastAsia" w:cs="宋体"/>
                <w:color w:val="000000"/>
                <w:kern w:val="0"/>
                <w:sz w:val="24"/>
                <w:szCs w:val="24"/>
                <w:lang w:val="en-US" w:eastAsia="zh-CN" w:bidi="ar"/>
              </w:rPr>
              <w:t>项目</w:t>
            </w:r>
            <w:r>
              <w:rPr>
                <w:rFonts w:hint="eastAsia" w:ascii="宋体" w:hAnsi="宋体" w:eastAsia="宋体" w:cs="宋体"/>
                <w:color w:val="000000"/>
                <w:kern w:val="0"/>
                <w:sz w:val="24"/>
                <w:szCs w:val="24"/>
                <w:lang w:val="en-US" w:eastAsia="zh-CN" w:bidi="ar"/>
              </w:rPr>
              <w:t>的环境影响评价，若该井无开采价值，则将井口用水泥封固，预计</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天。</w:t>
            </w:r>
          </w:p>
          <w:p>
            <w:pPr>
              <w:pStyle w:val="12"/>
              <w:spacing w:before="56" w:line="343" w:lineRule="auto"/>
              <w:ind w:right="85" w:firstLine="480" w:firstLineChars="200"/>
              <w:jc w:val="left"/>
              <w:rPr>
                <w:rFonts w:ascii="宋体" w:hAnsi="宋体" w:cs="宋体"/>
                <w:color w:val="FF0000"/>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67" w:type="pct"/>
            <w:vAlign w:val="center"/>
          </w:tcPr>
          <w:p>
            <w:pPr>
              <w:adjustRightInd w:val="0"/>
              <w:snapToGrid w:val="0"/>
              <w:jc w:val="center"/>
              <w:rPr>
                <w:rFonts w:hint="eastAsia" w:ascii="宋体" w:hAnsi="宋体" w:eastAsia="宋体" w:cs="宋体"/>
                <w:color w:val="000000"/>
                <w:kern w:val="0"/>
                <w:sz w:val="24"/>
                <w:szCs w:val="24"/>
                <w:lang w:val="en-US" w:eastAsia="zh-CN" w:bidi="ar"/>
              </w:rPr>
            </w:pPr>
          </w:p>
          <w:p>
            <w:pPr>
              <w:adjustRightInd w:val="0"/>
              <w:snapToGrid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其他</w:t>
            </w:r>
          </w:p>
          <w:p>
            <w:pPr>
              <w:pStyle w:val="2"/>
              <w:jc w:val="both"/>
              <w:rPr>
                <w:rFonts w:hint="eastAsia"/>
              </w:rPr>
            </w:pPr>
          </w:p>
          <w:p>
            <w:pPr>
              <w:rPr>
                <w:rFonts w:hint="eastAsia"/>
              </w:rPr>
            </w:pPr>
          </w:p>
          <w:p>
            <w:pPr>
              <w:pStyle w:val="2"/>
              <w:rPr>
                <w:rFonts w:hint="eastAsia"/>
              </w:rPr>
            </w:pPr>
          </w:p>
          <w:p/>
        </w:tc>
        <w:tc>
          <w:tcPr>
            <w:tcW w:w="4732" w:type="pct"/>
            <w:vAlign w:val="center"/>
          </w:tcPr>
          <w:p>
            <w:pPr>
              <w:pStyle w:val="12"/>
              <w:spacing w:before="0" w:after="0" w:line="500" w:lineRule="exact"/>
              <w:ind w:right="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无</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pPr>
          </w:p>
        </w:tc>
      </w:tr>
    </w:tbl>
    <w:p>
      <w:pPr>
        <w:pStyle w:val="4"/>
        <w:rPr>
          <w:snapToGrid w:val="0"/>
        </w:rPr>
      </w:pPr>
      <w:bookmarkStart w:id="12" w:name="_Hlk129620335"/>
      <w:r>
        <w:rPr>
          <w:rFonts w:hint="eastAsia"/>
          <w:snapToGrid w:val="0"/>
        </w:rPr>
        <w:t>三、生态环境现状、保护目标及评价标准</w:t>
      </w:r>
    </w:p>
    <w:bookmarkEnd w:id="12"/>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54"/>
        <w:gridCol w:w="848"/>
        <w:gridCol w:w="1084"/>
        <w:gridCol w:w="1818"/>
        <w:gridCol w:w="4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97" w:hRule="atLeast"/>
          <w:jc w:val="center"/>
        </w:trPr>
        <w:tc>
          <w:tcPr>
            <w:tcW w:w="185" w:type="pct"/>
            <w:vAlign w:val="center"/>
          </w:tcPr>
          <w:p>
            <w:pPr>
              <w:adjustRightInd w:val="0"/>
              <w:snapToGrid w:val="0"/>
              <w:jc w:val="center"/>
              <w:rPr>
                <w:rFonts w:ascii="宋体" w:hAnsi="宋体" w:cs="宋体"/>
                <w:kern w:val="0"/>
                <w:szCs w:val="21"/>
              </w:rPr>
            </w:pPr>
            <w:bookmarkStart w:id="13" w:name="_Hlk129620346"/>
            <w:r>
              <w:rPr>
                <w:rFonts w:hint="eastAsia" w:ascii="宋体" w:hAnsi="宋体" w:cs="宋体"/>
                <w:kern w:val="0"/>
                <w:sz w:val="24"/>
              </w:rPr>
              <w:t>生态环境现状</w:t>
            </w:r>
            <w:bookmarkEnd w:id="13"/>
          </w:p>
        </w:tc>
        <w:tc>
          <w:tcPr>
            <w:tcW w:w="4814" w:type="pct"/>
            <w:gridSpan w:val="4"/>
            <w:vAlign w:val="center"/>
          </w:tcPr>
          <w:p>
            <w:pPr>
              <w:wordWrap w:val="0"/>
              <w:spacing w:line="500" w:lineRule="exact"/>
              <w:ind w:firstLine="482" w:firstLineChars="200"/>
              <w:rPr>
                <w:rFonts w:ascii="宋体" w:hAnsi="宋体" w:cs="宋体"/>
                <w:b/>
                <w:sz w:val="24"/>
              </w:rPr>
            </w:pPr>
            <w:r>
              <w:rPr>
                <w:rFonts w:hint="eastAsia" w:ascii="宋体" w:hAnsi="等线" w:cs="宋体"/>
                <w:b/>
                <w:sz w:val="24"/>
              </w:rPr>
              <w:t>1、新疆维吾尔自治区主体功能区规划</w:t>
            </w:r>
          </w:p>
          <w:p>
            <w:pPr>
              <w:pStyle w:val="66"/>
              <w:wordWrap w:val="0"/>
              <w:adjustRightInd w:val="0"/>
              <w:snapToGrid w:val="0"/>
              <w:ind w:firstLine="480"/>
              <w:jc w:val="left"/>
            </w:pPr>
            <w:r>
              <w:rPr>
                <w:rFonts w:hint="eastAsia"/>
              </w:rPr>
              <w:t>本项目所在</w:t>
            </w:r>
            <w:r>
              <w:rPr>
                <w:rFonts w:hint="eastAsia"/>
                <w:lang w:val="en-US" w:eastAsia="zh-CN"/>
              </w:rPr>
              <w:t>奇台县</w:t>
            </w:r>
            <w:r>
              <w:rPr>
                <w:rFonts w:hint="eastAsia"/>
              </w:rPr>
              <w:t>位于</w:t>
            </w:r>
            <w:r>
              <w:t>《新疆维吾尔自治区主体功能区规划</w:t>
            </w:r>
            <w:r>
              <w:rPr>
                <w:rFonts w:hint="eastAsia"/>
              </w:rPr>
              <w:t>》</w:t>
            </w:r>
            <w:r>
              <w:rPr>
                <w:rFonts w:hint="eastAsia"/>
                <w:bCs/>
              </w:rPr>
              <w:t>中的国家级重点开发区域（天山北坡地区）</w:t>
            </w:r>
            <w:r>
              <w:rPr>
                <w:rFonts w:hint="eastAsia"/>
              </w:rPr>
              <w:t>，该区域的功能定位是：</w:t>
            </w:r>
            <w:r>
              <w:t>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pPr>
              <w:wordWrap w:val="0"/>
              <w:spacing w:line="500" w:lineRule="exact"/>
              <w:ind w:firstLine="482" w:firstLineChars="200"/>
              <w:rPr>
                <w:rFonts w:ascii="宋体" w:hAnsi="宋体" w:cs="宋体"/>
                <w:b/>
                <w:sz w:val="24"/>
              </w:rPr>
            </w:pPr>
            <w:r>
              <w:rPr>
                <w:rFonts w:hint="eastAsia" w:ascii="宋体" w:hAnsi="宋体" w:cs="宋体"/>
                <w:b/>
                <w:sz w:val="24"/>
              </w:rPr>
              <w:t>2、生态功能区划</w:t>
            </w:r>
          </w:p>
          <w:p>
            <w:pPr>
              <w:wordWrap w:val="0"/>
              <w:snapToGrid w:val="0"/>
              <w:spacing w:line="500" w:lineRule="exact"/>
              <w:ind w:firstLine="480" w:firstLineChars="200"/>
              <w:rPr>
                <w:rFonts w:hint="default" w:ascii="Times New Roman" w:hAnsi="Times New Roman" w:cs="Times New Roman"/>
                <w:kern w:val="0"/>
              </w:rPr>
            </w:pPr>
            <w:r>
              <w:rPr>
                <w:rFonts w:hint="default" w:ascii="Times New Roman" w:hAnsi="Times New Roman" w:cs="Times New Roman"/>
                <w:kern w:val="0"/>
                <w:sz w:val="24"/>
              </w:rPr>
              <w:t>根据《新疆生态功能区划简表》，项目所属生态功能区的主要生态服务功能、主要生态环境问题、主要保护目标和主要发展方向等内容详见</w:t>
            </w:r>
            <w:r>
              <w:rPr>
                <w:rFonts w:hint="default" w:ascii="Times New Roman" w:hAnsi="Times New Roman" w:cs="Times New Roman"/>
                <w:kern w:val="0"/>
                <w:sz w:val="24"/>
                <w:lang w:val="en-US" w:eastAsia="zh-CN"/>
              </w:rPr>
              <w:t>3-1</w:t>
            </w:r>
            <w:r>
              <w:rPr>
                <w:rFonts w:hint="default" w:ascii="Times New Roman" w:hAnsi="Times New Roman" w:cs="Times New Roman"/>
                <w:kern w:val="0"/>
                <w:sz w:val="24"/>
              </w:rPr>
              <w:t>，生态功能区划图详见附图</w:t>
            </w:r>
            <w:r>
              <w:rPr>
                <w:rFonts w:hint="default" w:ascii="Times New Roman" w:hAnsi="Times New Roman" w:cs="Times New Roman"/>
                <w:kern w:val="0"/>
                <w:sz w:val="24"/>
                <w:lang w:val="en-US" w:eastAsia="zh-CN"/>
              </w:rPr>
              <w:t>4</w:t>
            </w:r>
            <w:r>
              <w:rPr>
                <w:rFonts w:hint="default" w:ascii="Times New Roman" w:hAnsi="Times New Roman" w:cs="Times New Roman"/>
                <w:kern w:val="0"/>
                <w:sz w:val="24"/>
              </w:rPr>
              <w:t>。</w:t>
            </w:r>
          </w:p>
          <w:p>
            <w:pPr>
              <w:pStyle w:val="10"/>
              <w:keepNext/>
              <w:rPr>
                <w:rFonts w:hint="default" w:ascii="Times New Roman" w:hAnsi="Times New Roman" w:eastAsia="宋体" w:cs="Times New Roman"/>
                <w:b/>
                <w:bCs/>
                <w:spacing w:val="6"/>
                <w:kern w:val="2"/>
                <w:sz w:val="21"/>
                <w:szCs w:val="21"/>
                <w:lang w:val="en-US" w:eastAsia="zh-CN" w:bidi="ar-SA"/>
              </w:rPr>
            </w:pPr>
            <w:bookmarkStart w:id="14" w:name="_Ref107504039"/>
            <w:r>
              <w:rPr>
                <w:rFonts w:hint="eastAsia" w:ascii="Times New Roman" w:hAnsi="Times New Roman" w:eastAsia="宋体" w:cs="Times New Roman"/>
                <w:b/>
                <w:bCs/>
                <w:spacing w:val="6"/>
                <w:kern w:val="2"/>
                <w:sz w:val="21"/>
                <w:szCs w:val="21"/>
                <w:lang w:val="en-US" w:eastAsia="zh-CN" w:bidi="ar-SA"/>
              </w:rPr>
              <w:t>表</w:t>
            </w:r>
            <w:bookmarkEnd w:id="14"/>
            <w:r>
              <w:rPr>
                <w:rFonts w:hint="eastAsia" w:ascii="Times New Roman" w:hAnsi="Times New Roman" w:eastAsia="宋体" w:cs="Times New Roman"/>
                <w:b/>
                <w:bCs/>
                <w:spacing w:val="6"/>
                <w:kern w:val="2"/>
                <w:sz w:val="21"/>
                <w:szCs w:val="21"/>
                <w:lang w:val="en-US" w:eastAsia="zh-CN" w:bidi="ar-SA"/>
              </w:rPr>
              <w:t xml:space="preserve">3-1  </w:t>
            </w:r>
            <w:r>
              <w:rPr>
                <w:rFonts w:hint="default" w:ascii="Times New Roman" w:hAnsi="Times New Roman" w:eastAsia="宋体" w:cs="Times New Roman"/>
                <w:b/>
                <w:bCs/>
                <w:spacing w:val="6"/>
                <w:kern w:val="2"/>
                <w:sz w:val="21"/>
                <w:szCs w:val="21"/>
                <w:lang w:val="en-US" w:eastAsia="zh-CN" w:bidi="ar-SA"/>
              </w:rPr>
              <w:t xml:space="preserve">  </w:t>
            </w:r>
            <w:r>
              <w:rPr>
                <w:rFonts w:hint="eastAsia" w:ascii="Times New Roman" w:hAnsi="Times New Roman" w:eastAsia="宋体" w:cs="Times New Roman"/>
                <w:b/>
                <w:bCs/>
                <w:spacing w:val="6"/>
                <w:kern w:val="2"/>
                <w:sz w:val="21"/>
                <w:szCs w:val="21"/>
                <w:lang w:val="en-US" w:eastAsia="zh-CN" w:bidi="ar-SA"/>
              </w:rPr>
              <w:t>生态功能区划简表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7"/>
              <w:gridCol w:w="745"/>
              <w:gridCol w:w="744"/>
              <w:gridCol w:w="620"/>
              <w:gridCol w:w="868"/>
              <w:gridCol w:w="993"/>
              <w:gridCol w:w="993"/>
              <w:gridCol w:w="868"/>
              <w:gridCol w:w="745"/>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325" w:type="pct"/>
                  <w:gridSpan w:val="3"/>
                  <w:tcBorders>
                    <w:top w:val="single" w:color="auto" w:sz="4" w:space="0"/>
                    <w:left w:val="single" w:color="auto" w:sz="4" w:space="0"/>
                    <w:bottom w:val="single" w:color="auto" w:sz="4" w:space="0"/>
                    <w:right w:val="single" w:color="auto" w:sz="4" w:space="0"/>
                  </w:tcBorders>
                  <w:vAlign w:val="center"/>
                </w:tcPr>
                <w:p>
                  <w:pPr>
                    <w:pStyle w:val="108"/>
                    <w:rPr>
                      <w:b/>
                      <w:bCs/>
                    </w:rPr>
                  </w:pPr>
                  <w:bookmarkStart w:id="15" w:name="_Hlk129623465"/>
                  <w:r>
                    <w:rPr>
                      <w:rFonts w:hint="eastAsia"/>
                      <w:b/>
                      <w:bCs/>
                    </w:rPr>
                    <w:t>生态功能分区单元</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隶属</w:t>
                  </w:r>
                </w:p>
                <w:p>
                  <w:pPr>
                    <w:pStyle w:val="108"/>
                    <w:rPr>
                      <w:b/>
                      <w:bCs/>
                    </w:rPr>
                  </w:pPr>
                  <w:r>
                    <w:rPr>
                      <w:rFonts w:hint="eastAsia"/>
                      <w:b/>
                      <w:bCs/>
                    </w:rPr>
                    <w:t>行政区</w:t>
                  </w:r>
                </w:p>
              </w:tc>
              <w:tc>
                <w:tcPr>
                  <w:tcW w:w="546"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主要生态</w:t>
                  </w:r>
                </w:p>
                <w:p>
                  <w:pPr>
                    <w:pStyle w:val="108"/>
                    <w:rPr>
                      <w:b/>
                      <w:bCs/>
                    </w:rPr>
                  </w:pPr>
                  <w:r>
                    <w:rPr>
                      <w:rFonts w:hint="eastAsia"/>
                      <w:b/>
                      <w:bCs/>
                    </w:rPr>
                    <w:t>服务功能</w:t>
                  </w:r>
                </w:p>
              </w:tc>
              <w:tc>
                <w:tcPr>
                  <w:tcW w:w="625"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主要生态</w:t>
                  </w:r>
                </w:p>
                <w:p>
                  <w:pPr>
                    <w:pStyle w:val="108"/>
                    <w:rPr>
                      <w:b/>
                      <w:bCs/>
                    </w:rPr>
                  </w:pPr>
                  <w:r>
                    <w:rPr>
                      <w:rFonts w:hint="eastAsia"/>
                      <w:b/>
                      <w:bCs/>
                    </w:rPr>
                    <w:t>环境问题</w:t>
                  </w:r>
                </w:p>
              </w:tc>
              <w:tc>
                <w:tcPr>
                  <w:tcW w:w="625"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主要生态敏感因子、敏感程度</w:t>
                  </w:r>
                </w:p>
              </w:tc>
              <w:tc>
                <w:tcPr>
                  <w:tcW w:w="546"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主要保护目标</w:t>
                  </w:r>
                </w:p>
              </w:tc>
              <w:tc>
                <w:tcPr>
                  <w:tcW w:w="469"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主要保护措施</w:t>
                  </w:r>
                </w:p>
              </w:tc>
              <w:tc>
                <w:tcPr>
                  <w:tcW w:w="470"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适宜发展方向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生态区</w:t>
                  </w:r>
                </w:p>
              </w:tc>
              <w:tc>
                <w:tcPr>
                  <w:tcW w:w="469" w:type="pc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生态</w:t>
                  </w:r>
                </w:p>
                <w:p>
                  <w:pPr>
                    <w:pStyle w:val="108"/>
                    <w:rPr>
                      <w:b/>
                      <w:bCs/>
                    </w:rPr>
                  </w:pPr>
                  <w:r>
                    <w:rPr>
                      <w:rFonts w:hint="eastAsia"/>
                      <w:b/>
                      <w:bCs/>
                    </w:rPr>
                    <w:t>亚区</w:t>
                  </w:r>
                </w:p>
              </w:tc>
              <w:tc>
                <w:tcPr>
                  <w:tcW w:w="468" w:type="pc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生态</w:t>
                  </w:r>
                </w:p>
                <w:p>
                  <w:pPr>
                    <w:pStyle w:val="108"/>
                    <w:rPr>
                      <w:b/>
                      <w:bCs/>
                    </w:rPr>
                  </w:pPr>
                  <w:r>
                    <w:rPr>
                      <w:rFonts w:hint="eastAsia"/>
                      <w:b/>
                      <w:bCs/>
                    </w:rPr>
                    <w:t>功能区</w:t>
                  </w: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546"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546"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469"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pPr>
                    <w:pStyle w:val="108"/>
                  </w:pPr>
                  <w:r>
                    <w:rPr>
                      <w:rFonts w:hint="eastAsia" w:ascii="宋体" w:hAnsi="宋体" w:cs="宋体"/>
                    </w:rPr>
                    <w:t>Ⅱ</w:t>
                  </w:r>
                  <w:r>
                    <w:rPr>
                      <w:rFonts w:hint="eastAsia"/>
                    </w:rPr>
                    <w:t>准噶尔盆地温性荒漠与绿洲农业生态区</w:t>
                  </w:r>
                </w:p>
              </w:tc>
              <w:tc>
                <w:tcPr>
                  <w:tcW w:w="469" w:type="pct"/>
                  <w:tcBorders>
                    <w:top w:val="single" w:color="auto" w:sz="4" w:space="0"/>
                    <w:left w:val="single" w:color="auto" w:sz="4" w:space="0"/>
                    <w:bottom w:val="single" w:color="auto" w:sz="4" w:space="0"/>
                    <w:right w:val="single" w:color="auto" w:sz="4" w:space="0"/>
                  </w:tcBorders>
                  <w:vAlign w:val="center"/>
                </w:tcPr>
                <w:p>
                  <w:pPr>
                    <w:pStyle w:val="108"/>
                  </w:pPr>
                  <w:r>
                    <w:rPr>
                      <w:rFonts w:hint="eastAsia" w:ascii="宋体" w:hAnsi="宋体" w:cs="宋体"/>
                    </w:rPr>
                    <w:t>Ⅱ</w:t>
                  </w:r>
                  <w:r>
                    <w:rPr>
                      <w:vertAlign w:val="subscript"/>
                    </w:rPr>
                    <w:t>4</w:t>
                  </w:r>
                  <w:r>
                    <w:rPr>
                      <w:rFonts w:hint="eastAsia"/>
                    </w:rPr>
                    <w:t>准噶尔盆地东部灌木荒漠野生动物保护生态亚区</w:t>
                  </w:r>
                </w:p>
              </w:tc>
              <w:tc>
                <w:tcPr>
                  <w:tcW w:w="468" w:type="pct"/>
                  <w:tcBorders>
                    <w:top w:val="single" w:color="auto" w:sz="4" w:space="0"/>
                    <w:left w:val="single" w:color="auto" w:sz="4" w:space="0"/>
                    <w:bottom w:val="single" w:color="auto" w:sz="4" w:space="0"/>
                    <w:right w:val="single" w:color="auto" w:sz="4" w:space="0"/>
                  </w:tcBorders>
                  <w:vAlign w:val="center"/>
                </w:tcPr>
                <w:p>
                  <w:pPr>
                    <w:pStyle w:val="108"/>
                  </w:pPr>
                  <w:r>
                    <w:rPr>
                      <w:kern w:val="0"/>
                    </w:rPr>
                    <w:t>24.将军戈壁硅化木及卡拉麦里有蹄类动物保护生态功能区</w:t>
                  </w:r>
                </w:p>
              </w:tc>
              <w:tc>
                <w:tcPr>
                  <w:tcW w:w="390" w:type="pct"/>
                  <w:tcBorders>
                    <w:top w:val="single" w:color="auto" w:sz="4" w:space="0"/>
                    <w:left w:val="single" w:color="auto" w:sz="4" w:space="0"/>
                    <w:bottom w:val="single" w:color="auto" w:sz="4" w:space="0"/>
                    <w:right w:val="single" w:color="auto" w:sz="4" w:space="0"/>
                  </w:tcBorders>
                  <w:vAlign w:val="center"/>
                </w:tcPr>
                <w:p>
                  <w:pPr>
                    <w:pStyle w:val="108"/>
                  </w:pPr>
                  <w:r>
                    <w:rPr>
                      <w:rFonts w:hint="eastAsia"/>
                    </w:rPr>
                    <w:t>富蕴县、青河县、吉木萨尔县、奇台县、木垒县</w:t>
                  </w:r>
                </w:p>
              </w:tc>
              <w:tc>
                <w:tcPr>
                  <w:tcW w:w="546"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生物多样性和景观多样性维护；</w:t>
                  </w:r>
                  <w:r>
                    <w:rPr>
                      <w:rFonts w:hint="eastAsia" w:ascii="宋体" w:hAnsi="宋体" w:cs="宋体"/>
                      <w:kern w:val="0"/>
                    </w:rPr>
                    <w:t>②</w:t>
                  </w:r>
                  <w:r>
                    <w:rPr>
                      <w:kern w:val="0"/>
                    </w:rPr>
                    <w:t>煤炭资源</w:t>
                  </w:r>
                </w:p>
              </w:tc>
              <w:tc>
                <w:tcPr>
                  <w:tcW w:w="625"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kern w:val="0"/>
                    </w:rPr>
                    <w:t>硅化木风化与偷盗破坏、野生动物生境破碎化、风蚀危害、煤炭自燃及开发造成生态破坏与环境污染</w:t>
                  </w:r>
                </w:p>
              </w:tc>
              <w:tc>
                <w:tcPr>
                  <w:tcW w:w="625"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生物多样性及其生境高度敏感；</w:t>
                  </w:r>
                </w:p>
                <w:p>
                  <w:pPr>
                    <w:pStyle w:val="108"/>
                    <w:rPr>
                      <w:kern w:val="0"/>
                    </w:rPr>
                  </w:pPr>
                  <w:r>
                    <w:rPr>
                      <w:rFonts w:hint="eastAsia" w:ascii="宋体" w:hAnsi="宋体" w:cs="宋体"/>
                      <w:kern w:val="0"/>
                    </w:rPr>
                    <w:t>②</w:t>
                  </w:r>
                  <w:r>
                    <w:rPr>
                      <w:kern w:val="0"/>
                    </w:rPr>
                    <w:t>土壤侵蚀极度敏感；</w:t>
                  </w:r>
                </w:p>
                <w:p>
                  <w:pPr>
                    <w:pStyle w:val="108"/>
                    <w:rPr>
                      <w:kern w:val="0"/>
                    </w:rPr>
                  </w:pPr>
                  <w:r>
                    <w:rPr>
                      <w:rFonts w:hint="eastAsia" w:ascii="宋体" w:hAnsi="宋体" w:cs="宋体"/>
                      <w:kern w:val="0"/>
                    </w:rPr>
                    <w:t>③</w:t>
                  </w:r>
                  <w:r>
                    <w:rPr>
                      <w:kern w:val="0"/>
                    </w:rPr>
                    <w:t>土地沙漠化高度敏感；</w:t>
                  </w:r>
                </w:p>
                <w:p>
                  <w:pPr>
                    <w:pStyle w:val="108"/>
                    <w:rPr>
                      <w:kern w:val="0"/>
                    </w:rPr>
                  </w:pPr>
                  <w:r>
                    <w:rPr>
                      <w:rFonts w:hint="eastAsia" w:ascii="宋体" w:hAnsi="宋体" w:cs="宋体"/>
                      <w:kern w:val="0"/>
                    </w:rPr>
                    <w:t>④</w:t>
                  </w:r>
                  <w:r>
                    <w:rPr>
                      <w:kern w:val="0"/>
                    </w:rPr>
                    <w:t>土壤盐渍化高度敏感</w:t>
                  </w:r>
                </w:p>
              </w:tc>
              <w:tc>
                <w:tcPr>
                  <w:tcW w:w="546"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保护硅化木林；</w:t>
                  </w:r>
                  <w:r>
                    <w:rPr>
                      <w:rFonts w:hint="eastAsia" w:ascii="宋体" w:hAnsi="宋体" w:cs="宋体"/>
                      <w:kern w:val="0"/>
                    </w:rPr>
                    <w:t>②</w:t>
                  </w:r>
                  <w:r>
                    <w:rPr>
                      <w:kern w:val="0"/>
                    </w:rPr>
                    <w:t>保护野生动物；</w:t>
                  </w:r>
                  <w:r>
                    <w:rPr>
                      <w:rFonts w:hint="eastAsia" w:ascii="宋体" w:hAnsi="宋体" w:cs="宋体"/>
                      <w:kern w:val="0"/>
                    </w:rPr>
                    <w:t>③</w:t>
                  </w:r>
                  <w:r>
                    <w:rPr>
                      <w:kern w:val="0"/>
                    </w:rPr>
                    <w:t>保护魔鬼城自然景观；</w:t>
                  </w:r>
                  <w:r>
                    <w:rPr>
                      <w:rFonts w:hint="eastAsia" w:ascii="宋体" w:hAnsi="宋体" w:cs="宋体"/>
                      <w:kern w:val="0"/>
                    </w:rPr>
                    <w:t>④</w:t>
                  </w:r>
                  <w:r>
                    <w:rPr>
                      <w:kern w:val="0"/>
                    </w:rPr>
                    <w:t>保护煤炭资源；</w:t>
                  </w:r>
                  <w:r>
                    <w:rPr>
                      <w:rFonts w:hint="eastAsia" w:ascii="宋体" w:hAnsi="宋体" w:cs="宋体"/>
                      <w:kern w:val="0"/>
                    </w:rPr>
                    <w:t>⑤</w:t>
                  </w:r>
                  <w:r>
                    <w:rPr>
                      <w:kern w:val="0"/>
                    </w:rPr>
                    <w:t>保护砾幕</w:t>
                  </w:r>
                </w:p>
              </w:tc>
              <w:tc>
                <w:tcPr>
                  <w:tcW w:w="469"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减少人类干扰；</w:t>
                  </w:r>
                  <w:r>
                    <w:rPr>
                      <w:rFonts w:hint="eastAsia" w:ascii="宋体" w:hAnsi="宋体" w:cs="宋体"/>
                      <w:kern w:val="0"/>
                    </w:rPr>
                    <w:t>②</w:t>
                  </w:r>
                  <w:r>
                    <w:rPr>
                      <w:kern w:val="0"/>
                    </w:rPr>
                    <w:t>加强保护区管理；</w:t>
                  </w:r>
                  <w:r>
                    <w:rPr>
                      <w:rFonts w:hint="eastAsia" w:ascii="宋体" w:hAnsi="宋体" w:cs="宋体"/>
                      <w:kern w:val="0"/>
                    </w:rPr>
                    <w:t>③</w:t>
                  </w:r>
                  <w:r>
                    <w:rPr>
                      <w:kern w:val="0"/>
                    </w:rPr>
                    <w:t>加强煤炭灭火与规范开采</w:t>
                  </w:r>
                </w:p>
              </w:tc>
              <w:tc>
                <w:tcPr>
                  <w:tcW w:w="470"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kern w:val="0"/>
                    </w:rPr>
                    <w:t>加强保护区管理，促进自然遗产与生物多样性的保护</w:t>
                  </w:r>
                </w:p>
              </w:tc>
            </w:tr>
          </w:tbl>
          <w:p>
            <w:pPr>
              <w:pStyle w:val="12"/>
              <w:spacing w:before="0" w:after="0" w:line="500" w:lineRule="exact"/>
              <w:ind w:right="0" w:firstLine="482" w:firstLineChars="200"/>
              <w:rPr>
                <w:rFonts w:ascii="宋体" w:hAnsi="宋体" w:cs="宋体"/>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w:t>
            </w:r>
            <w:r>
              <w:rPr>
                <w:rFonts w:hint="eastAsia" w:ascii="宋体" w:hAnsi="宋体" w:cs="宋体"/>
                <w:b/>
                <w:bCs/>
                <w:color w:val="000000" w:themeColor="text1"/>
                <w:sz w:val="24"/>
                <w:szCs w:val="24"/>
                <w14:textFill>
                  <w14:solidFill>
                    <w14:schemeClr w14:val="tx1"/>
                  </w14:solidFill>
                </w14:textFill>
              </w:rPr>
              <w:t>生态环境现状</w:t>
            </w:r>
          </w:p>
          <w:p>
            <w:pPr>
              <w:pStyle w:val="12"/>
              <w:spacing w:before="0" w:after="0" w:line="500" w:lineRule="exact"/>
              <w:ind w:right="0"/>
              <w:rPr>
                <w:rFonts w:hint="eastAsia" w:ascii="宋体" w:hAnsi="宋体" w:cs="宋体"/>
                <w:b/>
                <w:bCs/>
                <w:sz w:val="24"/>
                <w:szCs w:val="24"/>
              </w:rPr>
            </w:pPr>
            <w:r>
              <w:rPr>
                <w:rFonts w:hint="default" w:ascii="Times New Roman" w:hAnsi="Times New Roman" w:cs="Times New Roman"/>
                <w:b/>
                <w:bCs/>
                <w:sz w:val="24"/>
                <w:szCs w:val="24"/>
                <w:lang w:val="en-US" w:eastAsia="zh-CN"/>
              </w:rPr>
              <w:t>3.1</w:t>
            </w:r>
            <w:r>
              <w:rPr>
                <w:rFonts w:hint="eastAsia" w:ascii="宋体" w:hAnsi="宋体" w:cs="宋体"/>
                <w:b/>
                <w:bCs/>
                <w:sz w:val="24"/>
                <w:szCs w:val="24"/>
              </w:rPr>
              <w:t>生态系统及其服务功能调查与评价</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（1）生态系统类型</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项目区所处区域属于荒漠生态系统，主要由荒漠灌木、半灌木、小灌木、荒漠草本植物，荒漠野生动物及其栖息地，戈壁砾幕层、裸土地、地表冲沟构成。</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该区域干旱、缺乏水分，地表呈现大片由砾幕层覆盖的裸土地被少量地表冲沟分隔，植被稀疏且种类单调集中分布在冲沟沿线，生物量较小，地上分布大量有蹄类野生动物，地下层栖息有少量穴居荒漠野生动物，生物多样性相对单一，生产力不高，生态系统内物质循环和能量流动过程较慢。</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（2）生态系统服务功能重要性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由于项目区所处荒漠生态系统，结合所在地生态功能区划，其主要服务功能重要性包括防风固沙、水土保持及生物多样性保护。</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①防风固沙重要性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荒漠生态系统中，由于荒漠植被多沿地表冲沟分布，因此冲沟沿线防风固沙能力相对较强；戈壁砾幕层也相对稳定，其以古老火成岩为基底，经历强烈的剥蚀作用，砾石表面具黑褐色的荒漠漆皮，在未经人为破坏的情况下也具有一定防风固沙能力；遭受破坏的植被分布区及砾幕层，逐渐演化为小面积沙漠或裸土地，几乎无防风固沙功能。</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②水土保持重要性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项目区荒漠生态系统的水土保持能力普遍较低，主要是由于区域风力侵蚀力较强。</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③生物多样性保护重要性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荒漠生态系统，由于荒漠植被多沿地表冲沟分布，野生动物多以此为休憩区、引水区与取食区，取食和迁徙过程中已在此留下粪便，粪便中有机质进入土壤有利于植被生长，在局地形成生物化学循环，因此冲沟沿线区域生物多样性保护能力较强，戈壁砾幕区几乎无植被覆盖，仅可见动物迁徙，难以提供栖息环境，生物多样性保护能力较弱。</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（3）生态系统服务功能敏感性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由于项目区所处荒漠生态系统，结合所在地生态功能区划，其主要服务功能敏感性包括土地沙化及气候变化。</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①土地沙化敏感性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 xml:space="preserve">项目区荒漠生态系统中，遭受破坏的植被分布区及砾幕层土地沙化敏感性强，土壤质地多为沙质，极易受到风蚀影响；戈壁砾幕层也相对稳定，土地沙化敏感性相对略低，主要是由于区域土壤质地多为基岩，受风蚀的影响较小；由于荒漠植被多沿地表冲沟分布，因此冲沟沿线土地沙化敏感性较低。 </w:t>
            </w:r>
          </w:p>
          <w:p>
            <w:pPr>
              <w:pStyle w:val="12"/>
              <w:spacing w:before="0" w:after="0" w:line="360" w:lineRule="auto"/>
              <w:ind w:right="0" w:firstLine="480" w:firstLineChars="200"/>
              <w:rPr>
                <w:rFonts w:hint="eastAsia" w:ascii="宋体" w:hAnsi="宋体" w:cs="宋体"/>
                <w:sz w:val="24"/>
                <w:szCs w:val="24"/>
              </w:rPr>
            </w:pPr>
            <w:r>
              <w:rPr>
                <w:rFonts w:hint="eastAsia" w:ascii="宋体" w:hAnsi="宋体" w:cs="宋体"/>
                <w:sz w:val="24"/>
                <w:szCs w:val="24"/>
              </w:rPr>
              <w:t>②气候变化敏感性</w:t>
            </w:r>
          </w:p>
          <w:p>
            <w:pPr>
              <w:pStyle w:val="12"/>
              <w:spacing w:before="0" w:after="0" w:line="360" w:lineRule="auto"/>
              <w:ind w:right="0" w:firstLine="480" w:firstLineChars="200"/>
              <w:rPr>
                <w:rFonts w:hint="eastAsia" w:ascii="宋体" w:hAnsi="宋体" w:cs="宋体"/>
                <w:sz w:val="24"/>
                <w:szCs w:val="24"/>
              </w:rPr>
            </w:pPr>
            <w:r>
              <w:rPr>
                <w:rFonts w:hint="eastAsia" w:ascii="宋体" w:hAnsi="宋体" w:cs="宋体"/>
                <w:sz w:val="24"/>
                <w:szCs w:val="24"/>
              </w:rPr>
              <w:t>项目区荒漠生态系统中植被覆盖与生长季、夏季气温变化呈显著负相关，与生长季、夏季降水变化相关性不强，与生长季、夏季潜在蒸散情况变化呈显著负相关，与生长季、夏季湿润指数变化相关性不强。表明项目区荒漠生态系统的植被覆盖受到水热条件共同调节，尤其是受到水分条件的控制。同时，气温升高、蒸散作用增强可能使得水分亏缺更为严重，影响了植被生长。</w:t>
            </w:r>
          </w:p>
          <w:p>
            <w:pPr>
              <w:pStyle w:val="12"/>
              <w:spacing w:before="0" w:after="0" w:line="360" w:lineRule="auto"/>
              <w:ind w:right="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3.2植被现状调查</w:t>
            </w:r>
          </w:p>
          <w:p>
            <w:pPr>
              <w:pStyle w:val="110"/>
              <w:spacing w:line="360" w:lineRule="auto"/>
              <w:jc w:val="both"/>
              <w:rPr>
                <w:rFonts w:hint="eastAsia" w:ascii="宋体" w:hAnsi="宋体" w:eastAsia="宋体" w:cs="宋体"/>
                <w:bCs w:val="0"/>
                <w:kern w:val="0"/>
                <w:sz w:val="24"/>
                <w:szCs w:val="24"/>
                <w:lang w:val="en-US" w:eastAsia="zh-CN" w:bidi="ar-SA"/>
              </w:rPr>
            </w:pPr>
            <w:bookmarkStart w:id="16" w:name="_Hlk129705076"/>
            <w:r>
              <w:rPr>
                <w:rFonts w:hint="eastAsia" w:ascii="宋体" w:hAnsi="宋体" w:eastAsia="宋体" w:cs="宋体"/>
                <w:bCs w:val="0"/>
                <w:kern w:val="0"/>
                <w:sz w:val="24"/>
                <w:szCs w:val="24"/>
                <w:lang w:val="en-US" w:eastAsia="zh-CN" w:bidi="ar-SA"/>
              </w:rPr>
              <w:t>经资料调查和现场踏勘，项目区域内植被大类均为荒漠植被，以强旱生的小半灌木最为普遍，常见的植物有6科、10属、10种，主要分布在砾石戈壁区。具体植物物种名录见表3-1。</w:t>
            </w:r>
          </w:p>
          <w:p>
            <w:pPr>
              <w:pStyle w:val="110"/>
              <w:spacing w:line="360" w:lineRule="auto"/>
              <w:jc w:val="both"/>
              <w:rPr>
                <w:rFonts w:hint="default"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根据《国家重点保护野生植物名录》和《新疆维吾尔自治区重点保护野生植物名录》（第一批），重点保护的植物3种，梭梭、白梭梭、膜果麻黄均为自治区Ⅰ级保护植物。梭梭、白梭梭在评价区域为重要建群种，对防风固沙有很重要的意义。</w:t>
            </w:r>
            <w:r>
              <w:rPr>
                <w:rFonts w:hint="eastAsia" w:ascii="宋体" w:hAnsi="宋体" w:cs="宋体"/>
                <w:bCs w:val="0"/>
                <w:kern w:val="0"/>
                <w:sz w:val="24"/>
                <w:szCs w:val="24"/>
                <w:lang w:val="en-US" w:eastAsia="zh-CN" w:bidi="ar-SA"/>
              </w:rPr>
              <w:t>项目区植被类型图见附图5。</w:t>
            </w:r>
          </w:p>
          <w:p>
            <w:pPr>
              <w:pStyle w:val="109"/>
              <w:spacing w:line="360" w:lineRule="auto"/>
              <w:rPr>
                <w:b/>
                <w:bCs/>
              </w:rPr>
            </w:pPr>
            <w:r>
              <w:rPr>
                <w:b/>
                <w:bCs/>
              </w:rPr>
              <w:t>表3</w:t>
            </w:r>
            <w:r>
              <w:rPr>
                <w:rFonts w:hint="eastAsia"/>
                <w:b/>
                <w:bCs/>
                <w:lang w:val="en-US" w:eastAsia="zh-CN"/>
              </w:rPr>
              <w:t>-1</w:t>
            </w:r>
            <w:r>
              <w:rPr>
                <w:b/>
                <w:bCs/>
              </w:rPr>
              <w:t xml:space="preserve">  </w:t>
            </w:r>
            <w:r>
              <w:rPr>
                <w:rFonts w:hint="eastAsia"/>
                <w:b/>
                <w:bCs/>
              </w:rPr>
              <w:t>评价</w:t>
            </w:r>
            <w:r>
              <w:rPr>
                <w:b/>
                <w:bCs/>
              </w:rPr>
              <w:t>区常见植物物种名录</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3"/>
              <w:gridCol w:w="1698"/>
              <w:gridCol w:w="2528"/>
              <w:gridCol w:w="161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vAlign w:val="center"/>
                </w:tcPr>
                <w:p>
                  <w:pPr>
                    <w:pStyle w:val="108"/>
                    <w:rPr>
                      <w:b/>
                      <w:bCs/>
                    </w:rPr>
                  </w:pPr>
                  <w:r>
                    <w:rPr>
                      <w:rFonts w:hint="eastAsia" w:ascii="宋体" w:hAnsi="宋体" w:eastAsia="宋体" w:cs="宋体"/>
                      <w:b/>
                      <w:bCs/>
                    </w:rPr>
                    <w:t>序</w:t>
                  </w:r>
                  <w:r>
                    <w:rPr>
                      <w:b/>
                      <w:bCs/>
                    </w:rPr>
                    <w:t>号</w:t>
                  </w:r>
                </w:p>
              </w:tc>
              <w:tc>
                <w:tcPr>
                  <w:tcW w:w="1069" w:type="pct"/>
                  <w:vMerge w:val="restart"/>
                  <w:vAlign w:val="center"/>
                </w:tcPr>
                <w:p>
                  <w:pPr>
                    <w:pStyle w:val="108"/>
                    <w:rPr>
                      <w:b/>
                      <w:bCs/>
                    </w:rPr>
                  </w:pPr>
                  <w:r>
                    <w:rPr>
                      <w:b/>
                      <w:bCs/>
                    </w:rPr>
                    <w:t>中文名</w:t>
                  </w:r>
                </w:p>
              </w:tc>
              <w:tc>
                <w:tcPr>
                  <w:tcW w:w="1592" w:type="pct"/>
                  <w:vMerge w:val="restart"/>
                  <w:vAlign w:val="center"/>
                </w:tcPr>
                <w:p>
                  <w:pPr>
                    <w:pStyle w:val="108"/>
                    <w:rPr>
                      <w:b/>
                      <w:bCs/>
                    </w:rPr>
                  </w:pPr>
                  <w:r>
                    <w:rPr>
                      <w:b/>
                      <w:bCs/>
                    </w:rPr>
                    <w:t>拉丁学名</w:t>
                  </w:r>
                </w:p>
              </w:tc>
              <w:tc>
                <w:tcPr>
                  <w:tcW w:w="2033" w:type="pct"/>
                  <w:gridSpan w:val="2"/>
                  <w:vAlign w:val="center"/>
                </w:tcPr>
                <w:p>
                  <w:pPr>
                    <w:pStyle w:val="108"/>
                    <w:rPr>
                      <w:b/>
                      <w:bCs/>
                    </w:rPr>
                  </w:pPr>
                  <w:r>
                    <w:rPr>
                      <w:b/>
                      <w:bCs/>
                    </w:rPr>
                    <w:t>科属特征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vAlign w:val="center"/>
                </w:tcPr>
                <w:p>
                  <w:pPr>
                    <w:pStyle w:val="108"/>
                    <w:rPr>
                      <w:b/>
                      <w:bCs/>
                    </w:rPr>
                  </w:pPr>
                </w:p>
              </w:tc>
              <w:tc>
                <w:tcPr>
                  <w:tcW w:w="1069" w:type="pct"/>
                  <w:vMerge w:val="continue"/>
                  <w:vAlign w:val="center"/>
                </w:tcPr>
                <w:p>
                  <w:pPr>
                    <w:pStyle w:val="108"/>
                    <w:rPr>
                      <w:b/>
                      <w:bCs/>
                    </w:rPr>
                  </w:pPr>
                </w:p>
              </w:tc>
              <w:tc>
                <w:tcPr>
                  <w:tcW w:w="1592" w:type="pct"/>
                  <w:vMerge w:val="continue"/>
                  <w:vAlign w:val="center"/>
                </w:tcPr>
                <w:p>
                  <w:pPr>
                    <w:pStyle w:val="108"/>
                    <w:rPr>
                      <w:b/>
                      <w:bCs/>
                    </w:rPr>
                  </w:pPr>
                </w:p>
              </w:tc>
              <w:tc>
                <w:tcPr>
                  <w:tcW w:w="1016" w:type="pct"/>
                  <w:vAlign w:val="center"/>
                </w:tcPr>
                <w:p>
                  <w:pPr>
                    <w:pStyle w:val="108"/>
                    <w:rPr>
                      <w:b/>
                      <w:bCs/>
                    </w:rPr>
                  </w:pPr>
                  <w:r>
                    <w:rPr>
                      <w:b/>
                      <w:bCs/>
                    </w:rPr>
                    <w:t>科</w:t>
                  </w:r>
                </w:p>
              </w:tc>
              <w:tc>
                <w:tcPr>
                  <w:tcW w:w="1016" w:type="pct"/>
                  <w:vAlign w:val="center"/>
                </w:tcPr>
                <w:p>
                  <w:pPr>
                    <w:pStyle w:val="108"/>
                    <w:rPr>
                      <w:b/>
                      <w:bCs/>
                    </w:rPr>
                  </w:pPr>
                  <w:r>
                    <w:rPr>
                      <w:b/>
                      <w:bCs/>
                    </w:rPr>
                    <w:t>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1</w:t>
                  </w:r>
                </w:p>
              </w:tc>
              <w:tc>
                <w:tcPr>
                  <w:tcW w:w="1069" w:type="pct"/>
                  <w:vAlign w:val="center"/>
                </w:tcPr>
                <w:p>
                  <w:pPr>
                    <w:pStyle w:val="108"/>
                  </w:pPr>
                  <w:r>
                    <w:t>盐生假木贼</w:t>
                  </w:r>
                </w:p>
              </w:tc>
              <w:tc>
                <w:tcPr>
                  <w:tcW w:w="1592" w:type="pct"/>
                  <w:vAlign w:val="center"/>
                </w:tcPr>
                <w:p>
                  <w:pPr>
                    <w:pStyle w:val="108"/>
                    <w:rPr>
                      <w:i/>
                      <w:iCs/>
                    </w:rPr>
                  </w:pPr>
                  <w:r>
                    <w:rPr>
                      <w:i/>
                      <w:iCs/>
                    </w:rPr>
                    <w:t>Anabasis salsa</w:t>
                  </w:r>
                </w:p>
              </w:tc>
              <w:tc>
                <w:tcPr>
                  <w:tcW w:w="1016" w:type="pct"/>
                  <w:vAlign w:val="center"/>
                </w:tcPr>
                <w:p>
                  <w:pPr>
                    <w:pStyle w:val="108"/>
                  </w:pPr>
                  <w:r>
                    <w:t>藜科</w:t>
                  </w:r>
                </w:p>
              </w:tc>
              <w:tc>
                <w:tcPr>
                  <w:tcW w:w="1016" w:type="pct"/>
                  <w:vAlign w:val="center"/>
                </w:tcPr>
                <w:p>
                  <w:pPr>
                    <w:pStyle w:val="108"/>
                  </w:pPr>
                  <w:r>
                    <w:t>假木贼属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2</w:t>
                  </w:r>
                </w:p>
              </w:tc>
              <w:tc>
                <w:tcPr>
                  <w:tcW w:w="1069" w:type="pct"/>
                  <w:vAlign w:val="center"/>
                </w:tcPr>
                <w:p>
                  <w:pPr>
                    <w:pStyle w:val="108"/>
                  </w:pPr>
                  <w:r>
                    <w:t>珍珠猪毛菜</w:t>
                  </w:r>
                </w:p>
              </w:tc>
              <w:tc>
                <w:tcPr>
                  <w:tcW w:w="1592" w:type="pct"/>
                  <w:vAlign w:val="center"/>
                </w:tcPr>
                <w:p>
                  <w:pPr>
                    <w:pStyle w:val="108"/>
                    <w:rPr>
                      <w:i/>
                      <w:iCs/>
                    </w:rPr>
                  </w:pPr>
                  <w:r>
                    <w:rPr>
                      <w:i/>
                      <w:iCs/>
                    </w:rPr>
                    <w:t>Salsola passerina</w:t>
                  </w:r>
                </w:p>
              </w:tc>
              <w:tc>
                <w:tcPr>
                  <w:tcW w:w="1016" w:type="pct"/>
                  <w:vAlign w:val="center"/>
                </w:tcPr>
                <w:p>
                  <w:pPr>
                    <w:pStyle w:val="108"/>
                  </w:pPr>
                  <w:r>
                    <w:t>藜科</w:t>
                  </w:r>
                </w:p>
              </w:tc>
              <w:tc>
                <w:tcPr>
                  <w:tcW w:w="1016" w:type="pct"/>
                  <w:vAlign w:val="center"/>
                </w:tcPr>
                <w:p>
                  <w:pPr>
                    <w:pStyle w:val="108"/>
                  </w:pPr>
                  <w:r>
                    <w:t>猪毛菜属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3</w:t>
                  </w:r>
                </w:p>
              </w:tc>
              <w:tc>
                <w:tcPr>
                  <w:tcW w:w="1069" w:type="pct"/>
                  <w:vAlign w:val="center"/>
                </w:tcPr>
                <w:p>
                  <w:pPr>
                    <w:pStyle w:val="108"/>
                  </w:pPr>
                  <w:r>
                    <w:t>白梭梭</w:t>
                  </w:r>
                </w:p>
              </w:tc>
              <w:tc>
                <w:tcPr>
                  <w:tcW w:w="1592" w:type="pct"/>
                  <w:vAlign w:val="center"/>
                </w:tcPr>
                <w:p>
                  <w:pPr>
                    <w:pStyle w:val="108"/>
                    <w:rPr>
                      <w:i/>
                      <w:iCs/>
                    </w:rPr>
                  </w:pPr>
                  <w:r>
                    <w:rPr>
                      <w:i/>
                      <w:iCs/>
                    </w:rPr>
                    <w:t>Haloxylon persicum</w:t>
                  </w:r>
                </w:p>
              </w:tc>
              <w:tc>
                <w:tcPr>
                  <w:tcW w:w="1016" w:type="pct"/>
                  <w:vAlign w:val="center"/>
                </w:tcPr>
                <w:p>
                  <w:pPr>
                    <w:pStyle w:val="108"/>
                  </w:pPr>
                  <w:r>
                    <w:t>藜科</w:t>
                  </w:r>
                </w:p>
              </w:tc>
              <w:tc>
                <w:tcPr>
                  <w:tcW w:w="1016" w:type="pct"/>
                  <w:vAlign w:val="center"/>
                </w:tcPr>
                <w:p>
                  <w:pPr>
                    <w:pStyle w:val="108"/>
                  </w:pPr>
                  <w:r>
                    <w:t>梭梭属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4</w:t>
                  </w:r>
                </w:p>
              </w:tc>
              <w:tc>
                <w:tcPr>
                  <w:tcW w:w="1069" w:type="pct"/>
                  <w:vAlign w:val="center"/>
                </w:tcPr>
                <w:p>
                  <w:pPr>
                    <w:pStyle w:val="108"/>
                  </w:pPr>
                  <w:r>
                    <w:t>盐爪爪</w:t>
                  </w:r>
                </w:p>
              </w:tc>
              <w:tc>
                <w:tcPr>
                  <w:tcW w:w="1592" w:type="pct"/>
                  <w:vAlign w:val="center"/>
                </w:tcPr>
                <w:p>
                  <w:pPr>
                    <w:pStyle w:val="108"/>
                    <w:rPr>
                      <w:i/>
                      <w:iCs/>
                    </w:rPr>
                  </w:pPr>
                  <w:r>
                    <w:rPr>
                      <w:i/>
                      <w:iCs/>
                    </w:rPr>
                    <w:t>Kalidium foliatum</w:t>
                  </w:r>
                </w:p>
              </w:tc>
              <w:tc>
                <w:tcPr>
                  <w:tcW w:w="1016" w:type="pct"/>
                  <w:vAlign w:val="center"/>
                </w:tcPr>
                <w:p>
                  <w:pPr>
                    <w:pStyle w:val="108"/>
                  </w:pPr>
                  <w:r>
                    <w:t>藜科</w:t>
                  </w:r>
                </w:p>
              </w:tc>
              <w:tc>
                <w:tcPr>
                  <w:tcW w:w="1016" w:type="pct"/>
                  <w:vAlign w:val="center"/>
                </w:tcPr>
                <w:p>
                  <w:pPr>
                    <w:pStyle w:val="108"/>
                  </w:pPr>
                  <w:r>
                    <w:t>盐爪爪属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5</w:t>
                  </w:r>
                </w:p>
              </w:tc>
              <w:tc>
                <w:tcPr>
                  <w:tcW w:w="1069" w:type="pct"/>
                  <w:vAlign w:val="center"/>
                </w:tcPr>
                <w:p>
                  <w:pPr>
                    <w:pStyle w:val="108"/>
                  </w:pPr>
                  <w:r>
                    <w:t>多枝柽柳</w:t>
                  </w:r>
                </w:p>
              </w:tc>
              <w:tc>
                <w:tcPr>
                  <w:tcW w:w="1592" w:type="pct"/>
                  <w:vAlign w:val="center"/>
                </w:tcPr>
                <w:p>
                  <w:pPr>
                    <w:pStyle w:val="108"/>
                    <w:rPr>
                      <w:i/>
                      <w:iCs/>
                    </w:rPr>
                  </w:pPr>
                  <w:r>
                    <w:rPr>
                      <w:i/>
                      <w:iCs/>
                    </w:rPr>
                    <w:t>Tamarix ramosissima</w:t>
                  </w:r>
                </w:p>
              </w:tc>
              <w:tc>
                <w:tcPr>
                  <w:tcW w:w="1016" w:type="pct"/>
                  <w:vAlign w:val="center"/>
                </w:tcPr>
                <w:p>
                  <w:pPr>
                    <w:pStyle w:val="108"/>
                  </w:pPr>
                  <w:r>
                    <w:t>柽柳科</w:t>
                  </w:r>
                </w:p>
              </w:tc>
              <w:tc>
                <w:tcPr>
                  <w:tcW w:w="1016" w:type="pct"/>
                  <w:vAlign w:val="center"/>
                </w:tcPr>
                <w:p>
                  <w:pPr>
                    <w:pStyle w:val="108"/>
                  </w:pPr>
                  <w:r>
                    <w:t>柽柳属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6</w:t>
                  </w:r>
                </w:p>
              </w:tc>
              <w:tc>
                <w:tcPr>
                  <w:tcW w:w="1069" w:type="pct"/>
                  <w:vAlign w:val="center"/>
                </w:tcPr>
                <w:p>
                  <w:pPr>
                    <w:pStyle w:val="108"/>
                  </w:pPr>
                  <w:r>
                    <w:t>骆驼刺</w:t>
                  </w:r>
                </w:p>
              </w:tc>
              <w:tc>
                <w:tcPr>
                  <w:tcW w:w="1592" w:type="pct"/>
                  <w:vAlign w:val="center"/>
                </w:tcPr>
                <w:p>
                  <w:pPr>
                    <w:pStyle w:val="108"/>
                    <w:rPr>
                      <w:i/>
                      <w:iCs/>
                    </w:rPr>
                  </w:pPr>
                  <w:r>
                    <w:rPr>
                      <w:i/>
                      <w:iCs/>
                    </w:rPr>
                    <w:t>Alhagi sparsifolia</w:t>
                  </w:r>
                </w:p>
              </w:tc>
              <w:tc>
                <w:tcPr>
                  <w:tcW w:w="1016" w:type="pct"/>
                  <w:vAlign w:val="center"/>
                </w:tcPr>
                <w:p>
                  <w:pPr>
                    <w:pStyle w:val="108"/>
                  </w:pPr>
                  <w:r>
                    <w:t>豆科</w:t>
                  </w:r>
                </w:p>
              </w:tc>
              <w:tc>
                <w:tcPr>
                  <w:tcW w:w="1016" w:type="pct"/>
                  <w:vAlign w:val="center"/>
                </w:tcPr>
                <w:p>
                  <w:pPr>
                    <w:pStyle w:val="108"/>
                  </w:pPr>
                  <w:r>
                    <w:t>骆驼刺属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7</w:t>
                  </w:r>
                </w:p>
              </w:tc>
              <w:tc>
                <w:tcPr>
                  <w:tcW w:w="1069" w:type="pct"/>
                  <w:vAlign w:val="center"/>
                </w:tcPr>
                <w:p>
                  <w:pPr>
                    <w:pStyle w:val="108"/>
                  </w:pPr>
                  <w:r>
                    <w:t>膜果麻黄</w:t>
                  </w:r>
                </w:p>
              </w:tc>
              <w:tc>
                <w:tcPr>
                  <w:tcW w:w="1592" w:type="pct"/>
                  <w:vAlign w:val="center"/>
                </w:tcPr>
                <w:p>
                  <w:pPr>
                    <w:pStyle w:val="108"/>
                    <w:rPr>
                      <w:i/>
                      <w:iCs/>
                    </w:rPr>
                  </w:pPr>
                  <w:r>
                    <w:rPr>
                      <w:i/>
                      <w:iCs/>
                    </w:rPr>
                    <w:t>Ephedra przewalskii</w:t>
                  </w:r>
                </w:p>
              </w:tc>
              <w:tc>
                <w:tcPr>
                  <w:tcW w:w="1016" w:type="pct"/>
                  <w:vAlign w:val="center"/>
                </w:tcPr>
                <w:p>
                  <w:pPr>
                    <w:pStyle w:val="108"/>
                  </w:pPr>
                  <w:r>
                    <w:t>麻黄科</w:t>
                  </w:r>
                </w:p>
              </w:tc>
              <w:tc>
                <w:tcPr>
                  <w:tcW w:w="1016" w:type="pct"/>
                  <w:vAlign w:val="center"/>
                </w:tcPr>
                <w:p>
                  <w:pPr>
                    <w:pStyle w:val="108"/>
                  </w:pPr>
                  <w:r>
                    <w:t>麻黄属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8</w:t>
                  </w:r>
                </w:p>
              </w:tc>
              <w:tc>
                <w:tcPr>
                  <w:tcW w:w="1069" w:type="pct"/>
                  <w:vAlign w:val="center"/>
                </w:tcPr>
                <w:p>
                  <w:pPr>
                    <w:pStyle w:val="108"/>
                  </w:pPr>
                  <w:r>
                    <w:t>角果藜</w:t>
                  </w:r>
                </w:p>
              </w:tc>
              <w:tc>
                <w:tcPr>
                  <w:tcW w:w="1592" w:type="pct"/>
                  <w:vAlign w:val="center"/>
                </w:tcPr>
                <w:p>
                  <w:pPr>
                    <w:pStyle w:val="108"/>
                    <w:rPr>
                      <w:i/>
                      <w:iCs/>
                    </w:rPr>
                  </w:pPr>
                  <w:r>
                    <w:rPr>
                      <w:i/>
                      <w:iCs/>
                    </w:rPr>
                    <w:t>Ceratocarpus arenarius</w:t>
                  </w:r>
                </w:p>
              </w:tc>
              <w:tc>
                <w:tcPr>
                  <w:tcW w:w="1016" w:type="pct"/>
                  <w:vAlign w:val="center"/>
                </w:tcPr>
                <w:p>
                  <w:pPr>
                    <w:pStyle w:val="108"/>
                  </w:pPr>
                  <w:r>
                    <w:t>藜科</w:t>
                  </w:r>
                </w:p>
              </w:tc>
              <w:tc>
                <w:tcPr>
                  <w:tcW w:w="1016" w:type="pct"/>
                  <w:vAlign w:val="center"/>
                </w:tcPr>
                <w:p>
                  <w:pPr>
                    <w:pStyle w:val="108"/>
                  </w:pPr>
                  <w:r>
                    <w:t>角果藜属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9</w:t>
                  </w:r>
                </w:p>
              </w:tc>
              <w:tc>
                <w:tcPr>
                  <w:tcW w:w="1069" w:type="pct"/>
                  <w:vAlign w:val="center"/>
                </w:tcPr>
                <w:p>
                  <w:pPr>
                    <w:pStyle w:val="108"/>
                  </w:pPr>
                  <w:r>
                    <w:t>沙拐枣</w:t>
                  </w:r>
                </w:p>
              </w:tc>
              <w:tc>
                <w:tcPr>
                  <w:tcW w:w="1592" w:type="pct"/>
                  <w:vAlign w:val="center"/>
                </w:tcPr>
                <w:p>
                  <w:pPr>
                    <w:pStyle w:val="108"/>
                    <w:rPr>
                      <w:i/>
                      <w:iCs/>
                    </w:rPr>
                  </w:pPr>
                  <w:r>
                    <w:rPr>
                      <w:i/>
                      <w:iCs/>
                    </w:rPr>
                    <w:t>Calligonum mongolicum</w:t>
                  </w:r>
                </w:p>
              </w:tc>
              <w:tc>
                <w:tcPr>
                  <w:tcW w:w="1016" w:type="pct"/>
                  <w:vAlign w:val="center"/>
                </w:tcPr>
                <w:p>
                  <w:pPr>
                    <w:pStyle w:val="108"/>
                  </w:pPr>
                  <w:r>
                    <w:t>蓼科</w:t>
                  </w:r>
                </w:p>
              </w:tc>
              <w:tc>
                <w:tcPr>
                  <w:tcW w:w="1016" w:type="pct"/>
                  <w:vAlign w:val="center"/>
                </w:tcPr>
                <w:p>
                  <w:pPr>
                    <w:pStyle w:val="108"/>
                  </w:pPr>
                  <w:r>
                    <w:t>沙拐枣属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10</w:t>
                  </w:r>
                </w:p>
              </w:tc>
              <w:tc>
                <w:tcPr>
                  <w:tcW w:w="1069" w:type="pct"/>
                  <w:vAlign w:val="center"/>
                </w:tcPr>
                <w:p>
                  <w:pPr>
                    <w:pStyle w:val="108"/>
                  </w:pPr>
                  <w:r>
                    <w:t>小果白刺</w:t>
                  </w:r>
                </w:p>
              </w:tc>
              <w:tc>
                <w:tcPr>
                  <w:tcW w:w="1592" w:type="pct"/>
                  <w:vAlign w:val="center"/>
                </w:tcPr>
                <w:p>
                  <w:pPr>
                    <w:pStyle w:val="108"/>
                    <w:rPr>
                      <w:i/>
                      <w:iCs/>
                    </w:rPr>
                  </w:pPr>
                  <w:r>
                    <w:rPr>
                      <w:i/>
                      <w:iCs/>
                    </w:rPr>
                    <w:t>Nitraria sibirica</w:t>
                  </w:r>
                </w:p>
              </w:tc>
              <w:tc>
                <w:tcPr>
                  <w:tcW w:w="1016" w:type="pct"/>
                  <w:vAlign w:val="center"/>
                </w:tcPr>
                <w:p>
                  <w:pPr>
                    <w:pStyle w:val="108"/>
                  </w:pPr>
                  <w:r>
                    <w:t>蒺藜科</w:t>
                  </w:r>
                </w:p>
              </w:tc>
              <w:tc>
                <w:tcPr>
                  <w:tcW w:w="1016" w:type="pct"/>
                  <w:vAlign w:val="center"/>
                </w:tcPr>
                <w:p>
                  <w:pPr>
                    <w:pStyle w:val="108"/>
                  </w:pPr>
                  <w:r>
                    <w:t>白刺属</w:t>
                  </w:r>
                </w:p>
              </w:tc>
            </w:tr>
            <w:bookmarkEnd w:id="16"/>
          </w:tbl>
          <w:p>
            <w:pPr>
              <w:pStyle w:val="12"/>
              <w:spacing w:before="0" w:after="0" w:line="360" w:lineRule="auto"/>
              <w:ind w:right="0"/>
              <w:rPr>
                <w:rFonts w:hint="default" w:ascii="宋体" w:hAnsi="宋体" w:cs="宋体"/>
                <w:b/>
                <w:bCs/>
                <w:sz w:val="24"/>
                <w:szCs w:val="24"/>
                <w:lang w:val="en-US" w:eastAsia="zh-CN"/>
              </w:rPr>
            </w:pPr>
            <w:bookmarkStart w:id="17" w:name="_Hlk129620361"/>
            <w:r>
              <w:rPr>
                <w:rFonts w:hint="eastAsia" w:ascii="宋体" w:hAnsi="宋体" w:cs="宋体"/>
                <w:b/>
                <w:bCs/>
                <w:sz w:val="24"/>
                <w:szCs w:val="24"/>
                <w:lang w:val="en-US" w:eastAsia="zh-CN"/>
              </w:rPr>
              <w:t>3.3野生动物现状调查</w:t>
            </w:r>
          </w:p>
          <w:bookmarkEnd w:id="15"/>
          <w:bookmarkEnd w:id="17"/>
          <w:p>
            <w:pPr>
              <w:pStyle w:val="110"/>
              <w:spacing w:line="360" w:lineRule="auto"/>
              <w:rPr>
                <w:rFonts w:hint="eastAsia"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项目区域环境相对恶劣，气候干旱，植物稀疏，在此区域分布的野生动物相对数量少，再加上保护对象自身的因素即生态系统和物种种群的脆弱性、人类活动的威胁和干扰，使得此区域的野生动物数量越来越少。伴随着区域内近年来公路、管线的修建及采矿、工业活动等人类影响，加速了荒漠地区的自然环境恶化，荒漠生态系统受到损伤或破坏，物种资源大量减少，同时，人类活动也干扰野生动物的习性及生活规律。</w:t>
            </w:r>
          </w:p>
          <w:p>
            <w:pPr>
              <w:pStyle w:val="110"/>
              <w:spacing w:line="360" w:lineRule="auto"/>
              <w:rPr>
                <w:rFonts w:hint="eastAsia"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经现场调查，项目区野生动物活动极少，常见动物主要为耐旱型荒漠动物，以鸟类、爬行动物和啮齿类动物为主。</w:t>
            </w:r>
          </w:p>
          <w:p>
            <w:pPr>
              <w:pStyle w:val="110"/>
              <w:spacing w:line="360" w:lineRule="auto"/>
              <w:ind w:left="0" w:leftChars="0" w:firstLine="0" w:firstLineChars="0"/>
              <w:rPr>
                <w:rFonts w:hint="default" w:ascii="宋体" w:hAnsi="宋体" w:eastAsia="宋体" w:cs="宋体"/>
                <w:bCs w:val="0"/>
                <w:kern w:val="0"/>
                <w:sz w:val="24"/>
                <w:szCs w:val="24"/>
                <w:lang w:val="en-US" w:eastAsia="zh-CN" w:bidi="ar-SA"/>
              </w:rPr>
            </w:pPr>
            <w:r>
              <w:rPr>
                <w:rFonts w:hint="eastAsia" w:ascii="宋体" w:hAnsi="宋体" w:eastAsia="宋体" w:cs="宋体"/>
                <w:b/>
                <w:bCs/>
                <w:kern w:val="0"/>
                <w:sz w:val="24"/>
                <w:szCs w:val="24"/>
                <w:lang w:val="en-US" w:eastAsia="zh-CN" w:bidi="ar-SA"/>
              </w:rPr>
              <w:t>3.4土壤类型调查</w:t>
            </w:r>
          </w:p>
          <w:p>
            <w:pPr>
              <w:pStyle w:val="110"/>
              <w:spacing w:line="360" w:lineRule="auto"/>
              <w:rPr>
                <w:rFonts w:hint="eastAsia"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项目</w:t>
            </w:r>
            <w:r>
              <w:rPr>
                <w:rFonts w:hint="eastAsia" w:ascii="宋体" w:hAnsi="宋体" w:cs="宋体"/>
                <w:bCs w:val="0"/>
                <w:kern w:val="0"/>
                <w:sz w:val="24"/>
                <w:szCs w:val="24"/>
                <w:lang w:val="en-US" w:eastAsia="zh-CN" w:bidi="ar-SA"/>
              </w:rPr>
              <w:t>区域主要</w:t>
            </w:r>
            <w:r>
              <w:rPr>
                <w:rFonts w:hint="eastAsia" w:ascii="宋体" w:hAnsi="宋体" w:eastAsia="宋体" w:cs="宋体"/>
                <w:bCs w:val="0"/>
                <w:kern w:val="0"/>
                <w:sz w:val="24"/>
                <w:szCs w:val="24"/>
                <w:lang w:val="en-US" w:eastAsia="zh-CN" w:bidi="ar-SA"/>
              </w:rPr>
              <w:t>分布为</w:t>
            </w:r>
            <w:r>
              <w:rPr>
                <w:rFonts w:hint="eastAsia" w:ascii="宋体" w:hAnsi="宋体" w:cs="宋体"/>
                <w:bCs w:val="0"/>
                <w:kern w:val="0"/>
                <w:sz w:val="24"/>
                <w:szCs w:val="24"/>
                <w:lang w:val="en-US" w:eastAsia="zh-CN" w:bidi="ar-SA"/>
              </w:rPr>
              <w:t>草甸黑钙土和灰棕漠土</w:t>
            </w:r>
            <w:r>
              <w:rPr>
                <w:rFonts w:hint="eastAsia" w:ascii="宋体" w:hAnsi="宋体" w:eastAsia="宋体" w:cs="宋体"/>
                <w:bCs w:val="0"/>
                <w:kern w:val="0"/>
                <w:sz w:val="24"/>
                <w:szCs w:val="24"/>
                <w:lang w:val="en-US" w:eastAsia="zh-CN" w:bidi="ar-SA"/>
              </w:rPr>
              <w:t>，分布</w:t>
            </w:r>
            <w:bookmarkStart w:id="18" w:name="_Hlk42183631"/>
            <w:r>
              <w:rPr>
                <w:rFonts w:hint="eastAsia" w:ascii="宋体" w:hAnsi="宋体" w:eastAsia="宋体" w:cs="宋体"/>
                <w:bCs w:val="0"/>
                <w:kern w:val="0"/>
                <w:sz w:val="24"/>
                <w:szCs w:val="24"/>
                <w:lang w:val="en-US" w:eastAsia="zh-CN" w:bidi="ar-SA"/>
              </w:rPr>
              <w:t>横贯整个</w:t>
            </w:r>
            <w:bookmarkEnd w:id="18"/>
            <w:r>
              <w:rPr>
                <w:rFonts w:hint="eastAsia" w:ascii="宋体" w:hAnsi="宋体" w:eastAsia="宋体" w:cs="宋体"/>
                <w:bCs w:val="0"/>
                <w:kern w:val="0"/>
                <w:sz w:val="24"/>
                <w:szCs w:val="24"/>
                <w:lang w:val="en-US" w:eastAsia="zh-CN" w:bidi="ar-SA"/>
              </w:rPr>
              <w:t>准噶尔盆地，在该区域占有绝对优势，</w:t>
            </w:r>
            <w:r>
              <w:rPr>
                <w:rFonts w:hint="eastAsia" w:ascii="宋体" w:hAnsi="宋体" w:cs="宋体"/>
                <w:bCs w:val="0"/>
                <w:kern w:val="0"/>
                <w:sz w:val="24"/>
                <w:szCs w:val="24"/>
                <w:lang w:val="en-US" w:eastAsia="zh-CN" w:bidi="ar-SA"/>
              </w:rPr>
              <w:t>本项目</w:t>
            </w:r>
            <w:r>
              <w:rPr>
                <w:rFonts w:hint="eastAsia" w:ascii="宋体" w:hAnsi="宋体" w:eastAsia="宋体" w:cs="宋体"/>
                <w:bCs w:val="0"/>
                <w:kern w:val="0"/>
                <w:sz w:val="24"/>
                <w:szCs w:val="24"/>
                <w:lang w:val="en-US" w:eastAsia="zh-CN" w:bidi="ar-SA"/>
              </w:rPr>
              <w:t>井场全部分布在</w:t>
            </w:r>
            <w:r>
              <w:rPr>
                <w:rFonts w:hint="eastAsia" w:ascii="宋体" w:hAnsi="宋体" w:cs="宋体"/>
                <w:bCs w:val="0"/>
                <w:kern w:val="0"/>
                <w:sz w:val="24"/>
                <w:szCs w:val="24"/>
                <w:lang w:val="en-US" w:eastAsia="zh-CN" w:bidi="ar-SA"/>
              </w:rPr>
              <w:t>草甸黑钙土</w:t>
            </w:r>
            <w:r>
              <w:rPr>
                <w:rFonts w:hint="eastAsia" w:ascii="宋体" w:hAnsi="宋体" w:eastAsia="宋体" w:cs="宋体"/>
                <w:bCs w:val="0"/>
                <w:kern w:val="0"/>
                <w:sz w:val="24"/>
                <w:szCs w:val="24"/>
                <w:lang w:val="en-US" w:eastAsia="zh-CN" w:bidi="ar-SA"/>
              </w:rPr>
              <w:t>上。该土壤母质为砾质洪积物，植被极少。区域土壤类型图详见</w:t>
            </w:r>
            <w:r>
              <w:rPr>
                <w:rFonts w:hint="eastAsia" w:ascii="宋体" w:hAnsi="宋体" w:cs="宋体"/>
                <w:bCs w:val="0"/>
                <w:kern w:val="0"/>
                <w:sz w:val="24"/>
                <w:szCs w:val="24"/>
                <w:lang w:val="en-US" w:eastAsia="zh-CN" w:bidi="ar-SA"/>
              </w:rPr>
              <w:t>附</w:t>
            </w:r>
            <w:r>
              <w:rPr>
                <w:rFonts w:hint="eastAsia" w:ascii="宋体" w:hAnsi="宋体" w:eastAsia="宋体" w:cs="宋体"/>
                <w:bCs w:val="0"/>
                <w:kern w:val="0"/>
                <w:sz w:val="24"/>
                <w:szCs w:val="24"/>
                <w:lang w:val="en-US" w:eastAsia="zh-CN" w:bidi="ar-SA"/>
              </w:rPr>
              <w:t>图</w:t>
            </w:r>
            <w:r>
              <w:rPr>
                <w:rFonts w:hint="eastAsia" w:ascii="宋体" w:hAnsi="宋体" w:cs="宋体"/>
                <w:bCs w:val="0"/>
                <w:kern w:val="0"/>
                <w:sz w:val="24"/>
                <w:szCs w:val="24"/>
                <w:lang w:val="en-US" w:eastAsia="zh-CN" w:bidi="ar-SA"/>
              </w:rPr>
              <w:t>6</w:t>
            </w:r>
            <w:r>
              <w:rPr>
                <w:rFonts w:hint="eastAsia" w:ascii="宋体" w:hAnsi="宋体" w:eastAsia="宋体" w:cs="宋体"/>
                <w:bCs w:val="0"/>
                <w:kern w:val="0"/>
                <w:sz w:val="24"/>
                <w:szCs w:val="24"/>
                <w:lang w:val="en-US" w:eastAsia="zh-CN" w:bidi="ar-SA"/>
              </w:rPr>
              <w:t>。</w:t>
            </w:r>
          </w:p>
          <w:p>
            <w:pPr>
              <w:pStyle w:val="12"/>
              <w:spacing w:before="0" w:after="0" w:line="360" w:lineRule="auto"/>
              <w:ind w:right="0"/>
              <w:rPr>
                <w:rFonts w:hint="default"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3.</w:t>
            </w:r>
            <w:r>
              <w:rPr>
                <w:rFonts w:hint="eastAsia" w:ascii="宋体" w:hAnsi="宋体" w:cs="宋体"/>
                <w:b/>
                <w:bCs/>
                <w:kern w:val="0"/>
                <w:sz w:val="24"/>
                <w:szCs w:val="24"/>
                <w:lang w:val="en-US" w:eastAsia="zh-CN" w:bidi="ar-SA"/>
              </w:rPr>
              <w:t>5</w:t>
            </w:r>
            <w:r>
              <w:rPr>
                <w:rFonts w:hint="eastAsia" w:ascii="宋体" w:hAnsi="宋体" w:eastAsia="宋体" w:cs="宋体"/>
                <w:b/>
                <w:bCs/>
                <w:kern w:val="0"/>
                <w:sz w:val="24"/>
                <w:szCs w:val="24"/>
                <w:lang w:val="en-US" w:eastAsia="zh-CN" w:bidi="ar-SA"/>
              </w:rPr>
              <w:t xml:space="preserve"> 土地利用现状调查</w:t>
            </w:r>
          </w:p>
          <w:p>
            <w:pPr>
              <w:pStyle w:val="12"/>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现场调查，根据遥感调查结果，采用图形叠加法对评价范围内的生态现状进行分析，即将遥感影像与平面布置图进行叠加，并参照《土地利用现状分类》（GBT21010-2017），以确定评价范围内土地利用类型，并统计各类土地利用类型的面积，将成果绘制成土地利用现状图。</w:t>
            </w:r>
          </w:p>
          <w:p>
            <w:pPr>
              <w:pStyle w:val="12"/>
              <w:spacing w:before="0" w:after="0" w:line="360" w:lineRule="auto"/>
              <w:ind w:right="0"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根据项目土地利用现状图及现场勘查，项目占地类型全部为裸</w:t>
            </w:r>
            <w:r>
              <w:rPr>
                <w:rFonts w:hint="default" w:ascii="Times New Roman" w:hAnsi="Times New Roman" w:cs="Times New Roman"/>
                <w:sz w:val="24"/>
                <w:szCs w:val="24"/>
                <w:lang w:val="en-US" w:eastAsia="zh-CN"/>
              </w:rPr>
              <w:t>土</w:t>
            </w:r>
            <w:r>
              <w:rPr>
                <w:rFonts w:hint="default" w:ascii="Times New Roman" w:hAnsi="Times New Roman" w:cs="Times New Roman"/>
                <w:sz w:val="24"/>
                <w:szCs w:val="24"/>
              </w:rPr>
              <w:t>地，项目土地利用类型图详见</w:t>
            </w:r>
            <w:r>
              <w:rPr>
                <w:rFonts w:hint="default" w:ascii="Times New Roman" w:hAnsi="Times New Roman" w:cs="Times New Roman"/>
                <w:sz w:val="24"/>
                <w:szCs w:val="24"/>
                <w:lang w:val="en-US" w:eastAsia="zh-CN"/>
              </w:rPr>
              <w:t>附</w:t>
            </w:r>
            <w:r>
              <w:rPr>
                <w:rFonts w:hint="default" w:ascii="Times New Roman" w:hAnsi="Times New Roman" w:cs="Times New Roman"/>
                <w:sz w:val="24"/>
                <w:szCs w:val="24"/>
              </w:rPr>
              <w:t>图</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lang w:eastAsia="zh-CN"/>
              </w:rPr>
              <w:t>。</w:t>
            </w:r>
          </w:p>
          <w:p>
            <w:pPr>
              <w:pStyle w:val="12"/>
              <w:spacing w:before="0" w:after="0" w:line="360" w:lineRule="auto"/>
              <w:ind w:right="0" w:firstLine="466" w:firstLineChars="200"/>
              <w:rPr>
                <w:rFonts w:hint="eastAsia" w:ascii="宋体" w:hAnsi="宋体" w:eastAsia="宋体" w:cs="宋体"/>
                <w:b/>
                <w:bCs/>
                <w:spacing w:val="-4"/>
                <w:kern w:val="0"/>
                <w:sz w:val="24"/>
                <w:lang w:val="en-US" w:eastAsia="zh-CN"/>
              </w:rPr>
            </w:pPr>
            <w:r>
              <w:rPr>
                <w:rFonts w:ascii="宋体" w:hAnsi="宋体" w:cs="宋体"/>
                <w:b/>
                <w:bCs/>
                <w:spacing w:val="-4"/>
                <w:kern w:val="0"/>
                <w:sz w:val="24"/>
              </w:rPr>
              <w:t>4</w:t>
            </w:r>
            <w:r>
              <w:rPr>
                <w:rFonts w:hint="eastAsia" w:ascii="宋体" w:hAnsi="宋体" w:cs="宋体"/>
                <w:b/>
                <w:bCs/>
                <w:spacing w:val="-4"/>
                <w:kern w:val="0"/>
                <w:sz w:val="24"/>
              </w:rPr>
              <w:t>、</w:t>
            </w:r>
            <w:r>
              <w:rPr>
                <w:rFonts w:hint="default" w:ascii="Times New Roman" w:hAnsi="Times New Roman" w:cs="Times New Roman"/>
                <w:b/>
                <w:bCs/>
                <w:sz w:val="24"/>
                <w:szCs w:val="24"/>
                <w:lang w:eastAsia="zh-CN"/>
              </w:rPr>
              <w:t>环境空气质量现状调查及评价</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.1数据来源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大气环境》(HJ2.2-2018)对环境质量现状数据的要求，本项目基本污染物环境质量现状评价采用环境空气质量模型</w:t>
            </w:r>
            <w:r>
              <w:rPr>
                <w:rFonts w:hint="default" w:ascii="Times New Roman" w:hAnsi="Times New Roman" w:eastAsia="宋体" w:cs="Times New Roman"/>
                <w:color w:val="auto"/>
                <w:sz w:val="24"/>
                <w:szCs w:val="24"/>
              </w:rPr>
              <w:t>空气质量数据，</w:t>
            </w:r>
            <w:r>
              <w:rPr>
                <w:rFonts w:hint="default" w:ascii="Times New Roman" w:hAnsi="Times New Roman" w:eastAsia="宋体" w:cs="Times New Roman"/>
                <w:color w:val="auto"/>
                <w:sz w:val="24"/>
                <w:szCs w:val="24"/>
                <w:lang w:val="en-US" w:eastAsia="zh-CN"/>
              </w:rPr>
              <w:t>本项目最近的大气环境质量监测站城市点为吉木萨尔县环境监测站</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作为本项目环境空气现状评价基本污染物SO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的数据来源</w:t>
            </w:r>
            <w:r>
              <w:rPr>
                <w:rFonts w:hint="default" w:ascii="Times New Roman" w:hAnsi="Times New Roman" w:cs="Times New Roman"/>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.2评价标准</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cs="Times New Roman"/>
                <w:sz w:val="24"/>
                <w:szCs w:val="24"/>
                <w:lang w:eastAsia="zh-CN"/>
              </w:rPr>
            </w:pPr>
            <w:r>
              <w:rPr>
                <w:rFonts w:hint="default" w:ascii="Times New Roman" w:hAnsi="Times New Roman" w:cs="Times New Roman"/>
                <w:sz w:val="24"/>
                <w:szCs w:val="24"/>
              </w:rPr>
              <w:t>基本污染物SO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2</w:t>
            </w:r>
            <w:r>
              <w:rPr>
                <w:rFonts w:hint="default" w:ascii="Times New Roman" w:hAnsi="Times New Roman" w:cs="Times New Roman"/>
                <w:sz w:val="24"/>
                <w:szCs w:val="24"/>
                <w:vertAlign w:val="subscript"/>
                <w:lang w:val="en-US" w:eastAsia="zh-CN"/>
              </w:rPr>
              <w:t>.</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、CO和O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执行《环境空气质量标准》(GB3095-2012)中的二级标准。</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jc w:val="both"/>
              <w:textAlignment w:val="baseline"/>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.3评价方法评价方法</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default" w:ascii="Times New Roman" w:hAnsi="Times New Roman" w:cs="Times New Roman"/>
                <w:sz w:val="24"/>
                <w:szCs w:val="24"/>
              </w:rPr>
            </w:pPr>
            <w:r>
              <w:rPr>
                <w:rFonts w:hint="default" w:ascii="Times New Roman" w:hAnsi="Times New Roman" w:cs="Times New Roman"/>
                <w:sz w:val="24"/>
                <w:szCs w:val="24"/>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jc w:val="both"/>
              <w:textAlignment w:val="baseline"/>
              <w:rPr>
                <w:rFonts w:eastAsia="宋体"/>
                <w:sz w:val="24"/>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.4空气质量达标区判定</w:t>
            </w:r>
          </w:p>
          <w:p>
            <w:pPr>
              <w:pStyle w:val="110"/>
              <w:spacing w:line="360" w:lineRule="auto"/>
              <w:rPr>
                <w:rFonts w:hint="default" w:ascii="Times New Roman" w:hAnsi="Times New Roman" w:eastAsia="宋体" w:cs="Times New Roman"/>
                <w:bCs w:val="0"/>
                <w:kern w:val="2"/>
                <w:sz w:val="24"/>
                <w:szCs w:val="24"/>
                <w:lang w:val="en-US" w:eastAsia="zh-CN" w:bidi="ar-SA"/>
              </w:rPr>
            </w:pPr>
            <w:bookmarkStart w:id="19" w:name="_Hlk42245051"/>
            <w:r>
              <w:rPr>
                <w:rFonts w:hint="default" w:ascii="Times New Roman" w:hAnsi="Times New Roman" w:eastAsia="宋体" w:cs="Times New Roman"/>
                <w:bCs w:val="0"/>
                <w:kern w:val="2"/>
                <w:sz w:val="24"/>
                <w:szCs w:val="24"/>
                <w:lang w:val="en-US" w:eastAsia="zh-CN" w:bidi="ar-SA"/>
              </w:rPr>
              <w:t>根据</w:t>
            </w:r>
            <w:r>
              <w:rPr>
                <w:rFonts w:hint="eastAsia" w:ascii="Times New Roman" w:hAnsi="Times New Roman" w:eastAsia="宋体" w:cs="Times New Roman"/>
                <w:bCs w:val="0"/>
                <w:kern w:val="2"/>
                <w:sz w:val="24"/>
                <w:szCs w:val="24"/>
                <w:lang w:val="en-US" w:eastAsia="zh-CN" w:bidi="ar-SA"/>
              </w:rPr>
              <w:t>2020年</w:t>
            </w:r>
            <w:r>
              <w:rPr>
                <w:rFonts w:hint="default" w:ascii="Times New Roman" w:hAnsi="Times New Roman" w:eastAsia="宋体" w:cs="Times New Roman"/>
                <w:bCs w:val="0"/>
                <w:kern w:val="2"/>
                <w:sz w:val="24"/>
                <w:szCs w:val="24"/>
                <w:lang w:val="en-US" w:eastAsia="zh-CN" w:bidi="ar-SA"/>
              </w:rPr>
              <w:t>吉木萨尔县环境空气质量监测站点（E 89.1765°、N 43.9979°）2020年环境质量数据，PM</w:t>
            </w:r>
            <w:r>
              <w:rPr>
                <w:rFonts w:hint="default" w:ascii="Times New Roman" w:hAnsi="Times New Roman" w:eastAsia="宋体" w:cs="Times New Roman"/>
                <w:bCs w:val="0"/>
                <w:kern w:val="2"/>
                <w:sz w:val="24"/>
                <w:szCs w:val="24"/>
                <w:vertAlign w:val="subscript"/>
                <w:lang w:val="en-US" w:eastAsia="zh-CN" w:bidi="ar-SA"/>
              </w:rPr>
              <w:t>10</w:t>
            </w:r>
            <w:r>
              <w:rPr>
                <w:rFonts w:hint="default" w:ascii="Times New Roman" w:hAnsi="Times New Roman" w:eastAsia="宋体" w:cs="Times New Roman"/>
                <w:bCs w:val="0"/>
                <w:kern w:val="2"/>
                <w:sz w:val="24"/>
                <w:szCs w:val="24"/>
                <w:lang w:val="en-US" w:eastAsia="zh-CN" w:bidi="ar-SA"/>
              </w:rPr>
              <w:t>、PM</w:t>
            </w:r>
            <w:r>
              <w:rPr>
                <w:rFonts w:hint="default" w:ascii="Times New Roman" w:hAnsi="Times New Roman" w:eastAsia="宋体" w:cs="Times New Roman"/>
                <w:bCs w:val="0"/>
                <w:kern w:val="2"/>
                <w:sz w:val="24"/>
                <w:szCs w:val="24"/>
                <w:vertAlign w:val="subscript"/>
                <w:lang w:val="en-US" w:eastAsia="zh-CN" w:bidi="ar-SA"/>
              </w:rPr>
              <w:t>2.5</w:t>
            </w:r>
            <w:r>
              <w:rPr>
                <w:rFonts w:hint="default" w:ascii="Times New Roman" w:hAnsi="Times New Roman" w:eastAsia="宋体" w:cs="Times New Roman"/>
                <w:bCs w:val="0"/>
                <w:kern w:val="2"/>
                <w:sz w:val="24"/>
                <w:szCs w:val="24"/>
                <w:lang w:val="en-US" w:eastAsia="zh-CN" w:bidi="ar-SA"/>
              </w:rPr>
              <w:t>年均值不满足《环境空气质量标准》（GB3095-2012）二级标准，故</w:t>
            </w:r>
            <w:r>
              <w:rPr>
                <w:rFonts w:hint="eastAsia" w:ascii="Times New Roman" w:hAnsi="Times New Roman" w:eastAsia="宋体" w:cs="Times New Roman"/>
                <w:bCs w:val="0"/>
                <w:kern w:val="2"/>
                <w:sz w:val="24"/>
                <w:szCs w:val="24"/>
                <w:lang w:val="en-US" w:eastAsia="zh-CN" w:bidi="ar-SA"/>
              </w:rPr>
              <w:t>项目</w:t>
            </w:r>
            <w:r>
              <w:rPr>
                <w:rFonts w:hint="default" w:ascii="Times New Roman" w:hAnsi="Times New Roman" w:eastAsia="宋体" w:cs="Times New Roman"/>
                <w:bCs w:val="0"/>
                <w:kern w:val="2"/>
                <w:sz w:val="24"/>
                <w:szCs w:val="24"/>
                <w:lang w:val="en-US" w:eastAsia="zh-CN" w:bidi="ar-SA"/>
              </w:rPr>
              <w:t>所在区域为不达标区。</w:t>
            </w:r>
          </w:p>
          <w:p>
            <w:pPr>
              <w:pStyle w:val="109"/>
            </w:pPr>
            <w:r>
              <w:t>表3-</w:t>
            </w:r>
            <w:r>
              <w:rPr>
                <w:rFonts w:hint="eastAsia"/>
                <w:lang w:val="en-US" w:eastAsia="zh-CN"/>
              </w:rPr>
              <w:t>2</w:t>
            </w:r>
            <w:r>
              <w:t xml:space="preserve">  基本污染物环境质量现状</w:t>
            </w:r>
          </w:p>
          <w:tbl>
            <w:tblPr>
              <w:tblStyle w:val="28"/>
              <w:tblpPr w:leftFromText="180" w:rightFromText="180" w:vertAnchor="text" w:horzAnchor="page" w:tblpX="-524" w:tblpY="244"/>
              <w:tblOverlap w:val="never"/>
              <w:tblW w:w="4998" w:type="pct"/>
              <w:tblInd w:w="-3"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28" w:type="dxa"/>
                <w:bottom w:w="0" w:type="dxa"/>
                <w:right w:w="28" w:type="dxa"/>
              </w:tblCellMar>
            </w:tblPr>
            <w:tblGrid>
              <w:gridCol w:w="985"/>
              <w:gridCol w:w="2609"/>
              <w:gridCol w:w="1158"/>
              <w:gridCol w:w="1158"/>
              <w:gridCol w:w="1158"/>
              <w:gridCol w:w="869"/>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blHeader/>
              </w:trPr>
              <w:tc>
                <w:tcPr>
                  <w:tcW w:w="621" w:type="pct"/>
                  <w:vAlign w:val="center"/>
                </w:tcPr>
                <w:p>
                  <w:pPr>
                    <w:pStyle w:val="108"/>
                    <w:rPr>
                      <w:b/>
                      <w:bCs/>
                      <w:snapToGrid w:val="0"/>
                    </w:rPr>
                  </w:pPr>
                  <w:r>
                    <w:rPr>
                      <w:b/>
                      <w:bCs/>
                      <w:snapToGrid w:val="0"/>
                    </w:rPr>
                    <w:t>污染物</w:t>
                  </w:r>
                </w:p>
              </w:tc>
              <w:tc>
                <w:tcPr>
                  <w:tcW w:w="1643" w:type="pct"/>
                  <w:vAlign w:val="center"/>
                </w:tcPr>
                <w:p>
                  <w:pPr>
                    <w:pStyle w:val="108"/>
                    <w:rPr>
                      <w:b/>
                      <w:bCs/>
                      <w:snapToGrid w:val="0"/>
                    </w:rPr>
                  </w:pPr>
                  <w:r>
                    <w:rPr>
                      <w:b/>
                      <w:bCs/>
                      <w:snapToGrid w:val="0"/>
                    </w:rPr>
                    <w:t>评价指标</w:t>
                  </w:r>
                </w:p>
              </w:tc>
              <w:tc>
                <w:tcPr>
                  <w:tcW w:w="729" w:type="pct"/>
                  <w:vAlign w:val="center"/>
                </w:tcPr>
                <w:p>
                  <w:pPr>
                    <w:pStyle w:val="108"/>
                    <w:rPr>
                      <w:b/>
                      <w:bCs/>
                      <w:snapToGrid w:val="0"/>
                    </w:rPr>
                  </w:pPr>
                  <w:r>
                    <w:rPr>
                      <w:b/>
                      <w:bCs/>
                      <w:snapToGrid w:val="0"/>
                    </w:rPr>
                    <w:t>现状浓度（</w:t>
                  </w:r>
                  <w:r>
                    <w:rPr>
                      <w:b/>
                      <w:bCs/>
                      <w:snapToGrid w:val="0"/>
                    </w:rPr>
                    <w:sym w:font="Symbol" w:char="F06D"/>
                  </w:r>
                  <w:r>
                    <w:rPr>
                      <w:b/>
                      <w:bCs/>
                      <w:snapToGrid w:val="0"/>
                    </w:rPr>
                    <w:t>g/m</w:t>
                  </w:r>
                  <w:r>
                    <w:rPr>
                      <w:b/>
                      <w:bCs/>
                      <w:snapToGrid w:val="0"/>
                      <w:vertAlign w:val="superscript"/>
                    </w:rPr>
                    <w:t>3</w:t>
                  </w:r>
                  <w:r>
                    <w:rPr>
                      <w:b/>
                      <w:bCs/>
                      <w:snapToGrid w:val="0"/>
                    </w:rPr>
                    <w:t>）</w:t>
                  </w:r>
                </w:p>
              </w:tc>
              <w:tc>
                <w:tcPr>
                  <w:tcW w:w="729" w:type="pct"/>
                  <w:vAlign w:val="center"/>
                </w:tcPr>
                <w:p>
                  <w:pPr>
                    <w:pStyle w:val="108"/>
                    <w:rPr>
                      <w:b/>
                      <w:bCs/>
                      <w:snapToGrid w:val="0"/>
                    </w:rPr>
                  </w:pPr>
                  <w:r>
                    <w:rPr>
                      <w:b/>
                      <w:bCs/>
                      <w:snapToGrid w:val="0"/>
                    </w:rPr>
                    <w:t>标准值（</w:t>
                  </w:r>
                  <w:r>
                    <w:rPr>
                      <w:b/>
                      <w:bCs/>
                      <w:snapToGrid w:val="0"/>
                    </w:rPr>
                    <w:sym w:font="Symbol" w:char="F06D"/>
                  </w:r>
                  <w:r>
                    <w:rPr>
                      <w:b/>
                      <w:bCs/>
                      <w:snapToGrid w:val="0"/>
                    </w:rPr>
                    <w:t>g/m</w:t>
                  </w:r>
                  <w:r>
                    <w:rPr>
                      <w:b/>
                      <w:bCs/>
                      <w:snapToGrid w:val="0"/>
                      <w:vertAlign w:val="superscript"/>
                    </w:rPr>
                    <w:t>3</w:t>
                  </w:r>
                  <w:r>
                    <w:rPr>
                      <w:b/>
                      <w:bCs/>
                      <w:snapToGrid w:val="0"/>
                    </w:rPr>
                    <w:t>）</w:t>
                  </w:r>
                </w:p>
              </w:tc>
              <w:tc>
                <w:tcPr>
                  <w:tcW w:w="729" w:type="pct"/>
                  <w:tcBorders>
                    <w:bottom w:val="single" w:color="auto" w:sz="4" w:space="0"/>
                  </w:tcBorders>
                  <w:vAlign w:val="center"/>
                </w:tcPr>
                <w:p>
                  <w:pPr>
                    <w:pStyle w:val="108"/>
                    <w:rPr>
                      <w:b/>
                      <w:bCs/>
                      <w:snapToGrid w:val="0"/>
                    </w:rPr>
                  </w:pPr>
                  <w:r>
                    <w:rPr>
                      <w:b/>
                      <w:bCs/>
                      <w:snapToGrid w:val="0"/>
                    </w:rPr>
                    <w:t>占标率</w:t>
                  </w:r>
                </w:p>
                <w:p>
                  <w:pPr>
                    <w:pStyle w:val="108"/>
                    <w:rPr>
                      <w:b/>
                      <w:bCs/>
                      <w:snapToGrid w:val="0"/>
                    </w:rPr>
                  </w:pPr>
                  <w:r>
                    <w:rPr>
                      <w:rFonts w:hint="eastAsia"/>
                      <w:b/>
                      <w:bCs/>
                      <w:snapToGrid w:val="0"/>
                    </w:rPr>
                    <w:t>（</w:t>
                  </w:r>
                  <w:r>
                    <w:rPr>
                      <w:b/>
                      <w:bCs/>
                      <w:snapToGrid w:val="0"/>
                    </w:rPr>
                    <w:t>%</w:t>
                  </w:r>
                  <w:r>
                    <w:rPr>
                      <w:rFonts w:hint="eastAsia"/>
                      <w:b/>
                      <w:bCs/>
                      <w:snapToGrid w:val="0"/>
                    </w:rPr>
                    <w:t>）</w:t>
                  </w:r>
                </w:p>
              </w:tc>
              <w:tc>
                <w:tcPr>
                  <w:tcW w:w="547" w:type="pct"/>
                  <w:vAlign w:val="center"/>
                </w:tcPr>
                <w:p>
                  <w:pPr>
                    <w:pStyle w:val="108"/>
                    <w:rPr>
                      <w:b/>
                      <w:bCs/>
                      <w:snapToGrid w:val="0"/>
                    </w:rPr>
                  </w:pPr>
                  <w:r>
                    <w:rPr>
                      <w:b/>
                      <w:bCs/>
                      <w:snapToGrid w:val="0"/>
                    </w:rPr>
                    <w:t>达标</w:t>
                  </w:r>
                </w:p>
                <w:p>
                  <w:pPr>
                    <w:pStyle w:val="108"/>
                    <w:rPr>
                      <w:b/>
                      <w:bCs/>
                      <w:snapToGrid w:val="0"/>
                    </w:rPr>
                  </w:pPr>
                  <w:r>
                    <w:rPr>
                      <w:b/>
                      <w:bCs/>
                      <w:snapToGrid w:val="0"/>
                    </w:rPr>
                    <w:t>情况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54" w:hRule="atLeast"/>
              </w:trPr>
              <w:tc>
                <w:tcPr>
                  <w:tcW w:w="621" w:type="pct"/>
                  <w:shd w:val="clear" w:color="auto" w:fill="auto"/>
                  <w:vAlign w:val="center"/>
                </w:tcPr>
                <w:p>
                  <w:pPr>
                    <w:pStyle w:val="108"/>
                    <w:rPr>
                      <w:snapToGrid w:val="0"/>
                    </w:rPr>
                  </w:pPr>
                  <w:r>
                    <w:rPr>
                      <w:snapToGrid w:val="0"/>
                    </w:rPr>
                    <w:t>SO</w:t>
                  </w:r>
                  <w:r>
                    <w:rPr>
                      <w:snapToGrid w:val="0"/>
                      <w:vertAlign w:val="subscript"/>
                    </w:rPr>
                    <w:t>2</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7</w:t>
                  </w:r>
                </w:p>
              </w:tc>
              <w:tc>
                <w:tcPr>
                  <w:tcW w:w="729" w:type="pct"/>
                  <w:tcBorders>
                    <w:right w:val="single" w:color="auto" w:sz="4" w:space="0"/>
                  </w:tcBorders>
                  <w:shd w:val="clear" w:color="auto" w:fill="auto"/>
                  <w:vAlign w:val="center"/>
                </w:tcPr>
                <w:p>
                  <w:pPr>
                    <w:pStyle w:val="108"/>
                  </w:pPr>
                  <w:r>
                    <w:t>60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8"/>
                  </w:pPr>
                  <w:r>
                    <w:rPr>
                      <w:rFonts w:hint="eastAsia"/>
                    </w:rPr>
                    <w:t>11.67</w:t>
                  </w:r>
                </w:p>
              </w:tc>
              <w:tc>
                <w:tcPr>
                  <w:tcW w:w="547" w:type="pct"/>
                  <w:tcBorders>
                    <w:left w:val="single" w:color="auto" w:sz="4" w:space="0"/>
                  </w:tcBorders>
                  <w:shd w:val="clear" w:color="auto" w:fill="auto"/>
                  <w:vAlign w:val="center"/>
                </w:tcPr>
                <w:p>
                  <w:pPr>
                    <w:pStyle w:val="108"/>
                  </w:pPr>
                  <w: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NO</w:t>
                  </w:r>
                  <w:r>
                    <w:rPr>
                      <w:snapToGrid w:val="0"/>
                      <w:vertAlign w:val="subscript"/>
                    </w:rPr>
                    <w:t>2</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19</w:t>
                  </w:r>
                </w:p>
              </w:tc>
              <w:tc>
                <w:tcPr>
                  <w:tcW w:w="729" w:type="pct"/>
                  <w:tcBorders>
                    <w:right w:val="single" w:color="auto" w:sz="4" w:space="0"/>
                  </w:tcBorders>
                  <w:shd w:val="clear" w:color="auto" w:fill="auto"/>
                  <w:vAlign w:val="center"/>
                </w:tcPr>
                <w:p>
                  <w:pPr>
                    <w:pStyle w:val="108"/>
                  </w:pPr>
                  <w:r>
                    <w:t>40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8"/>
                  </w:pPr>
                  <w:r>
                    <w:rPr>
                      <w:rFonts w:hint="eastAsia"/>
                    </w:rPr>
                    <w:t>47.50</w:t>
                  </w:r>
                </w:p>
              </w:tc>
              <w:tc>
                <w:tcPr>
                  <w:tcW w:w="547" w:type="pct"/>
                  <w:tcBorders>
                    <w:left w:val="single" w:color="auto" w:sz="4" w:space="0"/>
                  </w:tcBorders>
                  <w:shd w:val="clear" w:color="auto" w:fill="auto"/>
                  <w:vAlign w:val="center"/>
                </w:tcPr>
                <w:p>
                  <w:pPr>
                    <w:pStyle w:val="108"/>
                  </w:pPr>
                  <w: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PM</w:t>
                  </w:r>
                  <w:r>
                    <w:rPr>
                      <w:snapToGrid w:val="0"/>
                      <w:vertAlign w:val="subscript"/>
                    </w:rPr>
                    <w:t>10</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78</w:t>
                  </w:r>
                </w:p>
              </w:tc>
              <w:tc>
                <w:tcPr>
                  <w:tcW w:w="729" w:type="pct"/>
                  <w:tcBorders>
                    <w:right w:val="single" w:color="auto" w:sz="4" w:space="0"/>
                  </w:tcBorders>
                  <w:shd w:val="clear" w:color="auto" w:fill="auto"/>
                  <w:vAlign w:val="center"/>
                </w:tcPr>
                <w:p>
                  <w:pPr>
                    <w:pStyle w:val="108"/>
                  </w:pPr>
                  <w:r>
                    <w:t>70</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08"/>
                  </w:pPr>
                  <w:r>
                    <w:rPr>
                      <w:rFonts w:hint="eastAsia"/>
                    </w:rPr>
                    <w:t>111.43</w:t>
                  </w:r>
                </w:p>
              </w:tc>
              <w:tc>
                <w:tcPr>
                  <w:tcW w:w="547" w:type="pct"/>
                  <w:tcBorders>
                    <w:left w:val="single" w:color="auto" w:sz="4" w:space="0"/>
                  </w:tcBorders>
                  <w:shd w:val="clear" w:color="auto" w:fill="D8D8D8" w:themeFill="background1" w:themeFillShade="D9"/>
                  <w:vAlign w:val="center"/>
                </w:tcPr>
                <w:p>
                  <w:pPr>
                    <w:pStyle w:val="108"/>
                  </w:pPr>
                  <w:r>
                    <w:t>超标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PM</w:t>
                  </w:r>
                  <w:r>
                    <w:rPr>
                      <w:snapToGrid w:val="0"/>
                      <w:vertAlign w:val="subscript"/>
                    </w:rPr>
                    <w:t>2.5</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48</w:t>
                  </w:r>
                </w:p>
              </w:tc>
              <w:tc>
                <w:tcPr>
                  <w:tcW w:w="729" w:type="pct"/>
                  <w:tcBorders>
                    <w:right w:val="single" w:color="auto" w:sz="4" w:space="0"/>
                  </w:tcBorders>
                  <w:shd w:val="clear" w:color="auto" w:fill="auto"/>
                  <w:vAlign w:val="center"/>
                </w:tcPr>
                <w:p>
                  <w:pPr>
                    <w:pStyle w:val="108"/>
                  </w:pPr>
                  <w:r>
                    <w:t>35</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08"/>
                  </w:pPr>
                  <w:r>
                    <w:rPr>
                      <w:rFonts w:hint="eastAsia"/>
                    </w:rPr>
                    <w:t>137.14</w:t>
                  </w:r>
                </w:p>
              </w:tc>
              <w:tc>
                <w:tcPr>
                  <w:tcW w:w="547" w:type="pct"/>
                  <w:tcBorders>
                    <w:left w:val="single" w:color="auto" w:sz="4" w:space="0"/>
                  </w:tcBorders>
                  <w:shd w:val="clear" w:color="auto" w:fill="D8D8D8" w:themeFill="background1" w:themeFillShade="D9"/>
                  <w:vAlign w:val="center"/>
                </w:tcPr>
                <w:p>
                  <w:pPr>
                    <w:pStyle w:val="108"/>
                  </w:pPr>
                  <w:r>
                    <w:t>超标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CO</w:t>
                  </w:r>
                </w:p>
              </w:tc>
              <w:tc>
                <w:tcPr>
                  <w:tcW w:w="1643" w:type="pct"/>
                  <w:shd w:val="clear" w:color="auto" w:fill="auto"/>
                  <w:vAlign w:val="center"/>
                </w:tcPr>
                <w:p>
                  <w:pPr>
                    <w:pStyle w:val="108"/>
                  </w:pPr>
                  <w:r>
                    <w:t>24小时平均第95百分位数</w:t>
                  </w:r>
                </w:p>
              </w:tc>
              <w:tc>
                <w:tcPr>
                  <w:tcW w:w="729" w:type="pct"/>
                  <w:shd w:val="clear" w:color="auto" w:fill="auto"/>
                  <w:vAlign w:val="center"/>
                </w:tcPr>
                <w:p>
                  <w:pPr>
                    <w:pStyle w:val="108"/>
                  </w:pPr>
                  <w:r>
                    <w:rPr>
                      <w:rFonts w:hint="eastAsia"/>
                    </w:rPr>
                    <w:t>0.6</w:t>
                  </w:r>
                  <w:r>
                    <w:t xml:space="preserve"> mg/m3</w:t>
                  </w:r>
                </w:p>
              </w:tc>
              <w:tc>
                <w:tcPr>
                  <w:tcW w:w="729" w:type="pct"/>
                  <w:tcBorders>
                    <w:right w:val="single" w:color="auto" w:sz="4" w:space="0"/>
                  </w:tcBorders>
                  <w:shd w:val="clear" w:color="auto" w:fill="auto"/>
                  <w:vAlign w:val="center"/>
                </w:tcPr>
                <w:p>
                  <w:pPr>
                    <w:pStyle w:val="108"/>
                  </w:pPr>
                  <w:r>
                    <w:t>4 mg/m3</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8"/>
                  </w:pPr>
                  <w:r>
                    <w:rPr>
                      <w:rFonts w:hint="eastAsia"/>
                    </w:rPr>
                    <w:t>15.00</w:t>
                  </w:r>
                </w:p>
              </w:tc>
              <w:tc>
                <w:tcPr>
                  <w:tcW w:w="547" w:type="pct"/>
                  <w:tcBorders>
                    <w:left w:val="single" w:color="auto" w:sz="4" w:space="0"/>
                  </w:tcBorders>
                  <w:shd w:val="clear" w:color="auto" w:fill="auto"/>
                  <w:vAlign w:val="center"/>
                </w:tcPr>
                <w:p>
                  <w:pPr>
                    <w:pStyle w:val="108"/>
                  </w:pPr>
                  <w: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O</w:t>
                  </w:r>
                  <w:r>
                    <w:rPr>
                      <w:snapToGrid w:val="0"/>
                      <w:vertAlign w:val="subscript"/>
                    </w:rPr>
                    <w:t>3</w:t>
                  </w:r>
                </w:p>
              </w:tc>
              <w:tc>
                <w:tcPr>
                  <w:tcW w:w="1643" w:type="pct"/>
                  <w:shd w:val="clear" w:color="auto" w:fill="auto"/>
                  <w:vAlign w:val="center"/>
                </w:tcPr>
                <w:p>
                  <w:pPr>
                    <w:pStyle w:val="108"/>
                  </w:pPr>
                  <w:r>
                    <w:t>最大8小时平均第90百分位数</w:t>
                  </w:r>
                </w:p>
              </w:tc>
              <w:tc>
                <w:tcPr>
                  <w:tcW w:w="729" w:type="pct"/>
                  <w:shd w:val="clear" w:color="auto" w:fill="auto"/>
                  <w:vAlign w:val="center"/>
                </w:tcPr>
                <w:p>
                  <w:pPr>
                    <w:pStyle w:val="108"/>
                  </w:pPr>
                  <w:r>
                    <w:rPr>
                      <w:rFonts w:hint="eastAsia"/>
                    </w:rPr>
                    <w:t>67</w:t>
                  </w:r>
                </w:p>
              </w:tc>
              <w:tc>
                <w:tcPr>
                  <w:tcW w:w="729" w:type="pct"/>
                  <w:tcBorders>
                    <w:right w:val="single" w:color="auto" w:sz="4" w:space="0"/>
                  </w:tcBorders>
                  <w:shd w:val="clear" w:color="auto" w:fill="auto"/>
                  <w:vAlign w:val="center"/>
                </w:tcPr>
                <w:p>
                  <w:pPr>
                    <w:pStyle w:val="108"/>
                  </w:pPr>
                  <w:r>
                    <w:t>160</w:t>
                  </w:r>
                </w:p>
              </w:tc>
              <w:tc>
                <w:tcPr>
                  <w:tcW w:w="729" w:type="pct"/>
                  <w:tcBorders>
                    <w:top w:val="single" w:color="auto" w:sz="4" w:space="0"/>
                    <w:left w:val="single" w:color="auto" w:sz="4" w:space="0"/>
                    <w:right w:val="single" w:color="auto" w:sz="4" w:space="0"/>
                  </w:tcBorders>
                  <w:shd w:val="clear" w:color="auto" w:fill="auto"/>
                  <w:vAlign w:val="center"/>
                </w:tcPr>
                <w:p>
                  <w:pPr>
                    <w:pStyle w:val="108"/>
                  </w:pPr>
                  <w:r>
                    <w:rPr>
                      <w:rFonts w:hint="eastAsia"/>
                    </w:rPr>
                    <w:t>41.88</w:t>
                  </w:r>
                </w:p>
              </w:tc>
              <w:tc>
                <w:tcPr>
                  <w:tcW w:w="547" w:type="pct"/>
                  <w:tcBorders>
                    <w:left w:val="single" w:color="auto" w:sz="4" w:space="0"/>
                  </w:tcBorders>
                  <w:shd w:val="clear" w:color="auto" w:fill="auto"/>
                  <w:vAlign w:val="center"/>
                </w:tcPr>
                <w:p>
                  <w:pPr>
                    <w:pStyle w:val="108"/>
                  </w:pPr>
                  <w:r>
                    <w:t>超标</w:t>
                  </w:r>
                </w:p>
              </w:tc>
            </w:tr>
            <w:bookmarkEnd w:id="19"/>
          </w:tbl>
          <w:p>
            <w:pPr>
              <w:pStyle w:val="110"/>
              <w:spacing w:line="360" w:lineRule="auto"/>
            </w:pPr>
            <w:r>
              <w:rPr>
                <w:rFonts w:hint="eastAsia"/>
                <w:sz w:val="24"/>
                <w:szCs w:val="24"/>
              </w:rPr>
              <w:t>项目所在区域</w:t>
            </w:r>
            <w:r>
              <w:rPr>
                <w:sz w:val="24"/>
                <w:szCs w:val="24"/>
              </w:rPr>
              <w:t>PM</w:t>
            </w:r>
            <w:r>
              <w:rPr>
                <w:sz w:val="24"/>
                <w:szCs w:val="24"/>
                <w:vertAlign w:val="subscript"/>
              </w:rPr>
              <w:t>2.5</w:t>
            </w:r>
            <w:r>
              <w:rPr>
                <w:rFonts w:hint="eastAsia"/>
                <w:sz w:val="24"/>
                <w:szCs w:val="24"/>
              </w:rPr>
              <w:t>、</w:t>
            </w:r>
            <w:r>
              <w:rPr>
                <w:sz w:val="24"/>
                <w:szCs w:val="24"/>
              </w:rPr>
              <w:t>PM</w:t>
            </w:r>
            <w:r>
              <w:rPr>
                <w:sz w:val="24"/>
                <w:szCs w:val="24"/>
                <w:vertAlign w:val="subscript"/>
              </w:rPr>
              <w:t>10</w:t>
            </w:r>
            <w:r>
              <w:rPr>
                <w:rFonts w:hint="eastAsia"/>
                <w:sz w:val="24"/>
                <w:szCs w:val="24"/>
              </w:rPr>
              <w:t>年平均浓度有超标现象，</w:t>
            </w:r>
            <w:r>
              <w:rPr>
                <w:sz w:val="24"/>
                <w:szCs w:val="24"/>
              </w:rPr>
              <w:t>PM</w:t>
            </w:r>
            <w:r>
              <w:rPr>
                <w:sz w:val="24"/>
                <w:szCs w:val="24"/>
                <w:vertAlign w:val="subscript"/>
              </w:rPr>
              <w:t>2.5</w:t>
            </w:r>
            <w:r>
              <w:rPr>
                <w:rFonts w:hint="eastAsia"/>
                <w:sz w:val="24"/>
                <w:szCs w:val="24"/>
              </w:rPr>
              <w:t>、</w:t>
            </w:r>
            <w:r>
              <w:rPr>
                <w:sz w:val="24"/>
                <w:szCs w:val="24"/>
              </w:rPr>
              <w:t>PM</w:t>
            </w:r>
            <w:r>
              <w:rPr>
                <w:sz w:val="24"/>
                <w:szCs w:val="24"/>
                <w:vertAlign w:val="subscript"/>
              </w:rPr>
              <w:t>10</w:t>
            </w:r>
            <w:r>
              <w:rPr>
                <w:rFonts w:hint="eastAsia"/>
                <w:sz w:val="24"/>
                <w:szCs w:val="24"/>
              </w:rPr>
              <w:t>年平均占标率为</w:t>
            </w:r>
            <w:r>
              <w:rPr>
                <w:sz w:val="24"/>
                <w:szCs w:val="24"/>
              </w:rPr>
              <w:t>137.14%</w:t>
            </w:r>
            <w:r>
              <w:rPr>
                <w:rFonts w:hint="eastAsia"/>
                <w:sz w:val="24"/>
                <w:szCs w:val="24"/>
              </w:rPr>
              <w:t>和</w:t>
            </w:r>
            <w:r>
              <w:rPr>
                <w:sz w:val="24"/>
                <w:szCs w:val="24"/>
              </w:rPr>
              <w:t>111.43%</w:t>
            </w:r>
            <w:r>
              <w:rPr>
                <w:rFonts w:hint="eastAsia"/>
                <w:sz w:val="24"/>
                <w:szCs w:val="24"/>
              </w:rPr>
              <w:t>，年均值超标倍数为</w:t>
            </w:r>
            <w:r>
              <w:rPr>
                <w:sz w:val="24"/>
                <w:szCs w:val="24"/>
              </w:rPr>
              <w:t>0.37</w:t>
            </w:r>
            <w:r>
              <w:rPr>
                <w:rFonts w:hint="eastAsia"/>
                <w:sz w:val="24"/>
                <w:szCs w:val="24"/>
              </w:rPr>
              <w:t>和</w:t>
            </w:r>
            <w:r>
              <w:rPr>
                <w:sz w:val="24"/>
                <w:szCs w:val="24"/>
              </w:rPr>
              <w:t>0.11</w:t>
            </w:r>
            <w:r>
              <w:rPr>
                <w:rFonts w:hint="eastAsia"/>
                <w:sz w:val="24"/>
                <w:szCs w:val="24"/>
              </w:rPr>
              <w:t>。超标原因主要与当地风沙季有一定关系。</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2" w:firstLineChars="200"/>
              <w:jc w:val="both"/>
              <w:textAlignment w:val="baseline"/>
              <w:rPr>
                <w:rFonts w:hint="eastAsia" w:ascii="Times New Roman" w:hAnsi="Times New Roman" w:eastAsia="宋体" w:cs="Times New Roman"/>
                <w:sz w:val="24"/>
                <w:szCs w:val="24"/>
                <w:lang w:val="en-US" w:eastAsia="zh-CN"/>
              </w:rPr>
            </w:pPr>
            <w:r>
              <w:rPr>
                <w:rFonts w:hint="eastAsia"/>
                <w:b/>
                <w:bCs/>
                <w:sz w:val="24"/>
                <w:szCs w:val="24"/>
                <w:lang w:val="en-US" w:eastAsia="zh-CN"/>
              </w:rPr>
              <w:t>5</w:t>
            </w:r>
            <w:r>
              <w:rPr>
                <w:rFonts w:hint="eastAsia" w:ascii="Times New Roman" w:hAnsi="Times New Roman" w:eastAsia="宋体" w:cs="Times New Roman"/>
                <w:b/>
                <w:bCs/>
                <w:sz w:val="24"/>
                <w:szCs w:val="24"/>
                <w:lang w:val="en-US" w:eastAsia="zh-CN"/>
              </w:rPr>
              <w:t>、水环境质量现状</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本项目钻井期间钻井废水循环利用，本</w:t>
            </w:r>
            <w:r>
              <w:rPr>
                <w:rFonts w:hint="eastAsia" w:cs="Times New Roman"/>
                <w:sz w:val="24"/>
                <w:szCs w:val="24"/>
                <w:lang w:val="en-US" w:eastAsia="zh-CN"/>
              </w:rPr>
              <w:t>项目</w:t>
            </w:r>
            <w:r>
              <w:rPr>
                <w:rFonts w:hint="eastAsia" w:ascii="Times New Roman" w:hAnsi="Times New Roman" w:eastAsia="宋体" w:cs="Times New Roman"/>
                <w:sz w:val="24"/>
                <w:szCs w:val="24"/>
                <w:lang w:val="en-US" w:eastAsia="zh-CN"/>
              </w:rPr>
              <w:t>区周边</w:t>
            </w:r>
            <w:r>
              <w:rPr>
                <w:rFonts w:hint="default" w:ascii="Times New Roman" w:hAnsi="Times New Roman" w:eastAsia="宋体" w:cs="Times New Roman"/>
                <w:sz w:val="24"/>
                <w:szCs w:val="24"/>
                <w:lang w:val="en-US" w:eastAsia="zh-CN"/>
              </w:rPr>
              <w:t>5km</w:t>
            </w:r>
            <w:r>
              <w:rPr>
                <w:rFonts w:hint="eastAsia" w:ascii="Times New Roman" w:hAnsi="Times New Roman" w:eastAsia="宋体" w:cs="Times New Roman"/>
                <w:sz w:val="24"/>
                <w:szCs w:val="24"/>
                <w:lang w:val="en-US" w:eastAsia="zh-CN"/>
              </w:rPr>
              <w:t>范围内无常年天然地表水体分布，与地表水体无水力联系，本次未对地表水环境进行现状评价。</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w:t>
            </w:r>
            <w:r>
              <w:rPr>
                <w:rFonts w:hint="eastAsia" w:cs="Times New Roman"/>
                <w:sz w:val="24"/>
                <w:szCs w:val="24"/>
                <w:lang w:val="en-US" w:eastAsia="zh-CN"/>
              </w:rPr>
              <w:t>项目</w:t>
            </w:r>
            <w:r>
              <w:rPr>
                <w:rFonts w:hint="eastAsia" w:ascii="Times New Roman" w:hAnsi="Times New Roman" w:eastAsia="宋体" w:cs="Times New Roman"/>
                <w:sz w:val="24"/>
                <w:szCs w:val="24"/>
                <w:lang w:val="en-US" w:eastAsia="zh-CN"/>
              </w:rPr>
              <w:t>属于矿产资源勘查活动，钻井期间采用泥浆不落地工艺，无钻井废水排放；本次只定性分析对地下水的可能的影响，未对地下水环境进行现状监测。</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2" w:firstLineChars="200"/>
              <w:jc w:val="both"/>
              <w:textAlignment w:val="baseline"/>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6</w:t>
            </w:r>
            <w:r>
              <w:rPr>
                <w:rFonts w:hint="eastAsia" w:ascii="Times New Roman" w:hAnsi="Times New Roman" w:eastAsia="宋体" w:cs="Times New Roman"/>
                <w:b/>
                <w:bCs/>
                <w:sz w:val="24"/>
                <w:szCs w:val="24"/>
                <w:lang w:val="en-US" w:eastAsia="zh-CN"/>
              </w:rPr>
              <w:t>、声环境质量现状</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根据《建设项目环境影响报告表编制技术指南（</w:t>
            </w:r>
            <w:r>
              <w:rPr>
                <w:rFonts w:hint="eastAsia" w:cs="Times New Roman"/>
                <w:sz w:val="24"/>
                <w:szCs w:val="24"/>
                <w:lang w:val="en-US" w:eastAsia="zh-CN"/>
              </w:rPr>
              <w:t>生态</w:t>
            </w:r>
            <w:r>
              <w:rPr>
                <w:rFonts w:hint="eastAsia" w:ascii="Times New Roman" w:hAnsi="Times New Roman" w:eastAsia="宋体" w:cs="Times New Roman"/>
                <w:sz w:val="24"/>
                <w:szCs w:val="24"/>
                <w:lang w:val="en-US" w:eastAsia="zh-CN"/>
              </w:rPr>
              <w:t>影响类）（试行）》本项目50m范围内无</w:t>
            </w:r>
            <w:r>
              <w:rPr>
                <w:rFonts w:hint="eastAsia" w:cs="Times New Roman"/>
                <w:sz w:val="24"/>
                <w:szCs w:val="24"/>
                <w:lang w:val="en-US" w:eastAsia="zh-CN"/>
              </w:rPr>
              <w:t>声</w:t>
            </w:r>
            <w:r>
              <w:rPr>
                <w:rFonts w:hint="eastAsia" w:ascii="Times New Roman" w:hAnsi="Times New Roman" w:eastAsia="宋体" w:cs="Times New Roman"/>
                <w:sz w:val="24"/>
                <w:szCs w:val="24"/>
                <w:lang w:val="en-US" w:eastAsia="zh-CN"/>
              </w:rPr>
              <w:t>环境</w:t>
            </w:r>
            <w:r>
              <w:rPr>
                <w:rFonts w:hint="eastAsia" w:cs="Times New Roman"/>
                <w:sz w:val="24"/>
                <w:szCs w:val="24"/>
                <w:lang w:val="en-US" w:eastAsia="zh-CN"/>
              </w:rPr>
              <w:t>保护</w:t>
            </w:r>
            <w:r>
              <w:rPr>
                <w:rFonts w:hint="eastAsia" w:ascii="Times New Roman" w:hAnsi="Times New Roman" w:eastAsia="宋体" w:cs="Times New Roman"/>
                <w:sz w:val="24"/>
                <w:szCs w:val="24"/>
                <w:lang w:val="en-US" w:eastAsia="zh-CN"/>
              </w:rPr>
              <w:t>目标，</w:t>
            </w:r>
            <w:r>
              <w:rPr>
                <w:rFonts w:hint="eastAsia" w:cs="Times New Roman"/>
                <w:sz w:val="24"/>
                <w:szCs w:val="24"/>
                <w:lang w:val="en-US" w:eastAsia="zh-CN"/>
              </w:rPr>
              <w:t>因此，本项目可</w:t>
            </w:r>
            <w:r>
              <w:rPr>
                <w:rFonts w:hint="eastAsia" w:ascii="Times New Roman" w:hAnsi="Times New Roman" w:eastAsia="宋体" w:cs="Times New Roman"/>
                <w:sz w:val="24"/>
                <w:szCs w:val="24"/>
                <w:lang w:val="en-US" w:eastAsia="zh-CN"/>
              </w:rPr>
              <w:t>不开展声环境质量现状</w:t>
            </w:r>
            <w:r>
              <w:rPr>
                <w:rFonts w:hint="eastAsia" w:cs="Times New Roman"/>
                <w:sz w:val="24"/>
                <w:szCs w:val="24"/>
                <w:lang w:val="en-US" w:eastAsia="zh-CN"/>
              </w:rPr>
              <w:t>监测</w:t>
            </w:r>
            <w:r>
              <w:rPr>
                <w:rFonts w:hint="eastAsia" w:ascii="Times New Roman" w:hAnsi="Times New Roman" w:eastAsia="宋体" w:cs="Times New Roman"/>
                <w:sz w:val="24"/>
                <w:szCs w:val="24"/>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2" w:firstLineChars="200"/>
              <w:jc w:val="both"/>
              <w:textAlignment w:val="baseline"/>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eastAsia" w:ascii="Times New Roman" w:hAnsi="Times New Roman" w:eastAsia="宋体" w:cs="Times New Roman"/>
                <w:b/>
                <w:bCs/>
                <w:sz w:val="24"/>
                <w:szCs w:val="24"/>
                <w:lang w:val="en-US" w:eastAsia="zh-CN"/>
              </w:rPr>
              <w:t>、土壤环境质量评价</w:t>
            </w:r>
          </w:p>
          <w:p>
            <w:pPr>
              <w:pStyle w:val="12"/>
              <w:spacing w:before="0" w:after="0" w:line="360" w:lineRule="auto"/>
              <w:ind w:right="0" w:firstLine="480" w:firstLineChars="200"/>
              <w:rPr>
                <w:rFonts w:ascii="宋体" w:hAnsi="宋体" w:cs="宋体"/>
                <w:sz w:val="24"/>
                <w:szCs w:val="24"/>
              </w:rPr>
            </w:pPr>
            <w:r>
              <w:rPr>
                <w:rFonts w:hint="eastAsia" w:ascii="Times New Roman" w:hAnsi="Times New Roman" w:eastAsia="宋体" w:cs="Times New Roman"/>
                <w:sz w:val="24"/>
                <w:szCs w:val="24"/>
                <w:lang w:val="en-US" w:eastAsia="zh-CN"/>
              </w:rPr>
              <w:t>本项目属于矿产资源勘查活动，钻井期采用泥浆不落地、罐区进行防渗，本次环评未开展土壤现状调查。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06" w:hRule="atLeast"/>
          <w:jc w:val="center"/>
        </w:trPr>
        <w:tc>
          <w:tcPr>
            <w:tcW w:w="185" w:type="pct"/>
            <w:vAlign w:val="center"/>
          </w:tcPr>
          <w:p>
            <w:pPr>
              <w:adjustRightInd w:val="0"/>
              <w:snapToGrid w:val="0"/>
              <w:jc w:val="center"/>
              <w:rPr>
                <w:rFonts w:ascii="宋体" w:hAnsi="宋体" w:cs="宋体"/>
                <w:kern w:val="0"/>
                <w:sz w:val="24"/>
              </w:rPr>
            </w:pPr>
            <w:r>
              <w:rPr>
                <w:rFonts w:hint="eastAsia" w:ascii="宋体" w:hAnsi="宋体"/>
                <w:bCs/>
                <w:sz w:val="24"/>
              </w:rPr>
              <w:t>与项目有关的原有环境污染和生态破坏问题</w:t>
            </w:r>
          </w:p>
        </w:tc>
        <w:tc>
          <w:tcPr>
            <w:tcW w:w="4814" w:type="pct"/>
            <w:gridSpan w:val="4"/>
            <w:vAlign w:val="center"/>
          </w:tcPr>
          <w:p>
            <w:pPr>
              <w:pStyle w:val="59"/>
              <w:ind w:firstLine="480"/>
              <w:rPr>
                <w:bCs/>
                <w:kern w:val="2"/>
              </w:rPr>
            </w:pPr>
          </w:p>
          <w:p>
            <w:pPr>
              <w:pStyle w:val="59"/>
              <w:ind w:firstLine="480"/>
              <w:rPr>
                <w:bCs/>
                <w:kern w:val="2"/>
              </w:rPr>
            </w:pPr>
          </w:p>
          <w:p>
            <w:pPr>
              <w:pStyle w:val="59"/>
              <w:ind w:firstLine="480"/>
              <w:rPr>
                <w:bCs/>
                <w:kern w:val="2"/>
              </w:rPr>
            </w:pPr>
          </w:p>
          <w:p>
            <w:pPr>
              <w:pStyle w:val="59"/>
              <w:ind w:firstLine="480"/>
              <w:rPr>
                <w:bCs/>
                <w:kern w:val="2"/>
              </w:rPr>
            </w:pPr>
            <w:r>
              <w:rPr>
                <w:rFonts w:hint="eastAsia"/>
                <w:bCs/>
                <w:kern w:val="2"/>
              </w:rPr>
              <w:t>本项目为新建项目，不存在原有环境污染和生态破坏问题。</w:t>
            </w:r>
          </w:p>
          <w:p>
            <w:pPr>
              <w:pStyle w:val="59"/>
              <w:ind w:firstLine="480"/>
              <w:rPr>
                <w:bCs/>
                <w:kern w:val="2"/>
              </w:rPr>
            </w:pPr>
          </w:p>
          <w:p>
            <w:pPr>
              <w:pStyle w:val="59"/>
              <w:ind w:firstLine="480"/>
              <w:rPr>
                <w:bCs/>
                <w:kern w:val="2"/>
              </w:rPr>
            </w:pPr>
          </w:p>
          <w:p>
            <w:pPr>
              <w:pStyle w:val="59"/>
              <w:ind w:firstLine="480"/>
              <w:rPr>
                <w:bCs/>
                <w:kern w:val="2"/>
              </w:rPr>
            </w:pPr>
          </w:p>
          <w:p>
            <w:pPr>
              <w:pStyle w:val="59"/>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82" w:hRule="atLeast"/>
          <w:jc w:val="center"/>
        </w:trPr>
        <w:tc>
          <w:tcPr>
            <w:tcW w:w="185" w:type="pct"/>
            <w:vMerge w:val="restart"/>
            <w:vAlign w:val="center"/>
          </w:tcPr>
          <w:p>
            <w:pPr>
              <w:adjustRightInd w:val="0"/>
              <w:snapToGrid w:val="0"/>
              <w:jc w:val="center"/>
              <w:rPr>
                <w:rFonts w:ascii="宋体" w:hAnsi="宋体" w:cs="宋体"/>
                <w:color w:val="FF0000"/>
                <w:kern w:val="0"/>
                <w:sz w:val="24"/>
              </w:rPr>
            </w:pPr>
            <w:r>
              <w:rPr>
                <w:rFonts w:hint="eastAsia" w:ascii="宋体" w:hAnsi="宋体"/>
                <w:bCs/>
                <w:sz w:val="24"/>
              </w:rPr>
              <w:t>生态环境保护目标</w:t>
            </w:r>
          </w:p>
        </w:tc>
        <w:tc>
          <w:tcPr>
            <w:tcW w:w="4814" w:type="pct"/>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Times New Roman" w:hAnsi="Times New Roman" w:eastAsia="宋体" w:cs="Times New Roman"/>
                <w:b/>
                <w:bCs/>
                <w:sz w:val="24"/>
                <w:szCs w:val="24"/>
                <w:lang w:val="en-US" w:eastAsia="zh-CN"/>
              </w:rPr>
              <w:t>1、</w:t>
            </w:r>
            <w:r>
              <w:rPr>
                <w:rFonts w:hint="eastAsia" w:ascii="宋体" w:hAnsi="宋体" w:eastAsia="宋体" w:cs="宋体"/>
                <w:b/>
                <w:bCs/>
                <w:color w:val="000000"/>
                <w:kern w:val="0"/>
                <w:sz w:val="24"/>
                <w:szCs w:val="24"/>
                <w:lang w:val="en-US" w:eastAsia="zh-CN" w:bidi="ar"/>
              </w:rPr>
              <w:t>环境保护目标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根据现场调查，本项目井场周边为荒漠，项目周边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范围内无自然保护区、风景名胜区、居住区、文化区、人群较集中的区域，周边</w:t>
            </w:r>
            <w:r>
              <w:rPr>
                <w:rFonts w:hint="default" w:ascii="Times New Roman" w:hAnsi="Times New Roman" w:eastAsia="宋体" w:cs="Times New Roman"/>
                <w:color w:val="000000"/>
                <w:kern w:val="0"/>
                <w:sz w:val="24"/>
                <w:szCs w:val="24"/>
                <w:lang w:val="en-US" w:eastAsia="zh-CN" w:bidi="ar"/>
              </w:rPr>
              <w:t>50m</w:t>
            </w:r>
            <w:r>
              <w:rPr>
                <w:rFonts w:hint="eastAsia" w:ascii="宋体" w:hAnsi="宋体" w:eastAsia="宋体" w:cs="宋体"/>
                <w:color w:val="000000"/>
                <w:kern w:val="0"/>
                <w:sz w:val="24"/>
                <w:szCs w:val="24"/>
                <w:lang w:val="en-US" w:eastAsia="zh-CN" w:bidi="ar"/>
              </w:rPr>
              <w:t>范围内无声环境保护目标，周边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范围内无地下水集中式饮用水水源和热水、矿泉水、温泉等特殊地下水资源。根据本项目特性和所在地环境特征，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本项目环境保护目标具体情况见表</w:t>
            </w:r>
            <w:r>
              <w:rPr>
                <w:rFonts w:hint="default" w:ascii="Times New Roman" w:hAnsi="Times New Roman" w:eastAsia="宋体" w:cs="Times New Roman"/>
                <w:color w:val="000000"/>
                <w:kern w:val="0"/>
                <w:sz w:val="24"/>
                <w:szCs w:val="24"/>
                <w:lang w:val="en-US" w:eastAsia="zh-CN" w:bidi="ar"/>
              </w:rPr>
              <w:t>3-3</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center"/>
            </w:pPr>
            <w:r>
              <w:rPr>
                <w:rFonts w:hint="eastAsia" w:ascii="宋体" w:hAnsi="宋体" w:eastAsia="宋体" w:cs="宋体"/>
                <w:b/>
                <w:bCs/>
                <w:color w:val="000000"/>
                <w:kern w:val="0"/>
                <w:sz w:val="21"/>
                <w:szCs w:val="21"/>
                <w:lang w:val="en-US" w:eastAsia="zh-CN" w:bidi="ar"/>
              </w:rPr>
              <w:t>表</w:t>
            </w:r>
            <w:r>
              <w:rPr>
                <w:rFonts w:hint="default" w:ascii="Times New Roman" w:hAnsi="Times New Roman" w:eastAsia="宋体" w:cs="Times New Roman"/>
                <w:b/>
                <w:bCs/>
                <w:color w:val="000000"/>
                <w:kern w:val="0"/>
                <w:sz w:val="21"/>
                <w:szCs w:val="21"/>
                <w:lang w:val="en-US" w:eastAsia="zh-CN" w:bidi="ar"/>
              </w:rPr>
              <w:t>3-3</w:t>
            </w:r>
            <w:r>
              <w:rPr>
                <w:rFonts w:hint="eastAsia" w:ascii="宋体" w:hAnsi="宋体" w:eastAsia="宋体" w:cs="宋体"/>
                <w:b/>
                <w:bCs/>
                <w:color w:val="000000"/>
                <w:kern w:val="0"/>
                <w:sz w:val="21"/>
                <w:szCs w:val="21"/>
                <w:lang w:val="en-US" w:eastAsia="zh-CN" w:bidi="ar"/>
              </w:rPr>
              <w:t>主要环境敏感目标一览表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791"/>
              <w:gridCol w:w="3039"/>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要素</w:t>
                  </w:r>
                </w:p>
              </w:tc>
              <w:tc>
                <w:tcPr>
                  <w:tcW w:w="1128"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环境保护目标</w:t>
                  </w:r>
                </w:p>
              </w:tc>
              <w:tc>
                <w:tcPr>
                  <w:tcW w:w="1914"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环境保护目标说明</w:t>
                  </w:r>
                </w:p>
              </w:tc>
              <w:tc>
                <w:tcPr>
                  <w:tcW w:w="1250"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与项目区的关系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生态环境</w:t>
                  </w:r>
                </w:p>
              </w:tc>
              <w:tc>
                <w:tcPr>
                  <w:tcW w:w="1128"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井场区土壤、植被</w:t>
                  </w:r>
                </w:p>
              </w:tc>
              <w:tc>
                <w:tcPr>
                  <w:tcW w:w="1914"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按规定进行补偿；临时占地</w:t>
                  </w:r>
                  <w:r>
                    <w:rPr>
                      <w:rFonts w:hint="default" w:ascii="Times New Roman" w:hAnsi="Times New Roman" w:eastAsia="宋体" w:cs="Times New Roman"/>
                      <w:color w:val="000000"/>
                      <w:kern w:val="0"/>
                      <w:sz w:val="21"/>
                      <w:szCs w:val="21"/>
                      <w:lang w:val="en-US" w:eastAsia="zh-CN" w:bidi="ar"/>
                    </w:rPr>
                    <w:t>3-5</w:t>
                  </w:r>
                  <w:r>
                    <w:rPr>
                      <w:rFonts w:hint="eastAsia" w:ascii="宋体" w:hAnsi="宋体" w:eastAsia="宋体" w:cs="宋体"/>
                      <w:color w:val="000000"/>
                      <w:kern w:val="0"/>
                      <w:sz w:val="21"/>
                      <w:szCs w:val="21"/>
                      <w:lang w:val="en-US" w:eastAsia="zh-CN" w:bidi="ar"/>
                    </w:rPr>
                    <w:t>年可基本恢复到自然状态</w:t>
                  </w:r>
                </w:p>
              </w:tc>
              <w:tc>
                <w:tcPr>
                  <w:tcW w:w="1250"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井场区占地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水环境</w:t>
                  </w:r>
                </w:p>
              </w:tc>
              <w:tc>
                <w:tcPr>
                  <w:tcW w:w="1128"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地下水</w:t>
                  </w:r>
                </w:p>
              </w:tc>
              <w:tc>
                <w:tcPr>
                  <w:tcW w:w="1914"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确保地下水不受污染</w:t>
                  </w:r>
                </w:p>
              </w:tc>
              <w:tc>
                <w:tcPr>
                  <w:tcW w:w="1250"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井场区</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2、保护要求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（1）保护项目所在区域的空气质量，保持现有空气质量级别，不因本项目的建设降低环境空气质量；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（2）保护项目所在区域地下水质量保持在现有水平，不受本项目所排废水的影响；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（3）保护项目区声环境质量现状，符合《声环境质量标准》（GB3096-2008）的2类声环境功能限值；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（4）生态环境保护目标：本项目需保护项目区生态环境，使项目的建成不对项目区生态环境产生不利影响；</w:t>
            </w:r>
          </w:p>
          <w:p>
            <w:pPr>
              <w:adjustRightInd w:val="0"/>
              <w:snapToGrid w:val="0"/>
              <w:spacing w:line="360" w:lineRule="auto"/>
              <w:ind w:firstLine="480" w:firstLineChars="200"/>
              <w:jc w:val="both"/>
              <w:rPr>
                <w:rFonts w:ascii="宋体" w:hAnsi="宋体" w:cs="宋体"/>
                <w:color w:val="000000" w:themeColor="text1"/>
                <w:szCs w:val="21"/>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（5）土壤环境质量可按《土壤环境质量 农用地土壤污染风险管控标准（试行）》（GB15618-2018）控制。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 w:hRule="atLeast"/>
          <w:jc w:val="center"/>
        </w:trPr>
        <w:tc>
          <w:tcPr>
            <w:tcW w:w="185" w:type="pct"/>
            <w:vMerge w:val="restart"/>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评价</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标准</w:t>
            </w:r>
          </w:p>
        </w:tc>
        <w:tc>
          <w:tcPr>
            <w:tcW w:w="2246" w:type="pct"/>
            <w:gridSpan w:val="3"/>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环境要素</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70"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环境质量标准</w:t>
            </w: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环境空气</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基本污染物</w:t>
            </w:r>
          </w:p>
        </w:tc>
        <w:tc>
          <w:tcPr>
            <w:tcW w:w="2568" w:type="pct"/>
            <w:vAlign w:val="center"/>
          </w:tcPr>
          <w:p>
            <w:pPr>
              <w:spacing w:line="3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《环境空气质量标准》（</w:t>
            </w:r>
            <w:r>
              <w:rPr>
                <w:rFonts w:ascii="宋体" w:hAnsi="宋体" w:cs="宋体"/>
                <w:color w:val="000000" w:themeColor="text1"/>
                <w:szCs w:val="21"/>
                <w14:textFill>
                  <w14:solidFill>
                    <w14:schemeClr w14:val="tx1"/>
                  </w14:solidFill>
                </w14:textFill>
              </w:rPr>
              <w:t>GB3095-2012）</w:t>
            </w:r>
            <w:r>
              <w:rPr>
                <w:rFonts w:hint="eastAsia" w:ascii="宋体" w:hAnsi="宋体" w:cs="宋体"/>
                <w:color w:val="000000" w:themeColor="text1"/>
                <w:szCs w:val="21"/>
                <w14:textFill>
                  <w14:solidFill>
                    <w14:schemeClr w14:val="tx1"/>
                  </w14:solidFill>
                </w14:textFill>
              </w:rPr>
              <w:t>二级（年平均值S</w:t>
            </w:r>
            <w:r>
              <w:rPr>
                <w:rFonts w:ascii="宋体" w:hAnsi="宋体" w:cs="宋体"/>
                <w:color w:val="000000" w:themeColor="text1"/>
                <w:szCs w:val="21"/>
                <w14:textFill>
                  <w14:solidFill>
                    <w14:schemeClr w14:val="tx1"/>
                  </w14:solidFill>
                </w14:textFill>
              </w:rPr>
              <w:t>O</w:t>
            </w:r>
            <w:r>
              <w:rPr>
                <w:rFonts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r>
              <w:rPr>
                <w:rFonts w:ascii="宋体" w:hAnsi="宋体" w:cs="Arial"/>
              </w:rPr>
              <w:t>μg/m</w:t>
            </w:r>
            <w:r>
              <w:rPr>
                <w:rFonts w:ascii="宋体" w:hAnsi="宋体" w:cs="Arial"/>
                <w:vertAlign w:val="superscript"/>
              </w:rPr>
              <w:t>3</w:t>
            </w:r>
            <w:r>
              <w:rPr>
                <w:rFonts w:hint="eastAsia" w:ascii="宋体" w:hAnsi="宋体" w:cs="Arial"/>
              </w:rPr>
              <w:t>、NO</w:t>
            </w:r>
            <w:r>
              <w:rPr>
                <w:rFonts w:ascii="宋体" w:hAnsi="宋体" w:cs="Arial"/>
                <w:vertAlign w:val="subscript"/>
              </w:rPr>
              <w:t>2</w:t>
            </w:r>
            <w:r>
              <w:rPr>
                <w:rFonts w:hint="eastAsia" w:ascii="宋体" w:hAnsi="宋体" w:cs="Arial"/>
              </w:rPr>
              <w:t>：</w:t>
            </w:r>
            <w:r>
              <w:rPr>
                <w:rFonts w:ascii="宋体" w:hAnsi="宋体" w:cs="Arial"/>
              </w:rPr>
              <w:t>40μg/m</w:t>
            </w:r>
            <w:r>
              <w:rPr>
                <w:rFonts w:ascii="宋体" w:hAnsi="宋体" w:cs="Arial"/>
                <w:vertAlign w:val="superscript"/>
              </w:rPr>
              <w:t>3</w:t>
            </w:r>
            <w:r>
              <w:rPr>
                <w:rFonts w:hint="eastAsia" w:ascii="宋体" w:hAnsi="宋体" w:cs="Arial"/>
              </w:rPr>
              <w:t>、</w:t>
            </w:r>
            <w:r>
              <w:rPr>
                <w:rFonts w:ascii="宋体" w:hAnsi="宋体" w:cs="Arial"/>
              </w:rPr>
              <w:t>PM</w:t>
            </w:r>
            <w:r>
              <w:rPr>
                <w:rFonts w:ascii="宋体" w:hAnsi="宋体" w:cs="Arial"/>
                <w:vertAlign w:val="subscript"/>
              </w:rPr>
              <w:t>10</w:t>
            </w:r>
            <w:r>
              <w:rPr>
                <w:rFonts w:hint="eastAsia" w:ascii="宋体" w:hAnsi="宋体" w:cs="宋体"/>
                <w:color w:val="000000" w:themeColor="text1"/>
                <w:szCs w:val="21"/>
                <w14:textFill>
                  <w14:solidFill>
                    <w14:schemeClr w14:val="tx1"/>
                  </w14:solidFill>
                </w14:textFill>
              </w:rPr>
              <w:t>：</w:t>
            </w:r>
            <w:r>
              <w:rPr>
                <w:rFonts w:hint="eastAsia" w:ascii="宋体" w:hAnsi="宋体" w:cs="Arial"/>
              </w:rPr>
              <w:t>7</w:t>
            </w:r>
            <w:r>
              <w:rPr>
                <w:rFonts w:ascii="宋体" w:hAnsi="宋体" w:cs="Arial"/>
              </w:rPr>
              <w:t>0μg/m</w:t>
            </w:r>
            <w:r>
              <w:rPr>
                <w:rFonts w:ascii="宋体" w:hAnsi="宋体" w:cs="Arial"/>
                <w:vertAlign w:val="superscript"/>
              </w:rPr>
              <w:t>3</w:t>
            </w:r>
            <w:r>
              <w:rPr>
                <w:rFonts w:hint="eastAsia" w:ascii="宋体" w:hAnsi="宋体" w:cs="Arial"/>
              </w:rPr>
              <w:t>、P</w:t>
            </w:r>
            <w:r>
              <w:rPr>
                <w:rFonts w:ascii="宋体" w:hAnsi="宋体" w:cs="Arial"/>
              </w:rPr>
              <w:t>M</w:t>
            </w:r>
            <w:r>
              <w:rPr>
                <w:rFonts w:ascii="宋体" w:hAnsi="宋体" w:cs="Arial"/>
                <w:vertAlign w:val="subscript"/>
              </w:rPr>
              <w:t>2.5</w:t>
            </w:r>
            <w:r>
              <w:rPr>
                <w:rFonts w:hint="eastAsia" w:ascii="宋体" w:hAnsi="宋体" w:cs="Arial"/>
              </w:rPr>
              <w:t>：</w:t>
            </w:r>
            <w:r>
              <w:rPr>
                <w:rFonts w:ascii="宋体" w:hAnsi="宋体" w:cs="Arial"/>
              </w:rPr>
              <w:t>35μg/m</w:t>
            </w:r>
            <w:r>
              <w:rPr>
                <w:rFonts w:ascii="宋体" w:hAnsi="宋体" w:cs="Arial"/>
                <w:vertAlign w:val="superscript"/>
              </w:rPr>
              <w:t>3</w:t>
            </w:r>
            <w:r>
              <w:rPr>
                <w:rFonts w:hint="eastAsia" w:ascii="宋体" w:hAnsi="宋体" w:cs="Arial"/>
              </w:rPr>
              <w:t>；O</w:t>
            </w:r>
            <w:r>
              <w:rPr>
                <w:rFonts w:ascii="宋体" w:hAnsi="宋体" w:cs="Arial"/>
                <w:vertAlign w:val="subscript"/>
              </w:rPr>
              <w:t>3</w:t>
            </w:r>
            <w:r>
              <w:rPr>
                <w:rFonts w:hint="eastAsia" w:ascii="宋体" w:hAnsi="宋体" w:cs="Arial"/>
              </w:rPr>
              <w:t>日最大8h平均值：1</w:t>
            </w:r>
            <w:r>
              <w:rPr>
                <w:rFonts w:ascii="宋体" w:hAnsi="宋体" w:cs="Arial"/>
              </w:rPr>
              <w:t>60μg/m</w:t>
            </w:r>
            <w:r>
              <w:rPr>
                <w:rFonts w:ascii="宋体" w:hAnsi="宋体" w:cs="Arial"/>
                <w:vertAlign w:val="superscript"/>
              </w:rPr>
              <w:t>3</w:t>
            </w:r>
            <w:r>
              <w:rPr>
                <w:rFonts w:hint="eastAsia" w:ascii="宋体" w:hAnsi="宋体" w:cs="Arial"/>
              </w:rPr>
              <w:t>；C</w:t>
            </w:r>
            <w:r>
              <w:rPr>
                <w:rFonts w:ascii="宋体" w:hAnsi="宋体" w:cs="Arial"/>
              </w:rPr>
              <w:t xml:space="preserve">O </w:t>
            </w:r>
            <w:r>
              <w:rPr>
                <w:rFonts w:hint="eastAsia" w:ascii="宋体" w:hAnsi="宋体" w:cs="Arial"/>
              </w:rPr>
              <w:t>2</w:t>
            </w:r>
            <w:r>
              <w:rPr>
                <w:rFonts w:ascii="宋体" w:hAnsi="宋体" w:cs="Arial"/>
              </w:rPr>
              <w:t>4</w:t>
            </w:r>
            <w:r>
              <w:rPr>
                <w:rFonts w:hint="eastAsia" w:ascii="宋体" w:hAnsi="宋体" w:cs="Arial"/>
              </w:rPr>
              <w:t>h平均值：4</w:t>
            </w:r>
            <w:r>
              <w:rPr>
                <w:rFonts w:ascii="宋体" w:hAnsi="宋体" w:cs="Arial"/>
              </w:rPr>
              <w:t>mg/m</w:t>
            </w:r>
            <w:r>
              <w:rPr>
                <w:rFonts w:ascii="宋体" w:hAnsi="宋体" w:cs="Arial"/>
                <w:vertAlign w:val="superscript"/>
              </w:rPr>
              <w:t>3</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《声环境质量标准》（GB 3096-2008）2类（昼间：6</w:t>
            </w:r>
            <w:r>
              <w:rPr>
                <w:rFonts w:ascii="宋体" w:hAnsi="宋体" w:cs="宋体"/>
                <w:color w:val="000000" w:themeColor="text1"/>
                <w:szCs w:val="21"/>
                <w14:textFill>
                  <w14:solidFill>
                    <w14:schemeClr w14:val="tx1"/>
                  </w14:solidFill>
                </w14:textFill>
              </w:rPr>
              <w:t>0dB</w:t>
            </w:r>
            <w:r>
              <w:rPr>
                <w:rFonts w:hint="eastAsia" w:ascii="宋体" w:hAnsi="宋体" w:cs="宋体"/>
                <w:color w:val="000000" w:themeColor="text1"/>
                <w:szCs w:val="21"/>
                <w14:textFill>
                  <w14:solidFill>
                    <w14:schemeClr w14:val="tx1"/>
                  </w14:solidFill>
                </w14:textFill>
              </w:rPr>
              <w:t>（A），夜间：5</w:t>
            </w:r>
            <w:r>
              <w:rPr>
                <w:rFonts w:ascii="宋体" w:hAnsi="宋体" w:cs="宋体"/>
                <w:color w:val="000000" w:themeColor="text1"/>
                <w:szCs w:val="21"/>
                <w14:textFill>
                  <w14:solidFill>
                    <w14:schemeClr w14:val="tx1"/>
                  </w14:solidFill>
                </w14:textFill>
              </w:rPr>
              <w:t>0dB</w:t>
            </w:r>
            <w:r>
              <w:rPr>
                <w:rFonts w:hint="eastAsia" w:ascii="宋体" w:hAnsi="宋体" w:cs="宋体"/>
                <w:color w:val="000000" w:themeColor="text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污染排放标准</w:t>
            </w:r>
          </w:p>
        </w:tc>
        <w:tc>
          <w:tcPr>
            <w:tcW w:w="65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废气</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施工期发电机废气</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《大气污染物综合排放标准》（GB16297-1996）（S</w:t>
            </w:r>
            <w:r>
              <w:rPr>
                <w:rFonts w:ascii="宋体" w:hAnsi="宋体" w:cs="宋体"/>
                <w:color w:val="000000" w:themeColor="text1"/>
                <w:szCs w:val="21"/>
                <w14:textFill>
                  <w14:solidFill>
                    <w14:schemeClr w14:val="tx1"/>
                  </w14:solidFill>
                </w14:textFill>
              </w:rPr>
              <w:t>O</w:t>
            </w:r>
            <w:r>
              <w:rPr>
                <w:rFonts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0.4</w:t>
            </w:r>
            <w:r>
              <w:rPr>
                <w:rFonts w:ascii="宋体" w:hAnsi="宋体" w:cs="Arial"/>
              </w:rPr>
              <w:t>mg/m</w:t>
            </w:r>
            <w:r>
              <w:rPr>
                <w:rFonts w:ascii="宋体" w:hAnsi="宋体" w:cs="Arial"/>
                <w:vertAlign w:val="superscript"/>
              </w:rPr>
              <w:t>3</w:t>
            </w:r>
            <w:r>
              <w:rPr>
                <w:rFonts w:hint="eastAsia" w:ascii="宋体" w:hAnsi="宋体" w:cs="Arial"/>
              </w:rPr>
              <w:t>、</w:t>
            </w:r>
            <w:r>
              <w:rPr>
                <w:rFonts w:hint="eastAsia" w:ascii="宋体" w:hAnsi="宋体"/>
                <w:color w:val="000000" w:themeColor="text1"/>
                <w14:textFill>
                  <w14:solidFill>
                    <w14:schemeClr w14:val="tx1"/>
                  </w14:solidFill>
                </w14:textFill>
              </w:rPr>
              <w:t>NO</w:t>
            </w:r>
            <w:r>
              <w:rPr>
                <w:rFonts w:hint="eastAsia" w:ascii="宋体" w:hAnsi="宋体"/>
                <w:color w:val="000000" w:themeColor="text1"/>
                <w:vertAlign w:val="subscript"/>
                <w14:textFill>
                  <w14:solidFill>
                    <w14:schemeClr w14:val="tx1"/>
                  </w14:solidFill>
                </w14:textFill>
              </w:rPr>
              <w:t>X</w:t>
            </w:r>
            <w:r>
              <w:rPr>
                <w:rFonts w:hint="eastAsia" w:ascii="宋体" w:hAnsi="宋体"/>
                <w:color w:val="000000" w:themeColor="text1"/>
                <w14:textFill>
                  <w14:solidFill>
                    <w14:schemeClr w14:val="tx1"/>
                  </w14:solidFill>
                </w14:textFill>
              </w:rPr>
              <w:t>：</w:t>
            </w:r>
            <w:r>
              <w:rPr>
                <w:rFonts w:ascii="宋体" w:hAnsi="宋体" w:cs="宋体"/>
                <w:color w:val="000000" w:themeColor="text1"/>
                <w:szCs w:val="21"/>
                <w14:textFill>
                  <w14:solidFill>
                    <w14:schemeClr w14:val="tx1"/>
                  </w14:solidFill>
                </w14:textFill>
              </w:rPr>
              <w:t>0.12</w:t>
            </w:r>
            <w:r>
              <w:rPr>
                <w:rFonts w:ascii="宋体" w:hAnsi="宋体" w:cs="Arial"/>
              </w:rPr>
              <w:t>mg/m</w:t>
            </w:r>
            <w:r>
              <w:rPr>
                <w:rFonts w:ascii="宋体" w:hAnsi="宋体" w:cs="Arial"/>
                <w:vertAlign w:val="superscript"/>
              </w:rPr>
              <w:t>3</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试油期非甲烷总烃</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《陆上石油天然气开采工业大气污染物排放标准》（GB39728-2020）（非甲烷总烃：4</w:t>
            </w:r>
            <w:r>
              <w:rPr>
                <w:rFonts w:ascii="宋体" w:hAnsi="宋体" w:cs="宋体"/>
                <w:color w:val="000000" w:themeColor="text1"/>
                <w:szCs w:val="21"/>
                <w14:textFill>
                  <w14:solidFill>
                    <w14:schemeClr w14:val="tx1"/>
                  </w14:solidFill>
                </w14:textFill>
              </w:rPr>
              <w:t>mg/m</w:t>
            </w:r>
            <w:r>
              <w:rPr>
                <w:rFonts w:ascii="宋体" w:hAnsi="宋体" w:cs="宋体"/>
                <w:color w:val="000000" w:themeColor="text1"/>
                <w:szCs w:val="21"/>
                <w:vertAlign w:val="super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5"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施工期</w:t>
            </w:r>
          </w:p>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井场噪声</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《建筑施工场界环境噪声排放标准》</w:t>
            </w:r>
          </w:p>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GB12523-2011）</w:t>
            </w:r>
            <w:r>
              <w:rPr>
                <w:rFonts w:hint="eastAsia" w:ascii="宋体" w:hAnsi="宋体" w:cs="宋体"/>
                <w:color w:val="000000" w:themeColor="text1"/>
                <w:szCs w:val="21"/>
                <w14:textFill>
                  <w14:solidFill>
                    <w14:schemeClr w14:val="tx1"/>
                  </w14:solidFill>
                </w14:textFill>
              </w:rPr>
              <w:t>（昼间：7</w:t>
            </w:r>
            <w:r>
              <w:rPr>
                <w:rFonts w:ascii="宋体" w:hAnsi="宋体" w:cs="宋体"/>
                <w:color w:val="000000" w:themeColor="text1"/>
                <w:szCs w:val="21"/>
                <w14:textFill>
                  <w14:solidFill>
                    <w14:schemeClr w14:val="tx1"/>
                  </w14:solidFill>
                </w14:textFill>
              </w:rPr>
              <w:t>0dB</w:t>
            </w:r>
            <w:r>
              <w:rPr>
                <w:rFonts w:hint="eastAsia" w:ascii="宋体" w:hAnsi="宋体" w:cs="宋体"/>
                <w:color w:val="000000" w:themeColor="text1"/>
                <w:szCs w:val="21"/>
                <w14:textFill>
                  <w14:solidFill>
                    <w14:schemeClr w14:val="tx1"/>
                  </w14:solidFill>
                </w14:textFill>
              </w:rPr>
              <w:t>（A）、夜间：5</w:t>
            </w:r>
            <w:r>
              <w:rPr>
                <w:rFonts w:ascii="宋体" w:hAnsi="宋体" w:cs="宋体"/>
                <w:color w:val="000000" w:themeColor="text1"/>
                <w:szCs w:val="21"/>
                <w14:textFill>
                  <w14:solidFill>
                    <w14:schemeClr w14:val="tx1"/>
                  </w14:solidFill>
                </w14:textFill>
              </w:rPr>
              <w:t>5dB</w:t>
            </w:r>
            <w:r>
              <w:rPr>
                <w:rFonts w:hint="eastAsia" w:ascii="宋体" w:hAnsi="宋体" w:cs="宋体"/>
                <w:color w:val="000000" w:themeColor="text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污染控制标准</w:t>
            </w: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一般固废</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水基岩屑</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《一般工业固体废物贮存和填埋污染控制标准》（GB1859</w:t>
            </w:r>
            <w:r>
              <w:rPr>
                <w:rFonts w:ascii="宋体" w:hAnsi="宋体" w:cs="宋体"/>
                <w:color w:val="000000" w:themeColor="text1"/>
                <w:szCs w:val="21"/>
                <w14:textFill>
                  <w14:solidFill>
                    <w14:schemeClr w14:val="tx1"/>
                  </w14:solidFill>
                </w14:textFill>
              </w:rPr>
              <w:t>9</w:t>
            </w:r>
            <w:r>
              <w:rPr>
                <w:rFonts w:hint="eastAsia" w:ascii="宋体" w:hAnsi="宋体" w:cs="宋体"/>
                <w:color w:val="000000" w:themeColor="text1"/>
                <w:szCs w:val="21"/>
                <w14:textFill>
                  <w14:solidFill>
                    <w14:schemeClr w14:val="tx1"/>
                  </w14:solidFill>
                </w14:textFill>
              </w:rPr>
              <w:t>-20</w:t>
            </w:r>
            <w:r>
              <w:rPr>
                <w:rFonts w:ascii="宋体" w:hAnsi="宋体" w:cs="宋体"/>
                <w:color w:val="000000" w:themeColor="text1"/>
                <w:szCs w:val="21"/>
                <w14:textFill>
                  <w14:solidFill>
                    <w14:schemeClr w14:val="tx1"/>
                  </w14:solidFill>
                </w14:textFill>
              </w:rPr>
              <w:t>20</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6"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危险废物</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油基岩屑、废防渗材料</w:t>
            </w:r>
          </w:p>
        </w:tc>
        <w:tc>
          <w:tcPr>
            <w:tcW w:w="2568" w:type="pct"/>
            <w:vAlign w:val="center"/>
          </w:tcPr>
          <w:p>
            <w:pPr>
              <w:spacing w:line="300" w:lineRule="exact"/>
              <w:jc w:val="both"/>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《危险废物贮存污染控制标准》（GB18597-20</w:t>
            </w:r>
            <w:r>
              <w:rPr>
                <w:rFonts w:ascii="宋体" w:hAnsi="宋体" w:cs="宋体"/>
                <w:color w:val="000000" w:themeColor="text1"/>
                <w:szCs w:val="21"/>
                <w14:textFill>
                  <w14:solidFill>
                    <w14:schemeClr w14:val="tx1"/>
                  </w14:solidFill>
                </w14:textFill>
              </w:rPr>
              <w:t>23</w:t>
            </w:r>
            <w:r>
              <w:rPr>
                <w:rFonts w:hint="eastAsia" w:ascii="宋体" w:hAnsi="宋体" w:cs="宋体"/>
                <w:color w:val="000000" w:themeColor="text1"/>
                <w:szCs w:val="21"/>
                <w14:textFill>
                  <w14:solidFill>
                    <w14:schemeClr w14:val="tx1"/>
                  </w14:solidFill>
                </w14:textFill>
              </w:rPr>
              <w:t>）</w:t>
            </w:r>
          </w:p>
          <w:p>
            <w:pPr>
              <w:spacing w:line="300" w:lineRule="exact"/>
              <w:jc w:val="both"/>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《危险废物收集贮存运输技术规范》（HJ2025-2012）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81" w:hRule="atLeast"/>
          <w:jc w:val="center"/>
        </w:trPr>
        <w:tc>
          <w:tcPr>
            <w:tcW w:w="185" w:type="pct"/>
            <w:vAlign w:val="center"/>
          </w:tcPr>
          <w:p>
            <w:pPr>
              <w:adjustRightInd w:val="0"/>
              <w:snapToGrid w:val="0"/>
              <w:jc w:val="center"/>
              <w:rPr>
                <w:rFonts w:ascii="宋体" w:hAnsi="宋体" w:cs="宋体"/>
                <w:kern w:val="0"/>
                <w:szCs w:val="21"/>
              </w:rPr>
            </w:pPr>
            <w:r>
              <w:rPr>
                <w:rFonts w:hint="eastAsia" w:ascii="宋体" w:hAnsi="宋体" w:cs="宋体"/>
                <w:kern w:val="0"/>
                <w:sz w:val="24"/>
              </w:rPr>
              <w:t>其他</w:t>
            </w:r>
          </w:p>
        </w:tc>
        <w:tc>
          <w:tcPr>
            <w:tcW w:w="4814" w:type="pct"/>
            <w:gridSpan w:val="4"/>
            <w:vAlign w:val="center"/>
          </w:tcPr>
          <w:p>
            <w:pPr>
              <w:pStyle w:val="66"/>
              <w:ind w:firstLine="480"/>
              <w:rPr>
                <w:color w:val="FF0000"/>
                <w:kern w:val="2"/>
                <w:sz w:val="21"/>
                <w:szCs w:val="21"/>
              </w:rPr>
            </w:pPr>
            <w:r>
              <w:rPr>
                <w:rFonts w:hint="eastAsia"/>
              </w:rPr>
              <w:t>本项目钻试周期短，污染物产生量少，钻试期结束后污染物停止排放，故不提出总量控制指标。</w:t>
            </w:r>
          </w:p>
        </w:tc>
      </w:tr>
    </w:tbl>
    <w:p>
      <w:pPr>
        <w:pStyle w:val="4"/>
        <w:rPr>
          <w:snapToGrid w:val="0"/>
        </w:rPr>
      </w:pPr>
      <w:r>
        <w:rPr>
          <w:snapToGrid w:val="0"/>
        </w:rPr>
        <w:br w:type="page"/>
      </w:r>
      <w:r>
        <w:rPr>
          <w:rFonts w:hint="eastAsia"/>
          <w:snapToGrid w:val="0"/>
        </w:rPr>
        <w:t>四、生态环境影响分析</w:t>
      </w:r>
    </w:p>
    <w:tbl>
      <w:tblPr>
        <w:tblStyle w:val="28"/>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6"/>
        <w:gridCol w:w="83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772" w:type="dxa"/>
            <w:tcMar>
              <w:left w:w="28" w:type="dxa"/>
              <w:right w:w="28" w:type="dxa"/>
            </w:tcMar>
            <w:vAlign w:val="center"/>
          </w:tcPr>
          <w:p>
            <w:pPr>
              <w:pStyle w:val="25"/>
              <w:adjustRightInd w:val="0"/>
              <w:snapToGrid w:val="0"/>
              <w:spacing w:before="0" w:beforeAutospacing="0" w:after="0" w:afterAutospacing="0"/>
              <w:jc w:val="center"/>
              <w:rPr>
                <w:rFonts w:cs="宋体"/>
                <w:bCs/>
                <w:color w:val="auto"/>
                <w:kern w:val="2"/>
              </w:rPr>
            </w:pPr>
            <w:bookmarkStart w:id="20" w:name="_Hlk49796138"/>
            <w:r>
              <w:rPr>
                <w:rFonts w:hint="eastAsia" w:cs="宋体"/>
                <w:bCs/>
                <w:color w:val="auto"/>
                <w:spacing w:val="10"/>
                <w:kern w:val="2"/>
              </w:rPr>
              <w:t>施工期生态环境影响分析</w:t>
            </w:r>
            <w:bookmarkEnd w:id="20"/>
          </w:p>
        </w:tc>
        <w:tc>
          <w:tcPr>
            <w:tcW w:w="7865" w:type="dxa"/>
            <w:vAlign w:val="center"/>
          </w:tcPr>
          <w:p>
            <w:pPr>
              <w:pStyle w:val="68"/>
              <w:spacing w:line="360" w:lineRule="auto"/>
              <w:ind w:left="0" w:leftChars="0" w:firstLine="482" w:firstLineChars="200"/>
              <w:rPr>
                <w:rFonts w:ascii="宋体" w:cs="宋体"/>
                <w:color w:val="auto"/>
              </w:rPr>
            </w:pPr>
            <w:r>
              <w:rPr>
                <w:rFonts w:hint="eastAsia" w:ascii="宋体" w:cs="宋体"/>
                <w:color w:val="auto"/>
              </w:rPr>
              <w:t>1、生态环境影响分析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1.1生态环境影响因素及类型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本项目井场、道路施工过程中不可避免地会对周围生态环境造成不同程度的污染和破坏。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（1）生态环境影响类型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①占地对地表土壤、植被影响井场、道路施工占地范围内土壤翻出、植被清除，将破坏地表原有稳定砾石层，加剧风蚀，改变原有生态系统结构和功能，属暂时性影响。施工完成后，临时性占地和影响将消除，使被破坏的生态环境逐步恢复。评价井和</w:t>
            </w:r>
            <w:r>
              <w:rPr>
                <w:rFonts w:hint="eastAsia" w:ascii="Times New Roman" w:hAnsi="Times New Roman" w:eastAsia="宋体" w:cs="Times New Roman"/>
                <w:color w:val="auto"/>
                <w:kern w:val="0"/>
                <w:sz w:val="24"/>
                <w:szCs w:val="24"/>
                <w:lang w:val="en-US" w:eastAsia="zh-CN" w:bidi="ar"/>
              </w:rPr>
              <w:t>产能</w:t>
            </w:r>
            <w:r>
              <w:rPr>
                <w:rFonts w:hint="default" w:ascii="Times New Roman" w:hAnsi="Times New Roman" w:eastAsia="宋体" w:cs="Times New Roman"/>
                <w:color w:val="auto"/>
                <w:kern w:val="0"/>
                <w:sz w:val="24"/>
                <w:szCs w:val="24"/>
                <w:lang w:val="en-US" w:eastAsia="zh-CN" w:bidi="ar"/>
              </w:rPr>
              <w:t>井封井前井场将会在原来连续分布的生态环境中形成生态斑点，产生地表温度、水分等物理异常，以及干扰地面植被和野生动物繁殖、迁移和栖息，长久影响生态环境的类型和结构。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②污染物排放对生态环境的影响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w:t>
            </w:r>
            <w:r>
              <w:rPr>
                <w:rFonts w:hint="eastAsia"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（2）生态环境影响因素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环境影响因素识别实际上是对主体的识别，包括主要工程和辅助工程。对于本项目来讲，主要从钻井工程分析环境影响因素。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部署新井5口，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用，可有效减轻钻井过程对生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default" w:ascii="Times New Roman" w:hAnsi="Times New Roman" w:eastAsia="宋体" w:cs="Times New Roman"/>
                <w:color w:val="auto"/>
                <w:kern w:val="0"/>
                <w:sz w:val="24"/>
                <w:szCs w:val="24"/>
                <w:lang w:val="en-US" w:eastAsia="zh-CN" w:bidi="ar"/>
              </w:rPr>
              <w:t>生态环境影响因素见表4-1。</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4-1</w:t>
            </w:r>
            <w:r>
              <w:rPr>
                <w:rFonts w:hint="eastAsia" w:ascii="宋体" w:hAnsi="宋体" w:eastAsia="宋体" w:cs="宋体"/>
                <w:b/>
                <w:bCs/>
                <w:color w:val="auto"/>
                <w:kern w:val="0"/>
                <w:sz w:val="21"/>
                <w:szCs w:val="21"/>
                <w:lang w:val="en-US" w:eastAsia="zh-CN" w:bidi="ar"/>
              </w:rPr>
              <w:t>生态环境影响因素</w:t>
            </w:r>
          </w:p>
          <w:tbl>
            <w:tblPr>
              <w:tblStyle w:val="29"/>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工程活动</w:t>
                  </w:r>
                </w:p>
              </w:tc>
              <w:tc>
                <w:tcPr>
                  <w:tcW w:w="6472"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钻井工程</w:t>
                  </w:r>
                </w:p>
              </w:tc>
              <w:tc>
                <w:tcPr>
                  <w:tcW w:w="6472"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、对井场及周围植被的破坏影响；</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、对井场土壤产生的不利影响。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井场道路修建</w:t>
                  </w:r>
                </w:p>
              </w:tc>
              <w:tc>
                <w:tcPr>
                  <w:tcW w:w="6472"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bCs/>
                      <w:color w:val="auto"/>
                      <w:sz w:val="21"/>
                      <w:szCs w:val="21"/>
                      <w:vertAlign w:val="baseline"/>
                      <w:lang w:val="en-US" w:eastAsia="zh-CN"/>
                    </w:rPr>
                  </w:pPr>
                  <w:r>
                    <w:rPr>
                      <w:rFonts w:hint="eastAsia"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、施工过程对道路两侧植被和土壤产生不利影响。</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.2植被的影响分析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本项目钻井工程是造成植被破坏的主要原因。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（1）工程占地对植被的影响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钻井过程中的占地包括井场、入场道路占地，对植被的影响主要表现在施工期，主要影响形式是对土地的占用以及施工阶段清场过程中对地表植被的清理及施工过程</w:t>
            </w:r>
            <w:bookmarkStart w:id="39" w:name="_GoBack"/>
            <w:bookmarkEnd w:id="39"/>
            <w:r>
              <w:rPr>
                <w:rFonts w:hint="default" w:ascii="Times New Roman" w:hAnsi="Times New Roman" w:eastAsia="宋体" w:cs="Times New Roman"/>
                <w:color w:val="auto"/>
                <w:kern w:val="0"/>
                <w:sz w:val="24"/>
                <w:szCs w:val="24"/>
                <w:lang w:val="en-US" w:eastAsia="zh-CN" w:bidi="ar"/>
              </w:rPr>
              <w:t>中的辗压。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在井场、道路施工过程中土地被扰动，地表植被基本被毁。施工结束后重新回到原来的自然状态，但地表植被及地表结构却发生了变化。地表保护层被破坏后，其稳定性下降，防止水土流失的能力也随之</w:t>
            </w:r>
            <w:r>
              <w:rPr>
                <w:rFonts w:hint="default" w:ascii="Times New Roman" w:hAnsi="Times New Roman" w:eastAsia="宋体" w:cs="Times New Roman"/>
                <w:color w:val="auto"/>
                <w:kern w:val="0"/>
                <w:sz w:val="24"/>
                <w:szCs w:val="24"/>
                <w:lang w:val="en-US" w:eastAsia="zh-CN" w:bidi="ar"/>
              </w:rPr>
              <w:t>下降。本项目临时占地面积为</w:t>
            </w:r>
            <w:r>
              <w:rPr>
                <w:rFonts w:hint="eastAsia" w:cs="Times New Roman"/>
                <w:color w:val="auto"/>
                <w:kern w:val="0"/>
                <w:sz w:val="24"/>
                <w:szCs w:val="24"/>
                <w:lang w:val="en-US" w:eastAsia="zh-CN" w:bidi="ar"/>
              </w:rPr>
              <w:t>33452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在3～5年中，生物损失量约为1.06t/a。本项目施工结束后如发现该井不具开发价值或目的层不含油，则进行封井，恢复种植。占用的林地植被覆盖度较低，且随着施工期的结束，被开挖部分将覆土回填，可以减少临时占地对植被的破坏程度。本次环评要求在井场、入场道路等临时占地选址过程中，应尽量选择动土作业量小的地段，场地平整所产生的土方随地势进行处置，尽可能填入低洼地带。施工结束后即对占地进行植被恢复；运输车辆沿道路行驶，禁止乱压乱碾，只要加强施工管理，项目实施不会对项目区的生态环境造成太大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周边为荒漠生态系统。荒漠生态系统植被覆盖度较低，且随着施工期的结束，被开挖部分将覆土回填，可以减少临时占地对植被的破坏程度。本次环评要求施工结束后即对占地进行植被恢复；运输车辆沿道路行驶，禁止乱压乱碾，只要加强施工管理，项目实施不会对项目区的生态环境造成太大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（2）道路修建对植被的影响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建设过程中需修建油区简易道路。在道路修建过程中，除了路基占用原有土地外，主要影响的是道路两侧的植被。施工完成后，由于区域内有冬季降雪，在融雪季节道路两侧有积水产生，有利于道路两侧植被的自然恢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（3）人类活动对植被的影响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过程对植被的影响主要表现在人类和机械对植物的碾压和砍伐，使原生植被生境发生较大变化。区域单位面积上人口密度的增加将导致工程开发范围内及边缘区域地表土壤被践踏、自然植被减少。但评价区植被分布不均匀，覆盖度较低，因此，人类活动对该区域天然植被产生的不良影响非常有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（4）突发性事故对植被的影响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过程中对生态环境造成严重破坏的主要事故类型为原油和含油污水泄漏，其产生的污染物排放均会对评价范围内的植被造成不同程度的影响，影响程度与发生事故时泄漏的油量及是否发生火灾有很大关系。植被体上附着的原油越多，植物死亡率就越高，而且草本植被比乔、灌木更敏感，更易受到致命的影响。如果发生火灾，则植被的地上部分会完全被毁，但如果土壤环境未被破坏，第二年植被将会重新生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交通事故通常发生在道路两旁，发生的概率及影响范围均极小，仅对路边很小范围的植被产生严重污染。相对于整个开发区域而言，事故均发生于一个较小的范围内，且可通过对原油的及时清理而减轻其影响，不会对整个区域植被产生明显不利影响。严控车辆行驶路径，防范交通事故发生。</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.3对野生动物影响分析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（1）施工期对野生动物的影响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（2）事故对野生动物的影响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特别是对保护动物不会造成影响。如果发生火灾事故，由于生态环境及空气环境的变化，短时间内会使事故周围动物的分布数量下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（3）对野生动物生境的影响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区域内各种野生动物经过长期的适应已形成较稳定的取食、饮水、栖息活动范围和分布，施工占地将使原有野生动物的分布、栖息活动范围受到压缩。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.4对土壤的影响分析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属于“矿产资源地质勘查（含勘探活动和油气资源勘探）”，根据《环境影响评价技术导则土壤环境（试行）》（HJ964-2018）附录A，本项目为Ⅳ类项目，可不开展土壤环境影响评价，本次环评仅做简单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（1）工程占地影响分析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本项目占地主要为井场及临时道路，施工期扰动总面积达</w:t>
            </w:r>
            <w:r>
              <w:rPr>
                <w:rFonts w:hint="eastAsia" w:cs="Times New Roman"/>
                <w:color w:val="auto"/>
                <w:kern w:val="0"/>
                <w:sz w:val="24"/>
                <w:szCs w:val="24"/>
                <w:lang w:val="en-US" w:eastAsia="zh-CN" w:bidi="ar"/>
              </w:rPr>
              <w:t>33452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，均为临时占地。最主要的危害是破坏了地表结构，增加了土壤风蚀量和沙漠化的可能性。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在进行井场施工时，将对作业范围内的土壤表层进行干扰和破坏，土壤表层结构（包括紧实度）、肥力将受到影响，土壤易受到侵蚀。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当施工结束后，人为活动的范围缩小，将使受到破坏的地表逐渐得到恢复，风蚀和荒漠化影响将随着天然植被的恢复逐渐得到控制。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（2）固体废物对土壤环境的影响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在钻井过程中会产生钻井泥浆和岩屑，本项目采用泥浆不落地技术，可以有效减缓钻井泥浆、岩屑对土壤的影响范围和程度。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（3）事故状态下对土壤环境的影响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井喷持续时间越长，对土壤造成的污染越严重。但根据已有的相关资料，井喷事故主要影响事故区域内的表层土壤。</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景观影响分析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景观是指地表空间相对稳定的景物或景象，是一个空间高度异质性的区域，由相互作用的景观元素或生态系统，按一定的空间组合规律及相似的形式重复出现而形成。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项目区周边属于景观生态等级自然体系和人工体系的复合体，它是由荒漠生态系统、道路、油田设施有规律地相间组成。拟建工程占地面积小，不会使景观发生太大变化，对景观生态影响较小。</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6</w:t>
            </w:r>
            <w:r>
              <w:rPr>
                <w:rFonts w:hint="eastAsia" w:ascii="宋体" w:hAnsi="宋体" w:eastAsia="宋体" w:cs="宋体"/>
                <w:b/>
                <w:bCs/>
                <w:color w:val="auto"/>
                <w:kern w:val="0"/>
                <w:sz w:val="24"/>
                <w:szCs w:val="24"/>
                <w:lang w:val="en-US" w:eastAsia="zh-CN" w:bidi="ar"/>
              </w:rPr>
              <w:t>水土流失影响分析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本项目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w:t>
            </w:r>
            <w:r>
              <w:rPr>
                <w:rFonts w:hint="default" w:ascii="Times New Roman" w:hAnsi="Times New Roman" w:eastAsia="宋体" w:cs="Times New Roman"/>
                <w:color w:val="auto"/>
                <w:kern w:val="0"/>
                <w:sz w:val="24"/>
                <w:szCs w:val="24"/>
                <w:lang w:val="en-US" w:eastAsia="zh-CN" w:bidi="ar"/>
              </w:rPr>
              <w:t>2018</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26</w:t>
            </w:r>
            <w:r>
              <w:rPr>
                <w:rFonts w:hint="eastAsia" w:ascii="宋体" w:hAnsi="宋体" w:eastAsia="宋体" w:cs="宋体"/>
                <w:color w:val="auto"/>
                <w:kern w:val="0"/>
                <w:sz w:val="24"/>
                <w:szCs w:val="24"/>
                <w:lang w:val="en-US" w:eastAsia="zh-CN" w:bidi="ar"/>
              </w:rPr>
              <w:t>日）中有关规定，执行以下井场防沙治沙防治措施：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土地临时使用过程中发现土地沙化或者沙化程度加重的，应当及时报告当地人民政府；大力宣传《中华人民共和国防沙治沙法》（</w:t>
            </w:r>
            <w:r>
              <w:rPr>
                <w:rFonts w:hint="default" w:ascii="Times New Roman" w:hAnsi="Times New Roman" w:eastAsia="宋体" w:cs="Times New Roman"/>
                <w:color w:val="auto"/>
                <w:kern w:val="0"/>
                <w:sz w:val="24"/>
                <w:szCs w:val="24"/>
                <w:lang w:val="en-US" w:eastAsia="zh-CN" w:bidi="ar"/>
              </w:rPr>
              <w:t>2018</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26</w:t>
            </w:r>
            <w:r>
              <w:rPr>
                <w:rFonts w:hint="eastAsia" w:ascii="宋体" w:hAnsi="宋体" w:eastAsia="宋体" w:cs="宋体"/>
                <w:color w:val="auto"/>
                <w:kern w:val="0"/>
                <w:sz w:val="24"/>
                <w:szCs w:val="24"/>
                <w:lang w:val="en-US" w:eastAsia="zh-CN" w:bidi="ar"/>
              </w:rPr>
              <w:t>日），使施工人员知法、懂法、守法，自觉保护林草植被，自觉履行防治义务。禁止在沙化土地上砍挖灌木、药材及其他固沙植物；施工结束后对占地进行平整，清运现场遗留的污染物，按照正式征地文件的规定对占地进行经济补偿。</w:t>
            </w:r>
          </w:p>
          <w:p>
            <w:pPr>
              <w:widowControl/>
              <w:snapToGrid w:val="0"/>
              <w:spacing w:line="500" w:lineRule="exact"/>
              <w:ind w:firstLine="482" w:firstLineChars="200"/>
              <w:rPr>
                <w:rFonts w:ascii="宋体" w:hAnsi="宋体" w:cs="宋体"/>
                <w:b/>
                <w:bCs/>
                <w:color w:val="auto"/>
                <w:sz w:val="24"/>
              </w:rPr>
            </w:pPr>
            <w:bookmarkStart w:id="21" w:name="_Hlk129683988"/>
            <w:bookmarkStart w:id="22" w:name="_Hlk129684020"/>
            <w:r>
              <w:rPr>
                <w:rFonts w:hint="eastAsia" w:ascii="宋体" w:hAnsi="宋体" w:cs="宋体"/>
                <w:b/>
                <w:bCs/>
                <w:color w:val="auto"/>
                <w:sz w:val="24"/>
                <w:lang w:val="en-US" w:eastAsia="zh-CN"/>
              </w:rPr>
              <w:t>2</w:t>
            </w:r>
            <w:r>
              <w:rPr>
                <w:rFonts w:hint="eastAsia" w:ascii="宋体" w:hAnsi="宋体" w:cs="宋体"/>
                <w:b/>
                <w:bCs/>
                <w:color w:val="auto"/>
                <w:sz w:val="24"/>
              </w:rPr>
              <w:t>、</w:t>
            </w:r>
            <w:r>
              <w:rPr>
                <w:rFonts w:hint="eastAsia" w:ascii="宋体" w:hAnsi="宋体" w:cs="宋体"/>
                <w:b/>
                <w:bCs/>
                <w:color w:val="auto"/>
                <w:sz w:val="24"/>
                <w:lang w:val="en-US" w:eastAsia="zh-CN"/>
              </w:rPr>
              <w:t>施工</w:t>
            </w:r>
            <w:r>
              <w:rPr>
                <w:rFonts w:hint="eastAsia" w:ascii="宋体" w:hAnsi="宋体" w:cs="宋体"/>
                <w:b/>
                <w:bCs/>
                <w:color w:val="auto"/>
                <w:sz w:val="24"/>
              </w:rPr>
              <w:t>大气环境影响分析</w:t>
            </w:r>
          </w:p>
          <w:bookmarkEnd w:id="21"/>
          <w:p>
            <w:pPr>
              <w:pStyle w:val="59"/>
              <w:ind w:firstLine="480"/>
              <w:rPr>
                <w:rFonts w:ascii="等线" w:hAnsi="等线"/>
                <w:color w:val="auto"/>
              </w:rPr>
            </w:pPr>
            <w:r>
              <w:rPr>
                <w:rFonts w:hint="eastAsia" w:ascii="等线" w:hAnsi="等线"/>
                <w:color w:val="auto"/>
              </w:rPr>
              <w:t>施工期废气主要为车辆尾气、施工扬尘、柴油机、发电机及各类施工机械燃料燃烧烟气、伴生气放空产生的燃烧烟气和试油期间储液罐无组织逸散的废气等。</w:t>
            </w:r>
          </w:p>
          <w:p>
            <w:pPr>
              <w:pStyle w:val="59"/>
              <w:ind w:firstLine="480"/>
              <w:rPr>
                <w:rFonts w:ascii="等线" w:hAnsi="等线"/>
                <w:color w:val="auto"/>
              </w:rPr>
            </w:pPr>
            <w:r>
              <w:rPr>
                <w:rFonts w:ascii="等线" w:hAnsi="等线"/>
                <w:color w:val="auto"/>
              </w:rPr>
              <w:t>（</w:t>
            </w:r>
            <w:r>
              <w:rPr>
                <w:rFonts w:hint="eastAsia" w:cs="宋体"/>
                <w:color w:val="auto"/>
              </w:rPr>
              <w:t>1</w:t>
            </w:r>
            <w:r>
              <w:rPr>
                <w:rFonts w:ascii="等线" w:hAnsi="等线"/>
                <w:color w:val="auto"/>
              </w:rPr>
              <w:t>）车辆尾气、施工扬尘</w:t>
            </w:r>
          </w:p>
          <w:p>
            <w:pPr>
              <w:pStyle w:val="59"/>
              <w:ind w:firstLine="480"/>
              <w:rPr>
                <w:rFonts w:ascii="等线" w:hAnsi="等线"/>
                <w:color w:val="auto"/>
              </w:rPr>
            </w:pPr>
            <w:r>
              <w:rPr>
                <w:rFonts w:ascii="等线" w:hAnsi="等线"/>
                <w:color w:val="auto"/>
              </w:rPr>
              <w:t>车辆</w:t>
            </w:r>
            <w:r>
              <w:rPr>
                <w:rFonts w:hint="eastAsia" w:ascii="等线" w:hAnsi="等线"/>
                <w:color w:val="auto"/>
              </w:rPr>
              <w:t>在</w:t>
            </w:r>
            <w:r>
              <w:rPr>
                <w:rFonts w:ascii="等线" w:hAnsi="等线"/>
                <w:color w:val="auto"/>
              </w:rPr>
              <w:t>行驶过程</w:t>
            </w:r>
            <w:r>
              <w:rPr>
                <w:rFonts w:hint="eastAsia" w:ascii="等线" w:hAnsi="等线"/>
                <w:color w:val="auto"/>
              </w:rPr>
              <w:t>中会排放</w:t>
            </w:r>
            <w:r>
              <w:rPr>
                <w:rFonts w:ascii="等线" w:hAnsi="等线"/>
                <w:color w:val="auto"/>
              </w:rPr>
              <w:t>间断性、不连续的车辆尾气。</w:t>
            </w:r>
            <w:r>
              <w:rPr>
                <w:rFonts w:hint="eastAsia" w:ascii="等线" w:hAnsi="等线"/>
                <w:color w:val="auto"/>
              </w:rPr>
              <w:t>但</w:t>
            </w:r>
            <w:r>
              <w:rPr>
                <w:rFonts w:ascii="等线" w:hAnsi="等线"/>
                <w:color w:val="auto"/>
              </w:rPr>
              <w:t>汽车油料</w:t>
            </w:r>
            <w:r>
              <w:rPr>
                <w:rFonts w:hint="eastAsia" w:ascii="等线" w:hAnsi="等线"/>
                <w:color w:val="auto"/>
              </w:rPr>
              <w:t>均</w:t>
            </w:r>
            <w:r>
              <w:rPr>
                <w:rFonts w:ascii="等线" w:hAnsi="等线"/>
                <w:color w:val="auto"/>
              </w:rPr>
              <w:t>为国家合格产品，其尾气排放的污染物均符合国家标准，</w:t>
            </w:r>
            <w:r>
              <w:rPr>
                <w:rFonts w:hint="eastAsia" w:ascii="等线" w:hAnsi="等线"/>
                <w:color w:val="auto"/>
              </w:rPr>
              <w:t>故其</w:t>
            </w:r>
            <w:r>
              <w:rPr>
                <w:rFonts w:ascii="等线" w:hAnsi="等线"/>
                <w:color w:val="auto"/>
              </w:rPr>
              <w:t>对周围环境的影响较小。</w:t>
            </w:r>
          </w:p>
          <w:p>
            <w:pPr>
              <w:pStyle w:val="59"/>
              <w:spacing w:line="360" w:lineRule="auto"/>
              <w:ind w:firstLine="480"/>
              <w:rPr>
                <w:rFonts w:ascii="等线" w:hAnsi="等线"/>
                <w:color w:val="auto"/>
              </w:rPr>
            </w:pPr>
            <w:r>
              <w:rPr>
                <w:rFonts w:ascii="等线" w:hAnsi="等线"/>
                <w:color w:val="auto"/>
              </w:rPr>
              <w:t>施工期</w:t>
            </w:r>
            <w:r>
              <w:rPr>
                <w:rFonts w:hint="eastAsia" w:ascii="等线" w:hAnsi="等线"/>
                <w:color w:val="auto"/>
              </w:rPr>
              <w:t>间</w:t>
            </w:r>
            <w:r>
              <w:rPr>
                <w:rFonts w:ascii="等线" w:hAnsi="等线"/>
                <w:color w:val="auto"/>
              </w:rPr>
              <w:t>土壤被扰动后</w:t>
            </w:r>
            <w:r>
              <w:rPr>
                <w:rFonts w:hint="eastAsia" w:ascii="等线" w:hAnsi="等线"/>
                <w:color w:val="auto"/>
              </w:rPr>
              <w:t>产生</w:t>
            </w:r>
            <w:r>
              <w:rPr>
                <w:rFonts w:ascii="等线" w:hAnsi="等线"/>
                <w:color w:val="auto"/>
              </w:rPr>
              <w:t>的尘土</w:t>
            </w:r>
            <w:r>
              <w:rPr>
                <w:rFonts w:hint="eastAsia" w:ascii="等线" w:hAnsi="等线"/>
                <w:color w:val="auto"/>
              </w:rPr>
              <w:t>和</w:t>
            </w:r>
            <w:r>
              <w:rPr>
                <w:rFonts w:ascii="等线" w:hAnsi="等线"/>
                <w:color w:val="auto"/>
              </w:rPr>
              <w:t>施工运输车辆产生的扬尘，</w:t>
            </w:r>
            <w:r>
              <w:rPr>
                <w:rFonts w:hint="eastAsia" w:ascii="等线" w:hAnsi="等线"/>
                <w:color w:val="auto"/>
              </w:rPr>
              <w:t>均会</w:t>
            </w:r>
            <w:r>
              <w:rPr>
                <w:rFonts w:ascii="等线" w:hAnsi="等线"/>
                <w:color w:val="auto"/>
              </w:rPr>
              <w:t>对环境空气造成一定的影响。但一般施工扬尘易于沉降，其影响将限制在较小的范围内，对周围大气环境影响较小。</w:t>
            </w:r>
          </w:p>
          <w:bookmarkEnd w:id="22"/>
          <w:p>
            <w:pPr>
              <w:pStyle w:val="59"/>
              <w:spacing w:line="360" w:lineRule="auto"/>
              <w:ind w:firstLine="480"/>
              <w:rPr>
                <w:rFonts w:cs="宋体"/>
                <w:color w:val="auto"/>
              </w:rPr>
            </w:pPr>
            <w:r>
              <w:rPr>
                <w:rFonts w:hint="eastAsia" w:cs="宋体"/>
                <w:color w:val="auto"/>
              </w:rPr>
              <w:t>（2）柴油燃烧废气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cs="Times New Roman"/>
                <w:color w:val="auto"/>
                <w:kern w:val="0"/>
                <w:sz w:val="24"/>
                <w:szCs w:val="24"/>
                <w:lang w:val="en-US" w:eastAsia="zh-CN" w:bidi="ar"/>
              </w:rPr>
              <w:t>本项目单井钻井周期70d，试油期180d。</w:t>
            </w:r>
            <w:r>
              <w:rPr>
                <w:rFonts w:hint="eastAsia" w:ascii="宋体" w:hAnsi="宋体" w:eastAsia="宋体" w:cs="宋体"/>
                <w:color w:val="auto"/>
                <w:kern w:val="0"/>
                <w:sz w:val="24"/>
                <w:szCs w:val="24"/>
                <w:lang w:val="en-US" w:eastAsia="zh-CN" w:bidi="ar"/>
              </w:rPr>
              <w:t>本项目钻井期及试油期柴油耗量见表</w:t>
            </w:r>
            <w:r>
              <w:rPr>
                <w:rFonts w:hint="default" w:ascii="Times New Roman" w:hAnsi="Times New Roman" w:eastAsia="宋体" w:cs="Times New Roman"/>
                <w:color w:val="auto"/>
                <w:kern w:val="0"/>
                <w:sz w:val="24"/>
                <w:szCs w:val="24"/>
                <w:lang w:val="en-US" w:eastAsia="zh-CN" w:bidi="ar"/>
              </w:rPr>
              <w:t>4-2</w:t>
            </w:r>
            <w:r>
              <w:rPr>
                <w:rFonts w:hint="eastAsia" w:ascii="宋体" w:hAnsi="宋体" w:eastAsia="宋体" w:cs="宋体"/>
                <w:color w:val="auto"/>
                <w:kern w:val="0"/>
                <w:sz w:val="24"/>
                <w:szCs w:val="24"/>
                <w:lang w:val="en-US" w:eastAsia="zh-CN" w:bidi="ar"/>
              </w:rPr>
              <w:t>。根据《非道路移动污染源排放清单编制技术指南》，柴油机污染物排放系数，柴油机组燃烧废气中各污染物产生情况见表</w:t>
            </w:r>
            <w:r>
              <w:rPr>
                <w:rFonts w:hint="default" w:ascii="Times New Roman" w:hAnsi="Times New Roman" w:eastAsia="宋体" w:cs="Times New Roman"/>
                <w:color w:val="auto"/>
                <w:kern w:val="0"/>
                <w:sz w:val="24"/>
                <w:szCs w:val="24"/>
                <w:lang w:val="en-US" w:eastAsia="zh-CN" w:bidi="ar"/>
              </w:rPr>
              <w:t>4-3</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center"/>
              <w:rPr>
                <w:color w:val="auto"/>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4-2</w:t>
            </w:r>
            <w:r>
              <w:rPr>
                <w:rFonts w:hint="eastAsia" w:ascii="宋体" w:hAnsi="宋体" w:eastAsia="宋体" w:cs="宋体"/>
                <w:b/>
                <w:bCs/>
                <w:color w:val="auto"/>
                <w:kern w:val="0"/>
                <w:sz w:val="21"/>
                <w:szCs w:val="21"/>
                <w:lang w:val="en-US" w:eastAsia="zh-CN" w:bidi="ar"/>
              </w:rPr>
              <w:t>钻井期和油气测试期消耗柴油量</w:t>
            </w:r>
          </w:p>
          <w:tbl>
            <w:tblPr>
              <w:tblStyle w:val="29"/>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阶段</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周期（d）</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柴油消耗量（t/d）</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柴油消耗总量（t）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钻井期</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350</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1.5</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试油期</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900</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0.16</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0" w:type="dxa"/>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合计</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669</w:t>
                  </w:r>
                </w:p>
              </w:tc>
            </w:tr>
          </w:tbl>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表4-3柴</w:t>
            </w:r>
            <w:r>
              <w:rPr>
                <w:rFonts w:hint="eastAsia" w:ascii="宋体" w:hAnsi="宋体" w:eastAsia="宋体" w:cs="宋体"/>
                <w:b/>
                <w:bCs/>
                <w:color w:val="auto"/>
                <w:kern w:val="0"/>
                <w:sz w:val="21"/>
                <w:szCs w:val="21"/>
                <w:lang w:val="en-US" w:eastAsia="zh-CN" w:bidi="ar"/>
              </w:rPr>
              <w:t>油机污染物排放量</w:t>
            </w:r>
          </w:p>
          <w:tbl>
            <w:tblPr>
              <w:tblStyle w:val="29"/>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污染物</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排污系数kg/t</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柴油用量t</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CO</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10.72</w:t>
                  </w:r>
                </w:p>
              </w:tc>
              <w:tc>
                <w:tcPr>
                  <w:tcW w:w="2037"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669</w:t>
                  </w: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NO</w:t>
                  </w:r>
                  <w:r>
                    <w:rPr>
                      <w:rFonts w:hint="default" w:ascii="Times New Roman" w:hAnsi="Times New Roman" w:eastAsia="宋体" w:cs="Times New Roman"/>
                      <w:color w:val="auto"/>
                      <w:kern w:val="0"/>
                      <w:sz w:val="21"/>
                      <w:szCs w:val="21"/>
                      <w:vertAlign w:val="subscript"/>
                      <w:lang w:val="en-US" w:eastAsia="zh-CN" w:bidi="ar"/>
                    </w:rPr>
                    <w:t>X</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32.79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HC</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3.39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SO</w:t>
                  </w:r>
                  <w:r>
                    <w:rPr>
                      <w:rFonts w:hint="default" w:ascii="Times New Roman" w:hAnsi="Times New Roman" w:eastAsia="宋体" w:cs="Times New Roman"/>
                      <w:color w:val="auto"/>
                      <w:kern w:val="0"/>
                      <w:sz w:val="21"/>
                      <w:szCs w:val="21"/>
                      <w:vertAlign w:val="subscript"/>
                      <w:lang w:val="en-US" w:eastAsia="zh-CN" w:bidi="ar"/>
                    </w:rPr>
                    <w:t>2</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0.02</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0.0</w:t>
                  </w:r>
                  <w:r>
                    <w:rPr>
                      <w:rFonts w:hint="eastAsia" w:cs="Times New Roman"/>
                      <w:bCs/>
                      <w:color w:val="auto"/>
                      <w:sz w:val="21"/>
                      <w:szCs w:val="21"/>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10</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2.5</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环评要求钻井期间定期对柴油机、柴油发电机等设备进行维护，并且采用高品质的柴油、添加柴油助燃剂等措施，在很大程度上可降低柴油燃烧污染物的排放，减轻对大气环境的影响。钻井期间排放的大气污染物将随钻井工程的结束而消失。</w:t>
            </w:r>
          </w:p>
          <w:p>
            <w:pPr>
              <w:pStyle w:val="59"/>
              <w:ind w:firstLine="480"/>
              <w:rPr>
                <w:rFonts w:hint="default" w:ascii="Times New Roman" w:hAnsi="Times New Roman" w:cs="Times New Roman"/>
                <w:color w:val="auto"/>
              </w:rPr>
            </w:pPr>
            <w:r>
              <w:rPr>
                <w:rFonts w:hint="default" w:ascii="Times New Roman" w:hAnsi="Times New Roman" w:cs="Times New Roman"/>
                <w:color w:val="auto"/>
              </w:rPr>
              <w:t>（3）伴生气燃烧</w:t>
            </w:r>
          </w:p>
          <w:p>
            <w:pPr>
              <w:pStyle w:val="59"/>
              <w:ind w:firstLine="480"/>
              <w:rPr>
                <w:rFonts w:hint="default" w:ascii="Times New Roman" w:hAnsi="Times New Roman" w:cs="Times New Roman"/>
                <w:color w:val="auto"/>
              </w:rPr>
            </w:pPr>
            <w:r>
              <w:rPr>
                <w:rFonts w:hint="default" w:ascii="Times New Roman" w:hAnsi="Times New Roman" w:cs="Times New Roman"/>
                <w:color w:val="auto"/>
              </w:rPr>
              <w:t>钻试过程产生的伴生气产量小且不稳定，不具备回收利用条件，通过排气管线充分燃烧后放空，属于阶段性排放，且随着钻试结束而停止产生。项目周边无集中居民区，地域空旷、扩散条件良好。</w:t>
            </w:r>
          </w:p>
          <w:p>
            <w:pPr>
              <w:pStyle w:val="12"/>
              <w:spacing w:before="0" w:after="0" w:line="500" w:lineRule="exact"/>
              <w:ind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 w:val="24"/>
                <w:szCs w:val="24"/>
              </w:rPr>
              <w:t>（4）储罐及装车无组织废气</w:t>
            </w:r>
          </w:p>
          <w:p>
            <w:pPr>
              <w:pStyle w:val="12"/>
              <w:spacing w:before="0" w:after="0" w:line="500" w:lineRule="exact"/>
              <w:ind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试油期产生的采出液暂存于地面储罐，由罐车定期拉运至</w:t>
            </w:r>
            <w:r>
              <w:rPr>
                <w:rFonts w:hint="default" w:ascii="Times New Roman" w:hAnsi="Times New Roman" w:cs="Times New Roman"/>
                <w:color w:val="auto"/>
                <w:sz w:val="24"/>
                <w:szCs w:val="24"/>
                <w:lang w:eastAsia="zh-CN"/>
              </w:rPr>
              <w:t>吉祥联合站</w:t>
            </w:r>
            <w:r>
              <w:rPr>
                <w:rFonts w:hint="default" w:ascii="Times New Roman" w:hAnsi="Times New Roman" w:cs="Times New Roman"/>
                <w:color w:val="auto"/>
                <w:sz w:val="24"/>
                <w:szCs w:val="24"/>
              </w:rPr>
              <w:t>处理，采出液在储存及装车过程中会产生无组织挥发烃类（以非甲烷总烃计），随试油期结束装车过程中产生的非甲烷总烃停止排放；项目所在地域空旷、扩散条件良好；试油期采出液储存及装载应符合《陆上石油天然气开采工业大气污染物排放标准》（GB39728-2020）要求。</w:t>
            </w:r>
          </w:p>
          <w:p>
            <w:pPr>
              <w:pStyle w:val="59"/>
              <w:ind w:firstLine="480"/>
              <w:rPr>
                <w:rFonts w:hint="default" w:ascii="Times New Roman" w:hAnsi="Times New Roman" w:cs="Times New Roman"/>
                <w:color w:val="auto"/>
              </w:rPr>
            </w:pPr>
            <w:r>
              <w:rPr>
                <w:rFonts w:hint="default" w:ascii="Times New Roman" w:hAnsi="Times New Roman" w:cs="Times New Roman"/>
                <w:color w:val="auto"/>
              </w:rPr>
              <w:t>综上所述，施工期间产生的废气对大气环境质量影响不大。</w:t>
            </w:r>
          </w:p>
          <w:p>
            <w:pPr>
              <w:widowControl/>
              <w:snapToGrid w:val="0"/>
              <w:spacing w:line="500" w:lineRule="exact"/>
              <w:ind w:firstLine="482" w:firstLineChars="200"/>
              <w:rPr>
                <w:rFonts w:ascii="宋体" w:hAnsi="宋体" w:cs="宋体"/>
                <w:b/>
                <w:bCs/>
                <w:color w:val="auto"/>
                <w:sz w:val="24"/>
              </w:rPr>
            </w:pPr>
            <w:r>
              <w:rPr>
                <w:rFonts w:hint="eastAsia" w:ascii="宋体" w:hAnsi="宋体" w:cs="宋体"/>
                <w:b/>
                <w:bCs/>
                <w:color w:val="auto"/>
                <w:sz w:val="24"/>
                <w:lang w:val="en-US" w:eastAsia="zh-CN"/>
              </w:rPr>
              <w:t>3</w:t>
            </w:r>
            <w:r>
              <w:rPr>
                <w:rFonts w:hint="eastAsia" w:ascii="宋体" w:hAnsi="宋体" w:cs="宋体"/>
                <w:b/>
                <w:bCs/>
                <w:color w:val="auto"/>
                <w:sz w:val="24"/>
              </w:rPr>
              <w:t>、水环境影响分析</w:t>
            </w:r>
          </w:p>
          <w:p>
            <w:pPr>
              <w:pStyle w:val="59"/>
              <w:ind w:firstLine="480"/>
              <w:rPr>
                <w:rFonts w:ascii="等线" w:hAnsi="等线"/>
                <w:color w:val="auto"/>
              </w:rPr>
            </w:pPr>
            <w:r>
              <w:rPr>
                <w:rFonts w:hint="eastAsia" w:ascii="等线" w:hAnsi="等线"/>
                <w:color w:val="auto"/>
              </w:rPr>
              <w:t>废水主要为试油期废水及生活污水。</w:t>
            </w:r>
          </w:p>
          <w:p>
            <w:pPr>
              <w:pStyle w:val="59"/>
              <w:ind w:firstLine="480"/>
              <w:rPr>
                <w:color w:val="auto"/>
              </w:rPr>
            </w:pPr>
            <w:bookmarkStart w:id="23" w:name="_Hlk129691449"/>
            <w:r>
              <w:rPr>
                <w:rFonts w:hint="eastAsia"/>
                <w:color w:val="auto"/>
              </w:rPr>
              <w:t>（1）</w:t>
            </w:r>
            <w:r>
              <w:rPr>
                <w:rFonts w:hint="eastAsia"/>
                <w:color w:val="auto"/>
                <w:lang w:val="en-US" w:eastAsia="zh-CN"/>
              </w:rPr>
              <w:t>井下作业</w:t>
            </w:r>
            <w:r>
              <w:rPr>
                <w:rFonts w:hint="eastAsia"/>
                <w:color w:val="auto"/>
              </w:rPr>
              <w:t>废水</w:t>
            </w:r>
            <w:r>
              <w:rPr>
                <w:rFonts w:hint="eastAsia"/>
                <w:color w:val="auto"/>
                <w:lang w:eastAsia="zh-CN"/>
              </w:rPr>
              <w:t>（</w:t>
            </w:r>
            <w:r>
              <w:rPr>
                <w:rFonts w:hint="eastAsia"/>
                <w:color w:val="auto"/>
                <w:lang w:val="en-US" w:eastAsia="zh-CN"/>
              </w:rPr>
              <w:t>洗井废水</w:t>
            </w:r>
            <w:r>
              <w:rPr>
                <w:rFonts w:hint="eastAsia"/>
                <w:color w:val="auto"/>
                <w:lang w:eastAsia="zh-CN"/>
              </w:rPr>
              <w:t>）</w:t>
            </w:r>
            <w:r>
              <w:rPr>
                <w:rFonts w:hint="eastAsia"/>
                <w:color w:val="auto"/>
              </w:rPr>
              <w:t>和压裂返排液</w:t>
            </w:r>
          </w:p>
          <w:p>
            <w:pPr>
              <w:pStyle w:val="59"/>
              <w:ind w:firstLine="480"/>
              <w:rPr>
                <w:color w:val="auto"/>
              </w:rPr>
            </w:pPr>
            <w:r>
              <w:rPr>
                <w:rFonts w:hint="eastAsia"/>
                <w:color w:val="auto"/>
              </w:rPr>
              <w:t>试油废水主要包括</w:t>
            </w:r>
            <w:r>
              <w:rPr>
                <w:rFonts w:hint="eastAsia"/>
                <w:color w:val="auto"/>
                <w:lang w:val="en-US" w:eastAsia="zh-CN"/>
              </w:rPr>
              <w:t>井下作业</w:t>
            </w:r>
            <w:r>
              <w:rPr>
                <w:rFonts w:hint="eastAsia"/>
                <w:color w:val="auto"/>
              </w:rPr>
              <w:t>废水和压裂返排液，</w:t>
            </w:r>
            <w:r>
              <w:rPr>
                <w:rFonts w:hint="eastAsia"/>
                <w:color w:val="auto"/>
                <w:lang w:val="en-US" w:eastAsia="zh-CN"/>
              </w:rPr>
              <w:t>参照</w:t>
            </w:r>
            <w:r>
              <w:rPr>
                <w:rFonts w:hint="eastAsia"/>
                <w:color w:val="auto"/>
              </w:rPr>
              <w:t>《排放源统计调查产排污核算方法和系数手册》中1120 石油和天然气开采专业及辅助性活动行业系数表可知</w:t>
            </w:r>
            <w:r>
              <w:rPr>
                <w:rFonts w:hint="eastAsia"/>
                <w:color w:val="auto"/>
                <w:spacing w:val="-2"/>
              </w:rPr>
              <w:t>，</w:t>
            </w:r>
            <w:r>
              <w:rPr>
                <w:rFonts w:hint="eastAsia"/>
                <w:color w:val="auto"/>
                <w:spacing w:val="-2"/>
                <w:lang w:val="en-US" w:eastAsia="zh-CN"/>
              </w:rPr>
              <w:t>参照</w:t>
            </w:r>
            <w:r>
              <w:rPr>
                <w:rFonts w:hint="eastAsia"/>
                <w:color w:val="auto"/>
                <w:spacing w:val="-2"/>
              </w:rPr>
              <w:t>采用低渗透油井加砂压裂工艺，废压裂液产生量为153.21m</w:t>
            </w:r>
            <w:r>
              <w:rPr>
                <w:rFonts w:hint="eastAsia"/>
                <w:color w:val="auto"/>
                <w:spacing w:val="-2"/>
                <w:vertAlign w:val="superscript"/>
              </w:rPr>
              <w:t>3</w:t>
            </w:r>
            <w:r>
              <w:rPr>
                <w:rFonts w:hint="eastAsia"/>
                <w:color w:val="auto"/>
                <w:spacing w:val="-2"/>
              </w:rPr>
              <w:t>/井</w:t>
            </w:r>
            <w:r>
              <w:rPr>
                <w:rFonts w:hint="eastAsia"/>
                <w:color w:val="auto"/>
                <w:spacing w:val="-2"/>
                <w:lang w:eastAsia="zh-CN"/>
              </w:rPr>
              <w:t>，</w:t>
            </w:r>
            <w:r>
              <w:rPr>
                <w:rFonts w:hint="eastAsia"/>
                <w:color w:val="auto"/>
                <w:spacing w:val="-2"/>
                <w:lang w:val="en-US" w:eastAsia="zh-CN"/>
              </w:rPr>
              <w:t>洗井废水产生量为27.13吨</w:t>
            </w:r>
            <w:r>
              <w:rPr>
                <w:rFonts w:hint="eastAsia"/>
                <w:color w:val="auto"/>
                <w:spacing w:val="-2"/>
              </w:rPr>
              <w:t>/井</w:t>
            </w:r>
            <w:r>
              <w:rPr>
                <w:rFonts w:hint="eastAsia"/>
                <w:color w:val="auto"/>
                <w:lang w:eastAsia="zh-CN"/>
              </w:rPr>
              <w:t>；</w:t>
            </w:r>
            <w:r>
              <w:rPr>
                <w:rFonts w:hint="eastAsia"/>
                <w:color w:val="auto"/>
                <w:lang w:val="en-US" w:eastAsia="zh-CN"/>
              </w:rPr>
              <w:t>本工程5口评价井，</w:t>
            </w:r>
            <w:r>
              <w:rPr>
                <w:rFonts w:hint="eastAsia"/>
                <w:color w:val="auto"/>
                <w:spacing w:val="-2"/>
              </w:rPr>
              <w:t>废压裂液产生量为</w:t>
            </w:r>
            <w:r>
              <w:rPr>
                <w:rFonts w:hint="eastAsia"/>
                <w:color w:val="auto"/>
                <w:spacing w:val="-2"/>
                <w:lang w:val="en-US" w:eastAsia="zh-CN"/>
              </w:rPr>
              <w:t>766.05</w:t>
            </w:r>
            <w:r>
              <w:rPr>
                <w:rFonts w:hint="eastAsia"/>
                <w:color w:val="auto"/>
                <w:spacing w:val="-2"/>
              </w:rPr>
              <w:t>m</w:t>
            </w:r>
            <w:r>
              <w:rPr>
                <w:rFonts w:hint="eastAsia"/>
                <w:color w:val="auto"/>
                <w:spacing w:val="-2"/>
                <w:vertAlign w:val="superscript"/>
              </w:rPr>
              <w:t>3</w:t>
            </w:r>
            <w:r>
              <w:rPr>
                <w:rFonts w:hint="eastAsia"/>
                <w:color w:val="auto"/>
                <w:spacing w:val="-2"/>
                <w:lang w:eastAsia="zh-CN"/>
              </w:rPr>
              <w:t>，</w:t>
            </w:r>
            <w:r>
              <w:rPr>
                <w:rFonts w:hint="eastAsia"/>
                <w:color w:val="auto"/>
                <w:spacing w:val="-2"/>
                <w:lang w:val="en-US" w:eastAsia="zh-CN"/>
              </w:rPr>
              <w:t>洗井废水产生量为135.65吨，</w:t>
            </w:r>
            <w:r>
              <w:rPr>
                <w:rFonts w:hint="eastAsia"/>
                <w:color w:val="auto"/>
              </w:rPr>
              <w:t>主要污染物为悬浮物和石油类；洗井废水和压裂返排液均排至井场专用储罐储存，最终由罐车拉运至</w:t>
            </w:r>
            <w:r>
              <w:rPr>
                <w:rFonts w:hint="eastAsia"/>
                <w:color w:val="auto"/>
                <w:lang w:eastAsia="zh-CN"/>
              </w:rPr>
              <w:t>吉祥联合站</w:t>
            </w:r>
            <w:r>
              <w:rPr>
                <w:rFonts w:hint="eastAsia"/>
                <w:color w:val="auto"/>
              </w:rPr>
              <w:t>采出水处理系统处理。</w:t>
            </w:r>
          </w:p>
          <w:p>
            <w:pPr>
              <w:pStyle w:val="59"/>
              <w:ind w:firstLine="480"/>
              <w:rPr>
                <w:color w:val="auto"/>
                <w:spacing w:val="-4"/>
              </w:rPr>
            </w:pPr>
            <w:r>
              <w:rPr>
                <w:rFonts w:hint="eastAsia"/>
                <w:color w:val="auto"/>
              </w:rPr>
              <w:t>（2）</w:t>
            </w:r>
            <w:r>
              <w:rPr>
                <w:rFonts w:hint="eastAsia"/>
                <w:color w:val="auto"/>
                <w:spacing w:val="-4"/>
              </w:rPr>
              <w:t>生活污水</w:t>
            </w:r>
          </w:p>
          <w:p>
            <w:pPr>
              <w:pStyle w:val="12"/>
              <w:spacing w:before="0" w:after="0" w:line="500" w:lineRule="exact"/>
              <w:ind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生活用水量按每人每天</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0L计，则施工期间生活用水总量约为</w:t>
            </w:r>
            <w:r>
              <w:rPr>
                <w:rFonts w:hint="default" w:ascii="Times New Roman" w:hAnsi="Times New Roman" w:cs="Times New Roman"/>
                <w:color w:val="auto"/>
                <w:sz w:val="24"/>
                <w:szCs w:val="24"/>
                <w:lang w:val="en-US" w:eastAsia="zh-CN"/>
              </w:rPr>
              <w:t>840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；排水系数取0.8</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，则生活污水产生量约为</w:t>
            </w:r>
            <w:r>
              <w:rPr>
                <w:rFonts w:hint="default" w:ascii="Times New Roman" w:hAnsi="Times New Roman" w:cs="Times New Roman"/>
                <w:color w:val="auto"/>
                <w:sz w:val="24"/>
                <w:szCs w:val="24"/>
                <w:lang w:val="en-US" w:eastAsia="zh-CN"/>
              </w:rPr>
              <w:t>672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。施工工人产生的生活污水水质与居民生活污水相似，主要污染物浓度分别为化学需氧量（COD）350mg/L、氨氮（NH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-N）30mg/L、悬浮物（SS）200mg/L，则污染物产生量COD：0.</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-N：0.0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t、SS：0.</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t。</w:t>
            </w:r>
          </w:p>
          <w:p>
            <w:pPr>
              <w:pStyle w:val="12"/>
              <w:spacing w:before="0" w:after="0" w:line="500" w:lineRule="exact"/>
              <w:ind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生活营地内设置1座临时防渗收集池（容积约50m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），开挖后采用HDPE防渗膜铺垫防渗，其渗透系数不低于1×10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cm/s。该收集池用于收集和暂存生活污水，定期由吸污车清运至</w:t>
            </w:r>
            <w:r>
              <w:rPr>
                <w:rFonts w:hint="eastAsia" w:cs="Times New Roman"/>
                <w:color w:val="auto"/>
                <w:sz w:val="24"/>
                <w:szCs w:val="24"/>
                <w:lang w:val="en-US" w:eastAsia="zh-CN"/>
              </w:rPr>
              <w:t>奇台县城污水处理厂</w:t>
            </w:r>
            <w:r>
              <w:rPr>
                <w:rFonts w:hint="default" w:ascii="Times New Roman" w:hAnsi="Times New Roman" w:cs="Times New Roman"/>
                <w:color w:val="auto"/>
                <w:sz w:val="24"/>
                <w:szCs w:val="24"/>
              </w:rPr>
              <w:t>处理，防渗膜回收。</w:t>
            </w:r>
          </w:p>
          <w:bookmarkEnd w:id="23"/>
          <w:p>
            <w:pPr>
              <w:pStyle w:val="59"/>
              <w:ind w:firstLine="480"/>
              <w:jc w:val="both"/>
              <w:rPr>
                <w:rFonts w:hint="default" w:ascii="Times New Roman" w:hAnsi="Times New Roman" w:cs="Times New Roman"/>
                <w:color w:val="auto"/>
              </w:rPr>
            </w:pPr>
            <w:r>
              <w:rPr>
                <w:rFonts w:hint="default" w:ascii="Times New Roman" w:hAnsi="Times New Roman" w:cs="Times New Roman"/>
                <w:color w:val="auto"/>
              </w:rPr>
              <w:t>（3）对地下水影响分析</w:t>
            </w:r>
          </w:p>
          <w:p>
            <w:pPr>
              <w:pStyle w:val="59"/>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项目区含水层埋深在50m～150m，一开表层套管的下土深度为</w:t>
            </w:r>
            <w:r>
              <w:rPr>
                <w:rFonts w:hint="default" w:ascii="Times New Roman" w:hAnsi="Times New Roman" w:cs="Times New Roman"/>
                <w:color w:val="auto"/>
                <w:kern w:val="2"/>
                <w:lang w:val="en-US" w:eastAsia="zh-CN"/>
              </w:rPr>
              <w:t>8</w:t>
            </w:r>
            <w:r>
              <w:rPr>
                <w:rFonts w:hint="default" w:ascii="Times New Roman" w:hAnsi="Times New Roman" w:cs="Times New Roman"/>
                <w:color w:val="auto"/>
                <w:kern w:val="2"/>
              </w:rPr>
              <w:t>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基本不会对所在区域地下水产生影响。</w:t>
            </w:r>
          </w:p>
          <w:p>
            <w:pPr>
              <w:pStyle w:val="59"/>
              <w:ind w:firstLine="480"/>
              <w:jc w:val="both"/>
              <w:rPr>
                <w:rFonts w:hint="default" w:ascii="Times New Roman" w:hAnsi="Times New Roman" w:cs="Times New Roman"/>
                <w:color w:val="auto"/>
              </w:rPr>
            </w:pPr>
            <w:r>
              <w:rPr>
                <w:rFonts w:hint="default" w:ascii="Times New Roman" w:hAnsi="Times New Roman" w:cs="Times New Roman"/>
                <w:color w:val="auto"/>
              </w:rPr>
              <w:t>综上所述，项目的实施对所在区域的水环境质量影响不大。</w:t>
            </w:r>
          </w:p>
          <w:p>
            <w:pPr>
              <w:widowControl/>
              <w:snapToGrid w:val="0"/>
              <w:spacing w:line="500" w:lineRule="exact"/>
              <w:ind w:firstLine="482" w:firstLineChars="200"/>
              <w:rPr>
                <w:rFonts w:ascii="宋体" w:hAnsi="宋体" w:cs="宋体"/>
                <w:b/>
                <w:bCs/>
                <w:color w:val="auto"/>
                <w:sz w:val="24"/>
              </w:rPr>
            </w:pPr>
            <w:r>
              <w:rPr>
                <w:rFonts w:hint="eastAsia" w:ascii="宋体" w:hAnsi="宋体"/>
                <w:b/>
                <w:bCs/>
                <w:color w:val="auto"/>
                <w:sz w:val="24"/>
                <w:lang w:val="en-US" w:eastAsia="zh-CN"/>
              </w:rPr>
              <w:t>4</w:t>
            </w:r>
            <w:r>
              <w:rPr>
                <w:rFonts w:hint="eastAsia" w:ascii="宋体" w:hAnsi="宋体"/>
                <w:b/>
                <w:bCs/>
                <w:color w:val="auto"/>
                <w:sz w:val="24"/>
              </w:rPr>
              <w:t>、</w:t>
            </w:r>
            <w:r>
              <w:rPr>
                <w:rFonts w:hint="eastAsia" w:ascii="宋体" w:hAnsi="宋体" w:cs="宋体"/>
                <w:b/>
                <w:bCs/>
                <w:color w:val="auto"/>
                <w:sz w:val="24"/>
              </w:rPr>
              <w:t>声环境影响分析</w:t>
            </w:r>
          </w:p>
          <w:p>
            <w:pPr>
              <w:pStyle w:val="59"/>
              <w:ind w:firstLine="480"/>
              <w:rPr>
                <w:color w:val="auto"/>
              </w:rPr>
            </w:pPr>
            <w:r>
              <w:rPr>
                <w:rFonts w:hint="eastAsia" w:cs="宋体"/>
                <w:color w:val="auto"/>
                <w:kern w:val="2"/>
              </w:rPr>
              <w:t>施工期噪声来源于井场、生活营地及道路建设等钻前作业、钻井作业及试油作业等施工活动。噪声源主要包括柴油发电机、柴油机、钻井液循环泵，以及各类施工机械，如挖土机、推土机、轮式装载车等，贯穿于整个施工过程，待施工结束后影响将消失。由于项目</w:t>
            </w:r>
            <w:r>
              <w:rPr>
                <w:rFonts w:cs="宋体"/>
                <w:color w:val="auto"/>
                <w:kern w:val="2"/>
              </w:rPr>
              <w:t>20</w:t>
            </w:r>
            <w:r>
              <w:rPr>
                <w:rFonts w:hint="eastAsia" w:cs="宋体"/>
                <w:color w:val="auto"/>
                <w:kern w:val="2"/>
              </w:rPr>
              <w:t>0m范围内无声环境敏感目标，因此对声环境质量影响很小。</w:t>
            </w:r>
          </w:p>
          <w:p>
            <w:pPr>
              <w:widowControl/>
              <w:snapToGrid w:val="0"/>
              <w:spacing w:line="500" w:lineRule="exact"/>
              <w:ind w:firstLine="482" w:firstLineChars="200"/>
              <w:rPr>
                <w:rFonts w:ascii="宋体" w:hAnsi="宋体" w:cs="宋体"/>
                <w:b/>
                <w:bCs/>
                <w:color w:val="auto"/>
                <w:sz w:val="24"/>
              </w:rPr>
            </w:pPr>
            <w:r>
              <w:rPr>
                <w:rFonts w:hint="eastAsia" w:ascii="宋体" w:hAnsi="宋体" w:cs="宋体"/>
                <w:b/>
                <w:bCs/>
                <w:color w:val="auto"/>
                <w:sz w:val="24"/>
                <w:lang w:val="en-US" w:eastAsia="zh-CN"/>
              </w:rPr>
              <w:t>5</w:t>
            </w:r>
            <w:r>
              <w:rPr>
                <w:rFonts w:hint="eastAsia" w:ascii="宋体" w:hAnsi="宋体" w:cs="宋体"/>
                <w:b/>
                <w:bCs/>
                <w:color w:val="auto"/>
                <w:sz w:val="24"/>
              </w:rPr>
              <w:t>、固体废物影响分析</w:t>
            </w:r>
          </w:p>
          <w:p>
            <w:pPr>
              <w:pStyle w:val="66"/>
              <w:ind w:firstLine="480"/>
              <w:rPr>
                <w:color w:val="auto"/>
              </w:rPr>
            </w:pPr>
            <w:r>
              <w:rPr>
                <w:rFonts w:hint="eastAsia"/>
                <w:color w:val="auto"/>
              </w:rPr>
              <w:t>固体废物主要为钻井岩屑、生活垃圾以及废防渗材料。</w:t>
            </w:r>
          </w:p>
          <w:p>
            <w:pPr>
              <w:pStyle w:val="66"/>
              <w:ind w:firstLine="480"/>
              <w:rPr>
                <w:color w:val="auto"/>
              </w:rPr>
            </w:pPr>
            <w:r>
              <w:rPr>
                <w:rFonts w:hint="eastAsia"/>
                <w:color w:val="auto"/>
              </w:rPr>
              <w:t>（1）钻井岩屑</w:t>
            </w:r>
          </w:p>
          <w:p>
            <w:pPr>
              <w:pStyle w:val="66"/>
              <w:ind w:firstLine="480"/>
              <w:rPr>
                <w:color w:val="auto"/>
              </w:rPr>
            </w:pPr>
            <w:r>
              <w:rPr>
                <w:rFonts w:hint="eastAsia"/>
                <w:color w:val="auto"/>
              </w:rPr>
              <w:t>钻井过程中，岩石经钻头和钻井液的研磨而破碎成岩屑，随钻井液排出井口，进入钻井液不落地系统处理后岩屑与钻井液分离，液体回收利用，固体岩屑拉运处理。岩屑产生量与井身结构有关，可按下式计算：</w:t>
            </w:r>
          </w:p>
          <w:p>
            <w:pPr>
              <w:tabs>
                <w:tab w:val="left" w:pos="2064"/>
              </w:tabs>
              <w:adjustRightInd w:val="0"/>
              <w:snapToGrid w:val="0"/>
              <w:spacing w:line="500" w:lineRule="exact"/>
              <w:jc w:val="center"/>
              <w:rPr>
                <w:rFonts w:ascii="宋体" w:hAnsi="宋体" w:cs="宋体"/>
                <w:color w:val="auto"/>
                <w:sz w:val="24"/>
              </w:rPr>
            </w:pPr>
            <w:r>
              <w:rPr>
                <w:rFonts w:hint="eastAsia" w:ascii="宋体" w:hAnsi="宋体" w:cs="宋体"/>
                <w:color w:val="auto"/>
                <w:sz w:val="24"/>
              </w:rPr>
              <w:t>W=1/4×π×D</w:t>
            </w:r>
            <w:r>
              <w:rPr>
                <w:rFonts w:hint="eastAsia" w:ascii="宋体" w:hAnsi="宋体" w:cs="宋体"/>
                <w:color w:val="auto"/>
                <w:sz w:val="24"/>
                <w:vertAlign w:val="superscript"/>
              </w:rPr>
              <w:t>2</w:t>
            </w:r>
            <w:r>
              <w:rPr>
                <w:rFonts w:hint="eastAsia" w:ascii="宋体" w:hAnsi="宋体" w:cs="宋体"/>
                <w:color w:val="auto"/>
                <w:sz w:val="24"/>
              </w:rPr>
              <w:t>×h×P</w:t>
            </w:r>
          </w:p>
          <w:p>
            <w:pPr>
              <w:tabs>
                <w:tab w:val="left" w:pos="2064"/>
              </w:tabs>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rPr>
              <w:t>式中：W——产生的岩屑量，m</w:t>
            </w:r>
            <w:r>
              <w:rPr>
                <w:rFonts w:hint="eastAsia" w:ascii="宋体" w:hAnsi="宋体" w:cs="宋体"/>
                <w:color w:val="auto"/>
                <w:sz w:val="24"/>
                <w:vertAlign w:val="superscript"/>
              </w:rPr>
              <w:t>3</w:t>
            </w:r>
            <w:r>
              <w:rPr>
                <w:rFonts w:hint="eastAsia" w:ascii="宋体" w:hAnsi="宋体" w:cs="宋体"/>
                <w:color w:val="auto"/>
                <w:sz w:val="24"/>
              </w:rPr>
              <w:t>；</w:t>
            </w:r>
          </w:p>
          <w:p>
            <w:pPr>
              <w:tabs>
                <w:tab w:val="left" w:pos="2064"/>
              </w:tabs>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rPr>
              <w:t xml:space="preserve">      D——井眼平均井径，m；</w:t>
            </w:r>
          </w:p>
          <w:p>
            <w:pPr>
              <w:tabs>
                <w:tab w:val="left" w:pos="2064"/>
              </w:tabs>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rPr>
              <w:t xml:space="preserve">      h——裸眼长度，m；</w:t>
            </w:r>
          </w:p>
          <w:p>
            <w:pPr>
              <w:pStyle w:val="66"/>
              <w:ind w:left="210" w:leftChars="100" w:firstLine="240" w:firstLineChars="100"/>
              <w:rPr>
                <w:color w:val="auto"/>
              </w:rPr>
            </w:pPr>
            <w:r>
              <w:rPr>
                <w:rFonts w:hint="eastAsia"/>
                <w:color w:val="auto"/>
                <w:szCs w:val="28"/>
              </w:rPr>
              <w:t xml:space="preserve">      P——膨胀系数，</w:t>
            </w:r>
            <w:r>
              <w:rPr>
                <w:rFonts w:hint="eastAsia"/>
                <w:color w:val="auto"/>
              </w:rPr>
              <w:t>使用水基钻井液体系时取P=1.8，油基钻井液体系取P</w:t>
            </w:r>
            <w:r>
              <w:rPr>
                <w:color w:val="auto"/>
              </w:rPr>
              <w:t>=4</w:t>
            </w:r>
          </w:p>
          <w:p>
            <w:pPr>
              <w:pStyle w:val="66"/>
              <w:adjustRightInd w:val="0"/>
              <w:snapToGrid w:val="0"/>
              <w:ind w:firstLine="480"/>
              <w:rPr>
                <w:rFonts w:cs="Times New Roman"/>
                <w:color w:val="auto"/>
              </w:rPr>
            </w:pPr>
            <w:r>
              <w:rPr>
                <w:rFonts w:hint="eastAsia" w:cs="Times New Roman"/>
                <w:color w:val="auto"/>
              </w:rPr>
              <w:t>根据井身结构计算岩屑产生量，水基岩屑按体积计，油基岩屑按质量计（</w:t>
            </w:r>
            <w:r>
              <w:rPr>
                <w:rFonts w:hint="eastAsia"/>
                <w:color w:val="auto"/>
              </w:rPr>
              <w:t>ρ=2.5g/cm</w:t>
            </w:r>
            <w:r>
              <w:rPr>
                <w:rFonts w:hint="eastAsia"/>
                <w:color w:val="auto"/>
                <w:vertAlign w:val="superscript"/>
              </w:rPr>
              <w:t>3</w:t>
            </w:r>
            <w:r>
              <w:rPr>
                <w:rFonts w:hint="eastAsia" w:cs="Times New Roman"/>
                <w:color w:val="auto"/>
              </w:rPr>
              <w:t>）。各井岩屑产生量详见表</w:t>
            </w:r>
            <w:r>
              <w:rPr>
                <w:rFonts w:hint="eastAsia" w:cs="Times New Roman"/>
                <w:color w:val="auto"/>
                <w:lang w:val="en-US" w:eastAsia="zh-CN"/>
              </w:rPr>
              <w:t>4-4</w:t>
            </w:r>
            <w:r>
              <w:rPr>
                <w:rFonts w:cs="Times New Roman"/>
                <w:color w:val="auto"/>
              </w:rPr>
              <w:t>。</w:t>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bookmarkStart w:id="24" w:name="_Ref19642107"/>
            <w:r>
              <w:rPr>
                <w:rFonts w:hint="default" w:ascii="Times New Roman" w:hAnsi="Times New Roman" w:eastAsia="宋体" w:cs="Times New Roman"/>
                <w:b/>
                <w:bCs/>
                <w:color w:val="auto"/>
                <w:kern w:val="0"/>
                <w:sz w:val="21"/>
                <w:szCs w:val="21"/>
                <w:lang w:val="en-US" w:eastAsia="zh-CN" w:bidi="ar"/>
              </w:rPr>
              <w:t>表</w:t>
            </w:r>
            <w:bookmarkEnd w:id="24"/>
            <w:r>
              <w:rPr>
                <w:rFonts w:hint="eastAsia" w:ascii="Times New Roman" w:hAnsi="Times New Roman" w:eastAsia="宋体" w:cs="Times New Roman"/>
                <w:b/>
                <w:bCs/>
                <w:color w:val="auto"/>
                <w:kern w:val="0"/>
                <w:sz w:val="21"/>
                <w:szCs w:val="21"/>
                <w:lang w:val="en-US" w:eastAsia="zh-CN" w:bidi="ar"/>
              </w:rPr>
              <w:t>4-4</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单井钻井岩屑产生量一览表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28" w:type="dxa"/>
                <w:left w:w="57" w:type="dxa"/>
                <w:bottom w:w="28" w:type="dxa"/>
                <w:right w:w="57" w:type="dxa"/>
              </w:tblCellMar>
            </w:tblPr>
            <w:tblGrid>
              <w:gridCol w:w="1260"/>
              <w:gridCol w:w="1528"/>
              <w:gridCol w:w="1673"/>
              <w:gridCol w:w="1841"/>
              <w:gridCol w:w="18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33" w:hRule="atLeast"/>
                <w:jc w:val="center"/>
              </w:trPr>
              <w:tc>
                <w:tcPr>
                  <w:tcW w:w="773" w:type="pct"/>
                  <w:vAlign w:val="center"/>
                </w:tcPr>
                <w:p>
                  <w:pPr>
                    <w:pStyle w:val="62"/>
                    <w:rPr>
                      <w:color w:val="auto"/>
                    </w:rPr>
                  </w:pPr>
                  <w:r>
                    <w:rPr>
                      <w:rFonts w:hint="eastAsia"/>
                      <w:color w:val="auto"/>
                    </w:rPr>
                    <w:t>钻井液体系</w:t>
                  </w:r>
                </w:p>
              </w:tc>
              <w:tc>
                <w:tcPr>
                  <w:tcW w:w="938" w:type="pct"/>
                  <w:vAlign w:val="center"/>
                </w:tcPr>
                <w:p>
                  <w:pPr>
                    <w:pStyle w:val="62"/>
                    <w:rPr>
                      <w:color w:val="auto"/>
                    </w:rPr>
                  </w:pPr>
                  <w:r>
                    <w:rPr>
                      <w:rFonts w:hint="eastAsia"/>
                      <w:color w:val="auto"/>
                    </w:rPr>
                    <w:t>井段</w:t>
                  </w:r>
                </w:p>
              </w:tc>
              <w:tc>
                <w:tcPr>
                  <w:tcW w:w="1027" w:type="pct"/>
                  <w:vAlign w:val="center"/>
                </w:tcPr>
                <w:p>
                  <w:pPr>
                    <w:pStyle w:val="62"/>
                    <w:rPr>
                      <w:color w:val="auto"/>
                    </w:rPr>
                  </w:pPr>
                  <w:r>
                    <w:rPr>
                      <w:rFonts w:hint="eastAsia"/>
                      <w:color w:val="auto"/>
                    </w:rPr>
                    <w:t>体积（m</w:t>
                  </w:r>
                  <w:r>
                    <w:rPr>
                      <w:rFonts w:hint="eastAsia"/>
                      <w:color w:val="auto"/>
                      <w:vertAlign w:val="superscript"/>
                    </w:rPr>
                    <w:t>3</w:t>
                  </w:r>
                  <w:r>
                    <w:rPr>
                      <w:rFonts w:hint="eastAsia"/>
                      <w:color w:val="auto"/>
                    </w:rPr>
                    <w:t>）</w:t>
                  </w:r>
                </w:p>
              </w:tc>
              <w:tc>
                <w:tcPr>
                  <w:tcW w:w="1130" w:type="pct"/>
                  <w:vAlign w:val="center"/>
                </w:tcPr>
                <w:p>
                  <w:pPr>
                    <w:pStyle w:val="62"/>
                    <w:rPr>
                      <w:color w:val="auto"/>
                    </w:rPr>
                  </w:pPr>
                  <w:r>
                    <w:rPr>
                      <w:rFonts w:hint="eastAsia"/>
                      <w:color w:val="auto"/>
                    </w:rPr>
                    <w:t>质量（t）</w:t>
                  </w:r>
                </w:p>
              </w:tc>
              <w:tc>
                <w:tcPr>
                  <w:tcW w:w="1130" w:type="pct"/>
                  <w:vAlign w:val="center"/>
                </w:tcPr>
                <w:p>
                  <w:pPr>
                    <w:pStyle w:val="12"/>
                    <w:spacing w:before="0" w:after="0" w:line="300" w:lineRule="exact"/>
                    <w:ind w:right="0"/>
                    <w:jc w:val="center"/>
                    <w:rPr>
                      <w:rFonts w:ascii="宋体" w:hAnsi="宋体" w:cs="宋体"/>
                      <w:color w:val="auto"/>
                      <w:sz w:val="21"/>
                      <w:szCs w:val="21"/>
                    </w:rPr>
                  </w:pPr>
                  <w:r>
                    <w:rPr>
                      <w:rFonts w:hint="eastAsia" w:ascii="宋体" w:hAnsi="宋体" w:cs="宋体"/>
                      <w:color w:val="auto"/>
                      <w:sz w:val="21"/>
                      <w:szCs w:val="21"/>
                    </w:rPr>
                    <w:t>岩屑量</w:t>
                  </w:r>
                </w:p>
                <w:p>
                  <w:pPr>
                    <w:pStyle w:val="62"/>
                    <w:rPr>
                      <w:color w:val="auto"/>
                    </w:rPr>
                  </w:pPr>
                  <w:r>
                    <w:rPr>
                      <w:rFonts w:hint="eastAsia" w:cs="宋体"/>
                      <w:color w:val="auto"/>
                    </w:rPr>
                    <w:t>合计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0" w:hRule="atLeast"/>
                <w:jc w:val="center"/>
              </w:trPr>
              <w:tc>
                <w:tcPr>
                  <w:tcW w:w="773" w:type="pct"/>
                  <w:vAlign w:val="center"/>
                </w:tcPr>
                <w:p>
                  <w:pPr>
                    <w:pStyle w:val="62"/>
                    <w:rPr>
                      <w:color w:val="auto"/>
                    </w:rPr>
                  </w:pPr>
                  <w:r>
                    <w:rPr>
                      <w:rFonts w:hint="eastAsia"/>
                      <w:color w:val="auto"/>
                    </w:rPr>
                    <w:t>水基钻井液</w:t>
                  </w:r>
                </w:p>
              </w:tc>
              <w:tc>
                <w:tcPr>
                  <w:tcW w:w="938" w:type="pct"/>
                  <w:vAlign w:val="center"/>
                </w:tcPr>
                <w:p>
                  <w:pPr>
                    <w:pStyle w:val="62"/>
                    <w:rPr>
                      <w:color w:val="auto"/>
                    </w:rPr>
                  </w:pPr>
                  <w:r>
                    <w:rPr>
                      <w:rFonts w:hint="eastAsia"/>
                      <w:color w:val="auto"/>
                    </w:rPr>
                    <w:t>一开</w:t>
                  </w:r>
                </w:p>
              </w:tc>
              <w:tc>
                <w:tcPr>
                  <w:tcW w:w="1027" w:type="pct"/>
                  <w:tcBorders>
                    <w:top w:val="single" w:color="auto" w:sz="4" w:space="0"/>
                  </w:tcBorders>
                  <w:vAlign w:val="center"/>
                </w:tcPr>
                <w:p>
                  <w:pPr>
                    <w:pStyle w:val="62"/>
                    <w:rPr>
                      <w:rFonts w:hint="default" w:eastAsia="宋体"/>
                      <w:color w:val="auto"/>
                      <w:lang w:val="en-US" w:eastAsia="zh-CN"/>
                    </w:rPr>
                  </w:pPr>
                  <w:r>
                    <w:rPr>
                      <w:rFonts w:hint="eastAsia"/>
                      <w:color w:val="auto"/>
                      <w:lang w:val="en-US" w:eastAsia="zh-CN"/>
                    </w:rPr>
                    <w:t>109.33</w:t>
                  </w:r>
                </w:p>
              </w:tc>
              <w:tc>
                <w:tcPr>
                  <w:tcW w:w="1130" w:type="pct"/>
                  <w:vAlign w:val="center"/>
                </w:tcPr>
                <w:p>
                  <w:pPr>
                    <w:pStyle w:val="62"/>
                    <w:rPr>
                      <w:color w:val="auto"/>
                    </w:rPr>
                  </w:pPr>
                  <w:r>
                    <w:rPr>
                      <w:rFonts w:hint="eastAsia"/>
                      <w:color w:val="auto"/>
                    </w:rPr>
                    <w:t>/</w:t>
                  </w:r>
                </w:p>
              </w:tc>
              <w:tc>
                <w:tcPr>
                  <w:tcW w:w="1130" w:type="pct"/>
                  <w:vAlign w:val="center"/>
                </w:tcPr>
                <w:p>
                  <w:pPr>
                    <w:pStyle w:val="62"/>
                    <w:rPr>
                      <w:color w:val="auto"/>
                    </w:rPr>
                  </w:pPr>
                  <w:r>
                    <w:rPr>
                      <w:rFonts w:hint="eastAsia" w:cs="宋体"/>
                      <w:color w:val="auto"/>
                      <w:lang w:val="en-US" w:eastAsia="zh-CN"/>
                    </w:rPr>
                    <w:t>109.33</w:t>
                  </w:r>
                  <w:r>
                    <w:rPr>
                      <w:rFonts w:hint="eastAsia" w:cs="宋体"/>
                      <w:color w:val="auto"/>
                    </w:rPr>
                    <w:t>m</w:t>
                  </w:r>
                  <w:r>
                    <w:rPr>
                      <w:rFonts w:hint="eastAsia" w:cs="宋体"/>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Align w:val="center"/>
                </w:tcPr>
                <w:p>
                  <w:pPr>
                    <w:pStyle w:val="62"/>
                    <w:rPr>
                      <w:color w:val="auto"/>
                    </w:rPr>
                  </w:pPr>
                  <w:r>
                    <w:rPr>
                      <w:rFonts w:hint="eastAsia"/>
                      <w:color w:val="auto"/>
                    </w:rPr>
                    <w:t>油基钻井液</w:t>
                  </w:r>
                </w:p>
              </w:tc>
              <w:tc>
                <w:tcPr>
                  <w:tcW w:w="938" w:type="pct"/>
                  <w:vAlign w:val="center"/>
                </w:tcPr>
                <w:p>
                  <w:pPr>
                    <w:pStyle w:val="62"/>
                    <w:rPr>
                      <w:color w:val="auto"/>
                    </w:rPr>
                  </w:pPr>
                  <w:r>
                    <w:rPr>
                      <w:rFonts w:hint="eastAsia"/>
                      <w:color w:val="auto"/>
                    </w:rPr>
                    <w:t>二开</w:t>
                  </w:r>
                </w:p>
              </w:tc>
              <w:tc>
                <w:tcPr>
                  <w:tcW w:w="1027" w:type="pct"/>
                  <w:tcBorders>
                    <w:top w:val="single" w:color="auto" w:sz="4" w:space="0"/>
                  </w:tcBorders>
                  <w:vAlign w:val="center"/>
                </w:tcPr>
                <w:p>
                  <w:pPr>
                    <w:pStyle w:val="62"/>
                    <w:rPr>
                      <w:color w:val="auto"/>
                    </w:rPr>
                  </w:pPr>
                  <w:r>
                    <w:rPr>
                      <w:color w:val="auto"/>
                    </w:rPr>
                    <w:t>/</w:t>
                  </w:r>
                </w:p>
              </w:tc>
              <w:tc>
                <w:tcPr>
                  <w:tcW w:w="1130" w:type="pct"/>
                  <w:vAlign w:val="center"/>
                </w:tcPr>
                <w:p>
                  <w:pPr>
                    <w:pStyle w:val="62"/>
                    <w:rPr>
                      <w:color w:val="auto"/>
                    </w:rPr>
                  </w:pPr>
                </w:p>
              </w:tc>
              <w:tc>
                <w:tcPr>
                  <w:tcW w:w="1130" w:type="pct"/>
                  <w:vAlign w:val="center"/>
                </w:tcPr>
                <w:p>
                  <w:pPr>
                    <w:pStyle w:val="62"/>
                    <w:rPr>
                      <w:color w:val="auto"/>
                    </w:rPr>
                  </w:pPr>
                  <w:r>
                    <w:rPr>
                      <w:rFonts w:hint="eastAsia" w:cs="宋体"/>
                      <w:color w:val="auto"/>
                      <w:lang w:val="en-US" w:eastAsia="zh-CN"/>
                    </w:rPr>
                    <w:t>1538.25</w:t>
                  </w:r>
                  <w:r>
                    <w:rPr>
                      <w:rFonts w:hint="eastAsia" w:cs="宋体"/>
                      <w:color w:val="auto"/>
                    </w:rPr>
                    <w:t>t</w:t>
                  </w:r>
                </w:p>
              </w:tc>
            </w:tr>
          </w:tbl>
          <w:p>
            <w:pPr>
              <w:pStyle w:val="59"/>
              <w:wordWrap w:val="0"/>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单井</w:t>
            </w:r>
            <w:r>
              <w:rPr>
                <w:rFonts w:hint="default" w:ascii="Times New Roman" w:hAnsi="Times New Roman" w:cs="Times New Roman"/>
                <w:color w:val="auto"/>
              </w:rPr>
              <w:t>产生的水基钻井岩屑1</w:t>
            </w:r>
            <w:r>
              <w:rPr>
                <w:rFonts w:hint="default" w:ascii="Times New Roman" w:hAnsi="Times New Roman" w:cs="Times New Roman"/>
                <w:color w:val="auto"/>
                <w:lang w:val="en-US" w:eastAsia="zh-CN"/>
              </w:rPr>
              <w:t>09.33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，油基钻井岩屑</w:t>
            </w:r>
            <w:r>
              <w:rPr>
                <w:rFonts w:hint="eastAsia" w:ascii="Times New Roman" w:hAnsi="Times New Roman" w:cs="Times New Roman"/>
                <w:color w:val="auto"/>
                <w:lang w:val="en-US" w:eastAsia="zh-CN"/>
              </w:rPr>
              <w:t>1538.25</w:t>
            </w:r>
            <w:r>
              <w:rPr>
                <w:rFonts w:hint="default" w:ascii="Times New Roman" w:hAnsi="Times New Roman" w:cs="Times New Roman"/>
                <w:color w:val="auto"/>
              </w:rPr>
              <w:t>t。</w:t>
            </w:r>
            <w:r>
              <w:rPr>
                <w:rFonts w:hint="default" w:ascii="Times New Roman" w:hAnsi="Times New Roman" w:cs="Times New Roman"/>
                <w:color w:val="auto"/>
                <w:lang w:val="en-US" w:eastAsia="zh-CN"/>
              </w:rPr>
              <w:t>石钱302平台5口井</w:t>
            </w:r>
            <w:r>
              <w:rPr>
                <w:rFonts w:hint="default" w:ascii="Times New Roman" w:hAnsi="Times New Roman" w:cs="Times New Roman"/>
                <w:color w:val="auto"/>
              </w:rPr>
              <w:t>产生的水基钻井岩屑</w:t>
            </w:r>
            <w:r>
              <w:rPr>
                <w:rFonts w:hint="default" w:ascii="Times New Roman" w:hAnsi="Times New Roman" w:cs="Times New Roman"/>
                <w:color w:val="auto"/>
                <w:lang w:val="en-US" w:eastAsia="zh-CN"/>
              </w:rPr>
              <w:t>共计546.65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，油基钻井岩屑</w:t>
            </w:r>
            <w:r>
              <w:rPr>
                <w:rFonts w:hint="default" w:ascii="Times New Roman" w:hAnsi="Times New Roman" w:cs="Times New Roman"/>
                <w:color w:val="auto"/>
                <w:lang w:val="en-US" w:eastAsia="zh-CN"/>
              </w:rPr>
              <w:t>共计</w:t>
            </w:r>
            <w:r>
              <w:rPr>
                <w:rFonts w:hint="eastAsia" w:ascii="Times New Roman" w:hAnsi="Times New Roman" w:cs="Times New Roman"/>
                <w:color w:val="auto"/>
                <w:lang w:val="en-US" w:eastAsia="zh-CN"/>
              </w:rPr>
              <w:t>7691.25</w:t>
            </w:r>
            <w:r>
              <w:rPr>
                <w:rFonts w:hint="default" w:ascii="Times New Roman" w:hAnsi="Times New Roman" w:cs="Times New Roman"/>
                <w:color w:val="auto"/>
              </w:rPr>
              <w:t>t。钻井液不落地设备分离出的水基钻井岩屑进岩屑专用方罐，方罐装满后由岩屑处置单位直接拉走进行处理，满足《油气田钻井固体废弃物综合利用污染物控制要求》（DB65/T3997-2017）相关要求后进行综合利用；油基钻井岩屑属于危险废物</w:t>
            </w:r>
            <w:bookmarkStart w:id="25" w:name="_Hlk105514494"/>
            <w:r>
              <w:rPr>
                <w:rFonts w:hint="default" w:ascii="Times New Roman" w:hAnsi="Times New Roman" w:cs="Times New Roman"/>
                <w:color w:val="auto"/>
              </w:rPr>
              <w:t>（危废代码：071-002-08）</w:t>
            </w:r>
            <w:bookmarkEnd w:id="25"/>
            <w:r>
              <w:rPr>
                <w:rFonts w:hint="default" w:ascii="Times New Roman" w:hAnsi="Times New Roman" w:cs="Times New Roman"/>
                <w:color w:val="auto"/>
              </w:rPr>
              <w:t>，具有毒性以及易燃性，进入岩屑专用方罐暂存，由具有相应危险废物处置资质的单位负责接收、转运和处置。</w:t>
            </w:r>
          </w:p>
          <w:p>
            <w:pPr>
              <w:pStyle w:val="59"/>
              <w:wordWrap w:val="0"/>
              <w:spacing w:line="360" w:lineRule="auto"/>
              <w:ind w:firstLine="480"/>
              <w:rPr>
                <w:color w:val="auto"/>
              </w:rPr>
            </w:pPr>
            <w:r>
              <w:rPr>
                <w:rFonts w:hint="eastAsia"/>
                <w:color w:val="auto"/>
              </w:rPr>
              <w:t>（2）生活垃圾</w:t>
            </w:r>
          </w:p>
          <w:p>
            <w:pPr>
              <w:pStyle w:val="59"/>
              <w:wordWrap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施工期生活垃圾产生量按0.8kg/人·d计算，则施工期间生活垃圾产生量约</w:t>
            </w:r>
            <w:r>
              <w:rPr>
                <w:rFonts w:hint="eastAsia" w:ascii="Times New Roman" w:hAnsi="Times New Roman" w:cs="Times New Roman"/>
                <w:color w:val="auto"/>
                <w:lang w:val="en-US" w:eastAsia="zh-CN"/>
              </w:rPr>
              <w:t>8.40</w:t>
            </w:r>
            <w:r>
              <w:rPr>
                <w:rFonts w:hint="default" w:ascii="Times New Roman" w:hAnsi="Times New Roman" w:cs="Times New Roman"/>
                <w:color w:val="auto"/>
              </w:rPr>
              <w:t>t，生活垃圾由垃圾箱收集，待施工结束后拉运至</w:t>
            </w:r>
            <w:r>
              <w:rPr>
                <w:rFonts w:hint="eastAsia" w:ascii="Times New Roman" w:hAnsi="Times New Roman" w:cs="Times New Roman"/>
                <w:color w:val="auto"/>
                <w:lang w:val="en-US" w:eastAsia="zh-CN"/>
              </w:rPr>
              <w:t>奇台</w:t>
            </w:r>
            <w:r>
              <w:rPr>
                <w:rFonts w:hint="default" w:ascii="Times New Roman" w:hAnsi="Times New Roman" w:cs="Times New Roman"/>
                <w:color w:val="auto"/>
              </w:rPr>
              <w:t>县生活垃圾填埋场进行处理。</w:t>
            </w:r>
          </w:p>
          <w:p>
            <w:pPr>
              <w:pStyle w:val="59"/>
              <w:wordWrap w:val="0"/>
              <w:spacing w:line="360" w:lineRule="auto"/>
              <w:ind w:firstLine="480"/>
              <w:rPr>
                <w:color w:val="auto"/>
              </w:rPr>
            </w:pPr>
            <w:r>
              <w:rPr>
                <w:rFonts w:hint="eastAsia"/>
                <w:color w:val="auto"/>
              </w:rPr>
              <w:t>（3）废防渗材料</w:t>
            </w:r>
          </w:p>
          <w:p>
            <w:pPr>
              <w:pStyle w:val="59"/>
              <w:wordWrap w:val="0"/>
              <w:spacing w:line="360" w:lineRule="auto"/>
              <w:ind w:firstLine="480"/>
              <w:rPr>
                <w:color w:val="auto"/>
              </w:rPr>
            </w:pPr>
            <w:r>
              <w:rPr>
                <w:rFonts w:hint="eastAsia"/>
                <w:color w:val="auto"/>
              </w:rPr>
              <w:t>施工结束对场地进行清理时，会产生在防渗区域铺设的废防渗材料，拆除的未破损且未沾油防渗材料由施工单位集中回收利用，沾油的废防渗材料</w:t>
            </w:r>
            <w:r>
              <w:rPr>
                <w:rFonts w:hint="default" w:ascii="Times New Roman" w:hAnsi="Times New Roman" w:cs="Times New Roman"/>
                <w:color w:val="auto"/>
              </w:rPr>
              <w:t>属于《国家危险废物名录》（2021年版）中的HW08废矿物油与含矿物油类危险废物（废物代码为900-249-08，危险特性为毒性和易燃性），施工结束后委托具有相应危险废物处置资质的单位进行处置。</w:t>
            </w:r>
          </w:p>
          <w:p>
            <w:pPr>
              <w:pStyle w:val="59"/>
              <w:wordWrap w:val="0"/>
              <w:spacing w:line="360" w:lineRule="auto"/>
              <w:ind w:firstLine="480"/>
              <w:rPr>
                <w:color w:val="auto"/>
              </w:rPr>
            </w:pPr>
            <w:r>
              <w:rPr>
                <w:rFonts w:hint="eastAsia"/>
                <w:color w:val="auto"/>
              </w:rPr>
              <w:t>综上所述，本项目产生的各类固体废物均可得到妥善处置，不会对周围环境造成不良影响。</w:t>
            </w:r>
          </w:p>
          <w:p>
            <w:pPr>
              <w:pStyle w:val="59"/>
              <w:wordWrap w:val="0"/>
              <w:ind w:left="0" w:leftChars="0" w:firstLine="482" w:firstLineChars="200"/>
              <w:rPr>
                <w:rFonts w:cs="宋体"/>
                <w:b/>
                <w:bCs/>
                <w:color w:val="auto"/>
                <w:szCs w:val="21"/>
              </w:rPr>
            </w:pPr>
            <w:r>
              <w:rPr>
                <w:rFonts w:hint="eastAsia" w:cs="宋体"/>
                <w:b/>
                <w:bCs/>
                <w:color w:val="auto"/>
                <w:szCs w:val="21"/>
                <w:lang w:val="en-US" w:eastAsia="zh-CN"/>
              </w:rPr>
              <w:t>6</w:t>
            </w:r>
            <w:r>
              <w:rPr>
                <w:rFonts w:hint="eastAsia" w:cs="宋体"/>
                <w:b/>
                <w:bCs/>
                <w:color w:val="auto"/>
                <w:szCs w:val="21"/>
              </w:rPr>
              <w:t>、环境风险影响分析</w:t>
            </w:r>
          </w:p>
          <w:p>
            <w:pPr>
              <w:pStyle w:val="59"/>
              <w:wordWrap w:val="0"/>
              <w:ind w:firstLine="480"/>
              <w:rPr>
                <w:rFonts w:cs="宋体"/>
                <w:color w:val="auto"/>
                <w:szCs w:val="21"/>
              </w:rPr>
            </w:pPr>
            <w:r>
              <w:rPr>
                <w:rFonts w:hint="eastAsia" w:cs="宋体"/>
                <w:color w:val="auto"/>
                <w:szCs w:val="21"/>
              </w:rPr>
              <w:t>（1）评价依据</w:t>
            </w:r>
          </w:p>
          <w:p>
            <w:pPr>
              <w:pStyle w:val="12"/>
              <w:spacing w:before="0" w:after="0" w:line="500" w:lineRule="exact"/>
              <w:ind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 w:val="24"/>
                <w:szCs w:val="24"/>
              </w:rPr>
              <w:t>钻井期涉及的危险物质主要为柴油；试油期涉及的危险物质主要为原油、柴油和伴生气（主要成分为天然气）。油类物质（矿物油类、生物柴油等）临界量为2500t，甲烷（天然气主要成分）临界量为10t。</w:t>
            </w:r>
          </w:p>
          <w:p>
            <w:pPr>
              <w:pStyle w:val="12"/>
              <w:spacing w:before="0" w:after="0" w:line="500" w:lineRule="exact"/>
              <w:ind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 w:val="24"/>
                <w:szCs w:val="24"/>
              </w:rPr>
              <w:t>钻井期柴油在井场的日常最大储量为20t，则钻井期油类物质的危险物质数量与临界量比值Q=0.008＜1。</w:t>
            </w:r>
          </w:p>
          <w:p>
            <w:pPr>
              <w:pStyle w:val="59"/>
              <w:ind w:firstLine="480"/>
              <w:rPr>
                <w:rFonts w:hint="default" w:ascii="Times New Roman" w:hAnsi="Times New Roman" w:cs="Times New Roman"/>
                <w:color w:val="auto"/>
                <w:szCs w:val="21"/>
              </w:rPr>
            </w:pPr>
            <w:r>
              <w:rPr>
                <w:rFonts w:hint="default" w:ascii="Times New Roman" w:hAnsi="Times New Roman" w:cs="Times New Roman"/>
                <w:color w:val="auto"/>
              </w:rPr>
              <w:t>试油期伴生气产生量少且不稳定，其最大存在总量远低于临界量；柴油在井场的日常储量为20t；试油期井场设置</w:t>
            </w:r>
            <w:r>
              <w:rPr>
                <w:rFonts w:hint="eastAsia" w:ascii="Times New Roman" w:hAnsi="Times New Roman" w:cs="Times New Roman"/>
                <w:color w:val="auto"/>
                <w:lang w:val="en-US" w:eastAsia="zh-CN"/>
              </w:rPr>
              <w:t>储油</w:t>
            </w:r>
            <w:r>
              <w:rPr>
                <w:rFonts w:hint="default" w:ascii="Times New Roman" w:hAnsi="Times New Roman" w:cs="Times New Roman"/>
                <w:color w:val="auto"/>
              </w:rPr>
              <w:t>罐</w:t>
            </w:r>
            <w:r>
              <w:rPr>
                <w:rFonts w:hint="eastAsia" w:ascii="Times New Roman" w:hAnsi="Times New Roman" w:cs="Times New Roman"/>
                <w:color w:val="auto"/>
                <w:lang w:val="en-US" w:eastAsia="zh-CN"/>
              </w:rPr>
              <w:t>1</w:t>
            </w:r>
            <w:r>
              <w:rPr>
                <w:rFonts w:hint="default" w:ascii="Times New Roman" w:hAnsi="Times New Roman" w:cs="Times New Roman"/>
                <w:color w:val="auto"/>
              </w:rPr>
              <w:t>个，</w:t>
            </w:r>
            <w:r>
              <w:rPr>
                <w:rFonts w:hint="eastAsia" w:ascii="Times New Roman" w:hAnsi="Times New Roman" w:cs="Times New Roman"/>
                <w:color w:val="auto"/>
                <w:lang w:val="en-US" w:eastAsia="zh-CN"/>
              </w:rPr>
              <w:t>油</w:t>
            </w:r>
            <w:r>
              <w:rPr>
                <w:rFonts w:hint="default" w:ascii="Times New Roman" w:hAnsi="Times New Roman" w:cs="Times New Roman"/>
                <w:color w:val="auto"/>
              </w:rPr>
              <w:t>罐容积为</w:t>
            </w:r>
            <w:r>
              <w:rPr>
                <w:rFonts w:hint="eastAsia" w:ascii="Times New Roman" w:hAnsi="Times New Roman" w:cs="Times New Roman"/>
                <w:color w:val="auto"/>
                <w:lang w:val="en-US" w:eastAsia="zh-CN"/>
              </w:rPr>
              <w:t>6</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，原油平均密度为0.87g/cm</w:t>
            </w:r>
            <w:r>
              <w:rPr>
                <w:rFonts w:hint="default" w:ascii="Times New Roman" w:hAnsi="Times New Roman" w:cs="Times New Roman"/>
                <w:color w:val="auto"/>
                <w:vertAlign w:val="superscript"/>
              </w:rPr>
              <w:t>3</w:t>
            </w:r>
            <w:r>
              <w:rPr>
                <w:rFonts w:hint="default" w:ascii="Times New Roman" w:hAnsi="Times New Roman" w:cs="Times New Roman"/>
                <w:color w:val="auto"/>
              </w:rPr>
              <w:t>，则采出液中原油最大储存量约</w:t>
            </w:r>
            <w:r>
              <w:rPr>
                <w:rFonts w:hint="eastAsia" w:ascii="Times New Roman" w:hAnsi="Times New Roman" w:cs="Times New Roman"/>
                <w:color w:val="auto"/>
                <w:lang w:val="en-US" w:eastAsia="zh-CN"/>
              </w:rPr>
              <w:t>52.2</w:t>
            </w:r>
            <w:r>
              <w:rPr>
                <w:rFonts w:hint="default" w:ascii="Times New Roman" w:hAnsi="Times New Roman" w:cs="Times New Roman"/>
                <w:color w:val="auto"/>
              </w:rPr>
              <w:t>t，则试油期油类物质的危险物质数量与临界量比值Q=0.0358＜1，</w:t>
            </w:r>
            <w:r>
              <w:rPr>
                <w:rFonts w:hint="default" w:ascii="Times New Roman" w:hAnsi="Times New Roman" w:cs="Times New Roman"/>
                <w:color w:val="auto"/>
                <w:szCs w:val="21"/>
              </w:rPr>
              <w:t>风险潜势为Ⅰ。评价等级为简单分析。</w:t>
            </w:r>
          </w:p>
          <w:p>
            <w:pPr>
              <w:pStyle w:val="59"/>
              <w:wordWrap w:val="0"/>
              <w:spacing w:line="360" w:lineRule="auto"/>
              <w:ind w:firstLine="480"/>
              <w:rPr>
                <w:rFonts w:cs="宋体"/>
                <w:color w:val="auto"/>
                <w:szCs w:val="21"/>
              </w:rPr>
            </w:pPr>
            <w:r>
              <w:rPr>
                <w:rFonts w:hint="eastAsia" w:cs="宋体"/>
                <w:color w:val="auto"/>
                <w:szCs w:val="21"/>
              </w:rPr>
              <w:t>（</w:t>
            </w:r>
            <w:r>
              <w:rPr>
                <w:rFonts w:cs="宋体"/>
                <w:color w:val="auto"/>
                <w:szCs w:val="21"/>
              </w:rPr>
              <w:t>2</w:t>
            </w:r>
            <w:r>
              <w:rPr>
                <w:rFonts w:hint="eastAsia" w:cs="宋体"/>
                <w:color w:val="auto"/>
                <w:szCs w:val="21"/>
              </w:rPr>
              <w:t>）环境敏感目标概况</w:t>
            </w:r>
          </w:p>
          <w:p>
            <w:pPr>
              <w:pStyle w:val="59"/>
              <w:wordWrap w:val="0"/>
              <w:spacing w:line="360" w:lineRule="auto"/>
              <w:ind w:firstLine="480"/>
              <w:rPr>
                <w:rFonts w:cs="宋体"/>
                <w:color w:val="auto"/>
                <w:szCs w:val="21"/>
              </w:rPr>
            </w:pPr>
            <w:r>
              <w:rPr>
                <w:rFonts w:hint="eastAsia" w:cs="宋体"/>
                <w:color w:val="auto"/>
              </w:rPr>
              <w:t>项目区无环境风险敏感目标</w:t>
            </w:r>
            <w:r>
              <w:rPr>
                <w:rFonts w:hint="eastAsia" w:cs="宋体"/>
                <w:color w:val="auto"/>
                <w:szCs w:val="21"/>
              </w:rPr>
              <w:t>，不设风险评价范围</w:t>
            </w:r>
            <w:r>
              <w:rPr>
                <w:rFonts w:hint="eastAsia" w:cs="宋体"/>
                <w:color w:val="auto"/>
              </w:rPr>
              <w:t>。</w:t>
            </w:r>
          </w:p>
          <w:p>
            <w:pPr>
              <w:pStyle w:val="59"/>
              <w:wordWrap w:val="0"/>
              <w:spacing w:line="360" w:lineRule="auto"/>
              <w:ind w:firstLine="480"/>
              <w:rPr>
                <w:rFonts w:cs="宋体"/>
                <w:color w:val="auto"/>
                <w:szCs w:val="21"/>
              </w:rPr>
            </w:pPr>
            <w:r>
              <w:rPr>
                <w:rFonts w:hint="eastAsia" w:cs="宋体"/>
                <w:color w:val="auto"/>
                <w:szCs w:val="21"/>
              </w:rPr>
              <w:t>（</w:t>
            </w:r>
            <w:r>
              <w:rPr>
                <w:rFonts w:cs="宋体"/>
                <w:color w:val="auto"/>
                <w:szCs w:val="21"/>
              </w:rPr>
              <w:t>3</w:t>
            </w:r>
            <w:r>
              <w:rPr>
                <w:rFonts w:hint="eastAsia" w:cs="宋体"/>
                <w:color w:val="auto"/>
                <w:szCs w:val="21"/>
              </w:rPr>
              <w:t>）环境风险识别</w:t>
            </w:r>
          </w:p>
          <w:p>
            <w:pPr>
              <w:pStyle w:val="66"/>
              <w:wordWrap w:val="0"/>
              <w:adjustRightInd w:val="0"/>
              <w:snapToGrid w:val="0"/>
              <w:spacing w:line="360" w:lineRule="auto"/>
              <w:ind w:firstLine="480"/>
              <w:rPr>
                <w:bCs/>
                <w:color w:val="auto"/>
              </w:rPr>
            </w:pPr>
            <w:r>
              <w:rPr>
                <w:rFonts w:hint="eastAsia"/>
                <w:bCs/>
                <w:color w:val="auto"/>
              </w:rPr>
              <w:t>①风险物质识别</w:t>
            </w:r>
          </w:p>
          <w:p>
            <w:pPr>
              <w:pStyle w:val="59"/>
              <w:wordWrap w:val="0"/>
              <w:spacing w:line="360" w:lineRule="auto"/>
              <w:ind w:firstLine="480"/>
              <w:rPr>
                <w:rFonts w:cs="宋体"/>
                <w:color w:val="auto"/>
                <w:szCs w:val="21"/>
                <w:lang w:bidi="zh-CN"/>
              </w:rPr>
            </w:pPr>
            <w:r>
              <w:rPr>
                <w:rFonts w:cs="宋体"/>
                <w:color w:val="auto"/>
                <w:szCs w:val="21"/>
                <w:lang w:bidi="zh-CN"/>
              </w:rPr>
              <w:t>本</w:t>
            </w:r>
            <w:r>
              <w:rPr>
                <w:rFonts w:hint="eastAsia" w:cs="宋体"/>
                <w:color w:val="auto"/>
                <w:szCs w:val="21"/>
                <w:lang w:val="en-US" w:bidi="zh-CN"/>
              </w:rPr>
              <w:t>工程</w:t>
            </w:r>
            <w:r>
              <w:rPr>
                <w:rFonts w:cs="宋体"/>
                <w:color w:val="auto"/>
                <w:szCs w:val="21"/>
                <w:lang w:bidi="zh-CN"/>
              </w:rPr>
              <w:t>涉及的环境风险物质主要为</w:t>
            </w:r>
            <w:r>
              <w:rPr>
                <w:rFonts w:hint="eastAsia" w:cs="宋体"/>
                <w:color w:val="auto"/>
                <w:szCs w:val="21"/>
                <w:lang w:bidi="zh-CN"/>
              </w:rPr>
              <w:t>柴油、</w:t>
            </w:r>
            <w:r>
              <w:rPr>
                <w:rFonts w:cs="宋体"/>
                <w:color w:val="auto"/>
                <w:szCs w:val="21"/>
                <w:lang w:bidi="zh-CN"/>
              </w:rPr>
              <w:t>原油</w:t>
            </w:r>
            <w:r>
              <w:rPr>
                <w:rFonts w:hint="eastAsia" w:cs="宋体"/>
                <w:color w:val="auto"/>
                <w:szCs w:val="21"/>
                <w:lang w:bidi="zh-CN"/>
              </w:rPr>
              <w:t>以及伴生</w:t>
            </w:r>
            <w:r>
              <w:rPr>
                <w:rFonts w:cs="宋体"/>
                <w:color w:val="auto"/>
                <w:szCs w:val="21"/>
                <w:lang w:bidi="zh-CN"/>
              </w:rPr>
              <w:t>气。其主要物化、毒理性质、危险等级划分见表</w:t>
            </w:r>
            <w:r>
              <w:rPr>
                <w:rFonts w:hint="eastAsia" w:cs="宋体"/>
                <w:color w:val="auto"/>
                <w:szCs w:val="21"/>
                <w:lang w:val="en-US" w:bidi="zh-CN"/>
              </w:rPr>
              <w:t>4-5</w:t>
            </w:r>
            <w:r>
              <w:rPr>
                <w:rFonts w:cs="宋体"/>
                <w:color w:val="auto"/>
                <w:szCs w:val="21"/>
                <w:lang w:bidi="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表4-5</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zh-CN" w:eastAsia="zh-CN" w:bidi="ar"/>
              </w:rPr>
              <w:t>危险物质</w:t>
            </w:r>
            <w:r>
              <w:rPr>
                <w:rFonts w:hint="default" w:ascii="Times New Roman" w:hAnsi="Times New Roman" w:eastAsia="宋体" w:cs="Times New Roman"/>
                <w:b/>
                <w:bCs/>
                <w:color w:val="auto"/>
                <w:kern w:val="0"/>
                <w:sz w:val="21"/>
                <w:szCs w:val="21"/>
                <w:lang w:val="zh-CN" w:eastAsia="zh-CN" w:bidi="ar"/>
              </w:rPr>
              <w:t>理化性质及危险级别分类情况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40"/>
              <w:gridCol w:w="357"/>
              <w:gridCol w:w="1147"/>
              <w:gridCol w:w="3102"/>
              <w:gridCol w:w="2472"/>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 w:hRule="atLeast"/>
                <w:jc w:val="center"/>
              </w:trPr>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序号</w:t>
                  </w:r>
                </w:p>
              </w:tc>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名称</w:t>
                  </w:r>
                </w:p>
              </w:tc>
              <w:tc>
                <w:tcPr>
                  <w:tcW w:w="704"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组分</w:t>
                  </w:r>
                </w:p>
              </w:tc>
              <w:tc>
                <w:tcPr>
                  <w:tcW w:w="1904"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危险性</w:t>
                  </w:r>
                </w:p>
              </w:tc>
              <w:tc>
                <w:tcPr>
                  <w:tcW w:w="1517"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燃烧爆炸特性参数</w:t>
                  </w:r>
                </w:p>
              </w:tc>
              <w:tc>
                <w:tcPr>
                  <w:tcW w:w="447"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1</w:t>
                  </w:r>
                </w:p>
              </w:tc>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原油</w:t>
                  </w:r>
                </w:p>
              </w:tc>
              <w:tc>
                <w:tcPr>
                  <w:tcW w:w="704" w:type="pct"/>
                  <w:vAlign w:val="center"/>
                </w:tcPr>
                <w:p>
                  <w:pPr>
                    <w:pStyle w:val="59"/>
                    <w:wordWrap w:val="0"/>
                    <w:spacing w:line="280" w:lineRule="exact"/>
                    <w:ind w:firstLine="0" w:firstLineChars="0"/>
                    <w:jc w:val="center"/>
                    <w:rPr>
                      <w:rFonts w:cs="宋体"/>
                      <w:color w:val="auto"/>
                      <w:sz w:val="21"/>
                      <w:szCs w:val="21"/>
                    </w:rPr>
                  </w:pPr>
                  <w:r>
                    <w:rPr>
                      <w:rFonts w:cs="宋体"/>
                      <w:color w:val="auto"/>
                      <w:sz w:val="21"/>
                      <w:szCs w:val="21"/>
                      <w:lang w:bidi="zh-CN"/>
                    </w:rPr>
                    <w:t>各种烃类和非烃类化合物所组成的复杂混合物</w:t>
                  </w:r>
                </w:p>
              </w:tc>
              <w:tc>
                <w:tcPr>
                  <w:tcW w:w="1904" w:type="pct"/>
                  <w:vAlign w:val="center"/>
                </w:tcPr>
                <w:p>
                  <w:pPr>
                    <w:pStyle w:val="59"/>
                    <w:spacing w:line="280" w:lineRule="exact"/>
                    <w:ind w:firstLine="0" w:firstLineChars="0"/>
                    <w:rPr>
                      <w:rFonts w:cs="宋体"/>
                      <w:color w:val="auto"/>
                      <w:sz w:val="21"/>
                      <w:szCs w:val="21"/>
                    </w:rPr>
                  </w:pPr>
                  <w:r>
                    <w:rPr>
                      <w:rFonts w:hint="eastAsia" w:cs="宋体"/>
                      <w:color w:val="auto"/>
                      <w:sz w:val="21"/>
                      <w:szCs w:val="21"/>
                    </w:rPr>
                    <w:t>原油本身无明显毒性。遇热分解出有毒烟雾，人体大量吸入可引起危害：有刺激和麻痹作用，急性中毒者有上呼吸道刺激症状。</w:t>
                  </w:r>
                </w:p>
              </w:tc>
              <w:tc>
                <w:tcPr>
                  <w:tcW w:w="1517" w:type="pct"/>
                  <w:vAlign w:val="center"/>
                </w:tcPr>
                <w:p>
                  <w:pPr>
                    <w:wordWrap w:val="0"/>
                    <w:spacing w:line="280" w:lineRule="exact"/>
                    <w:jc w:val="center"/>
                    <w:rPr>
                      <w:rFonts w:ascii="宋体" w:hAnsi="宋体"/>
                      <w:color w:val="auto"/>
                    </w:rPr>
                  </w:pPr>
                  <w:r>
                    <w:rPr>
                      <w:rFonts w:hint="eastAsia" w:ascii="宋体" w:hAnsi="宋体"/>
                      <w:color w:val="auto"/>
                      <w:szCs w:val="21"/>
                    </w:rPr>
                    <w:t>热值：41870</w:t>
                  </w:r>
                  <w:r>
                    <w:rPr>
                      <w:rFonts w:ascii="宋体" w:hAnsi="宋体"/>
                      <w:color w:val="auto"/>
                      <w:szCs w:val="21"/>
                    </w:rPr>
                    <w:t>k</w:t>
                  </w:r>
                  <w:r>
                    <w:rPr>
                      <w:rFonts w:hint="eastAsia" w:ascii="宋体" w:hAnsi="宋体"/>
                      <w:color w:val="auto"/>
                      <w:szCs w:val="21"/>
                    </w:rPr>
                    <w:t>J/kg；沸点：300～325℃；闪点：23.5℃；爆炸极限：1.1～6.4%（v）；</w:t>
                  </w:r>
                  <w:r>
                    <w:rPr>
                      <w:rFonts w:hint="eastAsia" w:ascii="宋体" w:hAnsi="宋体"/>
                      <w:color w:val="auto"/>
                    </w:rPr>
                    <w:t>自然燃点：380～530℃</w:t>
                  </w:r>
                </w:p>
              </w:tc>
              <w:tc>
                <w:tcPr>
                  <w:tcW w:w="447" w:type="pct"/>
                  <w:vAlign w:val="center"/>
                </w:tcPr>
                <w:p>
                  <w:pPr>
                    <w:pStyle w:val="59"/>
                    <w:wordWrap w:val="0"/>
                    <w:spacing w:line="280" w:lineRule="exact"/>
                    <w:ind w:firstLine="0" w:firstLineChars="0"/>
                    <w:jc w:val="center"/>
                    <w:rPr>
                      <w:rFonts w:cs="宋体"/>
                      <w:color w:val="auto"/>
                      <w:sz w:val="21"/>
                      <w:szCs w:val="21"/>
                    </w:rPr>
                  </w:pPr>
                  <w:r>
                    <w:rPr>
                      <w:rFonts w:cs="宋体"/>
                      <w:color w:val="auto"/>
                      <w:sz w:val="21"/>
                      <w:szCs w:val="21"/>
                      <w:lang w:bidi="zh-CN"/>
                    </w:rPr>
                    <w:t>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2</w:t>
                  </w:r>
                </w:p>
              </w:tc>
              <w:tc>
                <w:tcPr>
                  <w:tcW w:w="0" w:type="auto"/>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伴生气</w:t>
                  </w:r>
                </w:p>
              </w:tc>
              <w:tc>
                <w:tcPr>
                  <w:tcW w:w="704" w:type="pct"/>
                  <w:vAlign w:val="center"/>
                </w:tcPr>
                <w:p>
                  <w:pPr>
                    <w:pStyle w:val="59"/>
                    <w:wordWrap w:val="0"/>
                    <w:spacing w:line="280" w:lineRule="exact"/>
                    <w:ind w:firstLine="0" w:firstLineChars="0"/>
                    <w:jc w:val="center"/>
                    <w:rPr>
                      <w:rFonts w:cs="宋体"/>
                      <w:color w:val="auto"/>
                      <w:sz w:val="21"/>
                      <w:szCs w:val="21"/>
                      <w:lang w:bidi="zh-CN"/>
                    </w:rPr>
                  </w:pPr>
                  <w:r>
                    <w:rPr>
                      <w:rFonts w:hint="eastAsia" w:cs="宋体"/>
                      <w:color w:val="auto"/>
                      <w:sz w:val="21"/>
                      <w:szCs w:val="21"/>
                    </w:rPr>
                    <w:t>主要成分包括甲烷、乙烷等</w:t>
                  </w:r>
                </w:p>
              </w:tc>
              <w:tc>
                <w:tcPr>
                  <w:tcW w:w="1904" w:type="pct"/>
                  <w:vAlign w:val="center"/>
                </w:tcPr>
                <w:p>
                  <w:pPr>
                    <w:pStyle w:val="59"/>
                    <w:spacing w:line="280" w:lineRule="exact"/>
                    <w:ind w:firstLine="0" w:firstLineChars="0"/>
                    <w:rPr>
                      <w:rFonts w:cs="宋体"/>
                      <w:color w:val="auto"/>
                      <w:sz w:val="21"/>
                      <w:szCs w:val="21"/>
                      <w:lang w:bidi="zh-CN"/>
                    </w:rPr>
                  </w:pPr>
                  <w:r>
                    <w:rPr>
                      <w:rFonts w:hint="eastAsia" w:cs="宋体"/>
                      <w:color w:val="auto"/>
                      <w:sz w:val="21"/>
                      <w:szCs w:val="21"/>
                    </w:rPr>
                    <w:t>伴生气中主要包括天然气。天然气中含有的甲烷，是一种无毒气体，当空气中大量弥漫这种气体时会使人因氧气不足而呼吸困难，进而失去知觉、昏迷甚至残废。</w:t>
                  </w:r>
                </w:p>
              </w:tc>
              <w:tc>
                <w:tcPr>
                  <w:tcW w:w="1517" w:type="pct"/>
                  <w:vAlign w:val="center"/>
                </w:tcPr>
                <w:p>
                  <w:pPr>
                    <w:pStyle w:val="59"/>
                    <w:wordWrap w:val="0"/>
                    <w:spacing w:line="280" w:lineRule="exact"/>
                    <w:ind w:firstLine="0" w:firstLineChars="0"/>
                    <w:jc w:val="center"/>
                    <w:rPr>
                      <w:rFonts w:cs="宋体"/>
                      <w:color w:val="auto"/>
                      <w:sz w:val="21"/>
                      <w:szCs w:val="21"/>
                      <w:lang w:bidi="zh-CN"/>
                    </w:rPr>
                  </w:pPr>
                  <w:r>
                    <w:rPr>
                      <w:rFonts w:hint="eastAsia" w:ascii="宋体" w:hAnsi="宋体" w:eastAsia="宋体" w:cs="Times New Roman"/>
                      <w:color w:val="auto"/>
                      <w:kern w:val="2"/>
                      <w:sz w:val="21"/>
                      <w:szCs w:val="21"/>
                      <w:lang w:val="en-US" w:eastAsia="zh-CN" w:bidi="ar-SA"/>
                    </w:rPr>
                    <w:t>热值：50009kJ/kg；爆炸极限：5～14%（v）；自然燃点：482～632℃</w:t>
                  </w:r>
                </w:p>
              </w:tc>
              <w:tc>
                <w:tcPr>
                  <w:tcW w:w="447" w:type="pct"/>
                  <w:vAlign w:val="center"/>
                </w:tcPr>
                <w:p>
                  <w:pPr>
                    <w:pStyle w:val="59"/>
                    <w:wordWrap w:val="0"/>
                    <w:spacing w:line="280" w:lineRule="exact"/>
                    <w:ind w:firstLine="0" w:firstLineChars="0"/>
                    <w:jc w:val="center"/>
                    <w:rPr>
                      <w:rFonts w:cs="宋体"/>
                      <w:color w:val="auto"/>
                      <w:sz w:val="21"/>
                      <w:szCs w:val="21"/>
                      <w:lang w:bidi="zh-CN"/>
                    </w:rPr>
                  </w:pPr>
                  <w:r>
                    <w:rPr>
                      <w:rFonts w:cs="宋体"/>
                      <w:color w:val="auto"/>
                      <w:sz w:val="21"/>
                      <w:szCs w:val="21"/>
                      <w:lang w:bidi="zh-CN"/>
                    </w:rPr>
                    <w:t>易燃气体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Align w:val="center"/>
                </w:tcPr>
                <w:p>
                  <w:pPr>
                    <w:pStyle w:val="59"/>
                    <w:wordWrap w:val="0"/>
                    <w:spacing w:line="300" w:lineRule="exact"/>
                    <w:ind w:firstLine="0" w:firstLineChars="0"/>
                    <w:jc w:val="center"/>
                    <w:rPr>
                      <w:rFonts w:cs="宋体"/>
                      <w:color w:val="auto"/>
                      <w:sz w:val="21"/>
                      <w:szCs w:val="21"/>
                    </w:rPr>
                  </w:pPr>
                  <w:r>
                    <w:rPr>
                      <w:rFonts w:cs="宋体"/>
                      <w:color w:val="auto"/>
                      <w:sz w:val="21"/>
                      <w:szCs w:val="21"/>
                    </w:rPr>
                    <w:t>3</w:t>
                  </w:r>
                </w:p>
              </w:tc>
              <w:tc>
                <w:tcPr>
                  <w:tcW w:w="0" w:type="auto"/>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柴油</w:t>
                  </w:r>
                </w:p>
              </w:tc>
              <w:tc>
                <w:tcPr>
                  <w:tcW w:w="704" w:type="pct"/>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复杂烃类(碳原子数约</w:t>
                  </w:r>
                  <w:r>
                    <w:rPr>
                      <w:rFonts w:cs="宋体"/>
                      <w:color w:val="auto"/>
                      <w:sz w:val="21"/>
                      <w:szCs w:val="21"/>
                    </w:rPr>
                    <w:t>1</w:t>
                  </w:r>
                  <w:r>
                    <w:rPr>
                      <w:rFonts w:hint="eastAsia" w:cs="宋体"/>
                      <w:color w:val="auto"/>
                      <w:sz w:val="21"/>
                      <w:szCs w:val="21"/>
                    </w:rPr>
                    <w:t>0～22)混合物</w:t>
                  </w:r>
                </w:p>
              </w:tc>
              <w:tc>
                <w:tcPr>
                  <w:tcW w:w="1904" w:type="pct"/>
                  <w:vAlign w:val="center"/>
                </w:tcPr>
                <w:p>
                  <w:pPr>
                    <w:pStyle w:val="59"/>
                    <w:spacing w:line="300" w:lineRule="exact"/>
                    <w:ind w:firstLine="0" w:firstLineChars="0"/>
                    <w:rPr>
                      <w:rFonts w:cs="宋体"/>
                      <w:color w:val="auto"/>
                      <w:sz w:val="21"/>
                      <w:szCs w:val="21"/>
                    </w:rPr>
                  </w:pPr>
                  <w:r>
                    <w:rPr>
                      <w:rFonts w:hint="eastAsia" w:cs="宋体"/>
                      <w:color w:val="auto"/>
                      <w:sz w:val="21"/>
                      <w:szCs w:val="21"/>
                    </w:rPr>
                    <w:t>柴油的毒性类似于煤油，但由于添加剂(如硫化酯类)的影响，毒性比煤油略大，主要有麻醉和刺激作用。柴油的雾滴吸入后可致吸入性肺炎，皮肤接触柴油可致接触性皮炎。</w:t>
                  </w:r>
                </w:p>
              </w:tc>
              <w:tc>
                <w:tcPr>
                  <w:tcW w:w="1517" w:type="pct"/>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热值：3.3×10</w:t>
                  </w:r>
                  <w:r>
                    <w:rPr>
                      <w:rFonts w:cs="宋体"/>
                      <w:color w:val="auto"/>
                      <w:sz w:val="21"/>
                      <w:szCs w:val="21"/>
                      <w:vertAlign w:val="superscript"/>
                    </w:rPr>
                    <w:t>4</w:t>
                  </w:r>
                  <w:r>
                    <w:rPr>
                      <w:rFonts w:cs="宋体"/>
                      <w:color w:val="auto"/>
                      <w:sz w:val="21"/>
                      <w:szCs w:val="21"/>
                    </w:rPr>
                    <w:t>k</w:t>
                  </w:r>
                  <w:r>
                    <w:rPr>
                      <w:rFonts w:hint="eastAsia" w:cs="宋体"/>
                      <w:color w:val="auto"/>
                      <w:sz w:val="21"/>
                      <w:szCs w:val="21"/>
                    </w:rPr>
                    <w:t>J/L；沸点范围：180～370℃和350～410℃；两类闪点：</w:t>
                  </w:r>
                  <w:r>
                    <w:rPr>
                      <w:rFonts w:cs="宋体"/>
                      <w:color w:val="auto"/>
                      <w:sz w:val="21"/>
                      <w:szCs w:val="21"/>
                    </w:rPr>
                    <w:t>3</w:t>
                  </w:r>
                  <w:r>
                    <w:rPr>
                      <w:rFonts w:hint="eastAsia" w:cs="宋体"/>
                      <w:color w:val="auto"/>
                      <w:sz w:val="21"/>
                      <w:szCs w:val="21"/>
                    </w:rPr>
                    <w:t>8℃</w:t>
                  </w:r>
                </w:p>
              </w:tc>
              <w:tc>
                <w:tcPr>
                  <w:tcW w:w="447" w:type="pct"/>
                  <w:vAlign w:val="center"/>
                </w:tcPr>
                <w:p>
                  <w:pPr>
                    <w:pStyle w:val="59"/>
                    <w:wordWrap w:val="0"/>
                    <w:spacing w:line="300" w:lineRule="exact"/>
                    <w:ind w:firstLine="0" w:firstLineChars="0"/>
                    <w:jc w:val="center"/>
                    <w:rPr>
                      <w:rFonts w:cs="宋体"/>
                      <w:color w:val="auto"/>
                      <w:sz w:val="21"/>
                      <w:szCs w:val="21"/>
                      <w:lang w:bidi="zh-CN"/>
                    </w:rPr>
                  </w:pPr>
                  <w:r>
                    <w:rPr>
                      <w:rFonts w:cs="宋体"/>
                      <w:color w:val="auto"/>
                      <w:sz w:val="21"/>
                      <w:szCs w:val="21"/>
                      <w:lang w:bidi="zh-CN"/>
                    </w:rPr>
                    <w:t>高闪点液体</w:t>
                  </w:r>
                </w:p>
              </w:tc>
            </w:tr>
          </w:tbl>
          <w:p>
            <w:pPr>
              <w:pStyle w:val="66"/>
              <w:adjustRightInd w:val="0"/>
              <w:snapToGrid w:val="0"/>
              <w:ind w:firstLine="480"/>
              <w:rPr>
                <w:bCs/>
                <w:color w:val="auto"/>
              </w:rPr>
            </w:pPr>
            <w:r>
              <w:rPr>
                <w:rFonts w:hint="eastAsia"/>
                <w:bCs/>
                <w:color w:val="auto"/>
              </w:rPr>
              <w:t>②井喷事故风险</w:t>
            </w:r>
          </w:p>
          <w:p>
            <w:pPr>
              <w:pStyle w:val="66"/>
              <w:adjustRightInd w:val="0"/>
              <w:snapToGrid w:val="0"/>
              <w:ind w:firstLine="480"/>
              <w:rPr>
                <w:bCs/>
                <w:color w:val="auto"/>
              </w:rPr>
            </w:pPr>
            <w:r>
              <w:rPr>
                <w:rFonts w:hint="eastAsia"/>
                <w:bCs/>
                <w:color w:val="auto"/>
              </w:rPr>
              <w:t>若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66"/>
              <w:adjustRightInd w:val="0"/>
              <w:snapToGrid w:val="0"/>
              <w:ind w:firstLine="480"/>
              <w:rPr>
                <w:bCs/>
                <w:color w:val="auto"/>
              </w:rPr>
            </w:pPr>
            <w:r>
              <w:rPr>
                <w:rFonts w:hint="eastAsia"/>
                <w:bCs/>
                <w:color w:val="auto"/>
              </w:rPr>
              <w:t>③储罐泄漏风险</w:t>
            </w:r>
          </w:p>
          <w:p>
            <w:pPr>
              <w:pStyle w:val="66"/>
              <w:adjustRightInd w:val="0"/>
              <w:snapToGrid w:val="0"/>
              <w:ind w:firstLine="480"/>
              <w:rPr>
                <w:bCs/>
                <w:color w:val="auto"/>
              </w:rPr>
            </w:pPr>
            <w:r>
              <w:rPr>
                <w:rFonts w:hint="eastAsia"/>
                <w:bCs/>
                <w:color w:val="auto"/>
              </w:rPr>
              <w:t>试油期井场设有柴油储罐、洗井废水储罐和采出物储罐，若储罐因质量、操作运行和管理等环节存在缺陷和失误，可能会发生泄漏，对周围地下水、土壤、大气等环境造成污染。</w:t>
            </w:r>
          </w:p>
          <w:p>
            <w:pPr>
              <w:pStyle w:val="66"/>
              <w:adjustRightInd w:val="0"/>
              <w:snapToGrid w:val="0"/>
              <w:ind w:firstLine="480"/>
              <w:rPr>
                <w:color w:val="auto"/>
              </w:rPr>
            </w:pPr>
            <w:r>
              <w:rPr>
                <w:rFonts w:hint="eastAsia"/>
                <w:color w:val="auto"/>
              </w:rPr>
              <w:t>（3）环境风险分析</w:t>
            </w:r>
          </w:p>
          <w:p>
            <w:pPr>
              <w:pStyle w:val="66"/>
              <w:adjustRightInd w:val="0"/>
              <w:snapToGrid w:val="0"/>
              <w:ind w:firstLine="480"/>
              <w:rPr>
                <w:bCs/>
                <w:color w:val="auto"/>
              </w:rPr>
            </w:pPr>
            <w:r>
              <w:rPr>
                <w:rFonts w:hint="eastAsia"/>
                <w:bCs/>
                <w:color w:val="auto"/>
              </w:rPr>
              <w:t>①井喷事故影响分析</w:t>
            </w:r>
          </w:p>
          <w:p>
            <w:pPr>
              <w:pStyle w:val="66"/>
              <w:adjustRightInd w:val="0"/>
              <w:snapToGrid w:val="0"/>
              <w:ind w:firstLine="480"/>
              <w:rPr>
                <w:bCs/>
                <w:color w:val="auto"/>
              </w:rPr>
            </w:pPr>
            <w:r>
              <w:rPr>
                <w:rFonts w:hint="eastAsia"/>
                <w:bCs/>
                <w:color w:val="auto"/>
              </w:rPr>
              <w:t>井场主要发生的风险事故为钻井及井下作业时发生井喷事故。一旦出现井喷迹象，井场内挖机开始挖掘应急放喷池，并进行人工防渗，</w:t>
            </w:r>
            <w:r>
              <w:rPr>
                <w:rFonts w:hint="eastAsia"/>
                <w:color w:val="auto"/>
              </w:rPr>
              <w:t>防渗材料为HDPE防渗膜，渗透系数≤10</w:t>
            </w:r>
            <w:r>
              <w:rPr>
                <w:rFonts w:hint="eastAsia"/>
                <w:color w:val="auto"/>
                <w:vertAlign w:val="superscript"/>
              </w:rPr>
              <w:t>-7</w:t>
            </w:r>
            <w:r>
              <w:rPr>
                <w:rFonts w:hint="eastAsia"/>
                <w:color w:val="auto"/>
              </w:rPr>
              <w:t>cm/s。井喷事故发生时，</w:t>
            </w:r>
            <w:r>
              <w:rPr>
                <w:rFonts w:hint="eastAsia"/>
                <w:bCs/>
                <w:color w:val="auto"/>
              </w:rPr>
              <w:t>大量的油气喷出井口，散落于井场周围，据类比资料显示，井喷范围内土壤表层可见有蜡状的原油喷散物，井喷的影响范围一般为以井眼为圆心、半径200m的区域，由于项目区人口稀少，所以井喷对人员的伤害有限，对土壤环境、大气环境和地下水可能产生影响。发生井喷后，油类物质进入环境空气，挥发的气体</w:t>
            </w:r>
            <w:r>
              <w:rPr>
                <w:bCs/>
                <w:color w:val="auto"/>
              </w:rPr>
              <w:t>可能会对周围环境空气产生影响，若遇明火可</w:t>
            </w:r>
            <w:r>
              <w:rPr>
                <w:rFonts w:hint="eastAsia"/>
                <w:bCs/>
                <w:color w:val="auto"/>
              </w:rPr>
              <w:t>能</w:t>
            </w:r>
            <w:r>
              <w:rPr>
                <w:bCs/>
                <w:color w:val="auto"/>
              </w:rPr>
              <w:t>发生火灾、爆炸，</w:t>
            </w:r>
            <w:r>
              <w:rPr>
                <w:rFonts w:hint="eastAsia"/>
                <w:bCs/>
                <w:color w:val="auto"/>
              </w:rPr>
              <w:t>随之</w:t>
            </w:r>
            <w:r>
              <w:rPr>
                <w:bCs/>
                <w:color w:val="auto"/>
              </w:rPr>
              <w:t>产生的伴生、次生污染物会对环境空气产生一定的影响。由于地域空旷，扩散条件较好，发生事故后，及时采取相应的措施，不会对周围环境空气产生明显影响。</w:t>
            </w:r>
          </w:p>
          <w:p>
            <w:pPr>
              <w:pStyle w:val="66"/>
              <w:adjustRightInd w:val="0"/>
              <w:snapToGrid w:val="0"/>
              <w:ind w:firstLine="480"/>
              <w:rPr>
                <w:bCs/>
                <w:color w:val="auto"/>
              </w:rPr>
            </w:pPr>
            <w:r>
              <w:rPr>
                <w:rFonts w:hint="eastAsia"/>
                <w:bCs/>
                <w:color w:val="auto"/>
              </w:rPr>
              <w:t>根据类比调查，从事故井区土壤剖面分析，井喷事故后石油类污染物主要聚集在土壤剖面1m以内。而该区域地下水埋深在</w:t>
            </w:r>
            <w:r>
              <w:rPr>
                <w:bCs/>
                <w:color w:val="auto"/>
              </w:rPr>
              <w:t>50</w:t>
            </w:r>
            <w:r>
              <w:rPr>
                <w:rFonts w:hint="eastAsia"/>
                <w:bCs/>
                <w:color w:val="auto"/>
              </w:rPr>
              <w:t>～1</w:t>
            </w:r>
            <w:r>
              <w:rPr>
                <w:bCs/>
                <w:color w:val="auto"/>
              </w:rPr>
              <w:t>5</w:t>
            </w:r>
            <w:r>
              <w:rPr>
                <w:rFonts w:hint="eastAsia"/>
                <w:bCs/>
                <w:color w:val="auto"/>
              </w:rPr>
              <w:t>0m左右，石油类污染物主要被拦截在包气带土壤剖面1m以内，同时因为气候干旱少雨，不存在大量降水的淋滤作用，因此对地下水体的影响概率不大。及时清理井喷事故中产生的原油和受浸染土壤，对原油进行回收，受污染的土壤集中收集后交由具有相应危废处置资质的单位进行回收处置，及时采取上述有效措施治理污染后，井喷不会造成地下水污染。</w:t>
            </w:r>
          </w:p>
          <w:p>
            <w:pPr>
              <w:pStyle w:val="66"/>
              <w:adjustRightInd w:val="0"/>
              <w:snapToGrid w:val="0"/>
              <w:ind w:firstLine="480"/>
              <w:rPr>
                <w:bCs/>
                <w:color w:val="auto"/>
              </w:rPr>
            </w:pPr>
            <w:r>
              <w:rPr>
                <w:rFonts w:hint="eastAsia"/>
                <w:bCs/>
                <w:color w:val="auto"/>
              </w:rPr>
              <w:t>井喷事故状态下，发生泄漏，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原油进行回收，受污染的土壤集中收集后由有相应危废处置资质的单位进行回收处置，将井喷事故对周边植被的影响降至最低。</w:t>
            </w:r>
          </w:p>
          <w:p>
            <w:pPr>
              <w:pStyle w:val="66"/>
              <w:adjustRightInd w:val="0"/>
              <w:snapToGrid w:val="0"/>
              <w:ind w:firstLine="480"/>
              <w:rPr>
                <w:bCs/>
                <w:color w:val="auto"/>
              </w:rPr>
            </w:pPr>
            <w:r>
              <w:rPr>
                <w:rFonts w:hint="eastAsia"/>
                <w:bCs/>
                <w:color w:val="auto"/>
              </w:rPr>
              <w:t>②储罐泄漏环境影响分析</w:t>
            </w:r>
          </w:p>
          <w:p>
            <w:pPr>
              <w:pStyle w:val="66"/>
              <w:adjustRightInd w:val="0"/>
              <w:snapToGrid w:val="0"/>
              <w:ind w:firstLine="480"/>
              <w:rPr>
                <w:bCs/>
                <w:color w:val="auto"/>
              </w:rPr>
            </w:pPr>
            <w:r>
              <w:rPr>
                <w:rFonts w:hint="eastAsia"/>
                <w:bCs/>
                <w:color w:val="auto"/>
              </w:rPr>
              <w:t>1）对大气环境影响分析</w:t>
            </w:r>
          </w:p>
          <w:p>
            <w:pPr>
              <w:pStyle w:val="66"/>
              <w:adjustRightInd w:val="0"/>
              <w:snapToGrid w:val="0"/>
              <w:ind w:firstLine="480"/>
              <w:rPr>
                <w:bCs/>
                <w:color w:val="auto"/>
              </w:rPr>
            </w:pPr>
            <w:r>
              <w:rPr>
                <w:rFonts w:hint="eastAsia"/>
                <w:bCs/>
                <w:color w:val="auto"/>
              </w:rPr>
              <w:t>储罐发生泄漏后，油类物质进入环境空气，挥发出的气体可能会对周围环境空气产生影响，若遇明火可能发生火灾、爆炸，随之产生的伴生、次生污染物会对环境空气产生一定的影响。由于项目区地域空旷，扩散条件较好，发生事故后，及时采取相应的措施，不会对周围环境空气产生明显影响。</w:t>
            </w:r>
          </w:p>
          <w:p>
            <w:pPr>
              <w:pStyle w:val="59"/>
              <w:ind w:firstLine="480"/>
              <w:rPr>
                <w:rFonts w:cs="宋体"/>
                <w:color w:val="auto"/>
                <w:szCs w:val="21"/>
              </w:rPr>
            </w:pPr>
            <w:r>
              <w:rPr>
                <w:rFonts w:hint="eastAsia" w:cs="宋体"/>
                <w:color w:val="auto"/>
                <w:szCs w:val="21"/>
              </w:rPr>
              <w:t>2）对土壤环境影响分析</w:t>
            </w:r>
          </w:p>
          <w:p>
            <w:pPr>
              <w:pStyle w:val="59"/>
              <w:spacing w:line="480" w:lineRule="exact"/>
              <w:ind w:firstLine="480"/>
              <w:rPr>
                <w:rFonts w:cs="宋体"/>
                <w:color w:val="auto"/>
                <w:szCs w:val="21"/>
              </w:rPr>
            </w:pPr>
            <w:r>
              <w:rPr>
                <w:rFonts w:hint="eastAsia" w:cs="宋体"/>
                <w:color w:val="auto"/>
                <w:szCs w:val="21"/>
              </w:rPr>
              <w:t>泄漏的油类物质可使土壤透气性下降、土壤理化性状发生变化。泄漏情况发生时，油类物质渗入土壤孔隙，使土壤透气性和呼吸作用减弱，影响土壤中的微生物生存，造成土壤盐碱化，破坏土壤结构，增加土壤中石油类污染物造成土地肥力下降，改变土壤的理化性质，影响土壤正常的结构和功能。油基钻井液循环罐、柴油储罐、采出物储罐及洗井废水储罐区铺设防渗膜，储罐或循环罐发生泄漏后，及时清理，受污染的土壤集中收集后由有相应危废处置资质的单位进行回收处置。发生事故后，及时采取相应的措施，不会对周围土壤环境产生明显影响。</w:t>
            </w:r>
          </w:p>
          <w:p>
            <w:pPr>
              <w:pStyle w:val="59"/>
              <w:ind w:firstLine="480"/>
              <w:rPr>
                <w:bCs/>
                <w:color w:val="auto"/>
              </w:rPr>
            </w:pPr>
            <w:r>
              <w:rPr>
                <w:rFonts w:hint="eastAsia" w:cs="宋体"/>
                <w:color w:val="auto"/>
                <w:szCs w:val="21"/>
              </w:rPr>
              <w:t>3）</w:t>
            </w:r>
            <w:r>
              <w:rPr>
                <w:bCs/>
                <w:color w:val="auto"/>
              </w:rPr>
              <w:t>对植被</w:t>
            </w:r>
            <w:r>
              <w:rPr>
                <w:rFonts w:hint="eastAsia"/>
                <w:bCs/>
                <w:color w:val="auto"/>
              </w:rPr>
              <w:t>及农作物</w:t>
            </w:r>
            <w:r>
              <w:rPr>
                <w:bCs/>
                <w:color w:val="auto"/>
              </w:rPr>
              <w:t>的影响</w:t>
            </w:r>
          </w:p>
          <w:p>
            <w:pPr>
              <w:pStyle w:val="66"/>
              <w:ind w:firstLine="480"/>
              <w:rPr>
                <w:color w:val="auto"/>
              </w:rPr>
            </w:pPr>
            <w:r>
              <w:rPr>
                <w:rFonts w:hint="eastAsia"/>
                <w:color w:val="auto"/>
                <w:szCs w:val="21"/>
              </w:rPr>
              <w:t>油类物质的</w:t>
            </w:r>
            <w:r>
              <w:rPr>
                <w:rFonts w:hint="eastAsia"/>
                <w:bCs/>
                <w:color w:val="auto"/>
              </w:rPr>
              <w:t>泄漏对植被的影响主要分为三种途径，一是泄漏物直接粘附于植物上阻断植物的光合作用，使植物及农作物枯萎、死亡；二是柴油/采出液污染土壤造成的土壤理性化性状变化间接影响植物生长，严重时会导致植物死亡；三是泄漏的柴油/采出液中的轻组份挥发，在对空气环境产生影响的同时，也对周围植物产生影响。发生事故后，及时采取相应的措施，不会对周围植被产生明显影响。</w:t>
            </w:r>
          </w:p>
          <w:p>
            <w:pPr>
              <w:pStyle w:val="59"/>
              <w:ind w:firstLine="480"/>
              <w:rPr>
                <w:rFonts w:cs="宋体"/>
                <w:color w:val="auto"/>
                <w:szCs w:val="21"/>
              </w:rPr>
            </w:pPr>
            <w:r>
              <w:rPr>
                <w:rFonts w:cs="宋体"/>
                <w:color w:val="auto"/>
                <w:szCs w:val="21"/>
              </w:rPr>
              <w:t>4</w:t>
            </w:r>
            <w:r>
              <w:rPr>
                <w:rFonts w:hint="eastAsia" w:cs="宋体"/>
                <w:color w:val="auto"/>
                <w:szCs w:val="21"/>
              </w:rPr>
              <w:t>）对地下水环境的影响</w:t>
            </w:r>
          </w:p>
          <w:p>
            <w:pPr>
              <w:pStyle w:val="59"/>
              <w:ind w:firstLine="476"/>
              <w:rPr>
                <w:rFonts w:cs="宋体"/>
                <w:color w:val="auto"/>
                <w:spacing w:val="-2"/>
                <w:szCs w:val="21"/>
              </w:rPr>
            </w:pPr>
            <w:r>
              <w:rPr>
                <w:rFonts w:hint="eastAsia" w:cs="宋体"/>
                <w:color w:val="auto"/>
                <w:spacing w:val="-2"/>
                <w:szCs w:val="21"/>
              </w:rPr>
              <w:t>柴油储罐、采出物储罐及洗井废水储罐泄漏的油品下渗可能导致地下水污染风险的发生，储罐堆放场地为地上设施，发生泄漏事故后易发现并及时维修处理，即使有少量的污染物泄漏，也很难通过防渗层渗入包气带。井场各类储罐底部铺设防渗膜，采取钢制储罐，发生泄漏的概率极小，一旦发生泄漏会在较短时间内发现并采取的堵漏措施，出现长期连续性泄漏的可能性很低，发生渗漏污染地下水的风险事故概率较低。</w:t>
            </w:r>
          </w:p>
          <w:p>
            <w:pPr>
              <w:snapToGrid w:val="0"/>
              <w:spacing w:line="480" w:lineRule="exact"/>
              <w:ind w:firstLine="480" w:firstLineChars="200"/>
              <w:rPr>
                <w:rFonts w:ascii="宋体" w:hAnsi="宋体" w:cs="宋体"/>
                <w:color w:val="auto"/>
                <w:sz w:val="24"/>
              </w:rPr>
            </w:pPr>
            <w:r>
              <w:rPr>
                <w:rFonts w:hint="eastAsia" w:ascii="宋体" w:hAnsi="宋体" w:cs="宋体"/>
                <w:color w:val="auto"/>
                <w:sz w:val="24"/>
              </w:rPr>
              <w:t>③井漏环境影响分析</w:t>
            </w:r>
          </w:p>
          <w:p>
            <w:pPr>
              <w:snapToGrid w:val="0"/>
              <w:spacing w:line="480" w:lineRule="exact"/>
              <w:ind w:firstLine="480" w:firstLineChars="200"/>
              <w:rPr>
                <w:rFonts w:ascii="宋体" w:hAnsi="宋体" w:cs="宋体"/>
                <w:color w:val="auto"/>
                <w:sz w:val="24"/>
              </w:rPr>
            </w:pPr>
            <w:r>
              <w:rPr>
                <w:rFonts w:hint="eastAsia" w:ascii="宋体" w:hAnsi="宋体" w:cs="宋体"/>
                <w:color w:val="auto"/>
                <w:sz w:val="24"/>
              </w:rPr>
              <w:t>根据建设方提供资料显示，井漏事故只可能发生在3500m以下层位，上部地层稳定且有两层套管封隔，不存在井漏风险，不会对地下含水层水质造成污染。</w:t>
            </w:r>
          </w:p>
          <w:p>
            <w:pPr>
              <w:pStyle w:val="59"/>
              <w:ind w:firstLine="482"/>
              <w:rPr>
                <w:rFonts w:cs="宋体"/>
                <w:b/>
                <w:bCs/>
                <w:color w:val="auto"/>
                <w:szCs w:val="21"/>
              </w:rPr>
            </w:pPr>
            <w:r>
              <w:rPr>
                <w:rFonts w:hint="eastAsia" w:cs="宋体"/>
                <w:b/>
                <w:bCs/>
                <w:color w:val="auto"/>
                <w:szCs w:val="21"/>
                <w:lang w:val="en-US" w:eastAsia="zh-CN"/>
              </w:rPr>
              <w:t>7</w:t>
            </w:r>
            <w:r>
              <w:rPr>
                <w:rFonts w:hint="eastAsia" w:cs="宋体"/>
                <w:b/>
                <w:bCs/>
                <w:color w:val="auto"/>
                <w:szCs w:val="21"/>
              </w:rPr>
              <w:t>、其它产出物说明</w:t>
            </w:r>
          </w:p>
          <w:p>
            <w:pPr>
              <w:pStyle w:val="59"/>
              <w:ind w:firstLine="476"/>
              <w:rPr>
                <w:rFonts w:cs="宋体"/>
                <w:color w:val="auto"/>
                <w:szCs w:val="21"/>
              </w:rPr>
            </w:pPr>
            <w:r>
              <w:rPr>
                <w:rFonts w:hint="eastAsia" w:cs="宋体"/>
                <w:color w:val="auto"/>
                <w:spacing w:val="-2"/>
                <w:szCs w:val="21"/>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w:t>
            </w:r>
            <w:r>
              <w:rPr>
                <w:rFonts w:hint="eastAsia" w:cs="宋体"/>
                <w:color w:val="auto"/>
                <w:szCs w:val="21"/>
              </w:rPr>
              <w:t>罐，</w:t>
            </w:r>
            <w:bookmarkStart w:id="26" w:name="_Hlk105532169"/>
            <w:r>
              <w:rPr>
                <w:rFonts w:hint="eastAsia" w:cs="宋体"/>
                <w:color w:val="auto"/>
                <w:szCs w:val="21"/>
              </w:rPr>
              <w:t>拉运至</w:t>
            </w:r>
            <w:r>
              <w:rPr>
                <w:rFonts w:hint="eastAsia" w:cs="宋体"/>
                <w:color w:val="auto"/>
                <w:lang w:eastAsia="zh-CN"/>
              </w:rPr>
              <w:t>吉祥联合站</w:t>
            </w:r>
            <w:r>
              <w:rPr>
                <w:rFonts w:hint="eastAsia" w:cs="宋体"/>
                <w:color w:val="auto"/>
              </w:rPr>
              <w:t>原油处理系统处理</w:t>
            </w:r>
            <w:r>
              <w:rPr>
                <w:rFonts w:hint="eastAsia" w:cs="宋体"/>
                <w:color w:val="auto"/>
                <w:szCs w:val="21"/>
              </w:rPr>
              <w:t>。</w:t>
            </w:r>
            <w:bookmarkEnd w:id="2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72" w:type="dxa"/>
            <w:tcMar>
              <w:left w:w="28" w:type="dxa"/>
              <w:right w:w="28" w:type="dxa"/>
            </w:tcMar>
            <w:vAlign w:val="center"/>
          </w:tcPr>
          <w:p>
            <w:pPr>
              <w:pStyle w:val="25"/>
              <w:adjustRightInd w:val="0"/>
              <w:snapToGrid w:val="0"/>
              <w:spacing w:before="0" w:beforeAutospacing="0" w:after="0" w:afterAutospacing="0"/>
              <w:jc w:val="center"/>
              <w:rPr>
                <w:rFonts w:cs="宋体"/>
                <w:bCs/>
                <w:color w:val="auto"/>
                <w:spacing w:val="10"/>
                <w:kern w:val="2"/>
              </w:rPr>
            </w:pPr>
            <w:r>
              <w:rPr>
                <w:rFonts w:hint="eastAsia" w:cs="宋体"/>
                <w:bCs/>
                <w:color w:val="auto"/>
                <w:spacing w:val="10"/>
                <w:kern w:val="2"/>
              </w:rPr>
              <w:t>运营期生态环境影响分析</w:t>
            </w:r>
          </w:p>
        </w:tc>
        <w:tc>
          <w:tcPr>
            <w:tcW w:w="7865" w:type="dxa"/>
            <w:vAlign w:val="center"/>
          </w:tcPr>
          <w:p>
            <w:pPr>
              <w:pStyle w:val="66"/>
              <w:ind w:firstLine="480"/>
              <w:rPr>
                <w:color w:val="auto"/>
              </w:rPr>
            </w:pPr>
            <w:r>
              <w:rPr>
                <w:rFonts w:hint="eastAsia"/>
                <w:color w:val="auto"/>
              </w:rPr>
              <w:t>本</w:t>
            </w:r>
            <w:r>
              <w:rPr>
                <w:rFonts w:hint="eastAsia"/>
                <w:color w:val="auto"/>
                <w:lang w:eastAsia="zh-CN"/>
              </w:rPr>
              <w:t>工程</w:t>
            </w:r>
            <w:r>
              <w:rPr>
                <w:rFonts w:hint="eastAsia"/>
                <w:color w:val="auto"/>
              </w:rPr>
              <w:t>无运营期，钻试活动结束后环境影响随之消失。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772" w:type="dxa"/>
            <w:tcMar>
              <w:left w:w="28" w:type="dxa"/>
              <w:right w:w="28" w:type="dxa"/>
            </w:tcMar>
            <w:vAlign w:val="center"/>
          </w:tcPr>
          <w:p>
            <w:pPr>
              <w:pStyle w:val="25"/>
              <w:adjustRightInd w:val="0"/>
              <w:snapToGrid w:val="0"/>
              <w:spacing w:before="0" w:beforeAutospacing="0" w:after="0" w:afterAutospacing="0"/>
              <w:jc w:val="center"/>
              <w:rPr>
                <w:rFonts w:cs="宋体"/>
                <w:bCs/>
                <w:color w:val="auto"/>
                <w:spacing w:val="10"/>
                <w:kern w:val="2"/>
              </w:rPr>
            </w:pPr>
            <w:bookmarkStart w:id="27" w:name="_Hlk129620256"/>
            <w:r>
              <w:rPr>
                <w:rFonts w:hint="eastAsia" w:cs="宋体"/>
                <w:bCs/>
                <w:color w:val="auto"/>
                <w:kern w:val="2"/>
              </w:rPr>
              <w:t>选址选线环境合理性分析</w:t>
            </w:r>
            <w:bookmarkEnd w:id="27"/>
          </w:p>
        </w:tc>
        <w:tc>
          <w:tcPr>
            <w:tcW w:w="7865" w:type="dxa"/>
            <w:vAlign w:val="center"/>
          </w:tcPr>
          <w:p>
            <w:pPr>
              <w:pStyle w:val="66"/>
              <w:ind w:firstLine="480"/>
              <w:rPr>
                <w:rFonts w:hint="default" w:ascii="Times New Roman" w:hAnsi="Times New Roman" w:cs="Times New Roman"/>
                <w:color w:val="auto"/>
              </w:rPr>
            </w:pPr>
            <w:r>
              <w:rPr>
                <w:rFonts w:hint="default" w:ascii="Times New Roman" w:hAnsi="Times New Roman" w:cs="Times New Roman"/>
                <w:color w:val="auto"/>
              </w:rPr>
              <w:t>探临道路选线已尽可能避开野生植物生长密集地带和减少占地；井口距离75m范围内无高压线及其它永久性设施，100m范围内无民宅，200m范围内无铁路、高速公路，500m范围内无学校、医院和大型油库等人口密集型、高危性场所。</w:t>
            </w:r>
            <w:r>
              <w:rPr>
                <w:rFonts w:hint="eastAsia" w:ascii="Times New Roman" w:hAnsi="Times New Roman" w:cs="Times New Roman"/>
                <w:color w:val="auto"/>
                <w:lang w:eastAsia="zh-CN"/>
              </w:rPr>
              <w:t>工程</w:t>
            </w:r>
            <w:r>
              <w:rPr>
                <w:rFonts w:hint="default" w:ascii="Times New Roman" w:hAnsi="Times New Roman" w:cs="Times New Roman"/>
                <w:color w:val="auto"/>
              </w:rPr>
              <w:t>选址符合《钻前工程及井场布置技术要求》（SY/T5466-2013）中的相关规定。</w:t>
            </w:r>
          </w:p>
          <w:p>
            <w:pPr>
              <w:pStyle w:val="66"/>
              <w:ind w:firstLine="480"/>
              <w:rPr>
                <w:rFonts w:hint="default" w:ascii="Times New Roman" w:hAnsi="Times New Roman" w:cs="Times New Roman"/>
                <w:color w:val="auto"/>
              </w:rPr>
            </w:pPr>
            <w:r>
              <w:rPr>
                <w:rFonts w:hint="eastAsia" w:ascii="Times New Roman" w:hAnsi="Times New Roman" w:cs="Times New Roman"/>
                <w:color w:val="auto"/>
                <w:lang w:eastAsia="zh-CN"/>
              </w:rPr>
              <w:t>工程</w:t>
            </w:r>
            <w:r>
              <w:rPr>
                <w:rFonts w:hint="default" w:ascii="Times New Roman" w:hAnsi="Times New Roman" w:cs="Times New Roman"/>
                <w:color w:val="auto"/>
              </w:rPr>
              <w:t>周边无其他自然保护区、风景名胜区、饮用水水源保护区、基本草原、沙化土地封禁保护区等，且无以居住、医疗卫生、文化教育、科研、行政办公等为主要功能的区域及文物保护单位，不存在环境制约因素。项目占地类型为</w:t>
            </w:r>
            <w:r>
              <w:rPr>
                <w:rFonts w:hint="eastAsia" w:ascii="Times New Roman" w:hAnsi="Times New Roman" w:cs="Times New Roman"/>
                <w:color w:val="auto"/>
                <w:lang w:val="en-US" w:eastAsia="zh-CN"/>
              </w:rPr>
              <w:t>裸地</w:t>
            </w:r>
            <w:r>
              <w:rPr>
                <w:rFonts w:hint="default" w:ascii="Times New Roman" w:hAnsi="Times New Roman" w:cs="Times New Roman"/>
                <w:color w:val="auto"/>
              </w:rPr>
              <w:t>，井场选址和探临道路选线时已选择靠近路边，已尽量减少占用植被和农作物茂密地带，且所在区域人类活动频繁，区域内野生动物数量较少，环境影响程度低，钻试工程结束后，临时占地均可到释放和恢复，建设期间产生的废气、废水和噪声消失。综上所述，项目选址选线合理。</w:t>
            </w:r>
          </w:p>
          <w:p>
            <w:pPr>
              <w:snapToGrid w:val="0"/>
              <w:spacing w:line="500" w:lineRule="exact"/>
              <w:ind w:firstLine="480" w:firstLineChars="200"/>
              <w:rPr>
                <w:rFonts w:ascii="宋体" w:hAnsi="宋体" w:cs="宋体"/>
                <w:color w:val="auto"/>
                <w:sz w:val="24"/>
              </w:rPr>
            </w:pPr>
          </w:p>
          <w:p>
            <w:pPr>
              <w:pStyle w:val="59"/>
              <w:spacing w:line="480" w:lineRule="exact"/>
              <w:ind w:firstLine="0" w:firstLineChars="0"/>
              <w:rPr>
                <w:color w:val="auto"/>
              </w:rPr>
            </w:pPr>
          </w:p>
          <w:p>
            <w:pPr>
              <w:pStyle w:val="59"/>
              <w:spacing w:line="480" w:lineRule="exact"/>
              <w:ind w:firstLine="0" w:firstLineChars="0"/>
              <w:rPr>
                <w:color w:val="auto"/>
              </w:rPr>
            </w:pPr>
          </w:p>
          <w:p>
            <w:pPr>
              <w:pStyle w:val="59"/>
              <w:spacing w:line="480" w:lineRule="exact"/>
              <w:ind w:firstLine="0" w:firstLineChars="0"/>
              <w:rPr>
                <w:color w:val="auto"/>
              </w:rPr>
            </w:pPr>
          </w:p>
          <w:p>
            <w:pPr>
              <w:pStyle w:val="59"/>
              <w:spacing w:line="480" w:lineRule="exact"/>
              <w:ind w:firstLine="0" w:firstLineChars="0"/>
              <w:rPr>
                <w:color w:val="auto"/>
              </w:rPr>
            </w:pPr>
          </w:p>
        </w:tc>
      </w:tr>
    </w:tbl>
    <w:p>
      <w:pPr>
        <w:pStyle w:val="25"/>
        <w:jc w:val="center"/>
        <w:rPr>
          <w:rFonts w:ascii="黑体" w:hAnsi="黑体" w:eastAsia="黑体"/>
          <w:snapToGrid w:val="0"/>
          <w:sz w:val="36"/>
          <w:szCs w:val="36"/>
        </w:rPr>
        <w:sectPr>
          <w:footerReference r:id="rId3" w:type="default"/>
          <w:pgSz w:w="11906" w:h="16838"/>
          <w:pgMar w:top="1440" w:right="1800" w:bottom="1701" w:left="1800" w:header="851" w:footer="1077" w:gutter="0"/>
          <w:pgNumType w:start="1"/>
          <w:cols w:space="720" w:num="1"/>
          <w:docGrid w:linePitch="312" w:charSpace="0"/>
        </w:sectPr>
      </w:pPr>
    </w:p>
    <w:p>
      <w:pPr>
        <w:pStyle w:val="4"/>
        <w:rPr>
          <w:snapToGrid w:val="0"/>
        </w:rPr>
      </w:pPr>
      <w:r>
        <w:rPr>
          <w:rFonts w:hint="eastAsia"/>
          <w:snapToGrid w:val="0"/>
        </w:rPr>
        <w:t>五、主要生态环境保护措施</w:t>
      </w:r>
    </w:p>
    <w:tbl>
      <w:tblPr>
        <w:tblStyle w:val="28"/>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0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8" w:type="dxa"/>
            <w:tcMar>
              <w:left w:w="28" w:type="dxa"/>
              <w:right w:w="28" w:type="dxa"/>
            </w:tcMar>
            <w:vAlign w:val="center"/>
          </w:tcPr>
          <w:p>
            <w:pPr>
              <w:adjustRightInd w:val="0"/>
              <w:snapToGrid w:val="0"/>
              <w:jc w:val="center"/>
              <w:rPr>
                <w:rFonts w:ascii="宋体" w:hAnsi="宋体"/>
                <w:bCs/>
                <w:sz w:val="24"/>
              </w:rPr>
            </w:pPr>
            <w:r>
              <w:rPr>
                <w:rFonts w:hint="eastAsia" w:ascii="宋体" w:hAnsi="宋体" w:cs="宋体"/>
                <w:bCs/>
                <w:spacing w:val="10"/>
                <w:sz w:val="24"/>
              </w:rPr>
              <w:t>施工期生态环境保护措施</w:t>
            </w:r>
          </w:p>
        </w:tc>
        <w:tc>
          <w:tcPr>
            <w:tcW w:w="8095" w:type="dxa"/>
          </w:tcPr>
          <w:p>
            <w:pPr>
              <w:pStyle w:val="59"/>
              <w:spacing w:line="480" w:lineRule="exact"/>
              <w:ind w:left="0" w:leftChars="0" w:firstLine="482" w:firstLineChars="200"/>
              <w:rPr>
                <w:b/>
                <w:bCs/>
              </w:rPr>
            </w:pPr>
            <w:r>
              <w:rPr>
                <w:rFonts w:hint="eastAsia"/>
                <w:b/>
                <w:bCs/>
              </w:rPr>
              <w:t>1、生态环境保护措施</w:t>
            </w:r>
          </w:p>
          <w:p>
            <w:pPr>
              <w:pStyle w:val="59"/>
              <w:ind w:firstLine="480"/>
            </w:pPr>
            <w:r>
              <w:rPr>
                <w:rFonts w:hint="eastAsia"/>
              </w:rPr>
              <w:t>建设单位及施工单位应严格执行本次评价提出的生态环境保护措施，并确保各项保护措施与钻试工程同时设计、同时施工、同时使用。</w:t>
            </w:r>
          </w:p>
          <w:p>
            <w:pPr>
              <w:pStyle w:val="59"/>
              <w:ind w:firstLine="480"/>
            </w:pPr>
            <w:bookmarkStart w:id="28" w:name="_Hlk129688928"/>
            <w:r>
              <w:rPr>
                <w:rFonts w:hint="eastAsia"/>
              </w:rPr>
              <w:t>（1）生态保护措施</w:t>
            </w:r>
          </w:p>
          <w:p>
            <w:pPr>
              <w:pStyle w:val="59"/>
              <w:ind w:firstLine="480"/>
            </w:pPr>
            <w:r>
              <w:rPr>
                <w:rFonts w:hint="eastAsia"/>
              </w:rPr>
              <w:t>①工程避让措施：井场、生活营地位置及占地应在满足勘探设计和施工要求的前提下进行适当的调整，以减少占地。确保各环保设施正常运行，避免各种污染物对土壤环境的影响，从而影响其上部生长的野生植被。</w:t>
            </w:r>
          </w:p>
          <w:p>
            <w:pPr>
              <w:pStyle w:val="59"/>
              <w:ind w:firstLine="480"/>
            </w:pPr>
            <w:r>
              <w:rPr>
                <w:rFonts w:hint="eastAsia"/>
              </w:rPr>
              <w:t>②减缓措施：严格遵守油田环境保护规章制度，运输车辆及勘探车辆在规定路线范围内行使，禁止乱碾乱轧，最大程度的减缓对地表稳定结皮的破坏；严格规定各类工作人员的活动范围，使之限于在各工区范围内活动，需要特别注意对自治区Ⅰ级保护植物——梭梭的保护，最大限度减缓对野生植物生存环境的踩踏破坏。项目在建设过程中，应避免在大风天气作业，土石方开挖时应分层开挖、分层堆放，堆放的土方应压实并采用苫布遮盖，避免风蚀从而造成水土流失。</w:t>
            </w:r>
          </w:p>
          <w:p>
            <w:pPr>
              <w:pStyle w:val="59"/>
              <w:ind w:firstLine="480"/>
            </w:pPr>
            <w:r>
              <w:rPr>
                <w:rFonts w:hint="eastAsia"/>
              </w:rPr>
              <w:t>③恢复措施：完井后施工设备及时撤离，固体废物全部妥善处置，现场禁止遗留，占地应清理平整，尽量利用井场及临时道路施工时产生的表层土对临时占地进行覆盖。</w:t>
            </w:r>
          </w:p>
          <w:p>
            <w:pPr>
              <w:pStyle w:val="59"/>
              <w:ind w:firstLine="480"/>
            </w:pPr>
            <w:r>
              <w:rPr>
                <w:rFonts w:hint="eastAsia"/>
              </w:rPr>
              <w:t>④补偿措施：严格按照有关规定办理用地审批手续，并对因项目实施造成的生态损失予以经济补偿，足额缴纳生态经济补偿费。</w:t>
            </w:r>
          </w:p>
          <w:p>
            <w:pPr>
              <w:pStyle w:val="97"/>
              <w:ind w:firstLine="480"/>
              <w:rPr>
                <w:rFonts w:ascii="宋体" w:hAnsi="宋体"/>
              </w:rPr>
            </w:pPr>
            <w:r>
              <w:rPr>
                <w:rFonts w:hint="eastAsia" w:ascii="宋体" w:hAnsi="宋体"/>
                <w:lang w:eastAsia="zh-CN" w:bidi="ar"/>
              </w:rPr>
              <w:t>石钱302钻井平台</w:t>
            </w:r>
            <w:r>
              <w:rPr>
                <w:rFonts w:hint="eastAsia"/>
                <w:lang w:bidi="ar"/>
              </w:rPr>
              <w:t>的</w:t>
            </w:r>
            <w:r>
              <w:rPr>
                <w:rFonts w:hint="eastAsia" w:ascii="宋体" w:hAnsi="宋体"/>
              </w:rPr>
              <w:t>占地类型为</w:t>
            </w:r>
            <w:r>
              <w:rPr>
                <w:rFonts w:hint="eastAsia" w:ascii="宋体" w:hAnsi="宋体"/>
                <w:lang w:val="en-US" w:eastAsia="zh-CN"/>
              </w:rPr>
              <w:t>裸地</w:t>
            </w:r>
            <w:r>
              <w:rPr>
                <w:rFonts w:hint="eastAsia" w:ascii="宋体" w:hAnsi="宋体"/>
              </w:rPr>
              <w:t>，根据《</w:t>
            </w:r>
            <w:r>
              <w:rPr>
                <w:rFonts w:ascii="宋体" w:hAnsi="宋体"/>
              </w:rPr>
              <w:t>土地复垦条例</w:t>
            </w:r>
            <w:r>
              <w:rPr>
                <w:rFonts w:hint="eastAsia" w:ascii="宋体" w:hAnsi="宋体"/>
              </w:rPr>
              <w:t>》（国务院令第592号）中的规定，生产建设活动损毁的土地，按照“谁损毁，谁复垦”的原则，土地复垦义务人不复垦，或者复垦验收中经整改仍不合格的，应当缴纳土地复垦费，由有关国土资源主管部门代为组织复垦。建设单位应按照相关规定缴纳</w:t>
            </w:r>
            <w:r>
              <w:rPr>
                <w:rFonts w:hint="eastAsia" w:ascii="宋体" w:hAnsi="宋体"/>
                <w:lang w:val="en-US" w:eastAsia="zh-CN"/>
              </w:rPr>
              <w:t>占地补偿费</w:t>
            </w:r>
            <w:r>
              <w:rPr>
                <w:rFonts w:hint="eastAsia" w:ascii="宋体" w:hAnsi="宋体"/>
              </w:rPr>
              <w:t>。严格按照有关规定办理建设用地审批手续，临时占地，在办理临时占地手续后将对其生态损失予以补偿。严格按施工方案要求在指定地点堆放临时土石方，并压紧、夯实；工程结束后，做好施工场地的恢复工作，并按相关规定对植被损失进行生态经济补偿。</w:t>
            </w:r>
            <w:r>
              <w:rPr>
                <w:rFonts w:ascii="宋体" w:hAnsi="宋体"/>
              </w:rPr>
              <w:t xml:space="preserve"> </w:t>
            </w:r>
          </w:p>
          <w:p>
            <w:pPr>
              <w:spacing w:line="500" w:lineRule="exact"/>
              <w:ind w:firstLine="480" w:firstLineChars="200"/>
              <w:rPr>
                <w:rFonts w:ascii="宋体" w:hAnsi="宋体" w:cs="宋体"/>
                <w:spacing w:val="-4"/>
                <w:kern w:val="0"/>
                <w:sz w:val="24"/>
              </w:rPr>
            </w:pPr>
            <w:r>
              <w:rPr>
                <w:rFonts w:hint="eastAsia" w:ascii="宋体" w:hAnsi="宋体" w:cs="宋体"/>
                <w:sz w:val="24"/>
              </w:rPr>
              <w:t>⑤管理措施：严格遵守油田环境保护规章制度；严格控制井场占地，严格划定车辆行驶路线及临时道路开拓路线，禁止运输车辆乱碾乱轧；严格规定各类工作人员的活动范围，最大限度减少对植物生存环境、周边农作物的踩踏破坏及野生动物栖息地的侵扰。加强环境保护宣传工作，提高施工人员环保意识，特别是注意对野生动物、自然植被和周边农作物的保护。</w:t>
            </w:r>
          </w:p>
          <w:bookmarkEnd w:id="28"/>
          <w:p>
            <w:pPr>
              <w:pStyle w:val="59"/>
              <w:ind w:firstLine="480"/>
            </w:pPr>
            <w:r>
              <w:rPr>
                <w:rFonts w:hint="eastAsia"/>
              </w:rPr>
              <w:t>（2）对野生动物的生态环保措施</w:t>
            </w:r>
          </w:p>
          <w:p>
            <w:pPr>
              <w:pStyle w:val="59"/>
              <w:ind w:firstLine="480"/>
            </w:pPr>
            <w:r>
              <w:rPr>
                <w:rFonts w:hint="eastAsia"/>
              </w:rPr>
              <w:t>为了更好的保护野生动物，建设单位在项目实施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pPr>
              <w:widowControl/>
              <w:snapToGrid w:val="0"/>
              <w:spacing w:line="480" w:lineRule="exact"/>
              <w:ind w:firstLine="482" w:firstLineChars="200"/>
              <w:rPr>
                <w:rFonts w:ascii="宋体" w:hAnsi="宋体" w:cs="宋体"/>
                <w:b/>
                <w:bCs/>
                <w:sz w:val="24"/>
              </w:rPr>
            </w:pPr>
            <w:r>
              <w:rPr>
                <w:rFonts w:hint="eastAsia" w:ascii="宋体" w:hAnsi="宋体" w:cs="宋体"/>
                <w:b/>
                <w:bCs/>
                <w:sz w:val="24"/>
              </w:rPr>
              <w:t>2、土壤保护措施</w:t>
            </w:r>
          </w:p>
          <w:p>
            <w:pPr>
              <w:widowControl/>
              <w:snapToGrid w:val="0"/>
              <w:spacing w:line="480" w:lineRule="exact"/>
              <w:ind w:firstLine="480" w:firstLineChars="200"/>
              <w:rPr>
                <w:rFonts w:ascii="宋体" w:hAnsi="宋体"/>
                <w:kern w:val="0"/>
                <w:sz w:val="24"/>
              </w:rPr>
            </w:pPr>
            <w:r>
              <w:rPr>
                <w:rFonts w:hint="eastAsia" w:ascii="宋体" w:hAnsi="宋体"/>
                <w:kern w:val="0"/>
                <w:sz w:val="24"/>
              </w:rPr>
              <w:t>①</w:t>
            </w:r>
            <w:r>
              <w:rPr>
                <w:rFonts w:hint="eastAsia" w:ascii="宋体" w:hAnsi="宋体"/>
                <w:kern w:val="0"/>
                <w:sz w:val="24"/>
                <w:lang w:val="en-US" w:eastAsia="zh-CN"/>
              </w:rPr>
              <w:t>施工</w:t>
            </w:r>
            <w:r>
              <w:rPr>
                <w:rFonts w:hint="eastAsia" w:ascii="宋体" w:hAnsi="宋体"/>
                <w:kern w:val="0"/>
                <w:sz w:val="24"/>
              </w:rPr>
              <w:t>车辆严格按照</w:t>
            </w:r>
            <w:r>
              <w:rPr>
                <w:rFonts w:hint="eastAsia" w:ascii="宋体" w:hAnsi="宋体"/>
                <w:kern w:val="0"/>
                <w:sz w:val="24"/>
                <w:lang w:val="en-US" w:eastAsia="zh-CN"/>
              </w:rPr>
              <w:t>指定的</w:t>
            </w:r>
            <w:r>
              <w:rPr>
                <w:rFonts w:hint="eastAsia" w:ascii="宋体" w:hAnsi="宋体"/>
                <w:kern w:val="0"/>
                <w:sz w:val="24"/>
              </w:rPr>
              <w:t>路线行驶，不得因乱碾乱压破坏征地范围外的土壤结构。</w:t>
            </w:r>
          </w:p>
          <w:p>
            <w:pPr>
              <w:widowControl/>
              <w:snapToGrid w:val="0"/>
              <w:spacing w:line="480" w:lineRule="exact"/>
              <w:ind w:firstLine="480" w:firstLineChars="200"/>
              <w:rPr>
                <w:rFonts w:ascii="宋体" w:hAnsi="宋体"/>
                <w:kern w:val="0"/>
                <w:sz w:val="24"/>
              </w:rPr>
            </w:pPr>
            <w:r>
              <w:rPr>
                <w:rFonts w:hint="eastAsia" w:ascii="宋体" w:hAnsi="宋体"/>
                <w:kern w:val="0"/>
                <w:sz w:val="24"/>
              </w:rPr>
              <w:t>②</w:t>
            </w:r>
            <w:r>
              <w:rPr>
                <w:rFonts w:hint="eastAsia" w:ascii="宋体" w:hAnsi="宋体" w:cs="宋体"/>
                <w:sz w:val="24"/>
              </w:rPr>
              <w:t>井场内的柴油机、发电机房、材料堆场、柴油罐、水基岩屑方罐，均采用HDPE防渗膜进行防渗，其防渗系数不低于1×10</w:t>
            </w:r>
            <w:r>
              <w:rPr>
                <w:rFonts w:hint="eastAsia" w:ascii="宋体" w:hAnsi="宋体" w:cs="宋体"/>
                <w:sz w:val="24"/>
                <w:vertAlign w:val="superscript"/>
              </w:rPr>
              <w:t>-7</w:t>
            </w:r>
            <w:r>
              <w:rPr>
                <w:rFonts w:hint="eastAsia" w:ascii="宋体" w:hAnsi="宋体" w:cs="宋体"/>
                <w:sz w:val="24"/>
              </w:rPr>
              <w:t>cm/s，油基岩屑方罐底部敷设防渗系数不低于1×10</w:t>
            </w:r>
            <w:r>
              <w:rPr>
                <w:rFonts w:hint="eastAsia" w:ascii="宋体" w:hAnsi="宋体" w:cs="宋体"/>
                <w:sz w:val="24"/>
                <w:vertAlign w:val="superscript"/>
              </w:rPr>
              <w:t>-10</w:t>
            </w:r>
            <w:r>
              <w:rPr>
                <w:rFonts w:hint="eastAsia" w:ascii="宋体" w:hAnsi="宋体" w:cs="宋体"/>
                <w:sz w:val="24"/>
              </w:rPr>
              <w:t>cm/s防渗膜，水基、油基岩屑方罐四周设围堰，</w:t>
            </w:r>
            <w:r>
              <w:rPr>
                <w:rFonts w:hint="eastAsia" w:ascii="宋体" w:hAnsi="宋体"/>
                <w:kern w:val="0"/>
                <w:sz w:val="24"/>
              </w:rPr>
              <w:t>避免因泄漏事故发生造成油类物质进入土壤。</w:t>
            </w:r>
          </w:p>
          <w:p>
            <w:pPr>
              <w:widowControl/>
              <w:snapToGrid w:val="0"/>
              <w:spacing w:line="48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kern w:val="0"/>
                <w:sz w:val="24"/>
              </w:rPr>
              <w:t>③若发生泄漏事故应及时清理落地原油，受污染的土壤应交由具备相应危废处置资质的单位进行回收处置，沾油废物交由具有相应的危险废物处置资质的单位负责接收、转运和处置，将对土壤环境质量的影响程度降至最低。</w:t>
            </w:r>
          </w:p>
          <w:p>
            <w:pPr>
              <w:snapToGrid w:val="0"/>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上述生态环境保护措施均为技术可行、经济合理、稳定可靠、便于实施的成熟措施，在油气田勘探过程中得到广泛应用。采取上述措施后，项目施工过程中对周围生态环境的破坏可降低至可接受水平。</w:t>
            </w:r>
          </w:p>
          <w:p>
            <w:pPr>
              <w:widowControl/>
              <w:snapToGrid w:val="0"/>
              <w:spacing w:line="360" w:lineRule="auto"/>
              <w:ind w:firstLine="482" w:firstLineChars="200"/>
              <w:rPr>
                <w:rFonts w:ascii="宋体" w:hAnsi="宋体" w:cs="宋体"/>
                <w:b/>
                <w:bCs/>
                <w:sz w:val="24"/>
              </w:rPr>
            </w:pPr>
            <w:r>
              <w:rPr>
                <w:rFonts w:hint="eastAsia" w:ascii="宋体" w:hAnsi="宋体" w:cs="宋体"/>
                <w:b/>
                <w:bCs/>
                <w:sz w:val="24"/>
              </w:rPr>
              <w:t>3、水污染防治措施</w:t>
            </w:r>
          </w:p>
          <w:p>
            <w:pPr>
              <w:widowControl/>
              <w:snapToGrid w:val="0"/>
              <w:spacing w:line="360" w:lineRule="auto"/>
              <w:ind w:firstLine="480" w:firstLineChars="200"/>
              <w:jc w:val="left"/>
              <w:rPr>
                <w:rFonts w:ascii="宋体" w:hAnsi="宋体" w:cs="宋体"/>
                <w:sz w:val="24"/>
              </w:rPr>
            </w:pPr>
            <w:r>
              <w:rPr>
                <w:rFonts w:hint="eastAsia" w:ascii="宋体" w:hAnsi="宋体" w:cs="宋体"/>
                <w:sz w:val="24"/>
              </w:rPr>
              <w:t>（1）废水处理措施</w:t>
            </w:r>
          </w:p>
          <w:p>
            <w:pPr>
              <w:widowControl/>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①生活污水</w:t>
            </w:r>
          </w:p>
          <w:p>
            <w:pPr>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sz w:val="24"/>
              </w:rPr>
              <w:t>施工期生活污</w:t>
            </w:r>
            <w:r>
              <w:rPr>
                <w:rFonts w:hint="default" w:ascii="Times New Roman" w:hAnsi="Times New Roman" w:cs="Times New Roman"/>
                <w:color w:val="000000" w:themeColor="text1"/>
                <w:sz w:val="24"/>
                <w14:textFill>
                  <w14:solidFill>
                    <w14:schemeClr w14:val="tx1"/>
                  </w14:solidFill>
                </w14:textFill>
              </w:rPr>
              <w:t>水产生量约</w:t>
            </w:r>
            <w:r>
              <w:rPr>
                <w:rFonts w:hint="eastAsia" w:ascii="Times New Roman" w:hAnsi="Times New Roman" w:cs="Times New Roman"/>
                <w:color w:val="000000" w:themeColor="text1"/>
                <w:sz w:val="24"/>
                <w:lang w:val="en-US" w:eastAsia="zh-CN"/>
                <w14:textFill>
                  <w14:solidFill>
                    <w14:schemeClr w14:val="tx1"/>
                  </w14:solidFill>
                </w14:textFill>
              </w:rPr>
              <w:t>672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，排入生活营地临时防渗收集池暂存，定期由吸污车抽出后运至</w:t>
            </w:r>
            <w:r>
              <w:rPr>
                <w:rFonts w:hint="default" w:ascii="Times New Roman" w:hAnsi="Times New Roman" w:cs="Times New Roman"/>
                <w:color w:val="000000" w:themeColor="text1"/>
                <w:sz w:val="24"/>
                <w:lang w:val="en-US" w:eastAsia="zh-CN"/>
                <w14:textFill>
                  <w14:solidFill>
                    <w14:schemeClr w14:val="tx1"/>
                  </w14:solidFill>
                </w14:textFill>
              </w:rPr>
              <w:t>奇台</w:t>
            </w:r>
            <w:r>
              <w:rPr>
                <w:rFonts w:hint="default" w:ascii="Times New Roman" w:hAnsi="Times New Roman" w:cs="Times New Roman"/>
                <w:sz w:val="24"/>
              </w:rPr>
              <w:t>县</w:t>
            </w:r>
            <w:r>
              <w:rPr>
                <w:rFonts w:hint="eastAsia" w:cs="Times New Roman"/>
                <w:sz w:val="24"/>
                <w:lang w:val="en-US" w:eastAsia="zh-CN"/>
              </w:rPr>
              <w:t>城</w:t>
            </w:r>
            <w:r>
              <w:rPr>
                <w:rFonts w:hint="default" w:ascii="Times New Roman" w:hAnsi="Times New Roman" w:cs="Times New Roman"/>
                <w:sz w:val="24"/>
              </w:rPr>
              <w:t>污水处理厂处理。生活污水收集池采用HDPE防渗膜防渗，完井后撤除防渗膜对防渗池进行填埋</w:t>
            </w:r>
            <w:r>
              <w:rPr>
                <w:rFonts w:hint="default" w:ascii="Times New Roman" w:hAnsi="Times New Roman" w:cs="Times New Roman"/>
                <w:kern w:val="0"/>
                <w:sz w:val="24"/>
              </w:rPr>
              <w:t>。</w:t>
            </w:r>
          </w:p>
          <w:p>
            <w:pPr>
              <w:pStyle w:val="2"/>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奇台县城污水处理厂位于奇台县西北13.8km，污水处理厂建设规模为2.5万m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/d，于2009年2月20日取得新疆维吾尔自治区环保局批复（新环监函〔2009〕58号），2010年10月开工建设，2013年9月22日自治区环保厅以新环监函〔2013〕866号文批复同意项目投入试运行。2014 年12月4日昌吉回族自治州环境保护局以昌州环函〔2014〕299号文批复通过项目竣工环境保护验收。</w:t>
            </w:r>
            <w:r>
              <w:rPr>
                <w:rFonts w:hint="eastAsia" w:ascii="Times New Roman" w:hAnsi="Times New Roman" w:eastAsia="宋体" w:cs="Times New Roman"/>
                <w:b w:val="0"/>
                <w:bCs/>
                <w:color w:val="auto"/>
                <w:kern w:val="2"/>
                <w:sz w:val="24"/>
                <w:szCs w:val="24"/>
                <w:lang w:val="en-US" w:eastAsia="zh-CN" w:bidi="ar-SA"/>
              </w:rPr>
              <w:t>2016年10月，取得原昌吉州环境保护局以昌州环评[2016]61号文的批复，2016年8月开始提标改造，2016年12月，投入生产。2018年4月，完成自主竣工环境保护验收。</w:t>
            </w:r>
          </w:p>
          <w:p>
            <w:pPr>
              <w:pStyle w:val="2"/>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奇台县城污水处理厂</w:t>
            </w:r>
            <w:r>
              <w:rPr>
                <w:rFonts w:hint="default" w:ascii="Times New Roman" w:hAnsi="Times New Roman" w:eastAsia="宋体" w:cs="Times New Roman"/>
                <w:b w:val="0"/>
                <w:bCs/>
                <w:color w:val="auto"/>
                <w:kern w:val="2"/>
                <w:sz w:val="24"/>
                <w:szCs w:val="24"/>
                <w:lang w:val="en-US" w:eastAsia="zh-CN" w:bidi="ar-SA"/>
              </w:rPr>
              <w:t>处理采用</w:t>
            </w:r>
            <w:r>
              <w:rPr>
                <w:rFonts w:hint="eastAsia" w:ascii="Times New Roman" w:hAnsi="Times New Roman" w:eastAsia="宋体" w:cs="Times New Roman"/>
                <w:b w:val="0"/>
                <w:bCs/>
                <w:color w:val="auto"/>
                <w:kern w:val="2"/>
                <w:sz w:val="24"/>
                <w:szCs w:val="24"/>
                <w:lang w:val="en-US" w:eastAsia="zh-CN" w:bidi="ar-SA"/>
              </w:rPr>
              <w:t>格栅+氧化沟+MBR膜池工艺</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污泥采用叠螺式脱水+低温干化，消毒采用臭氧消毒，</w:t>
            </w:r>
            <w:r>
              <w:rPr>
                <w:rFonts w:hint="default" w:ascii="Times New Roman" w:hAnsi="Times New Roman" w:eastAsia="宋体" w:cs="Times New Roman"/>
                <w:b w:val="0"/>
                <w:bCs/>
                <w:color w:val="auto"/>
                <w:kern w:val="2"/>
                <w:sz w:val="24"/>
                <w:szCs w:val="24"/>
                <w:lang w:val="en-US" w:eastAsia="zh-CN" w:bidi="ar-SA"/>
              </w:rPr>
              <w:t>污水处理后出水水质达到《城镇污水处理厂污染物排放标准》（GB18918-2002）</w:t>
            </w:r>
            <w:r>
              <w:rPr>
                <w:rFonts w:hint="eastAsia" w:ascii="Times New Roman" w:hAnsi="Times New Roman" w:eastAsia="宋体" w:cs="Times New Roman"/>
                <w:b w:val="0"/>
                <w:bCs/>
                <w:color w:val="auto"/>
                <w:kern w:val="2"/>
                <w:sz w:val="24"/>
                <w:szCs w:val="24"/>
                <w:lang w:val="en-US" w:eastAsia="zh-CN" w:bidi="ar-SA"/>
              </w:rPr>
              <w:t>一</w:t>
            </w:r>
            <w:r>
              <w:rPr>
                <w:rFonts w:hint="default" w:ascii="Times New Roman" w:hAnsi="Times New Roman" w:eastAsia="宋体" w:cs="Times New Roman"/>
                <w:b w:val="0"/>
                <w:bCs/>
                <w:color w:val="auto"/>
                <w:kern w:val="2"/>
                <w:sz w:val="24"/>
                <w:szCs w:val="24"/>
                <w:lang w:val="en-US" w:eastAsia="zh-CN" w:bidi="ar-SA"/>
              </w:rPr>
              <w:t>级</w:t>
            </w:r>
            <w:r>
              <w:rPr>
                <w:rFonts w:hint="eastAsia" w:ascii="Times New Roman" w:hAnsi="Times New Roman" w:eastAsia="宋体" w:cs="Times New Roman"/>
                <w:b w:val="0"/>
                <w:bCs/>
                <w:color w:val="auto"/>
                <w:kern w:val="2"/>
                <w:sz w:val="24"/>
                <w:szCs w:val="24"/>
                <w:lang w:val="en-US" w:eastAsia="zh-CN" w:bidi="ar-SA"/>
              </w:rPr>
              <w:t>A</w:t>
            </w:r>
            <w:r>
              <w:rPr>
                <w:rFonts w:hint="default" w:ascii="Times New Roman" w:hAnsi="Times New Roman" w:eastAsia="宋体" w:cs="Times New Roman"/>
                <w:b w:val="0"/>
                <w:bCs/>
                <w:color w:val="auto"/>
                <w:kern w:val="2"/>
                <w:sz w:val="24"/>
                <w:szCs w:val="24"/>
                <w:lang w:val="en-US" w:eastAsia="zh-CN" w:bidi="ar-SA"/>
              </w:rPr>
              <w:t>标准，通过管道排入北部沙漠用于生态林建设。</w:t>
            </w:r>
            <w:r>
              <w:rPr>
                <w:rFonts w:hint="eastAsia" w:ascii="Times New Roman" w:hAnsi="Times New Roman" w:eastAsia="宋体" w:cs="Times New Roman"/>
                <w:b w:val="0"/>
                <w:bCs/>
                <w:color w:val="auto"/>
                <w:kern w:val="2"/>
                <w:sz w:val="24"/>
                <w:szCs w:val="24"/>
                <w:lang w:val="en-US" w:eastAsia="zh-CN" w:bidi="ar-SA"/>
              </w:rPr>
              <w:t>污水处理厂目前实际处理规模为20000m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/d，剩余处理量较大。本项目施工期生活污水产生量为672</w:t>
            </w:r>
            <w:r>
              <w:rPr>
                <w:rFonts w:hint="default" w:ascii="Times New Roman" w:hAnsi="Times New Roman" w:eastAsia="宋体" w:cs="Times New Roman"/>
                <w:b w:val="0"/>
                <w:bCs/>
                <w:color w:val="auto"/>
                <w:kern w:val="2"/>
                <w:sz w:val="24"/>
                <w:szCs w:val="24"/>
                <w:lang w:val="en-US" w:eastAsia="zh-CN" w:bidi="ar-SA"/>
              </w:rPr>
              <w:t>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，定期由吸污车拉运至奇台县城污水处理厂进行进一步处理，依托可行。</w:t>
            </w:r>
          </w:p>
          <w:p>
            <w:pPr>
              <w:snapToGrid w:val="0"/>
              <w:spacing w:line="360" w:lineRule="auto"/>
              <w:ind w:firstLine="480" w:firstLineChars="200"/>
              <w:rPr>
                <w:rFonts w:ascii="宋体" w:hAnsi="宋体" w:cs="宋体"/>
                <w:sz w:val="24"/>
              </w:rPr>
            </w:pPr>
            <w:r>
              <w:rPr>
                <w:rFonts w:hint="eastAsia" w:ascii="宋体" w:hAnsi="宋体" w:cs="宋体"/>
                <w:sz w:val="24"/>
              </w:rPr>
              <w:t>②试油废水</w:t>
            </w:r>
          </w:p>
          <w:p>
            <w:pPr>
              <w:keepNext/>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试油期产生的洗井废水和压裂返排液由专用方罐收集后，拉运至</w:t>
            </w:r>
            <w:r>
              <w:rPr>
                <w:rFonts w:hint="default" w:ascii="Times New Roman" w:hAnsi="Times New Roman" w:cs="Times New Roman"/>
                <w:sz w:val="24"/>
                <w:lang w:eastAsia="zh-CN"/>
              </w:rPr>
              <w:t>吉祥联合站</w:t>
            </w:r>
            <w:r>
              <w:rPr>
                <w:rFonts w:hint="default" w:ascii="Times New Roman" w:hAnsi="Times New Roman" w:cs="Times New Roman"/>
                <w:sz w:val="24"/>
              </w:rPr>
              <w:t>采出水处理系统进行处理，处理达标后全部回注油藏，不外排。</w:t>
            </w:r>
          </w:p>
          <w:p>
            <w:pPr>
              <w:keepNext/>
              <w:snapToGrid w:val="0"/>
              <w:spacing w:line="360" w:lineRule="auto"/>
              <w:ind w:firstLine="480" w:firstLineChars="200"/>
              <w:rPr>
                <w:rFonts w:ascii="宋体" w:hAnsi="宋体" w:cs="宋体"/>
                <w:color w:val="auto"/>
                <w:sz w:val="24"/>
              </w:rPr>
            </w:pPr>
            <w:r>
              <w:rPr>
                <w:rFonts w:hint="default" w:ascii="Times New Roman" w:hAnsi="Times New Roman" w:cs="Times New Roman"/>
                <w:bCs/>
                <w:color w:val="auto"/>
                <w:sz w:val="24"/>
                <w:lang w:bidi="zh-CN"/>
              </w:rPr>
              <w:t>吉祥联合站采出水处理系统设计处理能力为1800m</w:t>
            </w:r>
            <w:r>
              <w:rPr>
                <w:rFonts w:hint="default" w:ascii="Times New Roman" w:hAnsi="Times New Roman" w:cs="Times New Roman"/>
                <w:bCs/>
                <w:color w:val="auto"/>
                <w:sz w:val="24"/>
                <w:vertAlign w:val="superscript"/>
                <w:lang w:bidi="zh-CN"/>
              </w:rPr>
              <w:t>3</w:t>
            </w:r>
            <w:r>
              <w:rPr>
                <w:rFonts w:hint="default" w:ascii="Times New Roman" w:hAnsi="Times New Roman" w:cs="Times New Roman"/>
                <w:bCs/>
                <w:color w:val="auto"/>
                <w:sz w:val="24"/>
                <w:lang w:bidi="zh-CN"/>
              </w:rPr>
              <w:t>/d，采用“重力沉降除油+微涡旋絮凝反应沉降</w:t>
            </w:r>
            <w:r>
              <w:rPr>
                <w:rFonts w:hint="default" w:ascii="Times New Roman" w:hAnsi="Times New Roman" w:cs="Times New Roman"/>
                <w:bCs/>
                <w:color w:val="auto"/>
                <w:sz w:val="24"/>
                <w:lang w:val="en-US" w:bidi="zh-CN"/>
              </w:rPr>
              <w:t>+多介质过滤器、纤维束过滤器</w:t>
            </w:r>
            <w:r>
              <w:rPr>
                <w:rFonts w:hint="default" w:ascii="Times New Roman" w:hAnsi="Times New Roman" w:cs="Times New Roman"/>
                <w:bCs/>
                <w:color w:val="auto"/>
                <w:sz w:val="24"/>
                <w:lang w:bidi="zh-CN"/>
              </w:rPr>
              <w:t>双料过滤处理技术”处理工艺。出水水质达到《碎屑岩油藏注水水质指标及分析方法》（SY/T5329-2022）要求后，进入注水系统回注油层。目前采出水处理系统实际处理能力为</w:t>
            </w:r>
            <w:r>
              <w:rPr>
                <w:rFonts w:hint="default" w:ascii="Times New Roman" w:hAnsi="Times New Roman" w:cs="Times New Roman"/>
                <w:bCs/>
                <w:color w:val="auto"/>
                <w:sz w:val="24"/>
                <w:lang w:val="en-US" w:bidi="zh-CN"/>
              </w:rPr>
              <w:t>15</w:t>
            </w:r>
            <w:r>
              <w:rPr>
                <w:rFonts w:hint="default" w:ascii="Times New Roman" w:hAnsi="Times New Roman" w:cs="Times New Roman"/>
                <w:bCs/>
                <w:color w:val="auto"/>
                <w:sz w:val="24"/>
                <w:lang w:bidi="zh-CN"/>
              </w:rPr>
              <w:t>00m</w:t>
            </w:r>
            <w:r>
              <w:rPr>
                <w:rFonts w:hint="default" w:ascii="Times New Roman" w:hAnsi="Times New Roman" w:cs="Times New Roman"/>
                <w:bCs/>
                <w:color w:val="auto"/>
                <w:sz w:val="24"/>
                <w:vertAlign w:val="superscript"/>
                <w:lang w:bidi="zh-CN"/>
              </w:rPr>
              <w:t>3</w:t>
            </w:r>
            <w:r>
              <w:rPr>
                <w:rFonts w:hint="default" w:ascii="Times New Roman" w:hAnsi="Times New Roman" w:cs="Times New Roman"/>
                <w:bCs/>
                <w:color w:val="auto"/>
                <w:sz w:val="24"/>
                <w:lang w:bidi="zh-CN"/>
              </w:rPr>
              <w:t>/d，富余处理量为</w:t>
            </w:r>
            <w:r>
              <w:rPr>
                <w:rFonts w:hint="default" w:ascii="Times New Roman" w:hAnsi="Times New Roman" w:cs="Times New Roman"/>
                <w:bCs/>
                <w:color w:val="auto"/>
                <w:sz w:val="24"/>
                <w:lang w:val="en-US" w:bidi="zh-CN"/>
              </w:rPr>
              <w:t>3</w:t>
            </w:r>
            <w:r>
              <w:rPr>
                <w:rFonts w:hint="default" w:ascii="Times New Roman" w:hAnsi="Times New Roman" w:cs="Times New Roman"/>
                <w:bCs/>
                <w:color w:val="auto"/>
                <w:sz w:val="24"/>
                <w:lang w:bidi="zh-CN"/>
              </w:rPr>
              <w:t>00m</w:t>
            </w:r>
            <w:r>
              <w:rPr>
                <w:rFonts w:hint="default" w:ascii="Times New Roman" w:hAnsi="Times New Roman" w:cs="Times New Roman"/>
                <w:bCs/>
                <w:color w:val="auto"/>
                <w:sz w:val="24"/>
                <w:vertAlign w:val="superscript"/>
                <w:lang w:bidi="zh-CN"/>
              </w:rPr>
              <w:t>3</w:t>
            </w:r>
            <w:r>
              <w:rPr>
                <w:rFonts w:hint="default" w:ascii="Times New Roman" w:hAnsi="Times New Roman" w:cs="Times New Roman"/>
                <w:bCs/>
                <w:color w:val="auto"/>
                <w:sz w:val="24"/>
                <w:lang w:bidi="zh-CN"/>
              </w:rPr>
              <w:t>/d，试油期间洗井废水和压裂返排液共约</w:t>
            </w:r>
            <w:r>
              <w:rPr>
                <w:rFonts w:hint="default" w:ascii="Times New Roman" w:hAnsi="Times New Roman" w:cs="Times New Roman"/>
                <w:bCs/>
                <w:color w:val="auto"/>
                <w:sz w:val="24"/>
                <w:lang w:val="en-US" w:bidi="zh-CN"/>
              </w:rPr>
              <w:t>901.7</w:t>
            </w:r>
            <w:r>
              <w:rPr>
                <w:rFonts w:hint="default" w:ascii="Times New Roman" w:hAnsi="Times New Roman" w:cs="Times New Roman"/>
                <w:bCs/>
                <w:color w:val="auto"/>
                <w:sz w:val="24"/>
                <w:lang w:bidi="zh-CN"/>
              </w:rPr>
              <w:t>m</w:t>
            </w:r>
            <w:r>
              <w:rPr>
                <w:rFonts w:hint="default" w:ascii="Times New Roman" w:hAnsi="Times New Roman" w:cs="Times New Roman"/>
                <w:bCs/>
                <w:color w:val="auto"/>
                <w:sz w:val="24"/>
                <w:vertAlign w:val="superscript"/>
                <w:lang w:bidi="zh-CN"/>
              </w:rPr>
              <w:t>3</w:t>
            </w:r>
            <w:r>
              <w:rPr>
                <w:rFonts w:hint="eastAsia" w:ascii="宋体" w:hAnsi="宋体" w:cs="宋体"/>
                <w:bCs/>
                <w:color w:val="auto"/>
                <w:sz w:val="24"/>
                <w:lang w:bidi="zh-CN"/>
              </w:rPr>
              <w:t>，定期拉运至吉祥联合站进行处理。吉祥联合站采出水处理系统余量可满足本项目试油废水处理需求，依托可行。</w:t>
            </w:r>
          </w:p>
          <w:p>
            <w:pPr>
              <w:widowControl/>
              <w:tabs>
                <w:tab w:val="left" w:pos="4584"/>
              </w:tabs>
              <w:adjustRightInd w:val="0"/>
              <w:snapToGrid w:val="0"/>
              <w:spacing w:line="360" w:lineRule="auto"/>
              <w:ind w:firstLine="472" w:firstLineChars="200"/>
              <w:jc w:val="left"/>
              <w:rPr>
                <w:rFonts w:ascii="宋体" w:hAnsi="宋体" w:cs="宋体"/>
                <w:spacing w:val="-2"/>
                <w:sz w:val="24"/>
              </w:rPr>
            </w:pPr>
            <w:r>
              <w:rPr>
                <w:rFonts w:hint="eastAsia" w:ascii="宋体" w:hAnsi="宋体" w:cs="宋体"/>
                <w:spacing w:val="-2"/>
                <w:sz w:val="24"/>
              </w:rPr>
              <w:t>（2）地下水保护措施</w:t>
            </w:r>
          </w:p>
          <w:p>
            <w:pPr>
              <w:widowControl/>
              <w:tabs>
                <w:tab w:val="left" w:pos="4584"/>
              </w:tabs>
              <w:adjustRightInd w:val="0"/>
              <w:snapToGrid w:val="0"/>
              <w:spacing w:line="360" w:lineRule="auto"/>
              <w:ind w:firstLine="464" w:firstLineChars="200"/>
              <w:rPr>
                <w:rFonts w:ascii="宋体" w:hAnsi="宋体" w:cs="宋体"/>
                <w:spacing w:val="-4"/>
                <w:sz w:val="24"/>
              </w:rPr>
            </w:pPr>
            <w:r>
              <w:rPr>
                <w:rFonts w:hint="eastAsia" w:ascii="宋体" w:hAnsi="宋体" w:cs="宋体"/>
                <w:spacing w:val="-4"/>
                <w:sz w:val="24"/>
              </w:rPr>
              <w:t>本次钻井过程中采用套管与地层隔离开、并在套管与地层之间注入水泥进行固井，水泥浆返至地面，封隔疏松地层和水层。本项目</w:t>
            </w:r>
            <w:r>
              <w:rPr>
                <w:rFonts w:ascii="宋体" w:hAnsi="宋体" w:cs="宋体"/>
                <w:spacing w:val="-4"/>
                <w:sz w:val="24"/>
              </w:rPr>
              <w:t>表层套管的深度</w:t>
            </w:r>
            <w:r>
              <w:rPr>
                <w:rFonts w:hint="eastAsia" w:ascii="宋体" w:hAnsi="宋体" w:cs="宋体"/>
                <w:spacing w:val="-4"/>
                <w:sz w:val="24"/>
              </w:rPr>
              <w:t>为</w:t>
            </w:r>
            <w:r>
              <w:rPr>
                <w:rFonts w:hint="eastAsia" w:ascii="宋体" w:hAnsi="宋体" w:cs="宋体"/>
                <w:spacing w:val="-4"/>
                <w:sz w:val="24"/>
                <w:lang w:val="en-US" w:eastAsia="zh-CN"/>
              </w:rPr>
              <w:t>8</w:t>
            </w:r>
            <w:r>
              <w:rPr>
                <w:rFonts w:ascii="宋体" w:hAnsi="宋体" w:cs="宋体"/>
                <w:spacing w:val="-4"/>
                <w:sz w:val="24"/>
              </w:rPr>
              <w:t>00</w:t>
            </w:r>
            <w:r>
              <w:rPr>
                <w:rFonts w:hint="eastAsia" w:ascii="宋体" w:hAnsi="宋体" w:cs="宋体"/>
                <w:spacing w:val="-4"/>
                <w:sz w:val="24"/>
              </w:rPr>
              <w:t>m，有效隔断了井身与地下水之间的联系，</w:t>
            </w:r>
            <w:r>
              <w:rPr>
                <w:rFonts w:ascii="宋体" w:hAnsi="宋体" w:cs="宋体"/>
                <w:spacing w:val="-4"/>
                <w:sz w:val="24"/>
              </w:rPr>
              <w:t>可保护地下水环境不受污染。</w:t>
            </w:r>
            <w:r>
              <w:rPr>
                <w:rFonts w:hint="eastAsia" w:ascii="宋体" w:hAnsi="宋体" w:cs="宋体"/>
                <w:spacing w:val="-4"/>
                <w:sz w:val="24"/>
              </w:rPr>
              <w:t>试油</w:t>
            </w:r>
            <w:r>
              <w:rPr>
                <w:rFonts w:ascii="宋体" w:hAnsi="宋体" w:cs="宋体"/>
                <w:spacing w:val="-4"/>
                <w:sz w:val="24"/>
              </w:rPr>
              <w:t>目的层与地下水处于不同层系，在施工过程中</w:t>
            </w:r>
            <w:r>
              <w:rPr>
                <w:rFonts w:hint="eastAsia" w:ascii="宋体" w:hAnsi="宋体" w:cs="宋体"/>
                <w:spacing w:val="-4"/>
                <w:sz w:val="24"/>
              </w:rPr>
              <w:t>确保套管下入指定深度，有效避免试油作业</w:t>
            </w:r>
            <w:r>
              <w:rPr>
                <w:rFonts w:ascii="宋体" w:hAnsi="宋体" w:cs="宋体"/>
                <w:spacing w:val="-4"/>
                <w:sz w:val="24"/>
              </w:rPr>
              <w:t>对地下水环境的影响。</w:t>
            </w:r>
            <w:r>
              <w:rPr>
                <w:rFonts w:hAnsi="宋体" w:cs="宋体"/>
                <w:spacing w:val="-4"/>
                <w:kern w:val="0"/>
                <w:sz w:val="24"/>
              </w:rPr>
              <w:t>钻井</w:t>
            </w:r>
            <w:r>
              <w:rPr>
                <w:rFonts w:hint="eastAsia" w:hAnsi="宋体" w:cs="宋体"/>
                <w:spacing w:val="-4"/>
                <w:kern w:val="0"/>
                <w:sz w:val="24"/>
              </w:rPr>
              <w:t>时</w:t>
            </w:r>
            <w:r>
              <w:rPr>
                <w:rFonts w:hAnsi="宋体" w:cs="宋体"/>
                <w:spacing w:val="-4"/>
                <w:kern w:val="0"/>
                <w:sz w:val="24"/>
              </w:rPr>
              <w:t>严格</w:t>
            </w:r>
            <w:r>
              <w:rPr>
                <w:rFonts w:hint="eastAsia" w:hAnsi="宋体" w:cs="宋体"/>
                <w:spacing w:val="-4"/>
                <w:kern w:val="0"/>
                <w:sz w:val="24"/>
              </w:rPr>
              <w:t>落实套管下入深度合格和固井质量合格</w:t>
            </w:r>
            <w:r>
              <w:rPr>
                <w:rFonts w:hAnsi="宋体" w:cs="宋体"/>
                <w:spacing w:val="-4"/>
                <w:kern w:val="0"/>
                <w:sz w:val="24"/>
              </w:rPr>
              <w:t>，对产生的废水进行严格管理，基本不会对所在区域地下水产生影响。</w:t>
            </w:r>
          </w:p>
          <w:p>
            <w:pPr>
              <w:widowControl/>
              <w:snapToGrid w:val="0"/>
              <w:spacing w:line="360" w:lineRule="auto"/>
              <w:ind w:firstLine="480" w:firstLineChars="200"/>
              <w:rPr>
                <w:rFonts w:ascii="宋体" w:hAnsi="宋体" w:cs="宋体"/>
                <w:kern w:val="0"/>
                <w:sz w:val="24"/>
              </w:rPr>
            </w:pPr>
            <w:r>
              <w:rPr>
                <w:rFonts w:hint="eastAsia" w:ascii="宋体" w:hAnsi="宋体" w:cs="宋体"/>
                <w:kern w:val="0"/>
                <w:sz w:val="24"/>
              </w:rPr>
              <w:t>此外，施工期间井场内的油罐、废水储罐、岩屑储罐、发电机、材料堆场等区域均铺设HDPE防渗膜，其渗透系数≤1×1</w:t>
            </w:r>
            <w:r>
              <w:rPr>
                <w:rFonts w:ascii="宋体" w:hAnsi="宋体" w:cs="宋体"/>
                <w:kern w:val="0"/>
                <w:sz w:val="24"/>
              </w:rPr>
              <w:t>0</w:t>
            </w:r>
            <w:r>
              <w:rPr>
                <w:rFonts w:hint="eastAsia" w:ascii="宋体" w:hAnsi="宋体" w:cs="宋体"/>
                <w:kern w:val="0"/>
                <w:sz w:val="24"/>
                <w:vertAlign w:val="superscript"/>
              </w:rPr>
              <w:t>-7</w:t>
            </w:r>
            <w:r>
              <w:rPr>
                <w:rFonts w:hint="eastAsia" w:ascii="宋体" w:hAnsi="宋体" w:cs="宋体"/>
                <w:kern w:val="0"/>
                <w:sz w:val="24"/>
              </w:rPr>
              <w:t>cm</w:t>
            </w:r>
            <w:r>
              <w:rPr>
                <w:rFonts w:ascii="宋体" w:hAnsi="宋体" w:cs="宋体"/>
                <w:kern w:val="0"/>
                <w:sz w:val="24"/>
              </w:rPr>
              <w:t>/s</w:t>
            </w:r>
            <w:r>
              <w:rPr>
                <w:rFonts w:hint="eastAsia" w:ascii="宋体" w:hAnsi="宋体" w:cs="宋体"/>
                <w:kern w:val="0"/>
                <w:sz w:val="24"/>
              </w:rPr>
              <w:t>，施工过程中产生的废水能够得到妥善处理</w:t>
            </w:r>
            <w:r>
              <w:rPr>
                <w:rFonts w:ascii="宋体" w:hAnsi="宋体" w:cs="宋体"/>
                <w:kern w:val="0"/>
                <w:sz w:val="24"/>
              </w:rPr>
              <w:t>。</w:t>
            </w:r>
          </w:p>
          <w:p>
            <w:pPr>
              <w:pStyle w:val="59"/>
              <w:snapToGrid w:val="0"/>
              <w:spacing w:line="360" w:lineRule="auto"/>
              <w:ind w:firstLine="480"/>
              <w:rPr>
                <w:rFonts w:cs="宋体"/>
              </w:rPr>
            </w:pPr>
            <w:r>
              <w:rPr>
                <w:rFonts w:hint="eastAsia" w:cs="宋体"/>
              </w:rPr>
              <w:t>综上所述，项目废水在采取上述措施后不会对水环境产生不利影响。</w:t>
            </w:r>
          </w:p>
          <w:p>
            <w:pPr>
              <w:pStyle w:val="59"/>
              <w:ind w:left="0" w:leftChars="0" w:firstLine="482" w:firstLineChars="200"/>
              <w:rPr>
                <w:b/>
                <w:bCs/>
              </w:rPr>
            </w:pPr>
            <w:r>
              <w:rPr>
                <w:rFonts w:hint="eastAsia"/>
                <w:b/>
                <w:bCs/>
              </w:rPr>
              <w:t>4、大气污染防治措施</w:t>
            </w:r>
          </w:p>
          <w:p>
            <w:pPr>
              <w:pStyle w:val="59"/>
              <w:ind w:firstLine="480"/>
            </w:pPr>
            <w:r>
              <w:rPr>
                <w:rFonts w:hint="eastAsia"/>
              </w:rPr>
              <w:t>钻试过程中需要采取以下大气污染防治措施：</w:t>
            </w:r>
          </w:p>
          <w:p>
            <w:pPr>
              <w:pStyle w:val="59"/>
              <w:ind w:firstLine="480"/>
            </w:pPr>
            <w:r>
              <w:rPr>
                <w:rFonts w:hint="eastAsia"/>
              </w:rPr>
              <w:t>（1）使用符合国家标准的柴油，加强机械、车辆的维护。</w:t>
            </w:r>
          </w:p>
          <w:p>
            <w:pPr>
              <w:pStyle w:val="59"/>
              <w:ind w:firstLine="480"/>
            </w:pPr>
            <w:r>
              <w:rPr>
                <w:rFonts w:hint="eastAsia"/>
              </w:rPr>
              <w:t>（2）施工现场运输车辆应低速慢行，不得超载，并采取密闭或遮盖措施；车辆沿道路行驶，不得随意开设便道，控制车速；对易起尘物料进行遮盖。</w:t>
            </w:r>
          </w:p>
          <w:p>
            <w:pPr>
              <w:pStyle w:val="59"/>
              <w:ind w:firstLine="480"/>
            </w:pPr>
            <w:r>
              <w:rPr>
                <w:rFonts w:hint="eastAsia"/>
              </w:rPr>
              <w:t>（3）试油期产生的伴生气量不稳定，无法进行回收利用，经排气管线燃烧后排放，定期检查燃烧设备，加强燃烧设备的运营维护，确保伴生气充分燃烧。</w:t>
            </w:r>
          </w:p>
          <w:p>
            <w:pPr>
              <w:pStyle w:val="59"/>
              <w:ind w:firstLine="480"/>
            </w:pPr>
            <w:r>
              <w:rPr>
                <w:rFonts w:hint="eastAsia"/>
              </w:rPr>
              <w:t>（4）</w:t>
            </w:r>
            <w:r>
              <w:rPr>
                <w:rFonts w:cs="宋体"/>
              </w:rPr>
              <w:t>试油</w:t>
            </w:r>
            <w:r>
              <w:rPr>
                <w:rFonts w:hint="eastAsia" w:cs="宋体"/>
              </w:rPr>
              <w:t>期</w:t>
            </w:r>
            <w:r>
              <w:rPr>
                <w:rFonts w:cs="宋体"/>
              </w:rPr>
              <w:t>采出液</w:t>
            </w:r>
            <w:r>
              <w:rPr>
                <w:rFonts w:hint="eastAsia" w:cs="宋体"/>
              </w:rPr>
              <w:t>储存及</w:t>
            </w:r>
            <w:r>
              <w:rPr>
                <w:rFonts w:cs="宋体"/>
              </w:rPr>
              <w:t>装载应符合《陆上石油天然气开采工业大气污染物排放标准》（GB39728-2020）要求。</w:t>
            </w:r>
          </w:p>
          <w:p>
            <w:pPr>
              <w:pStyle w:val="59"/>
              <w:ind w:firstLine="480"/>
            </w:pPr>
            <w:r>
              <w:rPr>
                <w:rFonts w:hint="eastAsia"/>
              </w:rPr>
              <w:t>在采取上述措施后，排放的大气污染物不会对周围环境空气产生明显影响。</w:t>
            </w:r>
          </w:p>
          <w:p>
            <w:pPr>
              <w:pStyle w:val="59"/>
              <w:ind w:left="0" w:leftChars="0" w:firstLine="482" w:firstLineChars="200"/>
              <w:rPr>
                <w:b/>
                <w:bCs/>
              </w:rPr>
            </w:pPr>
            <w:r>
              <w:rPr>
                <w:rFonts w:hint="eastAsia"/>
                <w:b/>
                <w:bCs/>
              </w:rPr>
              <w:t>5、声环境污染防治措施</w:t>
            </w:r>
          </w:p>
          <w:p>
            <w:pPr>
              <w:pStyle w:val="66"/>
              <w:ind w:firstLine="480"/>
            </w:pPr>
            <w:r>
              <w:rPr>
                <w:rFonts w:hint="eastAsia"/>
              </w:rPr>
              <w:t>施工机械采用低噪声设备,加强设备维护及保养，在设备底部进行基础减振处理。</w:t>
            </w:r>
          </w:p>
          <w:p>
            <w:pPr>
              <w:pStyle w:val="66"/>
              <w:ind w:firstLine="480"/>
            </w:pPr>
            <w:r>
              <w:rPr>
                <w:rFonts w:hint="eastAsia"/>
              </w:rPr>
              <w:t>以上措施技术经济条件可行，且优先从噪声源采取合理的技术措施，可实现噪声主动控制，减轻噪声对环境的影响。</w:t>
            </w:r>
          </w:p>
          <w:p>
            <w:pPr>
              <w:pStyle w:val="59"/>
              <w:ind w:left="0" w:leftChars="0" w:firstLine="482" w:firstLineChars="200"/>
              <w:rPr>
                <w:b/>
                <w:bCs/>
              </w:rPr>
            </w:pPr>
            <w:bookmarkStart w:id="29" w:name="_Hlk129692423"/>
            <w:r>
              <w:rPr>
                <w:rFonts w:hint="eastAsia"/>
                <w:b/>
                <w:bCs/>
              </w:rPr>
              <w:t>6、固体废物处置措施</w:t>
            </w:r>
          </w:p>
          <w:p>
            <w:pPr>
              <w:snapToGrid w:val="0"/>
              <w:spacing w:line="500" w:lineRule="exact"/>
              <w:ind w:firstLine="480" w:firstLineChars="200"/>
              <w:rPr>
                <w:rFonts w:ascii="宋体" w:hAnsi="宋体" w:cs="宋体"/>
                <w:sz w:val="24"/>
              </w:rPr>
            </w:pPr>
            <w:r>
              <w:rPr>
                <w:rFonts w:hint="eastAsia" w:ascii="宋体" w:hAnsi="宋体" w:cs="宋体"/>
                <w:sz w:val="24"/>
              </w:rPr>
              <w:t>本项目产生的固体废物主要为生活垃圾、水基钻井岩屑、油基钻井岩屑和废防渗材料。</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（1）生活垃圾</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井场和生活营地设置生活垃圾收集箱，集中收集后拉运至</w:t>
            </w:r>
            <w:r>
              <w:rPr>
                <w:rFonts w:hint="default" w:ascii="Times New Roman" w:hAnsi="Times New Roman" w:cs="Times New Roman"/>
                <w:sz w:val="24"/>
                <w:lang w:val="en-US" w:eastAsia="zh-CN"/>
              </w:rPr>
              <w:t>奇台</w:t>
            </w:r>
            <w:r>
              <w:rPr>
                <w:rFonts w:hint="default" w:ascii="Times New Roman" w:hAnsi="Times New Roman" w:cs="Times New Roman"/>
                <w:sz w:val="24"/>
              </w:rPr>
              <w:t>县生活垃圾填埋场处置。</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（2）水基钻井岩屑</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一开钻井采用水基钻井液，钻井时井筒返排的钻井液及岩屑经不落地设备分离，分离出的液相回用于钻井液配置，分离出的水基钻井液进专用储罐暂存，</w:t>
            </w:r>
            <w:bookmarkStart w:id="30" w:name="_Hlk69139413"/>
            <w:r>
              <w:rPr>
                <w:rFonts w:hint="default" w:ascii="Times New Roman" w:hAnsi="Times New Roman" w:cs="Times New Roman"/>
                <w:sz w:val="24"/>
              </w:rPr>
              <w:t>委托岩屑处置单位直接拉运</w:t>
            </w:r>
            <w:bookmarkEnd w:id="30"/>
            <w:r>
              <w:rPr>
                <w:rFonts w:hint="default" w:ascii="Times New Roman" w:hAnsi="Times New Roman" w:cs="Times New Roman"/>
                <w:sz w:val="24"/>
              </w:rPr>
              <w:t>处置。水基钻井岩屑处理工艺流程如图</w:t>
            </w:r>
            <w:r>
              <w:rPr>
                <w:rFonts w:hint="default" w:ascii="Times New Roman" w:hAnsi="Times New Roman" w:cs="Times New Roman"/>
                <w:sz w:val="24"/>
                <w:lang w:val="en-US" w:eastAsia="zh-CN"/>
              </w:rPr>
              <w:t>5-1</w:t>
            </w:r>
            <w:r>
              <w:rPr>
                <w:rFonts w:hint="default" w:ascii="Times New Roman" w:hAnsi="Times New Roman" w:cs="Times New Roman"/>
                <w:sz w:val="24"/>
              </w:rPr>
              <w:t>所示。</w:t>
            </w:r>
          </w:p>
          <w:p>
            <w:pPr>
              <w:snapToGrid w:val="0"/>
              <w:spacing w:line="5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mc:AlternateContent>
                <mc:Choice Requires="wpc">
                  <w:drawing>
                    <wp:anchor distT="0" distB="0" distL="114935" distR="114935" simplePos="0" relativeHeight="251659264" behindDoc="0" locked="0" layoutInCell="1" allowOverlap="1">
                      <wp:simplePos x="0" y="0"/>
                      <wp:positionH relativeFrom="column">
                        <wp:posOffset>219075</wp:posOffset>
                      </wp:positionH>
                      <wp:positionV relativeFrom="paragraph">
                        <wp:posOffset>100330</wp:posOffset>
                      </wp:positionV>
                      <wp:extent cx="4449445" cy="1069975"/>
                      <wp:effectExtent l="0" t="0" r="0" b="0"/>
                      <wp:wrapTopAndBottom/>
                      <wp:docPr id="25" name="画布 25"/>
                      <wp:cNvGraphicFramePr/>
                      <a:graphic xmlns:a="http://schemas.openxmlformats.org/drawingml/2006/main">
                        <a:graphicData uri="http://schemas.microsoft.com/office/word/2010/wordprocessingCanvas">
                          <wpc:wpc>
                            <wpc:bg/>
                            <wpc:whole/>
                            <wps:wsp>
                              <wps:cNvPr id="14" name="矩形 34"/>
                              <wps:cNvSpPr/>
                              <wps:spPr>
                                <a:xfrm>
                                  <a:off x="1539875" y="111760"/>
                                  <a:ext cx="91313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不落地系统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35"/>
                              <wps:cNvSpPr/>
                              <wps:spPr>
                                <a:xfrm>
                                  <a:off x="3275965" y="24765"/>
                                  <a:ext cx="1023620" cy="4737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方罐暂存后委外拉运处置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37"/>
                              <wps:cNvCnPr>
                                <a:stCxn id="4294967295" idx="3"/>
                              </wps:cNvCnPr>
                              <wps:spPr>
                                <a:xfrm>
                                  <a:off x="2453005" y="243205"/>
                                  <a:ext cx="8229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直接箭头连接符 38"/>
                              <wps:cNvCnPr/>
                              <wps:spPr>
                                <a:xfrm flipV="1">
                                  <a:off x="1188085" y="242570"/>
                                  <a:ext cx="3409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矩形 39"/>
                              <wps:cNvSpPr/>
                              <wps:spPr>
                                <a:xfrm>
                                  <a:off x="1524635" y="734695"/>
                                  <a:ext cx="139700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回用于钻井液配置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直接箭头连接符 40"/>
                              <wps:cNvCnPr/>
                              <wps:spPr>
                                <a:xfrm flipH="1">
                                  <a:off x="2223135" y="374650"/>
                                  <a:ext cx="635"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矩形 41"/>
                              <wps:cNvSpPr/>
                              <wps:spPr>
                                <a:xfrm>
                                  <a:off x="2148205" y="414020"/>
                                  <a:ext cx="469265" cy="2628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42"/>
                              <wps:cNvSpPr/>
                              <wps:spPr>
                                <a:xfrm>
                                  <a:off x="2487930" y="0"/>
                                  <a:ext cx="738505" cy="5041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3"/>
                              <wps:cNvSpPr/>
                              <wps:spPr>
                                <a:xfrm>
                                  <a:off x="128905" y="113665"/>
                                  <a:ext cx="105918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钻井液及岩屑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17.25pt;margin-top:7.9pt;height:84.25pt;width:350.35pt;mso-wrap-distance-bottom:0pt;mso-wrap-distance-top:0pt;z-index:251659264;mso-width-relative:page;mso-height-relative:page;" coordsize="4449445,1069975" editas="canvas" o:gfxdata="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NxeTvPaAAAACQEA&#10;AA8AAAAAAAAAAQAgAAAAIgAAAGRycy9kb3ducmV2LnhtbFBLAQIUABQAAAAIAIdO4kAvU05U/QQA&#10;ANwbAAAOAAAAAAAAAAEAIAAAACkBAABkcnMvZTJvRG9jLnhtbFBLBQYAAAAABgAGAFkBAACYCAAA&#10;AAA=&#10;">
                      <o:lock v:ext="edit" aspectratio="f"/>
                      <v:shape id="_x0000_s1026" o:spid="_x0000_s1026" style="position:absolute;left:0;top:0;height:1069975;width:4449445;" filled="f" stroked="f" coordsize="21600,21600" o:gfxdata="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DcXk7z2gAAAAkBAAAPAAAAAAAAAAEAIAAAACIAAABkcnMvZG93bnJl&#10;di54bWxQSwECFAAUAAAACACHTuJAkt85racEAAAhGwAADgAAAAAAAAABACAAAAApAQAAZHJzL2Uy&#10;b0RvYy54bWxQSwUGAAAAAAYABgBZAQAAQggAAAAA&#10;">
                        <v:fill on="f" focussize="0,0"/>
                        <v:stroke on="f"/>
                        <v:imagedata o:title=""/>
                        <o:lock v:ext="edit" aspectratio="f"/>
                      </v:shape>
                      <v:rect id="矩形 34" o:spid="_x0000_s1026" o:spt="1" style="position:absolute;left:1539875;top:111760;height:262890;width:91313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Ul6x2AAAAAkBAAAPAAAAAAAAAAEA&#10;IAAAACIAAABkcnMvZG93bnJldi54bWxQSwECFAAUAAAACACHTuJAz5j3HYECAAAKBQAADgAAAAAA&#10;AAABACAAAAAnAQAAZHJzL2Uyb0RvYy54bWxQSwUGAAAAAAYABgBZAQAAGgY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不落地系统</w:t>
                              </w:r>
                            </w:p>
                          </w:txbxContent>
                        </v:textbox>
                      </v:rect>
                      <v:rect id="矩形 35" o:spid="_x0000_s1026" o:spt="1" style="position:absolute;left:3275965;top:24765;height:473710;width:102362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Ul6x2AAAAAkBAAAPAAAAAAAAAAEA&#10;IAAAACIAAABkcnMvZG93bnJldi54bWxQSwECFAAUAAAACACHTuJAB/KWroECAAAKBQAADgAAAAAA&#10;AAABACAAAAAnAQAAZHJzL2Uyb0RvYy54bWxQSwUGAAAAAAYABgBZAQAAGgY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方罐暂存后委外拉运处置</w:t>
                              </w:r>
                            </w:p>
                          </w:txbxContent>
                        </v:textbox>
                      </v:rect>
                      <v:shape id="直接箭头连接符 37" o:spid="_x0000_s1026" o:spt="32" type="#_x0000_t32" style="position:absolute;left:2453005;top:243205;height:0;width:822960;" filled="f" stroked="t" coordsize="21600,21600" o:gfxdata="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CRyLdgAAAAJAQAADwAAAAAAAAABACAAAAAiAAAAZHJzL2Rvd25yZXYueG1sUEsBAhQAFAAA&#10;AAgAh07iQAohGZwoAgAAGQQAAA4AAAAAAAAAAQAgAAAAJwEAAGRycy9lMm9Eb2MueG1sUEsFBgAA&#10;AAAGAAYAWQEAAMEFAAAAAA==&#10;">
                        <v:fill on="f" focussize="0,0"/>
                        <v:stroke weight="0.5pt" color="#000000 [3213]" miterlimit="8" joinstyle="miter" endarrow="open"/>
                        <v:imagedata o:title=""/>
                        <o:lock v:ext="edit" aspectratio="f"/>
                      </v:shape>
                      <v:shape id="直接箭头连接符 38" o:spid="_x0000_s1026" o:spt="32" type="#_x0000_t32" style="position:absolute;left:1188085;top:242570;flip:y;height:2540;width:340995;" filled="f" stroked="t" coordsize="21600,21600" o:gfxdata="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L0MA2AAAAAkBAAAP&#10;AAAAAAAAAAEAIAAAACIAAABkcnMvZG93bnJldi54bWxQSwECFAAUAAAACACHTuJAkk4/dBgCAAD3&#10;AwAADgAAAAAAAAABACAAAAAnAQAAZHJzL2Uyb0RvYy54bWxQSwUGAAAAAAYABgBZAQAAsQUAAAAA&#10;">
                        <v:fill on="f" focussize="0,0"/>
                        <v:stroke weight="0.5pt" color="#000000 [3213]" miterlimit="8" joinstyle="miter" endarrow="open"/>
                        <v:imagedata o:title=""/>
                        <o:lock v:ext="edit" aspectratio="f"/>
                      </v:shape>
                      <v:rect id="矩形 39" o:spid="_x0000_s1026" o:spt="1" style="position:absolute;left:1524635;top:734695;height:262890;width:139700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1JesdgAAAAJAQAADwAAAAAAAAAB&#10;ACAAAAAiAAAAZHJzL2Rvd25yZXYueG1sUEsBAhQAFAAAAAgAh07iQDLtk9iCAgAACwUAAA4AAAAA&#10;AAAAAQAgAAAAJwEAAGRycy9lMm9Eb2MueG1sUEsFBgAAAAAGAAYAWQEAABsGA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回用于钻井液配置</w:t>
                              </w:r>
                            </w:p>
                          </w:txbxContent>
                        </v:textbox>
                      </v:rect>
                      <v:shape id="直接箭头连接符 40" o:spid="_x0000_s1026" o:spt="32" type="#_x0000_t32" style="position:absolute;left:2223135;top:374650;flip:x;height:360045;width:635;" filled="f" stroked="t" coordsize="21600,21600" o:gfxdata="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IvQwDYAAAACQEAAA8AAAAA&#10;AAAAAQAgAAAAIgAAAGRycy9kb3ducmV2LnhtbFBLAQIUABQAAAAIAIdO4kDUtXkcFAIAAPYDAAAO&#10;AAAAAAAAAAEAIAAAACcBAABkcnMvZTJvRG9jLnhtbFBLBQYAAAAABgAGAFkBAACtBQAAAAA=&#10;">
                        <v:fill on="f" focussize="0,0"/>
                        <v:stroke weight="0.5pt" color="#000000 [3213]" miterlimit="8" joinstyle="miter" endarrow="open"/>
                        <v:imagedata o:title=""/>
                        <o:lock v:ext="edit" aspectratio="f"/>
                      </v:shape>
                      <v:rect id="矩形 41" o:spid="_x0000_s1026" o:spt="1" style="position:absolute;left:2148205;top:414020;height:262890;width:469265;v-text-anchor:middle;" filled="f" stroked="f" coordsize="21600,21600" o:gfxdata="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8Z9kAAAAJAQAADwAAAAAAAAABACAAAAAiAAAAZHJzL2Rvd25yZXYu&#10;eG1sUEsBAhQAFAAAAAgAh07iQOmjgFFsAgAAuAQAAA4AAAAAAAAAAQAgAAAAKAEAAGRycy9lMm9E&#10;b2MueG1sUEsFBgAAAAAGAAYAWQEAAAYGA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v:textbox>
                      </v:rect>
                      <v:rect id="矩形 42" o:spid="_x0000_s1026" o:spt="1" style="position:absolute;left:2487930;top:0;height:504190;width:738505;v-text-anchor:middle;" filled="f" stroked="f" coordsize="21600,21600" o:gfxdata="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v4fGfZAAAACQEAAA8AAAAAAAAAAQAgAAAAIgAAAGRycy9kb3ducmV2LnhtbFBL&#10;AQIUABQAAAAIAIdO4kDVtLquZwIAALMEAAAOAAAAAAAAAAEAIAAAACgBAABkcnMvZTJvRG9jLnht&#10;bFBLBQYAAAAABgAGAFkBAAABBg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xbxContent>
                        </v:textbox>
                      </v:rect>
                      <v:rect id="矩形 3" o:spid="_x0000_s1026" o:spt="1" style="position:absolute;left:128905;top:113665;height:262890;width:105918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dSXrHYAAAACQEAAA8AAAAAAAAAAQAgAAAA&#10;IgAAAGRycy9kb3ducmV2LnhtbFBLAQIUABQAAAAIAIdO4kAKc0VNfQIAAAkFAAAOAAAAAAAAAAEA&#10;IAAAACcBAABkcnMvZTJvRG9jLnhtbFBLBQYAAAAABgAGAFkBAAAWBg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钻井液及岩屑</w:t>
                              </w:r>
                            </w:p>
                          </w:txbxContent>
                        </v:textbox>
                      </v:rect>
                      <w10:wrap type="topAndBottom"/>
                    </v:group>
                  </w:pict>
                </mc:Fallback>
              </mc:AlternateContent>
            </w:r>
            <w:r>
              <w:rPr>
                <w:rFonts w:hint="default" w:ascii="Times New Roman" w:hAnsi="Times New Roman" w:eastAsia="宋体" w:cs="Times New Roman"/>
                <w:b/>
                <w:bCs/>
                <w:szCs w:val="21"/>
              </w:rPr>
              <w:t>图</w:t>
            </w:r>
            <w:r>
              <w:rPr>
                <w:rFonts w:hint="default" w:ascii="Times New Roman" w:hAnsi="Times New Roman" w:eastAsia="宋体" w:cs="Times New Roman"/>
                <w:b/>
                <w:bCs/>
                <w:szCs w:val="21"/>
                <w:lang w:val="en-US" w:eastAsia="zh-CN"/>
              </w:rPr>
              <w:t>5-1</w:t>
            </w:r>
            <w:r>
              <w:rPr>
                <w:rFonts w:hint="default" w:ascii="Times New Roman" w:hAnsi="Times New Roman" w:eastAsia="宋体" w:cs="Times New Roman"/>
                <w:b/>
                <w:bCs/>
                <w:szCs w:val="21"/>
              </w:rPr>
              <w:t xml:space="preserve">  水基钻井岩屑处理工艺流程图</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（3）油基钻井岩屑</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二开钻井采用油基钻井液，钻井时井筒返排的钻井液及岩屑经井口振动筛、清洁器、离心机等设备进行初步分离后，进入不落地系统处理，固体经甩干机进行第一次固液分离，再由离心机对甩干机排出的液体进行第二次固液分离，实现深度分离，分离出的液相回用于钻井液配制，分离出的固相属于HW08类危险废物（废物代码：071-002-08），</w:t>
            </w:r>
            <w:bookmarkStart w:id="31" w:name="_Hlk79489344"/>
            <w:r>
              <w:rPr>
                <w:rFonts w:hint="default" w:ascii="Times New Roman" w:hAnsi="Times New Roman" w:cs="Times New Roman"/>
                <w:sz w:val="24"/>
              </w:rPr>
              <w:t>采用专用的方罐进行收集，罐底底部铺设渗透系数不小于10</w:t>
            </w:r>
            <w:r>
              <w:rPr>
                <w:rFonts w:hint="default" w:ascii="Times New Roman" w:hAnsi="Times New Roman" w:cs="Times New Roman"/>
                <w:sz w:val="24"/>
                <w:vertAlign w:val="superscript"/>
              </w:rPr>
              <w:t>-7</w:t>
            </w:r>
            <w:r>
              <w:rPr>
                <w:rFonts w:hint="default" w:ascii="Times New Roman" w:hAnsi="Times New Roman" w:cs="Times New Roman"/>
                <w:sz w:val="24"/>
              </w:rPr>
              <w:t>cm/s的防渗膜，待方罐盛满后交由</w:t>
            </w:r>
            <w:bookmarkStart w:id="32" w:name="_Hlk69139460"/>
            <w:r>
              <w:rPr>
                <w:rFonts w:hint="default" w:ascii="Times New Roman" w:hAnsi="Times New Roman" w:cs="Times New Roman"/>
                <w:sz w:val="24"/>
              </w:rPr>
              <w:t>具有相关资质的危废处置单位进行接收、转运、处置</w:t>
            </w:r>
            <w:bookmarkEnd w:id="31"/>
            <w:bookmarkEnd w:id="32"/>
            <w:r>
              <w:rPr>
                <w:rFonts w:hint="default" w:ascii="Times New Roman" w:hAnsi="Times New Roman" w:cs="Times New Roman"/>
                <w:sz w:val="24"/>
              </w:rPr>
              <w:t>。工艺流程见图</w:t>
            </w:r>
            <w:r>
              <w:rPr>
                <w:rFonts w:hint="default" w:ascii="Times New Roman" w:hAnsi="Times New Roman" w:cs="Times New Roman"/>
                <w:sz w:val="24"/>
                <w:lang w:val="en-US" w:eastAsia="zh-CN"/>
              </w:rPr>
              <w:t>5-2</w:t>
            </w:r>
            <w:r>
              <w:rPr>
                <w:rFonts w:hint="default" w:ascii="Times New Roman" w:hAnsi="Times New Roman" w:cs="Times New Roman"/>
                <w:sz w:val="24"/>
              </w:rPr>
              <w:t>。</w:t>
            </w:r>
          </w:p>
          <w:p>
            <w:pPr>
              <w:widowControl/>
              <w:jc w:val="center"/>
              <w:rPr>
                <w:rFonts w:hint="default" w:ascii="Times New Roman" w:hAnsi="Times New Roman" w:cs="Times New Roman"/>
                <w:color w:val="FF0000"/>
              </w:rPr>
            </w:pPr>
            <w:bookmarkStart w:id="33" w:name="_Ref62573507"/>
            <w:r>
              <w:rPr>
                <w:rFonts w:hint="default" w:ascii="Times New Roman" w:hAnsi="Times New Roman" w:cs="Times New Roman"/>
              </w:rPr>
              <w:drawing>
                <wp:inline distT="0" distB="0" distL="114300" distR="114300">
                  <wp:extent cx="4338955" cy="2042160"/>
                  <wp:effectExtent l="0" t="0" r="4445"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4338955" cy="2042160"/>
                          </a:xfrm>
                          <a:prstGeom prst="rect">
                            <a:avLst/>
                          </a:prstGeom>
                          <a:noFill/>
                          <a:ln>
                            <a:noFill/>
                          </a:ln>
                        </pic:spPr>
                      </pic:pic>
                    </a:graphicData>
                  </a:graphic>
                </wp:inline>
              </w:drawing>
            </w:r>
          </w:p>
          <w:p>
            <w:pPr>
              <w:snapToGrid w:val="0"/>
              <w:spacing w:line="5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w:t>
            </w:r>
            <w:bookmarkEnd w:id="33"/>
            <w:r>
              <w:rPr>
                <w:rFonts w:hint="default" w:ascii="Times New Roman" w:hAnsi="Times New Roman" w:eastAsia="宋体" w:cs="Times New Roman"/>
                <w:b/>
                <w:bCs/>
                <w:szCs w:val="21"/>
                <w:lang w:val="en-US" w:eastAsia="zh-CN"/>
              </w:rPr>
              <w:t>5-2</w:t>
            </w:r>
            <w:r>
              <w:rPr>
                <w:rFonts w:hint="default" w:ascii="Times New Roman" w:hAnsi="Times New Roman" w:eastAsia="宋体" w:cs="Times New Roman"/>
                <w:b/>
                <w:bCs/>
                <w:szCs w:val="21"/>
              </w:rPr>
              <w:t xml:space="preserve">  油基钻井岩屑不落地处理工艺流程图</w:t>
            </w:r>
          </w:p>
          <w:p>
            <w:pPr>
              <w:pStyle w:val="66"/>
              <w:tabs>
                <w:tab w:val="left" w:pos="1420"/>
              </w:tabs>
              <w:ind w:firstLine="480"/>
              <w:rPr>
                <w:rFonts w:hint="default" w:ascii="Times New Roman" w:hAnsi="Times New Roman" w:cs="Times New Roman"/>
                <w:bCs/>
              </w:rPr>
            </w:pPr>
            <w:r>
              <w:rPr>
                <w:rFonts w:hint="default" w:ascii="Times New Roman" w:hAnsi="Times New Roman" w:cs="Times New Roman"/>
              </w:rPr>
              <w:t>（4）</w:t>
            </w:r>
            <w:r>
              <w:rPr>
                <w:rFonts w:hint="default" w:ascii="Times New Roman" w:hAnsi="Times New Roman" w:cs="Times New Roman"/>
                <w:bCs/>
              </w:rPr>
              <w:t>废防渗材料</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施工结束后清理场地时产生的未破损且未沾油防渗材料由施工单位集中回收利用，沾油的废防渗材料委托具有相应危险废物处置资质的单位进行处置。</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（5）危险废物环境管理要求</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施工期间应按照《危险废物环境管理指南  陆上石油天然气开采》中的危险废物环境管理要求：①落实污染环境防治责任制度。②落实危险废物识别标志制度，按照《环境保护图形标志 固体废物贮存（处置）场》（GB 15562.2）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bookmarkEnd w:id="29"/>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综上所述，本项目产生的固体废物在采取上述措施后，不会对周围环境产生明显影响。</w:t>
            </w:r>
          </w:p>
          <w:p>
            <w:pPr>
              <w:pStyle w:val="59"/>
              <w:ind w:left="0" w:leftChars="0" w:firstLine="482" w:firstLineChars="200"/>
              <w:rPr>
                <w:rFonts w:hint="default" w:ascii="Times New Roman" w:hAnsi="Times New Roman" w:cs="Times New Roman"/>
                <w:b/>
                <w:bCs/>
              </w:rPr>
            </w:pPr>
          </w:p>
          <w:p>
            <w:pPr>
              <w:pStyle w:val="59"/>
              <w:ind w:left="0" w:leftChars="0" w:firstLine="482" w:firstLineChars="200"/>
              <w:rPr>
                <w:rFonts w:hint="default" w:ascii="Times New Roman" w:hAnsi="Times New Roman" w:cs="Times New Roman"/>
                <w:b/>
                <w:bCs/>
              </w:rPr>
            </w:pPr>
            <w:r>
              <w:rPr>
                <w:rFonts w:hint="default" w:ascii="Times New Roman" w:hAnsi="Times New Roman" w:cs="Times New Roman"/>
                <w:b/>
                <w:bCs/>
              </w:rPr>
              <w:t>7、环境风险防范措施及应急要求</w:t>
            </w:r>
          </w:p>
          <w:p>
            <w:pPr>
              <w:pStyle w:val="59"/>
              <w:ind w:firstLine="480"/>
            </w:pPr>
            <w:r>
              <w:rPr>
                <w:rFonts w:hint="eastAsia"/>
              </w:rPr>
              <w:t>（1）井喷</w:t>
            </w:r>
          </w:p>
          <w:p>
            <w:pPr>
              <w:pStyle w:val="59"/>
              <w:ind w:firstLine="480"/>
            </w:pPr>
            <w:r>
              <w:rPr>
                <w:rFonts w:hint="eastAsia"/>
              </w:rPr>
              <w:t>①钻井工程中确保钻井液密度及其它性能符合设计要求，并按设计要求储备压井液、加重剂、堵漏材料和其它处理剂，对储备加重钻井液定期循环处理，防止沉淀；各岗位必须按分工规定，对井控装置进行维护、保养、检查，保证井控装置及工具灵活好用，始终处于待命状态；落实溢流监测岗位、关井操作岗位和钻井队干部24h值班制度；严格执行钻开油层前的申报、审批制度以及申报、审批程序。</w:t>
            </w:r>
          </w:p>
          <w:p>
            <w:pPr>
              <w:pStyle w:val="59"/>
              <w:ind w:firstLine="480"/>
            </w:pPr>
            <w:r>
              <w:rPr>
                <w:rFonts w:hint="eastAsia"/>
              </w:rPr>
              <w:t>②钻开油层后：落实专人坐岗观察井口和循环池液面变化，发现溢流、井漏及油气显示等异常情况，应立即报告司钻；每次起下钻（活动时间间隔超过5d）对闸板防喷器及手动锁紧装置开关活动一次，定期对井控装置进行试压；起钻杆时每3～5柱向环空灌满泥浆，起钻铤要连续灌浆，作好记录、校核，若灌入泥浆量大于或小于应灌入量，均应停止起钻作业，进行观察。如有溢流，应及时关井。如有井漏，应及时采取相应措施。安排专人观察出口管钻井液返出情况，严禁在空井情况下检修设备；所有车辆应停放在距井口以外，必须进入距井口30m以内的车辆，应安装阻火器，车头朝外停放。</w:t>
            </w:r>
          </w:p>
          <w:p>
            <w:pPr>
              <w:pStyle w:val="59"/>
              <w:ind w:firstLine="480"/>
            </w:pPr>
            <w:r>
              <w:rPr>
                <w:rFonts w:hint="eastAsia"/>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59"/>
              <w:ind w:firstLine="480"/>
            </w:pPr>
            <w:r>
              <w:rPr>
                <w:rFonts w:hint="eastAsia"/>
              </w:rPr>
              <w:t>④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pStyle w:val="59"/>
              <w:ind w:firstLine="480"/>
            </w:pPr>
            <w:r>
              <w:rPr>
                <w:rFonts w:hint="eastAsia"/>
              </w:rPr>
              <w:t>⑤一旦发生井喷突发事件，应立即启动相应的环境突发事件专项应急预案，立即关闭井口切断污染源，根据需要建设应急放喷池</w:t>
            </w:r>
            <w:r>
              <w:rPr>
                <w:rFonts w:hint="eastAsia"/>
                <w:color w:val="auto"/>
              </w:rPr>
              <w:t>（20m×10m）</w:t>
            </w:r>
            <w:r>
              <w:rPr>
                <w:rFonts w:hint="eastAsia"/>
              </w:rPr>
              <w:t>，控制污染面积，对放喷液进行集中收集处理。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测量水体流速，评估污染物转移、扩散速率；对污染状况进行跟踪调查，根据监测数据分析，预测污染迁移强度、速度和影响范围及时调整对策。</w:t>
            </w:r>
          </w:p>
          <w:p>
            <w:pPr>
              <w:pStyle w:val="59"/>
              <w:ind w:firstLine="480"/>
            </w:pPr>
            <w:bookmarkStart w:id="34" w:name="_Hlk129688559"/>
            <w:r>
              <w:rPr>
                <w:rFonts w:hint="eastAsia"/>
              </w:rPr>
              <w:t>（2）储罐泄漏</w:t>
            </w:r>
          </w:p>
          <w:p>
            <w:pPr>
              <w:pStyle w:val="59"/>
              <w:ind w:firstLine="476"/>
              <w:rPr>
                <w:spacing w:val="-2"/>
              </w:rPr>
            </w:pPr>
            <w:r>
              <w:rPr>
                <w:rFonts w:hint="eastAsia"/>
                <w:spacing w:val="-2"/>
              </w:rPr>
              <w:t>①选用质量、防腐措施合格的储罐。安装过程中焊接要经过1</w:t>
            </w:r>
            <w:r>
              <w:rPr>
                <w:spacing w:val="-2"/>
              </w:rPr>
              <w:t>00</w:t>
            </w:r>
            <w:r>
              <w:rPr>
                <w:rFonts w:hint="eastAsia"/>
                <w:spacing w:val="-2"/>
              </w:rPr>
              <w:t>%的探伤，安装时应选择刚性不燃的坚固基础作为罐体基础。</w:t>
            </w:r>
          </w:p>
          <w:p>
            <w:pPr>
              <w:pStyle w:val="59"/>
              <w:ind w:firstLine="480"/>
            </w:pPr>
            <w:r>
              <w:rPr>
                <w:rFonts w:hint="eastAsia"/>
              </w:rPr>
              <w:t>②在储罐区严格用火管理；采用有效的避雷装置和接地装置等防止雷电的措施。</w:t>
            </w:r>
          </w:p>
          <w:p>
            <w:pPr>
              <w:pStyle w:val="59"/>
              <w:ind w:firstLine="480"/>
            </w:pPr>
            <w:r>
              <w:rPr>
                <w:rFonts w:hint="eastAsia"/>
              </w:rPr>
              <w:t>③加强储罐和管线接口的检查工作，防止腐蚀穿孔。定期进行壁厚检测，腐蚀余量低于规定的允许值时，要及时进行检修和更换。</w:t>
            </w:r>
          </w:p>
          <w:p>
            <w:pPr>
              <w:pStyle w:val="59"/>
              <w:ind w:firstLine="480"/>
            </w:pPr>
            <w:r>
              <w:rPr>
                <w:rFonts w:hint="eastAsia"/>
              </w:rPr>
              <w:t>④加强消防安全管理</w:t>
            </w:r>
          </w:p>
          <w:p>
            <w:pPr>
              <w:pStyle w:val="59"/>
              <w:ind w:firstLine="480"/>
            </w:pPr>
            <w:r>
              <w:rPr>
                <w:rFonts w:hint="eastAsia"/>
              </w:rPr>
              <w:t>定期进行消防培训与实战演练，要求岗位工作人员具有较强的消防安全意识，加强巡检，确保无异常情况出现。</w:t>
            </w:r>
          </w:p>
          <w:p>
            <w:pPr>
              <w:spacing w:line="500" w:lineRule="exact"/>
              <w:ind w:firstLine="480" w:firstLineChars="200"/>
              <w:rPr>
                <w:rFonts w:ascii="宋体" w:hAnsi="宋体"/>
                <w:bCs/>
                <w:sz w:val="24"/>
              </w:rPr>
            </w:pPr>
            <w:r>
              <w:rPr>
                <w:rFonts w:hint="eastAsia" w:ascii="宋体" w:hAnsi="宋体" w:cs="宋体"/>
                <w:sz w:val="24"/>
              </w:rPr>
              <w:t>⑤加强废水储罐运输车辆的管理，限制车速，保持平稳驾驶，禁止因驾驶失误导致储罐破损泄漏的情况发生。</w:t>
            </w:r>
          </w:p>
          <w:bookmarkEnd w:id="34"/>
          <w:p>
            <w:pPr>
              <w:pStyle w:val="59"/>
              <w:ind w:firstLine="480"/>
            </w:pPr>
            <w:r>
              <w:rPr>
                <w:rFonts w:hint="eastAsia"/>
              </w:rPr>
              <w:t>（3）硫化氢防范措施</w:t>
            </w:r>
          </w:p>
          <w:p>
            <w:pPr>
              <w:pStyle w:val="59"/>
              <w:ind w:firstLine="480"/>
            </w:pPr>
            <w:r>
              <w:rPr>
                <w:rFonts w:hint="eastAsia"/>
              </w:rPr>
              <w:t>①在钻井、试油作业过程中配备便携式硫化氢监测仪，做好硫化氢监测预警工作，并制定防硫化氢应急预案。当监测到硫化氢浓度大于75mg/m</w:t>
            </w:r>
            <w:r>
              <w:rPr>
                <w:rFonts w:hint="eastAsia"/>
                <w:vertAlign w:val="superscript"/>
              </w:rPr>
              <w:t>3</w:t>
            </w:r>
            <w:r>
              <w:rPr>
                <w:rFonts w:hint="eastAsia"/>
              </w:rPr>
              <w:t>（50ppm）时，按照含硫油气井作业规程执行。</w:t>
            </w:r>
          </w:p>
          <w:p>
            <w:pPr>
              <w:pStyle w:val="59"/>
              <w:ind w:firstLine="480"/>
            </w:pPr>
            <w:r>
              <w:rPr>
                <w:rFonts w:hint="eastAsia"/>
              </w:rPr>
              <w:t>②钻井期在作业现场显著位置设置</w:t>
            </w:r>
            <w:r>
              <w:rPr>
                <w:rFonts w:hint="eastAsia"/>
                <w:lang w:val="en-US" w:eastAsia="zh-CN"/>
              </w:rPr>
              <w:t>1</w:t>
            </w:r>
            <w:r>
              <w:rPr>
                <w:rFonts w:hint="eastAsia"/>
              </w:rPr>
              <w:t>处风向标；试油期设置2处风向标，并在不同方向上划定2个紧急集合点，并规划撤离路线，发生紧急情况时向上风向撤离。</w:t>
            </w:r>
          </w:p>
          <w:p>
            <w:pPr>
              <w:pStyle w:val="59"/>
              <w:ind w:firstLine="480"/>
            </w:pPr>
            <w:r>
              <w:rPr>
                <w:rFonts w:hint="eastAsia"/>
                <w:bCs/>
              </w:rPr>
              <w:t>（</w:t>
            </w:r>
            <w:r>
              <w:rPr>
                <w:rFonts w:hint="eastAsia"/>
              </w:rPr>
              <w:t>4）对</w:t>
            </w:r>
            <w:r>
              <w:rPr>
                <w:rFonts w:hint="eastAsia"/>
                <w:lang w:val="en-US" w:eastAsia="zh-CN"/>
              </w:rPr>
              <w:t>土壤</w:t>
            </w:r>
            <w:r>
              <w:rPr>
                <w:rFonts w:hint="eastAsia"/>
              </w:rPr>
              <w:t>的风险防范措施</w:t>
            </w:r>
          </w:p>
          <w:p>
            <w:pPr>
              <w:pStyle w:val="59"/>
              <w:ind w:firstLine="480"/>
            </w:pPr>
            <w:r>
              <w:rPr>
                <w:rFonts w:hint="eastAsia"/>
              </w:rPr>
              <w:t>①施工期生活污水排入生活营地临时生活污水储集池，完井后覆土填埋。施工期间钻井井场内的柴油机、发电机房、材料堆场、柴油罐、废油桶存放处、岩屑堆场等均铺设HDPE防渗膜，岩屑堆场周边建设防溢流围堰，可对土壤及包气带起到良好的防护。试油期试油废水依托</w:t>
            </w:r>
            <w:r>
              <w:rPr>
                <w:rFonts w:hint="eastAsia"/>
                <w:lang w:eastAsia="zh-CN"/>
              </w:rPr>
              <w:t>吉祥联合站</w:t>
            </w:r>
            <w:r>
              <w:rPr>
                <w:rFonts w:hint="eastAsia"/>
              </w:rPr>
              <w:t>处理，不外排。采取上述措施后，可以有效预防和防治钻井期和试油期产生的废水、固废对土壤的污染。</w:t>
            </w:r>
          </w:p>
          <w:p>
            <w:pPr>
              <w:pStyle w:val="59"/>
              <w:ind w:firstLine="480"/>
            </w:pPr>
            <w:r>
              <w:rPr>
                <w:rFonts w:hint="eastAsia"/>
              </w:rPr>
              <w:t>②加强施工期管理，严禁油田施工人员和车辆随意进入</w:t>
            </w:r>
            <w:r>
              <w:rPr>
                <w:rFonts w:hint="eastAsia"/>
                <w:lang w:val="en-US" w:eastAsia="zh-CN"/>
              </w:rPr>
              <w:t>非临时占地区域</w:t>
            </w:r>
            <w:r>
              <w:rPr>
                <w:rFonts w:hint="eastAsia"/>
              </w:rPr>
              <w:t>，人为破坏</w:t>
            </w:r>
            <w:r>
              <w:rPr>
                <w:rFonts w:hint="eastAsia"/>
                <w:lang w:val="en-US" w:eastAsia="zh-CN"/>
              </w:rPr>
              <w:t>地表土壤</w:t>
            </w:r>
            <w:r>
              <w:rPr>
                <w:rFonts w:hint="eastAsia"/>
              </w:rPr>
              <w:t>。</w:t>
            </w:r>
          </w:p>
          <w:p>
            <w:pPr>
              <w:pStyle w:val="59"/>
              <w:ind w:firstLine="480"/>
            </w:pPr>
            <w:r>
              <w:rPr>
                <w:rFonts w:hint="eastAsia"/>
              </w:rPr>
              <w:t>③严禁向</w:t>
            </w:r>
            <w:r>
              <w:rPr>
                <w:rFonts w:hint="eastAsia"/>
                <w:lang w:val="en-US" w:eastAsia="zh-CN"/>
              </w:rPr>
              <w:t>土壤</w:t>
            </w:r>
            <w:r>
              <w:rPr>
                <w:rFonts w:hint="eastAsia"/>
              </w:rPr>
              <w:t>及附近乱扔施工及生活垃圾，防止石油类及其他杂物污染土壤。</w:t>
            </w:r>
          </w:p>
          <w:p>
            <w:pPr>
              <w:pStyle w:val="59"/>
              <w:ind w:firstLine="480"/>
            </w:pPr>
            <w:r>
              <w:rPr>
                <w:rFonts w:hint="eastAsia"/>
              </w:rPr>
              <w:t>（</w:t>
            </w:r>
            <w:r>
              <w:t>4</w:t>
            </w:r>
            <w:r>
              <w:rPr>
                <w:rFonts w:hint="eastAsia"/>
              </w:rPr>
              <w:t>）</w:t>
            </w:r>
            <w:r>
              <w:rPr>
                <w:rFonts w:hint="eastAsia"/>
                <w:bCs/>
              </w:rPr>
              <w:t>环境风险应急预案</w:t>
            </w:r>
          </w:p>
          <w:p>
            <w:pPr>
              <w:pStyle w:val="59"/>
              <w:ind w:firstLine="480"/>
            </w:pPr>
            <w:r>
              <w:rPr>
                <w:rFonts w:hint="eastAsia"/>
              </w:rPr>
              <w:t>项目属于</w:t>
            </w:r>
            <w:r>
              <w:rPr>
                <w:rFonts w:hint="eastAsia"/>
                <w:lang w:eastAsia="zh-CN"/>
              </w:rPr>
              <w:t>中国石油天然气股份有限公司吐哈油田分公司准东勘探开发项目经理部</w:t>
            </w:r>
            <w:r>
              <w:rPr>
                <w:rFonts w:hint="eastAsia"/>
              </w:rPr>
              <w:t>管理，应纳入《</w:t>
            </w:r>
            <w:r>
              <w:rPr>
                <w:rFonts w:hint="eastAsia"/>
                <w:lang w:eastAsia="zh-CN"/>
              </w:rPr>
              <w:t>中国石油天然气股份有限公司吐哈油田分公司准东勘探开发项目经理部</w:t>
            </w:r>
            <w:r>
              <w:rPr>
                <w:rFonts w:hint="eastAsia"/>
              </w:rPr>
              <w:t>突发环境事件应急预案》。</w:t>
            </w:r>
          </w:p>
          <w:p>
            <w:pPr>
              <w:pStyle w:val="59"/>
              <w:ind w:firstLine="480"/>
            </w:pPr>
            <w:r>
              <w:rPr>
                <w:rFonts w:hint="eastAsia"/>
              </w:rPr>
              <w:t>（5）结论</w:t>
            </w:r>
          </w:p>
          <w:p>
            <w:pPr>
              <w:pStyle w:val="59"/>
              <w:ind w:firstLine="480"/>
            </w:pPr>
            <w:r>
              <w:rPr>
                <w:rFonts w:hint="eastAsia"/>
              </w:rPr>
              <w:t>本项目发生风险事故的概率较小，且制定了较为周全的风险事故防范措施和事故应急预案，当发生风险事故时立即启动事故应急预案，确保事故不扩大，避免对周边环境造成较大危害。在采取严格安全防护和风险防范措施后，环境风险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78" w:type="dxa"/>
            <w:tcMar>
              <w:left w:w="28" w:type="dxa"/>
              <w:right w:w="28" w:type="dxa"/>
            </w:tcMar>
            <w:vAlign w:val="center"/>
          </w:tcPr>
          <w:p>
            <w:pPr>
              <w:adjustRightInd w:val="0"/>
              <w:snapToGrid w:val="0"/>
              <w:jc w:val="center"/>
              <w:rPr>
                <w:rFonts w:ascii="宋体" w:hAnsi="宋体" w:cs="宋体"/>
                <w:bCs/>
                <w:spacing w:val="10"/>
                <w:sz w:val="24"/>
              </w:rPr>
            </w:pPr>
            <w:r>
              <w:rPr>
                <w:rFonts w:hint="eastAsia" w:ascii="宋体" w:hAnsi="宋体" w:cs="宋体"/>
                <w:bCs/>
                <w:spacing w:val="10"/>
                <w:sz w:val="24"/>
              </w:rPr>
              <w:t>运营期生态环境保护措施</w:t>
            </w:r>
          </w:p>
        </w:tc>
        <w:tc>
          <w:tcPr>
            <w:tcW w:w="8095" w:type="dxa"/>
            <w:vAlign w:val="center"/>
          </w:tcPr>
          <w:p>
            <w:pPr>
              <w:pStyle w:val="59"/>
              <w:ind w:firstLine="472"/>
              <w:rPr>
                <w:rFonts w:hint="default" w:ascii="Times New Roman" w:hAnsi="Times New Roman" w:cs="Times New Roman"/>
              </w:rPr>
            </w:pPr>
            <w:r>
              <w:rPr>
                <w:rFonts w:hint="eastAsia"/>
                <w:spacing w:val="-4"/>
              </w:rPr>
              <w:t>本</w:t>
            </w:r>
            <w:r>
              <w:rPr>
                <w:rFonts w:hint="default" w:ascii="Times New Roman" w:hAnsi="Times New Roman" w:cs="Times New Roman"/>
                <w:spacing w:val="-4"/>
              </w:rPr>
              <w:t>项目无运营期，无需提出环境保护措施及环境监测计划。根据试采结果决定新钻井是否转为生产井，若可转为生产井，则应当在产能开发建设前开展其环境影响评价工作，编制环境影响评价文件，若不具备转产条件，则应封井，封井时要根据《废弃井及长停井处置指南》（SY/T 6646-2017）、《矿山生态环境保护与恢复治理技术规范（试行）（HJ 651—2013）》以及《陆上石油天然气开采业绿色矿山建设规范（DZ/T0317—2018）》等相关要求，执行以下封井生态恢复措施：</w:t>
            </w:r>
          </w:p>
          <w:p>
            <w:pPr>
              <w:pStyle w:val="59"/>
              <w:ind w:firstLine="472"/>
              <w:rPr>
                <w:rFonts w:hint="default" w:ascii="Times New Roman" w:hAnsi="Times New Roman" w:cs="Times New Roman"/>
                <w:spacing w:val="-4"/>
              </w:rPr>
            </w:pPr>
            <w:r>
              <w:rPr>
                <w:rFonts w:hint="default" w:ascii="Times New Roman" w:hAnsi="Times New Roman" w:cs="Times New Roman"/>
                <w:spacing w:val="-4"/>
              </w:rPr>
              <w:t>①回填材料应无污染，不得使用可能对地下水造成污染的材料。</w:t>
            </w:r>
          </w:p>
          <w:p>
            <w:pPr>
              <w:pStyle w:val="59"/>
              <w:ind w:firstLine="472"/>
              <w:rPr>
                <w:rFonts w:hint="default" w:ascii="Times New Roman" w:hAnsi="Times New Roman" w:cs="Times New Roman"/>
                <w:spacing w:val="-4"/>
              </w:rPr>
            </w:pPr>
            <w:r>
              <w:rPr>
                <w:rFonts w:hint="default" w:ascii="Times New Roman" w:hAnsi="Times New Roman" w:cs="Times New Roman"/>
                <w:spacing w:val="-4"/>
              </w:rPr>
              <w:t>②应开展井盖封堵或密闭填充，确保地表污染物不进入井内，各层位地下水不连通。</w:t>
            </w:r>
          </w:p>
          <w:p>
            <w:pPr>
              <w:pStyle w:val="59"/>
              <w:ind w:firstLine="472"/>
              <w:rPr>
                <w:rFonts w:hint="default" w:ascii="Times New Roman" w:hAnsi="Times New Roman" w:cs="Times New Roman"/>
                <w:spacing w:val="-4"/>
              </w:rPr>
            </w:pPr>
            <w:r>
              <w:rPr>
                <w:rFonts w:hint="default" w:ascii="Times New Roman" w:hAnsi="Times New Roman" w:cs="Times New Roman"/>
                <w:spacing w:val="-4"/>
              </w:rPr>
              <w:t>③各项建（构）筑物和基础设施应全部拆除确保固井质量和封井质量合格。</w:t>
            </w:r>
          </w:p>
          <w:p>
            <w:pPr>
              <w:pStyle w:val="59"/>
              <w:ind w:firstLine="472"/>
              <w:rPr>
                <w:spacing w:val="-4"/>
              </w:rPr>
            </w:pPr>
            <w:r>
              <w:rPr>
                <w:rFonts w:hint="default" w:ascii="Times New Roman" w:hAnsi="Times New Roman" w:cs="Times New Roman"/>
                <w:spacing w:val="-4"/>
              </w:rPr>
              <w:t>④试油结束后及时清理作业现场，做到“工完、料尽、场地清”，确保采取的封井措施有效可行。确保采取的封井措施有效可行；及时对施工场地进行平整，尽量利用井场施工时产生的表层土对临时占地进行覆盖，相关规定对占地进行经济补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adjustRightInd w:val="0"/>
              <w:snapToGrid w:val="0"/>
              <w:jc w:val="center"/>
              <w:rPr>
                <w:rFonts w:ascii="宋体" w:hAnsi="宋体" w:cs="宋体"/>
                <w:bCs/>
                <w:spacing w:val="10"/>
                <w:sz w:val="24"/>
              </w:rPr>
            </w:pPr>
            <w:r>
              <w:rPr>
                <w:rFonts w:hint="eastAsia" w:ascii="宋体" w:hAnsi="宋体"/>
                <w:bCs/>
                <w:sz w:val="24"/>
              </w:rPr>
              <w:t>其他</w:t>
            </w:r>
          </w:p>
        </w:tc>
        <w:tc>
          <w:tcPr>
            <w:tcW w:w="8095" w:type="dxa"/>
            <w:vAlign w:val="center"/>
          </w:tcPr>
          <w:p>
            <w:pPr>
              <w:pStyle w:val="59"/>
              <w:ind w:firstLine="480"/>
            </w:pPr>
            <w:bookmarkStart w:id="35" w:name="_Hlk129689492"/>
            <w:r>
              <w:rPr>
                <w:rFonts w:hint="eastAsia"/>
              </w:rPr>
              <w:t>本项目实施过程中，将根据</w:t>
            </w:r>
            <w:r>
              <w:rPr>
                <w:rFonts w:hint="eastAsia"/>
                <w:lang w:eastAsia="zh-CN"/>
              </w:rPr>
              <w:t>中国石油天然气股份有限公司吐哈油田分公司</w:t>
            </w:r>
            <w:r>
              <w:rPr>
                <w:rFonts w:hint="eastAsia"/>
              </w:rPr>
              <w:t>在环境管理上建立的健康、安全与环境管理体系（HSE管理体系），落实各项环保和安全措施，减少项目开发对周围环境的影响。本报告提出的环境管理主要内容见下表</w:t>
            </w:r>
            <w:r>
              <w:rPr>
                <w:rFonts w:hint="eastAsia"/>
                <w:lang w:val="en-US" w:eastAsia="zh-CN"/>
              </w:rPr>
              <w:t>5-1</w:t>
            </w:r>
            <w:r>
              <w:rPr>
                <w:rFonts w:hint="eastAsia"/>
              </w:rPr>
              <w:t>。</w:t>
            </w:r>
            <w:bookmarkStart w:id="36" w:name="_Ref70449414"/>
            <w:bookmarkEnd w:id="36"/>
          </w:p>
          <w:p>
            <w:pPr>
              <w:pStyle w:val="10"/>
              <w:keepNext/>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5-1</w:t>
            </w:r>
            <w:r>
              <w:rPr>
                <w:rFonts w:hint="default" w:ascii="Times New Roman" w:hAnsi="Times New Roman" w:eastAsia="宋体" w:cs="Times New Roman"/>
                <w:b/>
                <w:bCs/>
              </w:rPr>
              <w:t xml:space="preserve">    施工期环境保护行动计划</w:t>
            </w:r>
          </w:p>
          <w:tbl>
            <w:tblPr>
              <w:tblStyle w:val="28"/>
              <w:tblW w:w="78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2"/>
              <w:gridCol w:w="992"/>
              <w:gridCol w:w="6268"/>
              <w:gridCol w:w="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6" w:type="pct"/>
                <w:trHeight w:val="44"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序号</w:t>
                  </w:r>
                </w:p>
              </w:tc>
              <w:tc>
                <w:tcPr>
                  <w:tcW w:w="635" w:type="pct"/>
                  <w:tcMar>
                    <w:left w:w="0" w:type="dxa"/>
                    <w:right w:w="0" w:type="dxa"/>
                  </w:tcMar>
                  <w:vAlign w:val="center"/>
                </w:tcPr>
                <w:p>
                  <w:pPr>
                    <w:pStyle w:val="62"/>
                    <w:spacing w:line="320" w:lineRule="exact"/>
                    <w:rPr>
                      <w:rFonts w:cs="宋体"/>
                    </w:rPr>
                  </w:pPr>
                  <w:r>
                    <w:rPr>
                      <w:rFonts w:hint="eastAsia" w:cs="宋体"/>
                    </w:rPr>
                    <w:t>影响因素</w:t>
                  </w:r>
                </w:p>
              </w:tc>
              <w:tc>
                <w:tcPr>
                  <w:tcW w:w="4011" w:type="pct"/>
                  <w:tcMar>
                    <w:left w:w="0" w:type="dxa"/>
                    <w:right w:w="0" w:type="dxa"/>
                  </w:tcMar>
                  <w:vAlign w:val="center"/>
                </w:tcPr>
                <w:p>
                  <w:pPr>
                    <w:pStyle w:val="62"/>
                    <w:spacing w:line="320" w:lineRule="exact"/>
                    <w:rPr>
                      <w:rFonts w:cs="宋体"/>
                    </w:rPr>
                  </w:pPr>
                  <w:r>
                    <w:rPr>
                      <w:rFonts w:hint="eastAsia" w:cs="宋体"/>
                    </w:rPr>
                    <w:t>环保措施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6" w:type="pct"/>
                <w:trHeight w:val="680"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1</w:t>
                  </w:r>
                </w:p>
              </w:tc>
              <w:tc>
                <w:tcPr>
                  <w:tcW w:w="635" w:type="pct"/>
                  <w:tcMar>
                    <w:left w:w="0" w:type="dxa"/>
                    <w:right w:w="0" w:type="dxa"/>
                  </w:tcMar>
                  <w:vAlign w:val="center"/>
                </w:tcPr>
                <w:p>
                  <w:pPr>
                    <w:pStyle w:val="62"/>
                    <w:spacing w:line="320" w:lineRule="exact"/>
                    <w:rPr>
                      <w:rFonts w:cs="宋体"/>
                    </w:rPr>
                  </w:pPr>
                  <w:r>
                    <w:rPr>
                      <w:rFonts w:hint="eastAsia" w:cs="宋体"/>
                    </w:rPr>
                    <w:t>大气环境</w:t>
                  </w:r>
                </w:p>
              </w:tc>
              <w:tc>
                <w:tcPr>
                  <w:tcW w:w="4011" w:type="pct"/>
                  <w:tcMar>
                    <w:left w:w="0" w:type="dxa"/>
                    <w:right w:w="0" w:type="dxa"/>
                  </w:tcMar>
                  <w:vAlign w:val="center"/>
                </w:tcPr>
                <w:p>
                  <w:pPr>
                    <w:pStyle w:val="62"/>
                    <w:spacing w:line="320" w:lineRule="exact"/>
                    <w:jc w:val="both"/>
                    <w:rPr>
                      <w:rFonts w:cs="宋体"/>
                    </w:rPr>
                  </w:pPr>
                  <w:r>
                    <w:rPr>
                      <w:rFonts w:hint="eastAsia" w:cs="宋体"/>
                    </w:rPr>
                    <w:t>施工单位在钻井时应使用符合国家标准的柴油，并定期对设备进行保养维护，柴油机燃烧充分，合理匹配载荷。施工现场运输车辆应低速慢行、不得超载，逸散性材料在井场堆放时，采用苫布遮盖，试油期伴生气经排气管线充分燃烧后排放；加强采出液储罐管理、并采取密闭装载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6" w:type="pct"/>
                <w:trHeight w:val="687"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2</w:t>
                  </w:r>
                </w:p>
              </w:tc>
              <w:tc>
                <w:tcPr>
                  <w:tcW w:w="635" w:type="pct"/>
                  <w:tcMar>
                    <w:left w:w="0" w:type="dxa"/>
                    <w:right w:w="0" w:type="dxa"/>
                  </w:tcMar>
                  <w:vAlign w:val="center"/>
                </w:tcPr>
                <w:p>
                  <w:pPr>
                    <w:pStyle w:val="62"/>
                    <w:spacing w:line="320" w:lineRule="exact"/>
                    <w:rPr>
                      <w:rFonts w:cs="宋体"/>
                    </w:rPr>
                  </w:pPr>
                  <w:r>
                    <w:rPr>
                      <w:rFonts w:hint="eastAsia" w:cs="宋体"/>
                    </w:rPr>
                    <w:t>声环境</w:t>
                  </w:r>
                </w:p>
              </w:tc>
              <w:tc>
                <w:tcPr>
                  <w:tcW w:w="4011" w:type="pct"/>
                  <w:tcMar>
                    <w:left w:w="0" w:type="dxa"/>
                    <w:right w:w="0" w:type="dxa"/>
                  </w:tcMar>
                  <w:vAlign w:val="center"/>
                </w:tcPr>
                <w:p>
                  <w:pPr>
                    <w:pStyle w:val="62"/>
                    <w:spacing w:line="320" w:lineRule="exact"/>
                    <w:jc w:val="both"/>
                    <w:rPr>
                      <w:rFonts w:cs="宋体"/>
                    </w:rPr>
                  </w:pPr>
                  <w:r>
                    <w:rPr>
                      <w:rFonts w:hint="eastAsia" w:cs="宋体"/>
                    </w:rPr>
                    <w:t>施工单位应使用低噪声的施工设备、机械，并定期进行检修和维护，使其处于运行良好的状态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3</w:t>
                  </w:r>
                </w:p>
              </w:tc>
              <w:tc>
                <w:tcPr>
                  <w:tcW w:w="635" w:type="pct"/>
                  <w:tcMar>
                    <w:left w:w="0" w:type="dxa"/>
                    <w:right w:w="0" w:type="dxa"/>
                  </w:tcMar>
                  <w:vAlign w:val="center"/>
                </w:tcPr>
                <w:p>
                  <w:pPr>
                    <w:pStyle w:val="62"/>
                    <w:spacing w:line="320" w:lineRule="exact"/>
                    <w:jc w:val="both"/>
                    <w:rPr>
                      <w:rFonts w:cs="宋体"/>
                    </w:rPr>
                  </w:pPr>
                  <w:r>
                    <w:rPr>
                      <w:rFonts w:hint="eastAsia" w:cs="宋体"/>
                    </w:rPr>
                    <w:t>水环境和土壤环境</w:t>
                  </w:r>
                </w:p>
              </w:tc>
              <w:tc>
                <w:tcPr>
                  <w:tcW w:w="4057" w:type="pct"/>
                  <w:gridSpan w:val="2"/>
                  <w:tcMar>
                    <w:left w:w="0" w:type="dxa"/>
                    <w:right w:w="0" w:type="dxa"/>
                  </w:tcMar>
                  <w:vAlign w:val="center"/>
                </w:tcPr>
                <w:p>
                  <w:pPr>
                    <w:pStyle w:val="62"/>
                    <w:snapToGrid w:val="0"/>
                    <w:spacing w:line="240" w:lineRule="auto"/>
                    <w:jc w:val="both"/>
                    <w:rPr>
                      <w:rFonts w:cs="宋体"/>
                    </w:rPr>
                  </w:pPr>
                  <w:r>
                    <w:rPr>
                      <w:rFonts w:hint="eastAsia" w:cs="宋体"/>
                    </w:rPr>
                    <w:t>钻井液采用不落地设备进行处理后回用于钻井液配置，不外排；试油期产生的废水收集至地面储罐后由罐车拉运至</w:t>
                  </w:r>
                  <w:r>
                    <w:rPr>
                      <w:rFonts w:hint="eastAsia" w:cs="宋体"/>
                      <w:lang w:eastAsia="zh-CN"/>
                    </w:rPr>
                    <w:t>吉祥联合站</w:t>
                  </w:r>
                  <w:r>
                    <w:rPr>
                      <w:rFonts w:hint="eastAsia" w:cs="宋体"/>
                    </w:rPr>
                    <w:t>处理；生活污水经临时防渗收集池收集暂存，施工结束后由吸污车抽出后委托拉运至</w:t>
                  </w:r>
                  <w:r>
                    <w:rPr>
                      <w:rFonts w:hint="eastAsia" w:cs="宋体"/>
                      <w:lang w:val="en-US" w:eastAsia="zh-CN"/>
                    </w:rPr>
                    <w:t>奇台</w:t>
                  </w:r>
                  <w:r>
                    <w:rPr>
                      <w:rFonts w:hint="eastAsia" w:cs="宋体"/>
                    </w:rPr>
                    <w:t>县</w:t>
                  </w:r>
                  <w:r>
                    <w:rPr>
                      <w:rFonts w:hint="eastAsia" w:cs="宋体"/>
                      <w:lang w:val="en-US" w:eastAsia="zh-CN"/>
                    </w:rPr>
                    <w:t>城</w:t>
                  </w:r>
                  <w:r>
                    <w:rPr>
                      <w:rFonts w:hint="eastAsia" w:cs="宋体"/>
                    </w:rPr>
                    <w:t>污水处理厂处理。</w:t>
                  </w:r>
                </w:p>
                <w:p>
                  <w:pPr>
                    <w:pStyle w:val="62"/>
                    <w:spacing w:line="320" w:lineRule="exact"/>
                    <w:jc w:val="both"/>
                    <w:rPr>
                      <w:rFonts w:cs="宋体"/>
                    </w:rPr>
                  </w:pPr>
                  <w:r>
                    <w:rPr>
                      <w:rFonts w:hint="eastAsia" w:cs="宋体"/>
                    </w:rPr>
                    <w:t>关键区域做好符合相关环保要求的防渗措施；提高施工效率，缩短施工时间；工程结束后，做好施工场地的恢复工作，以保持土地肥力，缩短耕地农业生产季节的损失。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4</w:t>
                  </w:r>
                </w:p>
              </w:tc>
              <w:tc>
                <w:tcPr>
                  <w:tcW w:w="635" w:type="pct"/>
                  <w:tcMar>
                    <w:left w:w="0" w:type="dxa"/>
                    <w:right w:w="0" w:type="dxa"/>
                  </w:tcMar>
                  <w:vAlign w:val="center"/>
                </w:tcPr>
                <w:p>
                  <w:pPr>
                    <w:pStyle w:val="62"/>
                    <w:spacing w:line="320" w:lineRule="exact"/>
                    <w:rPr>
                      <w:rFonts w:cs="宋体"/>
                    </w:rPr>
                  </w:pPr>
                  <w:r>
                    <w:rPr>
                      <w:rFonts w:hint="eastAsia" w:cs="宋体"/>
                    </w:rPr>
                    <w:t>固体废物</w:t>
                  </w:r>
                </w:p>
              </w:tc>
              <w:tc>
                <w:tcPr>
                  <w:tcW w:w="4057" w:type="pct"/>
                  <w:gridSpan w:val="2"/>
                  <w:tcMar>
                    <w:left w:w="0" w:type="dxa"/>
                    <w:right w:w="0" w:type="dxa"/>
                  </w:tcMar>
                  <w:vAlign w:val="center"/>
                </w:tcPr>
                <w:p>
                  <w:pPr>
                    <w:pStyle w:val="62"/>
                    <w:spacing w:line="320" w:lineRule="exact"/>
                    <w:jc w:val="both"/>
                    <w:rPr>
                      <w:rFonts w:cs="宋体"/>
                    </w:rPr>
                  </w:pPr>
                  <w:r>
                    <w:rPr>
                      <w:rFonts w:hint="eastAsia" w:cs="宋体"/>
                    </w:rPr>
                    <w:t>生活垃圾由垃圾箱集中收集后清运至</w:t>
                  </w:r>
                  <w:r>
                    <w:rPr>
                      <w:rFonts w:hint="eastAsia" w:cs="宋体"/>
                      <w:lang w:val="en-US" w:eastAsia="zh-CN"/>
                    </w:rPr>
                    <w:t>奇台</w:t>
                  </w:r>
                  <w:r>
                    <w:rPr>
                      <w:rFonts w:hint="eastAsia" w:cs="宋体"/>
                    </w:rPr>
                    <w:t>县生活垃圾填埋场处置。钻井期产生的水基钻井岩屑、油基钻井岩屑分别暂存于专用储罐，水基钻井岩屑委托岩屑处置单位处置；油基钻井岩屑和沾油废防渗膜委托具有相应危废处理资质的单位负责接收、转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5</w:t>
                  </w:r>
                </w:p>
              </w:tc>
              <w:tc>
                <w:tcPr>
                  <w:tcW w:w="635" w:type="pct"/>
                  <w:tcMar>
                    <w:left w:w="0" w:type="dxa"/>
                    <w:right w:w="0" w:type="dxa"/>
                  </w:tcMar>
                  <w:vAlign w:val="center"/>
                </w:tcPr>
                <w:p>
                  <w:pPr>
                    <w:pStyle w:val="62"/>
                    <w:spacing w:line="320" w:lineRule="exact"/>
                    <w:rPr>
                      <w:rFonts w:cs="宋体"/>
                    </w:rPr>
                  </w:pPr>
                  <w:r>
                    <w:rPr>
                      <w:rFonts w:hint="eastAsia" w:cs="宋体"/>
                    </w:rPr>
                    <w:t>生态环境</w:t>
                  </w:r>
                </w:p>
              </w:tc>
              <w:tc>
                <w:tcPr>
                  <w:tcW w:w="4057" w:type="pct"/>
                  <w:gridSpan w:val="2"/>
                  <w:tcMar>
                    <w:left w:w="0" w:type="dxa"/>
                    <w:right w:w="0" w:type="dxa"/>
                  </w:tcMar>
                  <w:vAlign w:val="center"/>
                </w:tcPr>
                <w:p>
                  <w:pPr>
                    <w:pStyle w:val="62"/>
                    <w:spacing w:line="320" w:lineRule="exact"/>
                    <w:jc w:val="both"/>
                    <w:rPr>
                      <w:rFonts w:cs="宋体"/>
                    </w:rPr>
                  </w:pPr>
                  <w:r>
                    <w:rPr>
                      <w:rFonts w:hint="eastAsia" w:cs="宋体"/>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6</w:t>
                  </w:r>
                </w:p>
              </w:tc>
              <w:tc>
                <w:tcPr>
                  <w:tcW w:w="635" w:type="pct"/>
                  <w:tcMar>
                    <w:left w:w="0" w:type="dxa"/>
                    <w:right w:w="0" w:type="dxa"/>
                  </w:tcMar>
                  <w:vAlign w:val="center"/>
                </w:tcPr>
                <w:p>
                  <w:pPr>
                    <w:pStyle w:val="62"/>
                    <w:spacing w:line="320" w:lineRule="exact"/>
                    <w:rPr>
                      <w:rFonts w:cs="宋体"/>
                    </w:rPr>
                  </w:pPr>
                  <w:r>
                    <w:rPr>
                      <w:rFonts w:hint="eastAsia" w:cs="宋体"/>
                    </w:rPr>
                    <w:t>环境管理</w:t>
                  </w:r>
                </w:p>
              </w:tc>
              <w:tc>
                <w:tcPr>
                  <w:tcW w:w="4057" w:type="pct"/>
                  <w:gridSpan w:val="2"/>
                  <w:tcMar>
                    <w:left w:w="0" w:type="dxa"/>
                    <w:right w:w="0" w:type="dxa"/>
                  </w:tcMar>
                  <w:vAlign w:val="center"/>
                </w:tcPr>
                <w:p>
                  <w:pPr>
                    <w:pStyle w:val="62"/>
                    <w:spacing w:line="320" w:lineRule="exact"/>
                    <w:jc w:val="both"/>
                    <w:rPr>
                      <w:rFonts w:cs="宋体"/>
                      <w:spacing w:val="-8"/>
                    </w:rPr>
                  </w:pPr>
                  <w:r>
                    <w:rPr>
                      <w:rFonts w:hint="eastAsia" w:cs="宋体"/>
                    </w:rPr>
                    <w:t>施工单位应建立环境保护档案，保存施工前后项目区的影像资料，使施工全过程各类污染物产生、去向和各个污染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bookmarkEnd w:id="35"/>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1" w:hRule="atLeast"/>
          <w:jc w:val="center"/>
        </w:trPr>
        <w:tc>
          <w:tcPr>
            <w:tcW w:w="778" w:type="dxa"/>
            <w:vAlign w:val="center"/>
          </w:tcPr>
          <w:p>
            <w:pPr>
              <w:adjustRightInd w:val="0"/>
              <w:snapToGrid w:val="0"/>
              <w:jc w:val="center"/>
              <w:rPr>
                <w:rFonts w:ascii="宋体" w:hAnsi="宋体" w:cs="宋体"/>
                <w:bCs/>
                <w:spacing w:val="10"/>
                <w:sz w:val="24"/>
              </w:rPr>
            </w:pPr>
            <w:r>
              <w:rPr>
                <w:rFonts w:hint="eastAsia" w:ascii="宋体" w:hAnsi="宋体"/>
                <w:bCs/>
                <w:sz w:val="24"/>
              </w:rPr>
              <w:t>环保投资</w:t>
            </w:r>
          </w:p>
        </w:tc>
        <w:tc>
          <w:tcPr>
            <w:tcW w:w="8095" w:type="dxa"/>
          </w:tcPr>
          <w:p>
            <w:pPr>
              <w:pStyle w:val="59"/>
              <w:ind w:firstLine="480"/>
              <w:rPr>
                <w:rFonts w:hint="default" w:ascii="Times New Roman" w:hAnsi="Times New Roman" w:cs="Times New Roman"/>
              </w:rPr>
            </w:pPr>
            <w:bookmarkStart w:id="37" w:name="_Hlk129690209"/>
            <w:bookmarkStart w:id="38" w:name="_Hlk129689014"/>
            <w:r>
              <w:rPr>
                <w:rFonts w:hint="default" w:ascii="Times New Roman" w:hAnsi="Times New Roman" w:cs="Times New Roman"/>
              </w:rPr>
              <w:t>本项目总投资约为</w:t>
            </w:r>
            <w:r>
              <w:rPr>
                <w:rFonts w:hint="default" w:ascii="Times New Roman" w:hAnsi="Times New Roman" w:cs="Times New Roman"/>
                <w:lang w:val="en-US" w:eastAsia="zh-CN"/>
              </w:rPr>
              <w:t>5686</w:t>
            </w:r>
            <w:r>
              <w:rPr>
                <w:rFonts w:hint="default" w:ascii="Times New Roman" w:hAnsi="Times New Roman" w:cs="Times New Roman"/>
              </w:rPr>
              <w:t>万元，环保投资共为151万元，占总投资的</w:t>
            </w:r>
            <w:r>
              <w:rPr>
                <w:rFonts w:hint="default" w:ascii="Times New Roman" w:hAnsi="Times New Roman" w:cs="Times New Roman"/>
                <w:lang w:val="en-US" w:eastAsia="zh-CN"/>
              </w:rPr>
              <w:t>2.66</w:t>
            </w:r>
            <w:r>
              <w:rPr>
                <w:rFonts w:hint="default" w:ascii="Times New Roman" w:hAnsi="Times New Roman" w:cs="Times New Roman"/>
              </w:rPr>
              <w:t>%</w:t>
            </w:r>
            <w:bookmarkEnd w:id="37"/>
            <w:r>
              <w:rPr>
                <w:rFonts w:hint="default" w:ascii="Times New Roman" w:hAnsi="Times New Roman" w:cs="Times New Roman"/>
              </w:rPr>
              <w:t>，详见表</w:t>
            </w:r>
            <w:r>
              <w:rPr>
                <w:rFonts w:hint="default" w:ascii="Times New Roman" w:hAnsi="Times New Roman" w:cs="Times New Roman"/>
                <w:lang w:val="en-US" w:eastAsia="zh-CN"/>
              </w:rPr>
              <w:t>5-2</w:t>
            </w:r>
            <w:r>
              <w:rPr>
                <w:rFonts w:hint="default" w:ascii="Times New Roman" w:hAnsi="Times New Roman" w:cs="Times New Roman"/>
              </w:rPr>
              <w:t>。</w:t>
            </w:r>
          </w:p>
          <w:p>
            <w:pPr>
              <w:pStyle w:val="10"/>
              <w:keepNext/>
              <w:rPr>
                <w:b/>
                <w:bCs/>
              </w:rPr>
            </w:pPr>
            <w:r>
              <w:rPr>
                <w:rFonts w:hint="eastAsia"/>
                <w:b/>
                <w:bCs/>
              </w:rPr>
              <w:t>表</w:t>
            </w:r>
            <w:r>
              <w:rPr>
                <w:rFonts w:hint="eastAsia"/>
                <w:b/>
                <w:bCs/>
                <w:lang w:val="en-US" w:eastAsia="zh-CN"/>
              </w:rPr>
              <w:t>5-2</w:t>
            </w:r>
            <w:r>
              <w:rPr>
                <w:b/>
                <w:bCs/>
              </w:rPr>
              <w:t xml:space="preserve">  环保治理设施环保投资表</w:t>
            </w:r>
          </w:p>
          <w:tbl>
            <w:tblPr>
              <w:tblStyle w:val="28"/>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365"/>
              <w:gridCol w:w="4644"/>
              <w:gridCol w:w="863"/>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工程名称</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拟采取的环保措施</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环保投资</w:t>
                  </w:r>
                </w:p>
                <w:p>
                  <w:pPr>
                    <w:snapToGrid w:val="0"/>
                    <w:spacing w:line="240" w:lineRule="exact"/>
                    <w:jc w:val="center"/>
                    <w:rPr>
                      <w:rFonts w:ascii="宋体" w:hAnsi="宋体" w:cs="宋体"/>
                      <w:szCs w:val="21"/>
                    </w:rPr>
                  </w:pPr>
                  <w:r>
                    <w:rPr>
                      <w:rFonts w:hint="eastAsia" w:ascii="宋体" w:hAnsi="宋体" w:cs="宋体"/>
                      <w:szCs w:val="21"/>
                    </w:rPr>
                    <w:t>（万元）</w:t>
                  </w:r>
                </w:p>
              </w:tc>
              <w:tc>
                <w:tcPr>
                  <w:tcW w:w="620"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废水处理</w:t>
                  </w: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生活污水</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设1座临时防渗收集池收集暂存，定期由吸污车抽出并拉运至</w:t>
                  </w:r>
                  <w:r>
                    <w:rPr>
                      <w:rFonts w:hint="eastAsia" w:ascii="宋体" w:hAnsi="宋体" w:cs="宋体"/>
                      <w:szCs w:val="21"/>
                      <w:lang w:val="en-US" w:eastAsia="zh-CN"/>
                    </w:rPr>
                    <w:t>奇台</w:t>
                  </w:r>
                  <w:r>
                    <w:rPr>
                      <w:rFonts w:hint="eastAsia" w:ascii="宋体" w:hAnsi="宋体" w:cs="宋体"/>
                      <w:szCs w:val="21"/>
                    </w:rPr>
                    <w:t>县</w:t>
                  </w:r>
                  <w:r>
                    <w:rPr>
                      <w:rFonts w:hint="eastAsia" w:ascii="宋体" w:hAnsi="宋体" w:cs="宋体"/>
                      <w:szCs w:val="21"/>
                      <w:lang w:val="en-US" w:eastAsia="zh-CN"/>
                    </w:rPr>
                    <w:t>城</w:t>
                  </w:r>
                  <w:r>
                    <w:rPr>
                      <w:rFonts w:hint="eastAsia" w:ascii="宋体" w:hAnsi="宋体" w:cs="宋体"/>
                      <w:szCs w:val="21"/>
                    </w:rPr>
                    <w:t>污水处理厂处理</w:t>
                  </w:r>
                </w:p>
              </w:tc>
              <w:tc>
                <w:tcPr>
                  <w:tcW w:w="863"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3</w:t>
                  </w:r>
                </w:p>
              </w:tc>
              <w:tc>
                <w:tcPr>
                  <w:tcW w:w="620"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与钻井、试油期同步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洗井废水、压裂返排液</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由地面储罐收集后，依托</w:t>
                  </w:r>
                  <w:r>
                    <w:rPr>
                      <w:rFonts w:hint="eastAsia" w:ascii="宋体" w:hAnsi="宋体" w:cs="宋体"/>
                      <w:szCs w:val="21"/>
                      <w:lang w:eastAsia="zh-CN"/>
                    </w:rPr>
                    <w:t>吉祥联合站</w:t>
                  </w:r>
                  <w:r>
                    <w:rPr>
                      <w:rFonts w:hint="eastAsia" w:ascii="宋体" w:hAnsi="宋体" w:cs="宋体"/>
                      <w:szCs w:val="21"/>
                    </w:rPr>
                    <w:t>处理</w:t>
                  </w:r>
                </w:p>
              </w:tc>
              <w:tc>
                <w:tcPr>
                  <w:tcW w:w="863" w:type="dxa"/>
                  <w:vMerge w:val="continue"/>
                  <w:tcMar>
                    <w:left w:w="0" w:type="dxa"/>
                    <w:right w:w="0" w:type="dxa"/>
                  </w:tcMar>
                  <w:vAlign w:val="center"/>
                </w:tcPr>
                <w:p>
                  <w:pPr>
                    <w:snapToGrid w:val="0"/>
                    <w:spacing w:line="240" w:lineRule="exact"/>
                    <w:jc w:val="center"/>
                    <w:rPr>
                      <w:rFonts w:ascii="宋体" w:hAnsi="宋体" w:cs="宋体"/>
                      <w:szCs w:val="21"/>
                    </w:rPr>
                  </w:pP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固废处置</w:t>
                  </w: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生活垃圾</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设有垃圾箱集中收集，施工结束后清运至</w:t>
                  </w:r>
                  <w:r>
                    <w:rPr>
                      <w:rFonts w:hint="eastAsia" w:ascii="宋体" w:hAnsi="宋体" w:cs="宋体"/>
                      <w:szCs w:val="21"/>
                      <w:lang w:val="en-US" w:eastAsia="zh-CN"/>
                    </w:rPr>
                    <w:t>奇台</w:t>
                  </w:r>
                  <w:r>
                    <w:rPr>
                      <w:rFonts w:hint="eastAsia" w:ascii="宋体" w:hAnsi="宋体" w:cs="宋体"/>
                      <w:szCs w:val="21"/>
                    </w:rPr>
                    <w:t>县生活垃圾填埋场处置</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4</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水基钻井岩屑</w:t>
                  </w:r>
                </w:p>
              </w:tc>
              <w:tc>
                <w:tcPr>
                  <w:tcW w:w="4644" w:type="dxa"/>
                  <w:vMerge w:val="restart"/>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井场设1套钻井液不落地设备，水基/油基岩屑分别暂存于岩屑专用储罐，水基钻井岩屑委托岩屑处置单位定期拉运、处置，油基钻井岩屑委托具有相应危废处理资质的单位负责接收、转运、处置</w:t>
                  </w:r>
                </w:p>
              </w:tc>
              <w:tc>
                <w:tcPr>
                  <w:tcW w:w="863" w:type="dxa"/>
                  <w:vMerge w:val="restart"/>
                  <w:tcMar>
                    <w:left w:w="0" w:type="dxa"/>
                    <w:right w:w="0" w:type="dxa"/>
                  </w:tcMar>
                  <w:vAlign w:val="center"/>
                </w:tcPr>
                <w:p>
                  <w:pPr>
                    <w:snapToGrid w:val="0"/>
                    <w:spacing w:line="240" w:lineRule="exact"/>
                    <w:jc w:val="center"/>
                    <w:rPr>
                      <w:rFonts w:ascii="宋体" w:hAnsi="宋体" w:cs="宋体"/>
                      <w:szCs w:val="21"/>
                    </w:rPr>
                  </w:pPr>
                  <w:r>
                    <w:rPr>
                      <w:rFonts w:ascii="宋体" w:hAnsi="宋体" w:cs="宋体"/>
                      <w:szCs w:val="21"/>
                    </w:rPr>
                    <w:t>120</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油基钻井岩屑</w:t>
                  </w:r>
                </w:p>
              </w:tc>
              <w:tc>
                <w:tcPr>
                  <w:tcW w:w="4644" w:type="dxa"/>
                  <w:vMerge w:val="continue"/>
                  <w:tcMar>
                    <w:left w:w="0" w:type="dxa"/>
                    <w:right w:w="0" w:type="dxa"/>
                  </w:tcMar>
                  <w:vAlign w:val="center"/>
                </w:tcPr>
                <w:p>
                  <w:pPr>
                    <w:snapToGrid w:val="0"/>
                    <w:spacing w:line="240" w:lineRule="exact"/>
                    <w:jc w:val="center"/>
                    <w:rPr>
                      <w:rFonts w:ascii="宋体" w:hAnsi="宋体" w:cs="宋体"/>
                      <w:szCs w:val="21"/>
                    </w:rPr>
                  </w:pPr>
                </w:p>
              </w:tc>
              <w:tc>
                <w:tcPr>
                  <w:tcW w:w="863" w:type="dxa"/>
                  <w:vMerge w:val="continue"/>
                  <w:tcMar>
                    <w:left w:w="0" w:type="dxa"/>
                    <w:right w:w="0" w:type="dxa"/>
                  </w:tcMar>
                  <w:vAlign w:val="center"/>
                </w:tcPr>
                <w:p>
                  <w:pPr>
                    <w:snapToGrid w:val="0"/>
                    <w:spacing w:line="240" w:lineRule="exact"/>
                    <w:jc w:val="center"/>
                    <w:rPr>
                      <w:rFonts w:ascii="宋体" w:hAnsi="宋体" w:cs="宋体"/>
                      <w:szCs w:val="21"/>
                    </w:rPr>
                  </w:pP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沾油废防渗膜</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施工结束后将沾油废防渗膜委托具有相应危险废物处置资质的单位进行处置</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2</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生态恢复</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对临时占地进行清理、平整和征地补偿</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5</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井控装置</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防止井喷</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ascii="宋体" w:hAnsi="宋体" w:cs="宋体"/>
                      <w:szCs w:val="21"/>
                    </w:rPr>
                    <w:t>15</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硫化氢监测</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对硫化氢气体浓度进行检测</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2</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7" w:type="dxa"/>
                  <w:gridSpan w:val="3"/>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合计</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1</w:t>
                  </w:r>
                </w:p>
              </w:tc>
              <w:tc>
                <w:tcPr>
                  <w:tcW w:w="620"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w:t>
                  </w:r>
                </w:p>
              </w:tc>
            </w:tr>
            <w:bookmarkEnd w:id="38"/>
          </w:tbl>
          <w:p>
            <w:pPr>
              <w:pStyle w:val="12"/>
              <w:rPr>
                <w:rFonts w:ascii="宋体" w:hAnsi="宋体" w:cs="宋体"/>
                <w:szCs w:val="21"/>
              </w:rPr>
            </w:pPr>
          </w:p>
        </w:tc>
      </w:tr>
    </w:tbl>
    <w:p>
      <w:pPr>
        <w:sectPr>
          <w:pgSz w:w="11907" w:h="16840"/>
          <w:pgMar w:top="1440" w:right="1797" w:bottom="1440" w:left="1797" w:header="851" w:footer="1077" w:gutter="0"/>
          <w:cols w:space="720" w:num="1"/>
          <w:docGrid w:linePitch="312" w:charSpace="0"/>
        </w:sectPr>
      </w:pPr>
    </w:p>
    <w:p>
      <w:pPr>
        <w:pStyle w:val="25"/>
        <w:spacing w:before="0" w:beforeAutospacing="0" w:after="0" w:afterAutospacing="0" w:line="500" w:lineRule="exact"/>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p>
    <w:tbl>
      <w:tblPr>
        <w:tblStyle w:val="28"/>
        <w:tblW w:w="55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6"/>
        <w:gridCol w:w="4989"/>
        <w:gridCol w:w="2005"/>
        <w:gridCol w:w="702"/>
        <w:gridCol w:w="4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08" w:type="pct"/>
            <w:vMerge w:val="restart"/>
            <w:tcBorders>
              <w:tl2br w:val="single" w:color="auto" w:sz="4" w:space="0"/>
            </w:tcBorders>
          </w:tcPr>
          <w:p>
            <w:pPr>
              <w:pStyle w:val="25"/>
              <w:adjustRightInd w:val="0"/>
              <w:snapToGrid w:val="0"/>
              <w:spacing w:before="93" w:beforeLines="30" w:beforeAutospacing="0" w:after="0" w:afterAutospacing="0"/>
              <w:jc w:val="right"/>
              <w:rPr>
                <w:rFonts w:cs="宋体"/>
                <w:kern w:val="2"/>
                <w:sz w:val="21"/>
                <w:szCs w:val="21"/>
              </w:rPr>
            </w:pPr>
            <w:r>
              <w:rPr>
                <w:rFonts w:hint="eastAsia" w:cs="宋体"/>
                <w:kern w:val="2"/>
                <w:sz w:val="21"/>
                <w:szCs w:val="21"/>
              </w:rPr>
              <w:t>内容</w:t>
            </w:r>
          </w:p>
          <w:p>
            <w:pPr>
              <w:pStyle w:val="25"/>
              <w:adjustRightInd w:val="0"/>
              <w:snapToGrid w:val="0"/>
              <w:spacing w:before="0" w:beforeAutospacing="0" w:after="0" w:afterAutospacing="0"/>
              <w:rPr>
                <w:rFonts w:cs="宋体"/>
                <w:kern w:val="2"/>
                <w:sz w:val="21"/>
                <w:szCs w:val="21"/>
              </w:rPr>
            </w:pPr>
            <w:r>
              <w:rPr>
                <w:rFonts w:hint="eastAsia" w:cs="宋体"/>
                <w:kern w:val="2"/>
                <w:sz w:val="21"/>
                <w:szCs w:val="21"/>
              </w:rPr>
              <w:t xml:space="preserve">  </w:t>
            </w:r>
          </w:p>
          <w:p>
            <w:pPr>
              <w:pStyle w:val="25"/>
              <w:adjustRightInd w:val="0"/>
              <w:snapToGrid w:val="0"/>
              <w:spacing w:before="0" w:beforeAutospacing="0" w:after="0" w:afterAutospacing="0"/>
              <w:jc w:val="both"/>
              <w:rPr>
                <w:rFonts w:cs="宋体"/>
                <w:kern w:val="2"/>
                <w:sz w:val="21"/>
                <w:szCs w:val="21"/>
              </w:rPr>
            </w:pPr>
            <w:r>
              <w:rPr>
                <w:rFonts w:hint="eastAsia" w:cs="宋体"/>
                <w:kern w:val="2"/>
                <w:sz w:val="21"/>
                <w:szCs w:val="21"/>
              </w:rPr>
              <w:t>要素</w:t>
            </w:r>
          </w:p>
        </w:tc>
        <w:tc>
          <w:tcPr>
            <w:tcW w:w="3777" w:type="pct"/>
            <w:gridSpan w:val="2"/>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施工期</w:t>
            </w:r>
          </w:p>
        </w:tc>
        <w:tc>
          <w:tcPr>
            <w:tcW w:w="615" w:type="pct"/>
            <w:gridSpan w:val="2"/>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08" w:type="pct"/>
            <w:vMerge w:val="continue"/>
          </w:tcPr>
          <w:p>
            <w:pPr>
              <w:pStyle w:val="25"/>
              <w:adjustRightInd w:val="0"/>
              <w:snapToGrid w:val="0"/>
              <w:spacing w:before="0" w:beforeAutospacing="0" w:after="0" w:afterAutospacing="0"/>
              <w:ind w:firstLine="840"/>
              <w:jc w:val="center"/>
              <w:rPr>
                <w:rFonts w:cs="宋体"/>
                <w:kern w:val="2"/>
                <w:sz w:val="21"/>
                <w:szCs w:val="21"/>
              </w:rPr>
            </w:pPr>
          </w:p>
        </w:tc>
        <w:tc>
          <w:tcPr>
            <w:tcW w:w="2694"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环境保护措施</w:t>
            </w:r>
          </w:p>
        </w:tc>
        <w:tc>
          <w:tcPr>
            <w:tcW w:w="1083"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验收要求</w:t>
            </w:r>
          </w:p>
        </w:tc>
        <w:tc>
          <w:tcPr>
            <w:tcW w:w="379"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环境保护措施</w:t>
            </w:r>
          </w:p>
        </w:tc>
        <w:tc>
          <w:tcPr>
            <w:tcW w:w="236"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9"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陆生生态</w:t>
            </w:r>
          </w:p>
        </w:tc>
        <w:tc>
          <w:tcPr>
            <w:tcW w:w="2694" w:type="pct"/>
            <w:vAlign w:val="center"/>
          </w:tcPr>
          <w:p>
            <w:pPr>
              <w:adjustRightInd w:val="0"/>
              <w:snapToGrid w:val="0"/>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1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占地应清理平整；</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rFonts w:hint="eastAsia" w:ascii="宋体" w:hAnsi="宋体" w:cs="宋体"/>
              </w:rPr>
              <w:t>建设单位按照相关要求办理临时占地经济补偿协议</w:t>
            </w:r>
            <w:r>
              <w:rPr>
                <w:rFonts w:hint="eastAsia" w:ascii="宋体" w:hAnsi="宋体" w:cs="宋体"/>
                <w:szCs w:val="21"/>
              </w:rPr>
              <w:t>。⑤</w:t>
            </w:r>
            <w:r>
              <w:rPr>
                <w:rFonts w:ascii="宋体" w:hAnsi="宋体" w:cs="宋体"/>
                <w:szCs w:val="21"/>
              </w:rPr>
              <w:t>施工结束后</w:t>
            </w:r>
            <w:r>
              <w:rPr>
                <w:rFonts w:hint="eastAsia" w:ascii="宋体" w:hAnsi="宋体" w:cs="宋体"/>
                <w:szCs w:val="21"/>
              </w:rPr>
              <w:t>及时</w:t>
            </w:r>
            <w:r>
              <w:rPr>
                <w:rFonts w:ascii="宋体" w:hAnsi="宋体" w:cs="宋体"/>
                <w:szCs w:val="21"/>
              </w:rPr>
              <w:t>对场地进行清理、平整并压实</w:t>
            </w:r>
            <w:r>
              <w:rPr>
                <w:rFonts w:hint="eastAsia" w:ascii="宋体" w:hAnsi="宋体" w:cs="宋体"/>
                <w:szCs w:val="21"/>
              </w:rPr>
              <w:t>。</w:t>
            </w:r>
          </w:p>
        </w:tc>
        <w:tc>
          <w:tcPr>
            <w:tcW w:w="1083" w:type="pct"/>
            <w:vAlign w:val="center"/>
          </w:tcPr>
          <w:p>
            <w:pPr>
              <w:adjustRightInd w:val="0"/>
              <w:snapToGrid w:val="0"/>
              <w:rPr>
                <w:rFonts w:ascii="宋体" w:hAnsi="宋体" w:cs="宋体"/>
                <w:szCs w:val="21"/>
              </w:rPr>
            </w:pPr>
            <w:r>
              <w:rPr>
                <w:rFonts w:hint="eastAsia" w:ascii="宋体" w:hAnsi="宋体" w:cs="宋体"/>
              </w:rPr>
              <w:t>生态保护措施落实情况</w:t>
            </w:r>
            <w:r>
              <w:rPr>
                <w:rFonts w:hint="eastAsia" w:ascii="宋体" w:hAnsi="宋体" w:cs="宋体"/>
                <w:szCs w:val="21"/>
              </w:rPr>
              <w:t>；现场无废水和固体废物遗留；井场及周边占地恢复情况。</w:t>
            </w:r>
            <w:r>
              <w:rPr>
                <w:rFonts w:ascii="宋体" w:hAnsi="宋体" w:cs="宋体"/>
                <w:szCs w:val="21"/>
              </w:rPr>
              <w:t>施工结束后清理、平整并压实</w:t>
            </w:r>
            <w:r>
              <w:rPr>
                <w:rFonts w:hint="eastAsia" w:ascii="宋体" w:hAnsi="宋体" w:cs="宋体"/>
                <w:szCs w:val="21"/>
              </w:rPr>
              <w:t>临时占地</w:t>
            </w:r>
            <w:r>
              <w:rPr>
                <w:rFonts w:ascii="宋体" w:hAnsi="宋体" w:cs="宋体"/>
                <w:szCs w:val="21"/>
              </w:rPr>
              <w:t>，以利于植被自然</w:t>
            </w:r>
            <w:r>
              <w:rPr>
                <w:rFonts w:ascii="宋体" w:hAnsi="宋体" w:cs="宋体"/>
              </w:rPr>
              <w:t>恢复</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水生生态</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08" w:type="pct"/>
            <w:vAlign w:val="center"/>
          </w:tcPr>
          <w:p>
            <w:pPr>
              <w:adjustRightInd w:val="0"/>
              <w:snapToGrid w:val="0"/>
              <w:jc w:val="center"/>
              <w:rPr>
                <w:rFonts w:ascii="宋体" w:hAnsi="宋体" w:cs="宋体"/>
                <w:spacing w:val="-10"/>
                <w:szCs w:val="21"/>
              </w:rPr>
            </w:pPr>
            <w:r>
              <w:rPr>
                <w:rFonts w:hint="eastAsia" w:ascii="宋体" w:hAnsi="宋体" w:cs="宋体"/>
                <w:spacing w:val="-10"/>
                <w:szCs w:val="21"/>
              </w:rPr>
              <w:t>地表水环境</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地下水及土壤环境</w:t>
            </w:r>
          </w:p>
        </w:tc>
        <w:tc>
          <w:tcPr>
            <w:tcW w:w="2694" w:type="pct"/>
            <w:vAlign w:val="center"/>
          </w:tcPr>
          <w:p>
            <w:pPr>
              <w:adjustRightInd w:val="0"/>
              <w:snapToGrid w:val="0"/>
              <w:rPr>
                <w:rFonts w:ascii="宋体" w:hAnsi="宋体" w:cs="宋体"/>
                <w:szCs w:val="21"/>
              </w:rPr>
            </w:pPr>
            <w:r>
              <w:rPr>
                <w:rFonts w:hint="eastAsia" w:ascii="宋体" w:hAnsi="宋体" w:cs="宋体"/>
                <w:szCs w:val="21"/>
              </w:rPr>
              <w:t>生活污水经临时防渗收集池收集和暂存，完工后由吸污车拉运至</w:t>
            </w:r>
            <w:r>
              <w:rPr>
                <w:rFonts w:hint="eastAsia" w:ascii="宋体" w:hAnsi="宋体" w:cs="宋体"/>
                <w:szCs w:val="21"/>
                <w:lang w:val="en-US" w:eastAsia="zh-CN"/>
              </w:rPr>
              <w:t>奇台</w:t>
            </w:r>
            <w:r>
              <w:rPr>
                <w:rFonts w:hint="eastAsia" w:ascii="宋体" w:hAnsi="宋体" w:cs="宋体"/>
                <w:szCs w:val="21"/>
              </w:rPr>
              <w:t>县</w:t>
            </w:r>
            <w:r>
              <w:rPr>
                <w:rFonts w:hint="eastAsia" w:ascii="宋体" w:hAnsi="宋体" w:cs="宋体"/>
                <w:szCs w:val="21"/>
                <w:lang w:val="en-US" w:eastAsia="zh-CN"/>
              </w:rPr>
              <w:t>城</w:t>
            </w:r>
            <w:r>
              <w:rPr>
                <w:rFonts w:hint="eastAsia" w:ascii="宋体" w:hAnsi="宋体" w:cs="宋体"/>
                <w:szCs w:val="21"/>
              </w:rPr>
              <w:t>污水处理厂处理；②洗井废水和压裂返排液收集至专用储罐后由罐车拉运至</w:t>
            </w:r>
            <w:r>
              <w:rPr>
                <w:rFonts w:hint="eastAsia" w:ascii="宋体" w:hAnsi="宋体" w:cs="宋体"/>
                <w:szCs w:val="21"/>
                <w:lang w:eastAsia="zh-CN"/>
              </w:rPr>
              <w:t>吉祥联合站</w:t>
            </w:r>
            <w:r>
              <w:rPr>
                <w:rFonts w:hint="eastAsia" w:ascii="宋体" w:hAnsi="宋体" w:cs="宋体"/>
                <w:szCs w:val="21"/>
              </w:rPr>
              <w:t>处理。</w:t>
            </w:r>
          </w:p>
        </w:tc>
        <w:tc>
          <w:tcPr>
            <w:tcW w:w="1083" w:type="pct"/>
            <w:vAlign w:val="center"/>
          </w:tcPr>
          <w:p>
            <w:pPr>
              <w:adjustRightInd w:val="0"/>
              <w:snapToGrid w:val="0"/>
              <w:rPr>
                <w:rFonts w:ascii="宋体" w:hAnsi="宋体" w:cs="宋体"/>
                <w:szCs w:val="21"/>
              </w:rPr>
            </w:pPr>
            <w:r>
              <w:rPr>
                <w:rFonts w:hint="eastAsia" w:ascii="宋体" w:hAnsi="宋体"/>
                <w:szCs w:val="21"/>
              </w:rPr>
              <w:t>①生活污水签订清运协议；</w:t>
            </w:r>
            <w:r>
              <w:rPr>
                <w:rFonts w:hint="eastAsia" w:ascii="宋体" w:hAnsi="宋体" w:cs="宋体"/>
                <w:szCs w:val="21"/>
              </w:rPr>
              <w:t>②洗井废水和压裂返排液现场无遗留。</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2694" w:type="pct"/>
            <w:vAlign w:val="center"/>
          </w:tcPr>
          <w:p>
            <w:pPr>
              <w:adjustRightInd w:val="0"/>
              <w:snapToGrid w:val="0"/>
              <w:rPr>
                <w:rFonts w:ascii="宋体" w:hAnsi="宋体" w:cs="宋体"/>
                <w:szCs w:val="21"/>
              </w:rPr>
            </w:pPr>
            <w:r>
              <w:rPr>
                <w:rFonts w:hint="eastAsia" w:ascii="宋体" w:hAnsi="宋体" w:cs="宋体"/>
                <w:szCs w:val="21"/>
              </w:rPr>
              <w:t>在设备选型上要求采用低噪声的设备，施工设备定期检查维修，对噪声较大的设备采取基础减震措施；加强施工场地管理，合理疏导进入施工区的车辆，禁止运输车辆随意高声鸣笛。</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振动</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2694" w:type="pct"/>
            <w:vAlign w:val="center"/>
          </w:tcPr>
          <w:p>
            <w:pPr>
              <w:adjustRightInd w:val="0"/>
              <w:snapToGrid w:val="0"/>
              <w:rPr>
                <w:rFonts w:ascii="宋体" w:hAnsi="宋体" w:cs="宋体"/>
                <w:spacing w:val="-2"/>
                <w:szCs w:val="21"/>
              </w:rPr>
            </w:pPr>
            <w:r>
              <w:rPr>
                <w:rFonts w:hint="eastAsia" w:ascii="宋体" w:hAnsi="宋体" w:cs="宋体"/>
                <w:spacing w:val="-2"/>
                <w:szCs w:val="21"/>
              </w:rPr>
              <w:t>①使用达标柴油，加强设备维护；②试油期产生的伴生气不稳定无法进行回收，经排气管线燃烧后排放；③对易起尘物料遮盖，加强车辆管理</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12"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2694" w:type="pct"/>
            <w:vAlign w:val="center"/>
          </w:tcPr>
          <w:p>
            <w:pPr>
              <w:adjustRightInd w:val="0"/>
              <w:snapToGrid w:val="0"/>
              <w:rPr>
                <w:rFonts w:ascii="宋体" w:hAnsi="宋体" w:cs="宋体"/>
                <w:spacing w:val="-2"/>
                <w:szCs w:val="21"/>
              </w:rPr>
            </w:pPr>
            <w:r>
              <w:rPr>
                <w:rFonts w:hint="eastAsia" w:ascii="宋体" w:hAnsi="宋体" w:cs="宋体"/>
                <w:spacing w:val="-2"/>
                <w:szCs w:val="21"/>
              </w:rPr>
              <w:t>①水基钻井岩屑：采用不落地系统进行处理，交由岩屑处置单位转运至岩屑处理单位进行岩屑无害化处理；②油基钻井岩屑：经不落地系统处理后，由具有相关资质的危废处置单位负责接收、转运、处置；③废防渗材料：未破损、未沾油防渗材料由施工单位集中回收利用，沾油的废防渗材料委托具有相应危险废物处置资质的单位进行处置；④生活垃圾：集中收集后定期送至</w:t>
            </w:r>
            <w:r>
              <w:rPr>
                <w:rFonts w:hint="eastAsia" w:ascii="宋体" w:hAnsi="宋体" w:cs="宋体"/>
                <w:spacing w:val="-2"/>
                <w:szCs w:val="21"/>
                <w:lang w:val="en-US" w:eastAsia="zh-CN"/>
              </w:rPr>
              <w:t>奇台</w:t>
            </w:r>
            <w:r>
              <w:rPr>
                <w:rFonts w:hint="eastAsia" w:ascii="宋体" w:hAnsi="宋体" w:cs="宋体"/>
                <w:spacing w:val="-2"/>
                <w:szCs w:val="21"/>
              </w:rPr>
              <w:t>县生活垃圾填埋场填埋处置</w:t>
            </w:r>
          </w:p>
        </w:tc>
        <w:tc>
          <w:tcPr>
            <w:tcW w:w="1083" w:type="pct"/>
            <w:vAlign w:val="center"/>
          </w:tcPr>
          <w:p>
            <w:pPr>
              <w:adjustRightInd w:val="0"/>
              <w:snapToGrid w:val="0"/>
              <w:rPr>
                <w:rFonts w:ascii="宋体" w:hAnsi="宋体" w:cs="宋体"/>
                <w:spacing w:val="16"/>
                <w:szCs w:val="21"/>
              </w:rPr>
            </w:pPr>
            <w:r>
              <w:rPr>
                <w:rFonts w:hint="eastAsia" w:ascii="宋体" w:hAnsi="宋体" w:cs="宋体"/>
                <w:szCs w:val="21"/>
              </w:rPr>
              <w:t>①水基钻井岩屑签订处置协议，查阅台账；</w:t>
            </w:r>
            <w:r>
              <w:rPr>
                <w:rFonts w:hint="eastAsia" w:hAnsi="宋体" w:cs="宋体"/>
                <w:szCs w:val="21"/>
              </w:rPr>
              <w:t>②油基钻井岩屑和</w:t>
            </w:r>
            <w:r>
              <w:rPr>
                <w:rFonts w:hint="eastAsia" w:ascii="宋体" w:hAnsi="宋体" w:cs="宋体"/>
                <w:szCs w:val="21"/>
              </w:rPr>
              <w:t>废防渗材料</w:t>
            </w:r>
            <w:r>
              <w:rPr>
                <w:rFonts w:hint="eastAsia" w:hAnsi="宋体" w:cs="宋体"/>
                <w:szCs w:val="21"/>
              </w:rPr>
              <w:t>签订处置协议，查阅危险废物台账，检查现场是否有遗留；</w:t>
            </w:r>
            <w:r>
              <w:rPr>
                <w:rFonts w:hint="eastAsia" w:ascii="宋体" w:hAnsi="宋体" w:cs="宋体"/>
                <w:szCs w:val="21"/>
              </w:rPr>
              <w:t>③生活垃圾签订接收协议。</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电磁环境</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9"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环境风险</w:t>
            </w:r>
          </w:p>
        </w:tc>
        <w:tc>
          <w:tcPr>
            <w:tcW w:w="2694" w:type="pct"/>
            <w:vAlign w:val="center"/>
          </w:tcPr>
          <w:p>
            <w:pPr>
              <w:adjustRightInd w:val="0"/>
              <w:snapToGrid w:val="0"/>
              <w:ind w:left="105" w:hanging="105" w:hangingChars="50"/>
              <w:rPr>
                <w:rFonts w:ascii="宋体" w:hAnsi="宋体" w:cs="宋体"/>
                <w:szCs w:val="21"/>
              </w:rPr>
            </w:pPr>
            <w:r>
              <w:rPr>
                <w:rFonts w:hint="eastAsia" w:ascii="宋体" w:hAnsi="宋体" w:cs="宋体"/>
                <w:szCs w:val="21"/>
              </w:rPr>
              <w:t>①施工时应严格执行相关风险防范措施和规章制度，严禁违规操作加强设备维修与巡检，避免储罐泄露事故的发生；②在井口安装井控装置，杜绝井喷的发生；</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3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定期检查固井质量，发现固井质量不合格应及时采取措施，保证固井质量合格；</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rFonts w:hint="eastAsia" w:ascii="宋体" w:hAnsi="宋体" w:cs="宋体"/>
                <w:szCs w:val="21"/>
              </w:rPr>
              <w:t>加强各类储罐及放喷管线的日常管理及安全检查；</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5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⑤</w:t>
            </w:r>
            <w:r>
              <w:rPr>
                <w:rFonts w:ascii="宋体" w:hAnsi="宋体" w:cs="宋体"/>
                <w:szCs w:val="21"/>
              </w:rPr>
              <w:fldChar w:fldCharType="end"/>
            </w:r>
            <w:r>
              <w:rPr>
                <w:rFonts w:hint="eastAsia" w:ascii="宋体" w:hAnsi="宋体" w:cs="宋体"/>
                <w:szCs w:val="21"/>
              </w:rPr>
              <w:t>应将本项目纳入《</w:t>
            </w:r>
            <w:r>
              <w:rPr>
                <w:rFonts w:hint="eastAsia" w:ascii="宋体" w:hAnsi="宋体" w:cs="宋体"/>
                <w:szCs w:val="21"/>
                <w:lang w:eastAsia="zh-CN"/>
              </w:rPr>
              <w:t>中国石油天然气股份有限公司吐哈油田分公司准东勘探开发项目经理部</w:t>
            </w:r>
            <w:r>
              <w:rPr>
                <w:rFonts w:hint="eastAsia" w:ascii="宋体" w:hAnsi="宋体" w:cs="宋体"/>
                <w:szCs w:val="21"/>
              </w:rPr>
              <w:t>突发环境事件应急预案》。</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环境监测</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其他</w:t>
            </w:r>
          </w:p>
        </w:tc>
        <w:tc>
          <w:tcPr>
            <w:tcW w:w="2694" w:type="pct"/>
            <w:vAlign w:val="center"/>
          </w:tcPr>
          <w:p>
            <w:pPr>
              <w:adjustRightInd w:val="0"/>
              <w:snapToGrid w:val="0"/>
              <w:rPr>
                <w:rFonts w:ascii="宋体" w:hAnsi="宋体" w:cs="宋体"/>
                <w:szCs w:val="21"/>
              </w:rPr>
            </w:pPr>
            <w:r>
              <w:rPr>
                <w:rFonts w:ascii="宋体" w:hAnsi="宋体" w:cs="宋体"/>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r>
              <w:rPr>
                <w:rFonts w:hint="eastAsia" w:ascii="宋体" w:hAnsi="宋体" w:cs="宋体"/>
                <w:szCs w:val="21"/>
              </w:rPr>
              <w:t>。</w:t>
            </w:r>
          </w:p>
        </w:tc>
        <w:tc>
          <w:tcPr>
            <w:tcW w:w="1083" w:type="pct"/>
            <w:vAlign w:val="center"/>
          </w:tcPr>
          <w:p>
            <w:pPr>
              <w:adjustRightInd w:val="0"/>
              <w:snapToGrid w:val="0"/>
              <w:rPr>
                <w:rFonts w:ascii="宋体" w:hAnsi="宋体" w:cs="宋体"/>
                <w:szCs w:val="21"/>
              </w:rPr>
            </w:pPr>
            <w:r>
              <w:rPr>
                <w:rFonts w:hint="eastAsia" w:ascii="宋体" w:hAnsi="宋体" w:cs="宋体"/>
                <w:szCs w:val="21"/>
              </w:rPr>
              <w:t>环境管理制度是否建立并完善，环保机构及人员是否设置到位；是否保留必要的影像资料。</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bl>
    <w:p>
      <w:pPr>
        <w:pStyle w:val="25"/>
        <w:spacing w:before="249"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8"/>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779" w:type="dxa"/>
          </w:tcPr>
          <w:p>
            <w:pPr>
              <w:pStyle w:val="59"/>
              <w:ind w:firstLine="480"/>
              <w:rPr>
                <w:rFonts w:cs="宋体"/>
                <w:szCs w:val="21"/>
              </w:rPr>
            </w:pPr>
            <w:r>
              <w:rPr>
                <w:rFonts w:hint="eastAsia"/>
              </w:rPr>
              <w:t>本项目符合国家产业政策</w:t>
            </w:r>
            <w:r>
              <w:rPr>
                <w:rFonts w:hint="eastAsia" w:cs="宋体"/>
              </w:rPr>
              <w:t>、“三线一单”和相关规划</w:t>
            </w:r>
            <w:r>
              <w:rPr>
                <w:rFonts w:hint="eastAsia"/>
              </w:rPr>
              <w:t>，选址合理，在严格执行已有各项环保政策、规定，认真落实报告表中提出的污染防治措施和生态影响减缓措施的前提下，从生态环境保护角度分析建设可行。</w:t>
            </w:r>
          </w:p>
        </w:tc>
      </w:tr>
    </w:tbl>
    <w:p>
      <w:pPr>
        <w:pStyle w:val="12"/>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C62F467-C976-43B5-A1C1-CDFA8B5E9A53}"/>
  </w:font>
  <w:font w:name="黑体">
    <w:panose1 w:val="02010609060101010101"/>
    <w:charset w:val="86"/>
    <w:family w:val="auto"/>
    <w:pitch w:val="default"/>
    <w:sig w:usb0="800002BF" w:usb1="38CF7CFA" w:usb2="00000016" w:usb3="00000000" w:csb0="00040001" w:csb1="00000000"/>
    <w:embedRegular r:id="rId2" w:fontKey="{64B31E9D-5B86-4BDF-AA69-912D8724E6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70079A03-F093-4A05-873C-BA2D75442339}"/>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F2FD799-4073-4BD3-B78D-39BC8ECFEB49}"/>
  </w:font>
  <w:font w:name="Arial Unicode MS">
    <w:altName w:val="宋体"/>
    <w:panose1 w:val="020B0604020202020204"/>
    <w:charset w:val="86"/>
    <w:family w:val="auto"/>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embedRegular r:id="rId5" w:fontKey="{E7A5CEF3-8BA9-49CC-81CD-A6416DF36FC7}"/>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6" w:fontKey="{28FA004B-BE18-4E76-8C7F-2B436A0D1697}"/>
  </w:font>
  <w:font w:name="方正仿宋简体">
    <w:altName w:val="微软雅黑"/>
    <w:panose1 w:val="00000000000000000000"/>
    <w:charset w:val="86"/>
    <w:family w:val="auto"/>
    <w:pitch w:val="default"/>
    <w:sig w:usb0="00000000" w:usb1="00000000" w:usb2="00000012" w:usb3="00000000" w:csb0="00040001" w:csb1="00000000"/>
  </w:font>
  <w:font w:name="Microsoft YaHei UI">
    <w:panose1 w:val="020B0503020204020204"/>
    <w:charset w:val="86"/>
    <w:family w:val="swiss"/>
    <w:pitch w:val="default"/>
    <w:sig w:usb0="80000287" w:usb1="2ACF3C50" w:usb2="00000016" w:usb3="00000000" w:csb0="0004001F" w:csb1="00000000"/>
  </w:font>
  <w:font w:name="方正小标宋_GBK">
    <w:panose1 w:val="02000000000000000000"/>
    <w:charset w:val="86"/>
    <w:family w:val="script"/>
    <w:pitch w:val="default"/>
    <w:sig w:usb0="A00002BF" w:usb1="38CF7CFA" w:usb2="00082016" w:usb3="00000000" w:csb0="00040001" w:csb1="00000000"/>
    <w:embedRegular r:id="rId7" w:fontKey="{5FB67080-B6EE-4E64-A3E0-CF3FBE388400}"/>
  </w:font>
  <w:font w:name="仿宋">
    <w:panose1 w:val="02010609060101010101"/>
    <w:charset w:val="86"/>
    <w:family w:val="modern"/>
    <w:pitch w:val="default"/>
    <w:sig w:usb0="800002BF" w:usb1="38CF7CFA" w:usb2="00000016" w:usb3="00000000" w:csb0="00040001" w:csb1="00000000"/>
    <w:embedRegular r:id="rId8" w:fontKey="{29FF8DB4-39E4-4551-80E6-7916F79EBB30}"/>
  </w:font>
  <w:font w:name="Wingdings 2">
    <w:panose1 w:val="05020102010507070707"/>
    <w:charset w:val="02"/>
    <w:family w:val="roman"/>
    <w:pitch w:val="default"/>
    <w:sig w:usb0="00000000" w:usb1="00000000" w:usb2="00000000" w:usb3="00000000" w:csb0="80000000" w:csb1="00000000"/>
    <w:embedRegular r:id="rId9" w:fontKey="{F14E859F-E4C3-49BC-AB7E-41D8E40C2A2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940702"/>
    </w:sdtPr>
    <w:sdtContent>
      <w:p>
        <w:pPr>
          <w:pStyle w:val="21"/>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9"/>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DE25EDB"/>
    <w:multiLevelType w:val="singleLevel"/>
    <w:tmpl w:val="4DE25ED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TrueTypeFonts/>
  <w:saveSubsetFonts/>
  <w:bordersDoNotSurroundHeader w:val="1"/>
  <w:bordersDoNotSurroundFooter w:val="1"/>
  <w:documentProtection w:edit="trackedChanges" w:enforcement="0"/>
  <w:defaultTabStop w:val="420"/>
  <w:drawingGridHorizontalSpacing w:val="105"/>
  <w:drawingGridVerticalSpacing w:val="156"/>
  <w:displayHorizontalDrawingGridEvery w:val="2"/>
  <w:displayVerticalDrawingGridEvery w:val="2"/>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mYzY1YjY0MzEzOWQxYjk1ZmE0ZjIzODQxZDkyOWMifQ=="/>
  </w:docVars>
  <w:rsids>
    <w:rsidRoot w:val="00A14947"/>
    <w:rsid w:val="00001CED"/>
    <w:rsid w:val="00001E67"/>
    <w:rsid w:val="000021F1"/>
    <w:rsid w:val="0000246F"/>
    <w:rsid w:val="000033D4"/>
    <w:rsid w:val="00003422"/>
    <w:rsid w:val="00003CD8"/>
    <w:rsid w:val="0000642B"/>
    <w:rsid w:val="000065E5"/>
    <w:rsid w:val="0001115A"/>
    <w:rsid w:val="000111E7"/>
    <w:rsid w:val="0001154E"/>
    <w:rsid w:val="000130BC"/>
    <w:rsid w:val="0001357A"/>
    <w:rsid w:val="00014965"/>
    <w:rsid w:val="00014E8A"/>
    <w:rsid w:val="0001523A"/>
    <w:rsid w:val="000153AC"/>
    <w:rsid w:val="00015952"/>
    <w:rsid w:val="000164F1"/>
    <w:rsid w:val="00016B41"/>
    <w:rsid w:val="00016ECB"/>
    <w:rsid w:val="00017A36"/>
    <w:rsid w:val="000203B2"/>
    <w:rsid w:val="00022AB8"/>
    <w:rsid w:val="00023D50"/>
    <w:rsid w:val="00023D8B"/>
    <w:rsid w:val="000254C1"/>
    <w:rsid w:val="00025BE6"/>
    <w:rsid w:val="000269F6"/>
    <w:rsid w:val="00031939"/>
    <w:rsid w:val="00031A7D"/>
    <w:rsid w:val="00031D50"/>
    <w:rsid w:val="0003201E"/>
    <w:rsid w:val="00032769"/>
    <w:rsid w:val="00032D25"/>
    <w:rsid w:val="00033725"/>
    <w:rsid w:val="00036828"/>
    <w:rsid w:val="00036A77"/>
    <w:rsid w:val="00040BA0"/>
    <w:rsid w:val="00040FA5"/>
    <w:rsid w:val="000420C7"/>
    <w:rsid w:val="00044206"/>
    <w:rsid w:val="00046BB1"/>
    <w:rsid w:val="00047212"/>
    <w:rsid w:val="00047E4D"/>
    <w:rsid w:val="00051554"/>
    <w:rsid w:val="0005219D"/>
    <w:rsid w:val="00054288"/>
    <w:rsid w:val="000548FD"/>
    <w:rsid w:val="00054B0F"/>
    <w:rsid w:val="0005568F"/>
    <w:rsid w:val="000567BB"/>
    <w:rsid w:val="0005783C"/>
    <w:rsid w:val="00057D99"/>
    <w:rsid w:val="00057EB0"/>
    <w:rsid w:val="0006153D"/>
    <w:rsid w:val="00061B1F"/>
    <w:rsid w:val="0006360E"/>
    <w:rsid w:val="0006389D"/>
    <w:rsid w:val="00064ACE"/>
    <w:rsid w:val="00064BFD"/>
    <w:rsid w:val="000655B3"/>
    <w:rsid w:val="00065FED"/>
    <w:rsid w:val="000664DB"/>
    <w:rsid w:val="000665A2"/>
    <w:rsid w:val="000669D7"/>
    <w:rsid w:val="0007127D"/>
    <w:rsid w:val="00071363"/>
    <w:rsid w:val="00071AE5"/>
    <w:rsid w:val="00074783"/>
    <w:rsid w:val="000759B3"/>
    <w:rsid w:val="00076632"/>
    <w:rsid w:val="000779AD"/>
    <w:rsid w:val="000779F4"/>
    <w:rsid w:val="0008001C"/>
    <w:rsid w:val="0008011B"/>
    <w:rsid w:val="000801E0"/>
    <w:rsid w:val="00080AC5"/>
    <w:rsid w:val="00080E2A"/>
    <w:rsid w:val="0008140F"/>
    <w:rsid w:val="00082A29"/>
    <w:rsid w:val="00082BAA"/>
    <w:rsid w:val="0008331D"/>
    <w:rsid w:val="000833EA"/>
    <w:rsid w:val="0008376B"/>
    <w:rsid w:val="00083C18"/>
    <w:rsid w:val="00085283"/>
    <w:rsid w:val="0008612A"/>
    <w:rsid w:val="00086CE4"/>
    <w:rsid w:val="00087BF1"/>
    <w:rsid w:val="000906CC"/>
    <w:rsid w:val="000908FE"/>
    <w:rsid w:val="00091CEE"/>
    <w:rsid w:val="0009262E"/>
    <w:rsid w:val="00092899"/>
    <w:rsid w:val="000934C6"/>
    <w:rsid w:val="00095CDC"/>
    <w:rsid w:val="0009646D"/>
    <w:rsid w:val="00097858"/>
    <w:rsid w:val="000A0A9C"/>
    <w:rsid w:val="000A1121"/>
    <w:rsid w:val="000A178E"/>
    <w:rsid w:val="000A19D8"/>
    <w:rsid w:val="000A21C6"/>
    <w:rsid w:val="000A297B"/>
    <w:rsid w:val="000A2D93"/>
    <w:rsid w:val="000A40A1"/>
    <w:rsid w:val="000A441F"/>
    <w:rsid w:val="000A4741"/>
    <w:rsid w:val="000A557E"/>
    <w:rsid w:val="000A5B94"/>
    <w:rsid w:val="000A6AFF"/>
    <w:rsid w:val="000A7D80"/>
    <w:rsid w:val="000B0246"/>
    <w:rsid w:val="000B058F"/>
    <w:rsid w:val="000B0D1C"/>
    <w:rsid w:val="000B1C48"/>
    <w:rsid w:val="000B1D52"/>
    <w:rsid w:val="000B423D"/>
    <w:rsid w:val="000B4D09"/>
    <w:rsid w:val="000B54B1"/>
    <w:rsid w:val="000B557A"/>
    <w:rsid w:val="000B693F"/>
    <w:rsid w:val="000B71F0"/>
    <w:rsid w:val="000C09AC"/>
    <w:rsid w:val="000C0A63"/>
    <w:rsid w:val="000C1F4B"/>
    <w:rsid w:val="000C2869"/>
    <w:rsid w:val="000C3F2E"/>
    <w:rsid w:val="000C437E"/>
    <w:rsid w:val="000C52FD"/>
    <w:rsid w:val="000C61D6"/>
    <w:rsid w:val="000C6AF9"/>
    <w:rsid w:val="000C7594"/>
    <w:rsid w:val="000D01FA"/>
    <w:rsid w:val="000D0BD6"/>
    <w:rsid w:val="000D0E71"/>
    <w:rsid w:val="000D46EE"/>
    <w:rsid w:val="000D6189"/>
    <w:rsid w:val="000D62CA"/>
    <w:rsid w:val="000D6AE5"/>
    <w:rsid w:val="000E1BEE"/>
    <w:rsid w:val="000E21A8"/>
    <w:rsid w:val="000E2545"/>
    <w:rsid w:val="000E2694"/>
    <w:rsid w:val="000E2DFD"/>
    <w:rsid w:val="000E40E3"/>
    <w:rsid w:val="000E55FD"/>
    <w:rsid w:val="000E5862"/>
    <w:rsid w:val="000E5F16"/>
    <w:rsid w:val="000F118E"/>
    <w:rsid w:val="000F1200"/>
    <w:rsid w:val="000F1661"/>
    <w:rsid w:val="000F1882"/>
    <w:rsid w:val="000F1A2E"/>
    <w:rsid w:val="000F21C1"/>
    <w:rsid w:val="000F4452"/>
    <w:rsid w:val="000F6DA1"/>
    <w:rsid w:val="000F701B"/>
    <w:rsid w:val="00100317"/>
    <w:rsid w:val="001004C7"/>
    <w:rsid w:val="00100DAB"/>
    <w:rsid w:val="00101164"/>
    <w:rsid w:val="00101235"/>
    <w:rsid w:val="001035A3"/>
    <w:rsid w:val="00103690"/>
    <w:rsid w:val="0010403A"/>
    <w:rsid w:val="001042E3"/>
    <w:rsid w:val="0010561F"/>
    <w:rsid w:val="001056A0"/>
    <w:rsid w:val="00105992"/>
    <w:rsid w:val="001067A0"/>
    <w:rsid w:val="001126FD"/>
    <w:rsid w:val="00113C1D"/>
    <w:rsid w:val="00114101"/>
    <w:rsid w:val="00115279"/>
    <w:rsid w:val="00115697"/>
    <w:rsid w:val="00117459"/>
    <w:rsid w:val="0011749A"/>
    <w:rsid w:val="00117C8A"/>
    <w:rsid w:val="00120FF7"/>
    <w:rsid w:val="0012175E"/>
    <w:rsid w:val="0012261A"/>
    <w:rsid w:val="00123121"/>
    <w:rsid w:val="00125185"/>
    <w:rsid w:val="00125423"/>
    <w:rsid w:val="00125BF8"/>
    <w:rsid w:val="00125F06"/>
    <w:rsid w:val="0012611D"/>
    <w:rsid w:val="00127A68"/>
    <w:rsid w:val="00131BD8"/>
    <w:rsid w:val="001324B4"/>
    <w:rsid w:val="001325A3"/>
    <w:rsid w:val="00132BB5"/>
    <w:rsid w:val="00136CA8"/>
    <w:rsid w:val="0014084F"/>
    <w:rsid w:val="00140B13"/>
    <w:rsid w:val="00140B52"/>
    <w:rsid w:val="00140D3D"/>
    <w:rsid w:val="00140E49"/>
    <w:rsid w:val="001411A8"/>
    <w:rsid w:val="001413B5"/>
    <w:rsid w:val="00141B68"/>
    <w:rsid w:val="00142F3F"/>
    <w:rsid w:val="00143C09"/>
    <w:rsid w:val="0014618C"/>
    <w:rsid w:val="001466DA"/>
    <w:rsid w:val="00150145"/>
    <w:rsid w:val="00150866"/>
    <w:rsid w:val="0015112F"/>
    <w:rsid w:val="001521FE"/>
    <w:rsid w:val="00152FCB"/>
    <w:rsid w:val="0015440C"/>
    <w:rsid w:val="00154DE1"/>
    <w:rsid w:val="00155360"/>
    <w:rsid w:val="00155386"/>
    <w:rsid w:val="00155B40"/>
    <w:rsid w:val="00157435"/>
    <w:rsid w:val="001617FA"/>
    <w:rsid w:val="00162C03"/>
    <w:rsid w:val="00162C8B"/>
    <w:rsid w:val="00163EEA"/>
    <w:rsid w:val="001647D9"/>
    <w:rsid w:val="00164899"/>
    <w:rsid w:val="0016492C"/>
    <w:rsid w:val="00165E33"/>
    <w:rsid w:val="00167A07"/>
    <w:rsid w:val="0017046A"/>
    <w:rsid w:val="001704A3"/>
    <w:rsid w:val="00172693"/>
    <w:rsid w:val="001735A9"/>
    <w:rsid w:val="001744DD"/>
    <w:rsid w:val="00174675"/>
    <w:rsid w:val="00174BD3"/>
    <w:rsid w:val="0017504D"/>
    <w:rsid w:val="00176A22"/>
    <w:rsid w:val="00176E76"/>
    <w:rsid w:val="00177422"/>
    <w:rsid w:val="00177D99"/>
    <w:rsid w:val="00180BD4"/>
    <w:rsid w:val="00180FFE"/>
    <w:rsid w:val="00181214"/>
    <w:rsid w:val="00182446"/>
    <w:rsid w:val="00183803"/>
    <w:rsid w:val="00183966"/>
    <w:rsid w:val="00183BE2"/>
    <w:rsid w:val="00184F10"/>
    <w:rsid w:val="00185546"/>
    <w:rsid w:val="00186429"/>
    <w:rsid w:val="00186441"/>
    <w:rsid w:val="001866AE"/>
    <w:rsid w:val="00186801"/>
    <w:rsid w:val="00186955"/>
    <w:rsid w:val="00190A52"/>
    <w:rsid w:val="0019146B"/>
    <w:rsid w:val="00194398"/>
    <w:rsid w:val="00194E09"/>
    <w:rsid w:val="00195D19"/>
    <w:rsid w:val="00195EB1"/>
    <w:rsid w:val="00195F19"/>
    <w:rsid w:val="00195F75"/>
    <w:rsid w:val="0019642B"/>
    <w:rsid w:val="00197013"/>
    <w:rsid w:val="001A0FFE"/>
    <w:rsid w:val="001A2436"/>
    <w:rsid w:val="001A2A2C"/>
    <w:rsid w:val="001A4336"/>
    <w:rsid w:val="001A462A"/>
    <w:rsid w:val="001A5105"/>
    <w:rsid w:val="001A6C5B"/>
    <w:rsid w:val="001A7600"/>
    <w:rsid w:val="001A7D2A"/>
    <w:rsid w:val="001A7F98"/>
    <w:rsid w:val="001B02A4"/>
    <w:rsid w:val="001B111A"/>
    <w:rsid w:val="001B1D3C"/>
    <w:rsid w:val="001B206B"/>
    <w:rsid w:val="001B2B33"/>
    <w:rsid w:val="001B30F8"/>
    <w:rsid w:val="001B553E"/>
    <w:rsid w:val="001B574C"/>
    <w:rsid w:val="001B636D"/>
    <w:rsid w:val="001B7898"/>
    <w:rsid w:val="001C0AF9"/>
    <w:rsid w:val="001C155A"/>
    <w:rsid w:val="001C2227"/>
    <w:rsid w:val="001C22EE"/>
    <w:rsid w:val="001C232A"/>
    <w:rsid w:val="001C2636"/>
    <w:rsid w:val="001C3246"/>
    <w:rsid w:val="001C33A6"/>
    <w:rsid w:val="001C4204"/>
    <w:rsid w:val="001C48C0"/>
    <w:rsid w:val="001C4BE9"/>
    <w:rsid w:val="001C5DE7"/>
    <w:rsid w:val="001C604A"/>
    <w:rsid w:val="001C6B2E"/>
    <w:rsid w:val="001D003F"/>
    <w:rsid w:val="001D0B06"/>
    <w:rsid w:val="001D2383"/>
    <w:rsid w:val="001D3400"/>
    <w:rsid w:val="001D37F2"/>
    <w:rsid w:val="001D383D"/>
    <w:rsid w:val="001D407A"/>
    <w:rsid w:val="001D41D2"/>
    <w:rsid w:val="001D6726"/>
    <w:rsid w:val="001D7094"/>
    <w:rsid w:val="001D75DF"/>
    <w:rsid w:val="001D7697"/>
    <w:rsid w:val="001E0774"/>
    <w:rsid w:val="001E17D3"/>
    <w:rsid w:val="001E25AD"/>
    <w:rsid w:val="001E37F4"/>
    <w:rsid w:val="001E52EE"/>
    <w:rsid w:val="001E6D40"/>
    <w:rsid w:val="001E6F31"/>
    <w:rsid w:val="001F085F"/>
    <w:rsid w:val="001F0B97"/>
    <w:rsid w:val="001F16AF"/>
    <w:rsid w:val="001F21D9"/>
    <w:rsid w:val="001F3347"/>
    <w:rsid w:val="001F3448"/>
    <w:rsid w:val="001F4440"/>
    <w:rsid w:val="001F57CA"/>
    <w:rsid w:val="001F5EEA"/>
    <w:rsid w:val="001F621C"/>
    <w:rsid w:val="001F6905"/>
    <w:rsid w:val="001F69E4"/>
    <w:rsid w:val="001F74AD"/>
    <w:rsid w:val="001F7C24"/>
    <w:rsid w:val="002015C9"/>
    <w:rsid w:val="00202828"/>
    <w:rsid w:val="002032C2"/>
    <w:rsid w:val="00203CC5"/>
    <w:rsid w:val="0020516A"/>
    <w:rsid w:val="0020599C"/>
    <w:rsid w:val="00205FFC"/>
    <w:rsid w:val="00206A65"/>
    <w:rsid w:val="00206D61"/>
    <w:rsid w:val="00210832"/>
    <w:rsid w:val="00210ACC"/>
    <w:rsid w:val="00210D70"/>
    <w:rsid w:val="002120D9"/>
    <w:rsid w:val="00212D31"/>
    <w:rsid w:val="002130C7"/>
    <w:rsid w:val="0021317F"/>
    <w:rsid w:val="00213A13"/>
    <w:rsid w:val="00214AB1"/>
    <w:rsid w:val="0021501C"/>
    <w:rsid w:val="0021597D"/>
    <w:rsid w:val="002163B0"/>
    <w:rsid w:val="002174D5"/>
    <w:rsid w:val="002209AE"/>
    <w:rsid w:val="002218A8"/>
    <w:rsid w:val="00221C85"/>
    <w:rsid w:val="0022306D"/>
    <w:rsid w:val="002235AE"/>
    <w:rsid w:val="00224D6B"/>
    <w:rsid w:val="00225032"/>
    <w:rsid w:val="00225781"/>
    <w:rsid w:val="00226574"/>
    <w:rsid w:val="0022744B"/>
    <w:rsid w:val="002278EC"/>
    <w:rsid w:val="0023192C"/>
    <w:rsid w:val="00232FCE"/>
    <w:rsid w:val="002333D1"/>
    <w:rsid w:val="00233EE0"/>
    <w:rsid w:val="00234C87"/>
    <w:rsid w:val="002352C8"/>
    <w:rsid w:val="002357C7"/>
    <w:rsid w:val="002367C4"/>
    <w:rsid w:val="00236EE2"/>
    <w:rsid w:val="00237058"/>
    <w:rsid w:val="002401D4"/>
    <w:rsid w:val="00240523"/>
    <w:rsid w:val="00244154"/>
    <w:rsid w:val="002445E5"/>
    <w:rsid w:val="00246239"/>
    <w:rsid w:val="00246395"/>
    <w:rsid w:val="00246944"/>
    <w:rsid w:val="002505A3"/>
    <w:rsid w:val="00250E25"/>
    <w:rsid w:val="00251D48"/>
    <w:rsid w:val="00252C22"/>
    <w:rsid w:val="002538B0"/>
    <w:rsid w:val="002543F4"/>
    <w:rsid w:val="00254F1C"/>
    <w:rsid w:val="00254F8F"/>
    <w:rsid w:val="0025679E"/>
    <w:rsid w:val="002568C8"/>
    <w:rsid w:val="00257109"/>
    <w:rsid w:val="002572DE"/>
    <w:rsid w:val="0025748B"/>
    <w:rsid w:val="002577CE"/>
    <w:rsid w:val="00260012"/>
    <w:rsid w:val="00260C68"/>
    <w:rsid w:val="00262922"/>
    <w:rsid w:val="00264508"/>
    <w:rsid w:val="002648B0"/>
    <w:rsid w:val="00264E5A"/>
    <w:rsid w:val="00264F5B"/>
    <w:rsid w:val="00265CD1"/>
    <w:rsid w:val="00265E22"/>
    <w:rsid w:val="00265FA4"/>
    <w:rsid w:val="002667DC"/>
    <w:rsid w:val="00267442"/>
    <w:rsid w:val="0027157D"/>
    <w:rsid w:val="00271C72"/>
    <w:rsid w:val="00272075"/>
    <w:rsid w:val="00274910"/>
    <w:rsid w:val="00275182"/>
    <w:rsid w:val="00275271"/>
    <w:rsid w:val="0027535E"/>
    <w:rsid w:val="00275AA6"/>
    <w:rsid w:val="00275B91"/>
    <w:rsid w:val="0028036C"/>
    <w:rsid w:val="002803E1"/>
    <w:rsid w:val="002807D5"/>
    <w:rsid w:val="00281078"/>
    <w:rsid w:val="00281FB5"/>
    <w:rsid w:val="00282CCD"/>
    <w:rsid w:val="00283A82"/>
    <w:rsid w:val="0028452C"/>
    <w:rsid w:val="00285D13"/>
    <w:rsid w:val="0028712D"/>
    <w:rsid w:val="002927B8"/>
    <w:rsid w:val="0029283E"/>
    <w:rsid w:val="00292C9D"/>
    <w:rsid w:val="00293DB4"/>
    <w:rsid w:val="00293F5D"/>
    <w:rsid w:val="002948ED"/>
    <w:rsid w:val="00295D18"/>
    <w:rsid w:val="0029616E"/>
    <w:rsid w:val="002972F6"/>
    <w:rsid w:val="00297371"/>
    <w:rsid w:val="002978A9"/>
    <w:rsid w:val="002A168C"/>
    <w:rsid w:val="002A18EA"/>
    <w:rsid w:val="002A2C48"/>
    <w:rsid w:val="002A3BCC"/>
    <w:rsid w:val="002A3EED"/>
    <w:rsid w:val="002A4A39"/>
    <w:rsid w:val="002A4A51"/>
    <w:rsid w:val="002A565C"/>
    <w:rsid w:val="002A5693"/>
    <w:rsid w:val="002A5A17"/>
    <w:rsid w:val="002A6425"/>
    <w:rsid w:val="002A687F"/>
    <w:rsid w:val="002A7374"/>
    <w:rsid w:val="002B1FE8"/>
    <w:rsid w:val="002B3FB8"/>
    <w:rsid w:val="002B4079"/>
    <w:rsid w:val="002B4526"/>
    <w:rsid w:val="002B4579"/>
    <w:rsid w:val="002B49E2"/>
    <w:rsid w:val="002B4A95"/>
    <w:rsid w:val="002B5734"/>
    <w:rsid w:val="002B7B00"/>
    <w:rsid w:val="002B7C44"/>
    <w:rsid w:val="002C122E"/>
    <w:rsid w:val="002C1388"/>
    <w:rsid w:val="002C18A0"/>
    <w:rsid w:val="002C30A2"/>
    <w:rsid w:val="002C3C6A"/>
    <w:rsid w:val="002C4579"/>
    <w:rsid w:val="002C471F"/>
    <w:rsid w:val="002C5040"/>
    <w:rsid w:val="002C5105"/>
    <w:rsid w:val="002D0A64"/>
    <w:rsid w:val="002D21AC"/>
    <w:rsid w:val="002D3463"/>
    <w:rsid w:val="002D3669"/>
    <w:rsid w:val="002D3B6F"/>
    <w:rsid w:val="002D41F8"/>
    <w:rsid w:val="002D42DB"/>
    <w:rsid w:val="002D5C44"/>
    <w:rsid w:val="002D610C"/>
    <w:rsid w:val="002D76EB"/>
    <w:rsid w:val="002E0304"/>
    <w:rsid w:val="002E13F4"/>
    <w:rsid w:val="002E1F3A"/>
    <w:rsid w:val="002E298A"/>
    <w:rsid w:val="002E43BA"/>
    <w:rsid w:val="002E4FBD"/>
    <w:rsid w:val="002F02A4"/>
    <w:rsid w:val="002F0B96"/>
    <w:rsid w:val="002F25F2"/>
    <w:rsid w:val="002F272B"/>
    <w:rsid w:val="002F3C2F"/>
    <w:rsid w:val="002F4474"/>
    <w:rsid w:val="002F5456"/>
    <w:rsid w:val="002F6E53"/>
    <w:rsid w:val="002F711E"/>
    <w:rsid w:val="002F7C6D"/>
    <w:rsid w:val="003002A2"/>
    <w:rsid w:val="003007CB"/>
    <w:rsid w:val="00300DFE"/>
    <w:rsid w:val="003027E4"/>
    <w:rsid w:val="0030332C"/>
    <w:rsid w:val="00303586"/>
    <w:rsid w:val="00305DB2"/>
    <w:rsid w:val="00307A0A"/>
    <w:rsid w:val="00310EE3"/>
    <w:rsid w:val="00310F99"/>
    <w:rsid w:val="00311629"/>
    <w:rsid w:val="00311ADB"/>
    <w:rsid w:val="00311B42"/>
    <w:rsid w:val="00312296"/>
    <w:rsid w:val="003126AF"/>
    <w:rsid w:val="00312997"/>
    <w:rsid w:val="00312B9B"/>
    <w:rsid w:val="0031340E"/>
    <w:rsid w:val="003149AD"/>
    <w:rsid w:val="00314FFA"/>
    <w:rsid w:val="00316464"/>
    <w:rsid w:val="00317980"/>
    <w:rsid w:val="0032016E"/>
    <w:rsid w:val="0032073A"/>
    <w:rsid w:val="00321637"/>
    <w:rsid w:val="00321A44"/>
    <w:rsid w:val="00321D8E"/>
    <w:rsid w:val="00323071"/>
    <w:rsid w:val="003255B0"/>
    <w:rsid w:val="003261FB"/>
    <w:rsid w:val="0032711F"/>
    <w:rsid w:val="00331C35"/>
    <w:rsid w:val="00332DC0"/>
    <w:rsid w:val="00334996"/>
    <w:rsid w:val="00335921"/>
    <w:rsid w:val="00336969"/>
    <w:rsid w:val="00336C52"/>
    <w:rsid w:val="0033732A"/>
    <w:rsid w:val="00337C3D"/>
    <w:rsid w:val="0034005B"/>
    <w:rsid w:val="00340907"/>
    <w:rsid w:val="00341B3E"/>
    <w:rsid w:val="00341B42"/>
    <w:rsid w:val="00341ECF"/>
    <w:rsid w:val="00343CCB"/>
    <w:rsid w:val="00345154"/>
    <w:rsid w:val="0034560E"/>
    <w:rsid w:val="003459C0"/>
    <w:rsid w:val="00347014"/>
    <w:rsid w:val="003472F5"/>
    <w:rsid w:val="00350523"/>
    <w:rsid w:val="00350644"/>
    <w:rsid w:val="00352975"/>
    <w:rsid w:val="00353179"/>
    <w:rsid w:val="0035652C"/>
    <w:rsid w:val="00356868"/>
    <w:rsid w:val="0036003E"/>
    <w:rsid w:val="0036042B"/>
    <w:rsid w:val="00360779"/>
    <w:rsid w:val="00361290"/>
    <w:rsid w:val="00363456"/>
    <w:rsid w:val="0036485B"/>
    <w:rsid w:val="00367511"/>
    <w:rsid w:val="00367611"/>
    <w:rsid w:val="00372698"/>
    <w:rsid w:val="00372B6E"/>
    <w:rsid w:val="00373B0D"/>
    <w:rsid w:val="00375234"/>
    <w:rsid w:val="0037613C"/>
    <w:rsid w:val="00376988"/>
    <w:rsid w:val="003769F4"/>
    <w:rsid w:val="00376AC5"/>
    <w:rsid w:val="00377635"/>
    <w:rsid w:val="0037788B"/>
    <w:rsid w:val="00380FCF"/>
    <w:rsid w:val="00381A72"/>
    <w:rsid w:val="00381C3D"/>
    <w:rsid w:val="00383E33"/>
    <w:rsid w:val="0038498D"/>
    <w:rsid w:val="0038593B"/>
    <w:rsid w:val="003864DB"/>
    <w:rsid w:val="003866FF"/>
    <w:rsid w:val="0038679C"/>
    <w:rsid w:val="00392AE3"/>
    <w:rsid w:val="00392F34"/>
    <w:rsid w:val="003934DD"/>
    <w:rsid w:val="00393982"/>
    <w:rsid w:val="00395C7E"/>
    <w:rsid w:val="00397C72"/>
    <w:rsid w:val="00397E8D"/>
    <w:rsid w:val="003A009E"/>
    <w:rsid w:val="003A052F"/>
    <w:rsid w:val="003A0F2A"/>
    <w:rsid w:val="003A1044"/>
    <w:rsid w:val="003A1948"/>
    <w:rsid w:val="003A243D"/>
    <w:rsid w:val="003A2637"/>
    <w:rsid w:val="003A3CD5"/>
    <w:rsid w:val="003A44BE"/>
    <w:rsid w:val="003A49E4"/>
    <w:rsid w:val="003A4AD8"/>
    <w:rsid w:val="003A5378"/>
    <w:rsid w:val="003A5408"/>
    <w:rsid w:val="003A68E0"/>
    <w:rsid w:val="003B152A"/>
    <w:rsid w:val="003B17E8"/>
    <w:rsid w:val="003B4CCA"/>
    <w:rsid w:val="003B545B"/>
    <w:rsid w:val="003B7341"/>
    <w:rsid w:val="003C0159"/>
    <w:rsid w:val="003C03CB"/>
    <w:rsid w:val="003C1649"/>
    <w:rsid w:val="003C1E47"/>
    <w:rsid w:val="003C423E"/>
    <w:rsid w:val="003C4C92"/>
    <w:rsid w:val="003C66B7"/>
    <w:rsid w:val="003C6F32"/>
    <w:rsid w:val="003C7379"/>
    <w:rsid w:val="003D3544"/>
    <w:rsid w:val="003D3AF8"/>
    <w:rsid w:val="003D3EE9"/>
    <w:rsid w:val="003D45F4"/>
    <w:rsid w:val="003D5594"/>
    <w:rsid w:val="003D6035"/>
    <w:rsid w:val="003D7493"/>
    <w:rsid w:val="003D79FF"/>
    <w:rsid w:val="003E2113"/>
    <w:rsid w:val="003E2724"/>
    <w:rsid w:val="003E419C"/>
    <w:rsid w:val="003E4703"/>
    <w:rsid w:val="003E4B41"/>
    <w:rsid w:val="003E4B9E"/>
    <w:rsid w:val="003E5A1D"/>
    <w:rsid w:val="003E5CDE"/>
    <w:rsid w:val="003E691B"/>
    <w:rsid w:val="003E73C4"/>
    <w:rsid w:val="003E7681"/>
    <w:rsid w:val="003F0221"/>
    <w:rsid w:val="003F0809"/>
    <w:rsid w:val="003F2AE6"/>
    <w:rsid w:val="003F4042"/>
    <w:rsid w:val="003F49DC"/>
    <w:rsid w:val="003F5FD7"/>
    <w:rsid w:val="003F611C"/>
    <w:rsid w:val="003F755C"/>
    <w:rsid w:val="003F7D58"/>
    <w:rsid w:val="00401817"/>
    <w:rsid w:val="00403138"/>
    <w:rsid w:val="00405F56"/>
    <w:rsid w:val="0040668A"/>
    <w:rsid w:val="00406B9E"/>
    <w:rsid w:val="00406F01"/>
    <w:rsid w:val="00407744"/>
    <w:rsid w:val="00410FC4"/>
    <w:rsid w:val="00411B36"/>
    <w:rsid w:val="004121D7"/>
    <w:rsid w:val="00412486"/>
    <w:rsid w:val="00415039"/>
    <w:rsid w:val="00416D50"/>
    <w:rsid w:val="00417157"/>
    <w:rsid w:val="00417772"/>
    <w:rsid w:val="004203AD"/>
    <w:rsid w:val="00420DC4"/>
    <w:rsid w:val="00420E6A"/>
    <w:rsid w:val="0042391B"/>
    <w:rsid w:val="00427152"/>
    <w:rsid w:val="0043130E"/>
    <w:rsid w:val="004319B0"/>
    <w:rsid w:val="004327B7"/>
    <w:rsid w:val="00433858"/>
    <w:rsid w:val="0043391D"/>
    <w:rsid w:val="00433C6C"/>
    <w:rsid w:val="00433CA9"/>
    <w:rsid w:val="0043521D"/>
    <w:rsid w:val="00440500"/>
    <w:rsid w:val="004414C5"/>
    <w:rsid w:val="00441E17"/>
    <w:rsid w:val="00442024"/>
    <w:rsid w:val="0044254C"/>
    <w:rsid w:val="00443D22"/>
    <w:rsid w:val="00443F6A"/>
    <w:rsid w:val="00443FF3"/>
    <w:rsid w:val="00444295"/>
    <w:rsid w:val="00447274"/>
    <w:rsid w:val="00450A17"/>
    <w:rsid w:val="00451A26"/>
    <w:rsid w:val="00451F33"/>
    <w:rsid w:val="00451F5D"/>
    <w:rsid w:val="00453DFF"/>
    <w:rsid w:val="00453F3C"/>
    <w:rsid w:val="00454C39"/>
    <w:rsid w:val="00454EDD"/>
    <w:rsid w:val="00456252"/>
    <w:rsid w:val="00457A72"/>
    <w:rsid w:val="00460A0B"/>
    <w:rsid w:val="00460AE2"/>
    <w:rsid w:val="00466321"/>
    <w:rsid w:val="0046660B"/>
    <w:rsid w:val="004667D8"/>
    <w:rsid w:val="00466C18"/>
    <w:rsid w:val="004672AF"/>
    <w:rsid w:val="004709BA"/>
    <w:rsid w:val="00471BA0"/>
    <w:rsid w:val="004724EB"/>
    <w:rsid w:val="004727B0"/>
    <w:rsid w:val="004729CD"/>
    <w:rsid w:val="00472E8B"/>
    <w:rsid w:val="004735DC"/>
    <w:rsid w:val="004763AD"/>
    <w:rsid w:val="00476C1F"/>
    <w:rsid w:val="00477184"/>
    <w:rsid w:val="00477D9E"/>
    <w:rsid w:val="00480247"/>
    <w:rsid w:val="0048081D"/>
    <w:rsid w:val="004809B2"/>
    <w:rsid w:val="0048117E"/>
    <w:rsid w:val="00481C7C"/>
    <w:rsid w:val="0048253C"/>
    <w:rsid w:val="00482CB9"/>
    <w:rsid w:val="00482EBA"/>
    <w:rsid w:val="00483A12"/>
    <w:rsid w:val="004840E1"/>
    <w:rsid w:val="0048418E"/>
    <w:rsid w:val="004851FA"/>
    <w:rsid w:val="004855D4"/>
    <w:rsid w:val="004855F6"/>
    <w:rsid w:val="004867EE"/>
    <w:rsid w:val="004869B2"/>
    <w:rsid w:val="00486BA3"/>
    <w:rsid w:val="00486F0C"/>
    <w:rsid w:val="00490F98"/>
    <w:rsid w:val="00490F99"/>
    <w:rsid w:val="0049222E"/>
    <w:rsid w:val="004925EE"/>
    <w:rsid w:val="00492A85"/>
    <w:rsid w:val="00492B3F"/>
    <w:rsid w:val="00493160"/>
    <w:rsid w:val="00494670"/>
    <w:rsid w:val="004948C7"/>
    <w:rsid w:val="00494DAF"/>
    <w:rsid w:val="0049520A"/>
    <w:rsid w:val="00495416"/>
    <w:rsid w:val="004963EF"/>
    <w:rsid w:val="00496667"/>
    <w:rsid w:val="004975ED"/>
    <w:rsid w:val="004A0C2A"/>
    <w:rsid w:val="004A0EB4"/>
    <w:rsid w:val="004A1846"/>
    <w:rsid w:val="004A25ED"/>
    <w:rsid w:val="004A26A5"/>
    <w:rsid w:val="004A3234"/>
    <w:rsid w:val="004A3823"/>
    <w:rsid w:val="004A389D"/>
    <w:rsid w:val="004A3A02"/>
    <w:rsid w:val="004A3AC4"/>
    <w:rsid w:val="004A4937"/>
    <w:rsid w:val="004A4C26"/>
    <w:rsid w:val="004A59BB"/>
    <w:rsid w:val="004B1EBA"/>
    <w:rsid w:val="004B2C04"/>
    <w:rsid w:val="004B2EE3"/>
    <w:rsid w:val="004B37CF"/>
    <w:rsid w:val="004B43A3"/>
    <w:rsid w:val="004B4C49"/>
    <w:rsid w:val="004B576E"/>
    <w:rsid w:val="004B58A5"/>
    <w:rsid w:val="004B5C1A"/>
    <w:rsid w:val="004B63D9"/>
    <w:rsid w:val="004C0882"/>
    <w:rsid w:val="004C1375"/>
    <w:rsid w:val="004C1448"/>
    <w:rsid w:val="004C2322"/>
    <w:rsid w:val="004C4C01"/>
    <w:rsid w:val="004C55BE"/>
    <w:rsid w:val="004C589E"/>
    <w:rsid w:val="004C69EB"/>
    <w:rsid w:val="004C6E7D"/>
    <w:rsid w:val="004D16A1"/>
    <w:rsid w:val="004D2349"/>
    <w:rsid w:val="004D2D6F"/>
    <w:rsid w:val="004D3E71"/>
    <w:rsid w:val="004D41E5"/>
    <w:rsid w:val="004D421C"/>
    <w:rsid w:val="004D4FF0"/>
    <w:rsid w:val="004D65B6"/>
    <w:rsid w:val="004D697D"/>
    <w:rsid w:val="004D6D32"/>
    <w:rsid w:val="004D73A9"/>
    <w:rsid w:val="004E05B5"/>
    <w:rsid w:val="004E3F2B"/>
    <w:rsid w:val="004E457E"/>
    <w:rsid w:val="004E5B30"/>
    <w:rsid w:val="004E5F5E"/>
    <w:rsid w:val="004E6DC7"/>
    <w:rsid w:val="004E76C7"/>
    <w:rsid w:val="004E7BAA"/>
    <w:rsid w:val="004F0779"/>
    <w:rsid w:val="004F1230"/>
    <w:rsid w:val="004F173F"/>
    <w:rsid w:val="004F177C"/>
    <w:rsid w:val="004F2723"/>
    <w:rsid w:val="004F2DCE"/>
    <w:rsid w:val="004F5892"/>
    <w:rsid w:val="00500597"/>
    <w:rsid w:val="005009EC"/>
    <w:rsid w:val="0050176A"/>
    <w:rsid w:val="00501C76"/>
    <w:rsid w:val="005039CB"/>
    <w:rsid w:val="0050558F"/>
    <w:rsid w:val="005057E0"/>
    <w:rsid w:val="00506286"/>
    <w:rsid w:val="00506545"/>
    <w:rsid w:val="005068B2"/>
    <w:rsid w:val="0050718D"/>
    <w:rsid w:val="0050733D"/>
    <w:rsid w:val="005077FE"/>
    <w:rsid w:val="0051007F"/>
    <w:rsid w:val="00510813"/>
    <w:rsid w:val="005109B2"/>
    <w:rsid w:val="00510E76"/>
    <w:rsid w:val="005117BA"/>
    <w:rsid w:val="00511BE2"/>
    <w:rsid w:val="00511DE0"/>
    <w:rsid w:val="00512D08"/>
    <w:rsid w:val="00512DAA"/>
    <w:rsid w:val="0051337A"/>
    <w:rsid w:val="005151B9"/>
    <w:rsid w:val="0051534D"/>
    <w:rsid w:val="005157CF"/>
    <w:rsid w:val="005167D8"/>
    <w:rsid w:val="00517A3B"/>
    <w:rsid w:val="00517F02"/>
    <w:rsid w:val="00524547"/>
    <w:rsid w:val="005258A2"/>
    <w:rsid w:val="005260BE"/>
    <w:rsid w:val="00526A50"/>
    <w:rsid w:val="00526E94"/>
    <w:rsid w:val="0053054D"/>
    <w:rsid w:val="00530F7C"/>
    <w:rsid w:val="00533348"/>
    <w:rsid w:val="00534567"/>
    <w:rsid w:val="00534940"/>
    <w:rsid w:val="00534F43"/>
    <w:rsid w:val="005351C8"/>
    <w:rsid w:val="005355F3"/>
    <w:rsid w:val="00535A84"/>
    <w:rsid w:val="00536889"/>
    <w:rsid w:val="00536DC1"/>
    <w:rsid w:val="00542E07"/>
    <w:rsid w:val="0054306C"/>
    <w:rsid w:val="00544337"/>
    <w:rsid w:val="0054435B"/>
    <w:rsid w:val="005446F2"/>
    <w:rsid w:val="00544905"/>
    <w:rsid w:val="00546534"/>
    <w:rsid w:val="005474F2"/>
    <w:rsid w:val="00550E82"/>
    <w:rsid w:val="0055168A"/>
    <w:rsid w:val="00554125"/>
    <w:rsid w:val="00554A7B"/>
    <w:rsid w:val="00555448"/>
    <w:rsid w:val="0055572C"/>
    <w:rsid w:val="00556634"/>
    <w:rsid w:val="00557E4B"/>
    <w:rsid w:val="0056064F"/>
    <w:rsid w:val="00560933"/>
    <w:rsid w:val="00561B84"/>
    <w:rsid w:val="00564C0C"/>
    <w:rsid w:val="00565C51"/>
    <w:rsid w:val="005669C8"/>
    <w:rsid w:val="00567388"/>
    <w:rsid w:val="00567735"/>
    <w:rsid w:val="0057005D"/>
    <w:rsid w:val="005707DD"/>
    <w:rsid w:val="00571AA9"/>
    <w:rsid w:val="00571D98"/>
    <w:rsid w:val="005720AE"/>
    <w:rsid w:val="005727E9"/>
    <w:rsid w:val="00572E89"/>
    <w:rsid w:val="0057453B"/>
    <w:rsid w:val="005756DC"/>
    <w:rsid w:val="00576A96"/>
    <w:rsid w:val="00576E85"/>
    <w:rsid w:val="00577D7E"/>
    <w:rsid w:val="00577E81"/>
    <w:rsid w:val="0058030D"/>
    <w:rsid w:val="00582045"/>
    <w:rsid w:val="0058479B"/>
    <w:rsid w:val="00584A05"/>
    <w:rsid w:val="00586F52"/>
    <w:rsid w:val="00587560"/>
    <w:rsid w:val="00587E66"/>
    <w:rsid w:val="005904D4"/>
    <w:rsid w:val="00590AE3"/>
    <w:rsid w:val="00590E81"/>
    <w:rsid w:val="005918F1"/>
    <w:rsid w:val="0059206F"/>
    <w:rsid w:val="00592890"/>
    <w:rsid w:val="0059496D"/>
    <w:rsid w:val="0059706D"/>
    <w:rsid w:val="005A03D2"/>
    <w:rsid w:val="005A0637"/>
    <w:rsid w:val="005A06B7"/>
    <w:rsid w:val="005A1431"/>
    <w:rsid w:val="005A1759"/>
    <w:rsid w:val="005A5B00"/>
    <w:rsid w:val="005B1D42"/>
    <w:rsid w:val="005B27D2"/>
    <w:rsid w:val="005B2F6F"/>
    <w:rsid w:val="005B40F6"/>
    <w:rsid w:val="005B789C"/>
    <w:rsid w:val="005B7D13"/>
    <w:rsid w:val="005C09B6"/>
    <w:rsid w:val="005C0F07"/>
    <w:rsid w:val="005C16F9"/>
    <w:rsid w:val="005C277F"/>
    <w:rsid w:val="005C38A6"/>
    <w:rsid w:val="005C48AE"/>
    <w:rsid w:val="005C55FB"/>
    <w:rsid w:val="005C5908"/>
    <w:rsid w:val="005C74DE"/>
    <w:rsid w:val="005C7BBC"/>
    <w:rsid w:val="005C7C26"/>
    <w:rsid w:val="005D0369"/>
    <w:rsid w:val="005D06C0"/>
    <w:rsid w:val="005D0CC4"/>
    <w:rsid w:val="005D14FC"/>
    <w:rsid w:val="005D1FD7"/>
    <w:rsid w:val="005D2011"/>
    <w:rsid w:val="005D252B"/>
    <w:rsid w:val="005D2B4A"/>
    <w:rsid w:val="005D2E95"/>
    <w:rsid w:val="005D3830"/>
    <w:rsid w:val="005D46D2"/>
    <w:rsid w:val="005D53FE"/>
    <w:rsid w:val="005D56FE"/>
    <w:rsid w:val="005D5BB4"/>
    <w:rsid w:val="005D6658"/>
    <w:rsid w:val="005D7A0F"/>
    <w:rsid w:val="005E0438"/>
    <w:rsid w:val="005E05C1"/>
    <w:rsid w:val="005E1791"/>
    <w:rsid w:val="005E1B21"/>
    <w:rsid w:val="005E21C7"/>
    <w:rsid w:val="005E2A18"/>
    <w:rsid w:val="005E2BB2"/>
    <w:rsid w:val="005E2C5D"/>
    <w:rsid w:val="005E2CE6"/>
    <w:rsid w:val="005E3150"/>
    <w:rsid w:val="005E3B51"/>
    <w:rsid w:val="005E402D"/>
    <w:rsid w:val="005E4EA9"/>
    <w:rsid w:val="005E6324"/>
    <w:rsid w:val="005E6D40"/>
    <w:rsid w:val="005F08F1"/>
    <w:rsid w:val="005F111C"/>
    <w:rsid w:val="005F1654"/>
    <w:rsid w:val="005F1DF9"/>
    <w:rsid w:val="005F228B"/>
    <w:rsid w:val="005F29CD"/>
    <w:rsid w:val="005F31BF"/>
    <w:rsid w:val="005F4667"/>
    <w:rsid w:val="005F4C17"/>
    <w:rsid w:val="005F4DFB"/>
    <w:rsid w:val="005F6CC0"/>
    <w:rsid w:val="005F7838"/>
    <w:rsid w:val="005F79AA"/>
    <w:rsid w:val="006000D9"/>
    <w:rsid w:val="00602034"/>
    <w:rsid w:val="00603E5B"/>
    <w:rsid w:val="006046F9"/>
    <w:rsid w:val="00604BC8"/>
    <w:rsid w:val="00604FCA"/>
    <w:rsid w:val="0060528A"/>
    <w:rsid w:val="00606BDF"/>
    <w:rsid w:val="00607031"/>
    <w:rsid w:val="006075D2"/>
    <w:rsid w:val="006129B3"/>
    <w:rsid w:val="00612D66"/>
    <w:rsid w:val="00612FB3"/>
    <w:rsid w:val="00613610"/>
    <w:rsid w:val="00614441"/>
    <w:rsid w:val="00614621"/>
    <w:rsid w:val="0061482A"/>
    <w:rsid w:val="00614E6C"/>
    <w:rsid w:val="00615020"/>
    <w:rsid w:val="00615701"/>
    <w:rsid w:val="00615B4C"/>
    <w:rsid w:val="00615B5D"/>
    <w:rsid w:val="00620351"/>
    <w:rsid w:val="006212ED"/>
    <w:rsid w:val="006212F8"/>
    <w:rsid w:val="006213E9"/>
    <w:rsid w:val="0062146F"/>
    <w:rsid w:val="00621CF5"/>
    <w:rsid w:val="00621FCA"/>
    <w:rsid w:val="00624BE1"/>
    <w:rsid w:val="00625369"/>
    <w:rsid w:val="00625E66"/>
    <w:rsid w:val="00627EEB"/>
    <w:rsid w:val="00632872"/>
    <w:rsid w:val="00632C3B"/>
    <w:rsid w:val="006343AF"/>
    <w:rsid w:val="006351D0"/>
    <w:rsid w:val="0063634A"/>
    <w:rsid w:val="00636CA6"/>
    <w:rsid w:val="006371C1"/>
    <w:rsid w:val="006401A2"/>
    <w:rsid w:val="0064036C"/>
    <w:rsid w:val="006415F4"/>
    <w:rsid w:val="0064250D"/>
    <w:rsid w:val="006431AE"/>
    <w:rsid w:val="00644D9B"/>
    <w:rsid w:val="00644E69"/>
    <w:rsid w:val="0064595D"/>
    <w:rsid w:val="00647233"/>
    <w:rsid w:val="00650301"/>
    <w:rsid w:val="0065153D"/>
    <w:rsid w:val="00653113"/>
    <w:rsid w:val="006535EB"/>
    <w:rsid w:val="00653619"/>
    <w:rsid w:val="00653D30"/>
    <w:rsid w:val="006545A0"/>
    <w:rsid w:val="00654962"/>
    <w:rsid w:val="00654B00"/>
    <w:rsid w:val="00655DD1"/>
    <w:rsid w:val="006622EA"/>
    <w:rsid w:val="006623F3"/>
    <w:rsid w:val="00662A53"/>
    <w:rsid w:val="00663016"/>
    <w:rsid w:val="00664DE4"/>
    <w:rsid w:val="006657FD"/>
    <w:rsid w:val="00665C1C"/>
    <w:rsid w:val="006669EF"/>
    <w:rsid w:val="006678A2"/>
    <w:rsid w:val="0066792C"/>
    <w:rsid w:val="00667A43"/>
    <w:rsid w:val="00667A6E"/>
    <w:rsid w:val="00667DA6"/>
    <w:rsid w:val="00670704"/>
    <w:rsid w:val="00671DAD"/>
    <w:rsid w:val="00672A4A"/>
    <w:rsid w:val="00673A2F"/>
    <w:rsid w:val="00674605"/>
    <w:rsid w:val="006748B8"/>
    <w:rsid w:val="00676282"/>
    <w:rsid w:val="00676360"/>
    <w:rsid w:val="006773BB"/>
    <w:rsid w:val="0068086C"/>
    <w:rsid w:val="006819EF"/>
    <w:rsid w:val="00681AAE"/>
    <w:rsid w:val="00682759"/>
    <w:rsid w:val="006827F3"/>
    <w:rsid w:val="0068535B"/>
    <w:rsid w:val="0068736E"/>
    <w:rsid w:val="0069136F"/>
    <w:rsid w:val="00691BAE"/>
    <w:rsid w:val="0069290A"/>
    <w:rsid w:val="00694A78"/>
    <w:rsid w:val="00697032"/>
    <w:rsid w:val="006975AC"/>
    <w:rsid w:val="00697AB9"/>
    <w:rsid w:val="006A0939"/>
    <w:rsid w:val="006A0CD0"/>
    <w:rsid w:val="006A15FB"/>
    <w:rsid w:val="006A1DB8"/>
    <w:rsid w:val="006A476C"/>
    <w:rsid w:val="006A523C"/>
    <w:rsid w:val="006A72BF"/>
    <w:rsid w:val="006A746E"/>
    <w:rsid w:val="006B08EF"/>
    <w:rsid w:val="006B13BE"/>
    <w:rsid w:val="006B1F9E"/>
    <w:rsid w:val="006B332A"/>
    <w:rsid w:val="006B33BD"/>
    <w:rsid w:val="006B4B4F"/>
    <w:rsid w:val="006B60AD"/>
    <w:rsid w:val="006B6275"/>
    <w:rsid w:val="006B6426"/>
    <w:rsid w:val="006B69D4"/>
    <w:rsid w:val="006B6B37"/>
    <w:rsid w:val="006B707A"/>
    <w:rsid w:val="006B7E6E"/>
    <w:rsid w:val="006C0E9D"/>
    <w:rsid w:val="006C2AB0"/>
    <w:rsid w:val="006C3C4B"/>
    <w:rsid w:val="006C3F75"/>
    <w:rsid w:val="006C6F9A"/>
    <w:rsid w:val="006C7118"/>
    <w:rsid w:val="006D01D2"/>
    <w:rsid w:val="006D05D5"/>
    <w:rsid w:val="006D07D0"/>
    <w:rsid w:val="006D0ADD"/>
    <w:rsid w:val="006D16E7"/>
    <w:rsid w:val="006D170E"/>
    <w:rsid w:val="006D26CE"/>
    <w:rsid w:val="006D3482"/>
    <w:rsid w:val="006D3D17"/>
    <w:rsid w:val="006D3D40"/>
    <w:rsid w:val="006D6795"/>
    <w:rsid w:val="006E06AF"/>
    <w:rsid w:val="006E220D"/>
    <w:rsid w:val="006E2B96"/>
    <w:rsid w:val="006E385C"/>
    <w:rsid w:val="006E60AD"/>
    <w:rsid w:val="006F01E5"/>
    <w:rsid w:val="006F0B8B"/>
    <w:rsid w:val="006F12E0"/>
    <w:rsid w:val="006F1789"/>
    <w:rsid w:val="006F186A"/>
    <w:rsid w:val="006F28D6"/>
    <w:rsid w:val="006F2F32"/>
    <w:rsid w:val="006F454B"/>
    <w:rsid w:val="006F56EB"/>
    <w:rsid w:val="006F6BE9"/>
    <w:rsid w:val="006F6D9B"/>
    <w:rsid w:val="006F6F81"/>
    <w:rsid w:val="0070017F"/>
    <w:rsid w:val="007007BE"/>
    <w:rsid w:val="00702245"/>
    <w:rsid w:val="007033F1"/>
    <w:rsid w:val="00703719"/>
    <w:rsid w:val="00705669"/>
    <w:rsid w:val="00706C5D"/>
    <w:rsid w:val="0071090A"/>
    <w:rsid w:val="007118E6"/>
    <w:rsid w:val="0071217A"/>
    <w:rsid w:val="00712237"/>
    <w:rsid w:val="00714F64"/>
    <w:rsid w:val="00715409"/>
    <w:rsid w:val="0071571C"/>
    <w:rsid w:val="00716829"/>
    <w:rsid w:val="007169A1"/>
    <w:rsid w:val="00717F11"/>
    <w:rsid w:val="00720E30"/>
    <w:rsid w:val="00721BEF"/>
    <w:rsid w:val="00722141"/>
    <w:rsid w:val="007225C9"/>
    <w:rsid w:val="00722629"/>
    <w:rsid w:val="00722929"/>
    <w:rsid w:val="00722D8F"/>
    <w:rsid w:val="00723590"/>
    <w:rsid w:val="007248D0"/>
    <w:rsid w:val="0072516D"/>
    <w:rsid w:val="0072753B"/>
    <w:rsid w:val="00727C3F"/>
    <w:rsid w:val="0073004E"/>
    <w:rsid w:val="00732BED"/>
    <w:rsid w:val="00732D0D"/>
    <w:rsid w:val="00733A43"/>
    <w:rsid w:val="00733C3F"/>
    <w:rsid w:val="007349AD"/>
    <w:rsid w:val="007358BA"/>
    <w:rsid w:val="00735CD7"/>
    <w:rsid w:val="007367F6"/>
    <w:rsid w:val="00737420"/>
    <w:rsid w:val="007400E7"/>
    <w:rsid w:val="00740337"/>
    <w:rsid w:val="007414E9"/>
    <w:rsid w:val="00741AEB"/>
    <w:rsid w:val="00741F04"/>
    <w:rsid w:val="0074293B"/>
    <w:rsid w:val="00742CD1"/>
    <w:rsid w:val="0074495D"/>
    <w:rsid w:val="007468CD"/>
    <w:rsid w:val="00747A1F"/>
    <w:rsid w:val="00747BCC"/>
    <w:rsid w:val="0075056D"/>
    <w:rsid w:val="00750AE8"/>
    <w:rsid w:val="00750B2F"/>
    <w:rsid w:val="007522DC"/>
    <w:rsid w:val="00754034"/>
    <w:rsid w:val="00754BF1"/>
    <w:rsid w:val="00754D86"/>
    <w:rsid w:val="00754E3C"/>
    <w:rsid w:val="00754FA6"/>
    <w:rsid w:val="00755535"/>
    <w:rsid w:val="00755A30"/>
    <w:rsid w:val="00755A6E"/>
    <w:rsid w:val="00755E1C"/>
    <w:rsid w:val="00756556"/>
    <w:rsid w:val="00756FE7"/>
    <w:rsid w:val="007611FD"/>
    <w:rsid w:val="0076132B"/>
    <w:rsid w:val="00761DBD"/>
    <w:rsid w:val="007623AE"/>
    <w:rsid w:val="007626F7"/>
    <w:rsid w:val="00763567"/>
    <w:rsid w:val="00764ED2"/>
    <w:rsid w:val="00765123"/>
    <w:rsid w:val="00765291"/>
    <w:rsid w:val="00766329"/>
    <w:rsid w:val="00767D49"/>
    <w:rsid w:val="007704AC"/>
    <w:rsid w:val="00770B19"/>
    <w:rsid w:val="00772626"/>
    <w:rsid w:val="0077322C"/>
    <w:rsid w:val="00774BAD"/>
    <w:rsid w:val="00774E4F"/>
    <w:rsid w:val="00774FA0"/>
    <w:rsid w:val="0077528D"/>
    <w:rsid w:val="00776620"/>
    <w:rsid w:val="00776A4D"/>
    <w:rsid w:val="00777B6D"/>
    <w:rsid w:val="00780B24"/>
    <w:rsid w:val="0078109F"/>
    <w:rsid w:val="007821C5"/>
    <w:rsid w:val="0078407B"/>
    <w:rsid w:val="00784855"/>
    <w:rsid w:val="00784F39"/>
    <w:rsid w:val="0078545C"/>
    <w:rsid w:val="007859FB"/>
    <w:rsid w:val="007866D2"/>
    <w:rsid w:val="007903FD"/>
    <w:rsid w:val="007906C4"/>
    <w:rsid w:val="00790BFC"/>
    <w:rsid w:val="00792AEF"/>
    <w:rsid w:val="007940EA"/>
    <w:rsid w:val="007967E8"/>
    <w:rsid w:val="00796832"/>
    <w:rsid w:val="00797E5B"/>
    <w:rsid w:val="007A1A9B"/>
    <w:rsid w:val="007A2AFC"/>
    <w:rsid w:val="007A4432"/>
    <w:rsid w:val="007A4E67"/>
    <w:rsid w:val="007A4E84"/>
    <w:rsid w:val="007A6146"/>
    <w:rsid w:val="007A63F2"/>
    <w:rsid w:val="007A646F"/>
    <w:rsid w:val="007A7BB1"/>
    <w:rsid w:val="007A7E30"/>
    <w:rsid w:val="007B0644"/>
    <w:rsid w:val="007B2E87"/>
    <w:rsid w:val="007B414B"/>
    <w:rsid w:val="007B5300"/>
    <w:rsid w:val="007B68DE"/>
    <w:rsid w:val="007B6A91"/>
    <w:rsid w:val="007C165C"/>
    <w:rsid w:val="007C1857"/>
    <w:rsid w:val="007C514F"/>
    <w:rsid w:val="007C57BC"/>
    <w:rsid w:val="007C6BC1"/>
    <w:rsid w:val="007C6F72"/>
    <w:rsid w:val="007D001D"/>
    <w:rsid w:val="007D0823"/>
    <w:rsid w:val="007D0F95"/>
    <w:rsid w:val="007D21D6"/>
    <w:rsid w:val="007D2E22"/>
    <w:rsid w:val="007D3BD1"/>
    <w:rsid w:val="007D4A81"/>
    <w:rsid w:val="007D4E4F"/>
    <w:rsid w:val="007D5C14"/>
    <w:rsid w:val="007D6CCC"/>
    <w:rsid w:val="007D7D5E"/>
    <w:rsid w:val="007D7ECB"/>
    <w:rsid w:val="007E25A1"/>
    <w:rsid w:val="007E2FB2"/>
    <w:rsid w:val="007E4BD2"/>
    <w:rsid w:val="007E5C63"/>
    <w:rsid w:val="007E7145"/>
    <w:rsid w:val="007F2F94"/>
    <w:rsid w:val="007F3916"/>
    <w:rsid w:val="007F662D"/>
    <w:rsid w:val="007F6D16"/>
    <w:rsid w:val="007F75DA"/>
    <w:rsid w:val="007F7AD2"/>
    <w:rsid w:val="00801179"/>
    <w:rsid w:val="00801202"/>
    <w:rsid w:val="0080179E"/>
    <w:rsid w:val="00801B0F"/>
    <w:rsid w:val="00801F50"/>
    <w:rsid w:val="008020EE"/>
    <w:rsid w:val="00802479"/>
    <w:rsid w:val="00803720"/>
    <w:rsid w:val="00803994"/>
    <w:rsid w:val="00805372"/>
    <w:rsid w:val="00805B7B"/>
    <w:rsid w:val="008075D5"/>
    <w:rsid w:val="0080779D"/>
    <w:rsid w:val="008078B2"/>
    <w:rsid w:val="00807A92"/>
    <w:rsid w:val="00807EF9"/>
    <w:rsid w:val="008100AD"/>
    <w:rsid w:val="008113D2"/>
    <w:rsid w:val="008114C3"/>
    <w:rsid w:val="00811ADA"/>
    <w:rsid w:val="008122C3"/>
    <w:rsid w:val="0081293E"/>
    <w:rsid w:val="00813A8B"/>
    <w:rsid w:val="00813F73"/>
    <w:rsid w:val="00814FFB"/>
    <w:rsid w:val="00815C3E"/>
    <w:rsid w:val="008162F4"/>
    <w:rsid w:val="0082050F"/>
    <w:rsid w:val="00820568"/>
    <w:rsid w:val="008210F0"/>
    <w:rsid w:val="008214E7"/>
    <w:rsid w:val="008261C2"/>
    <w:rsid w:val="0082657C"/>
    <w:rsid w:val="008268A2"/>
    <w:rsid w:val="00826D10"/>
    <w:rsid w:val="00827807"/>
    <w:rsid w:val="00827C24"/>
    <w:rsid w:val="00827C82"/>
    <w:rsid w:val="00830428"/>
    <w:rsid w:val="00830FA4"/>
    <w:rsid w:val="00831A80"/>
    <w:rsid w:val="00831FA9"/>
    <w:rsid w:val="008324E1"/>
    <w:rsid w:val="008332C8"/>
    <w:rsid w:val="00833743"/>
    <w:rsid w:val="00833A12"/>
    <w:rsid w:val="00833A61"/>
    <w:rsid w:val="00833D65"/>
    <w:rsid w:val="008340A4"/>
    <w:rsid w:val="00834C6C"/>
    <w:rsid w:val="00836165"/>
    <w:rsid w:val="00836799"/>
    <w:rsid w:val="00836D47"/>
    <w:rsid w:val="00837028"/>
    <w:rsid w:val="00837131"/>
    <w:rsid w:val="00840221"/>
    <w:rsid w:val="00840E17"/>
    <w:rsid w:val="0084388A"/>
    <w:rsid w:val="008440A0"/>
    <w:rsid w:val="00845600"/>
    <w:rsid w:val="00845997"/>
    <w:rsid w:val="00845F57"/>
    <w:rsid w:val="00846559"/>
    <w:rsid w:val="008467B9"/>
    <w:rsid w:val="00846861"/>
    <w:rsid w:val="008470C9"/>
    <w:rsid w:val="008504B4"/>
    <w:rsid w:val="008521E0"/>
    <w:rsid w:val="008525B0"/>
    <w:rsid w:val="00852E89"/>
    <w:rsid w:val="00855871"/>
    <w:rsid w:val="008567F2"/>
    <w:rsid w:val="00856804"/>
    <w:rsid w:val="00856CA2"/>
    <w:rsid w:val="00857531"/>
    <w:rsid w:val="008577A2"/>
    <w:rsid w:val="00861E97"/>
    <w:rsid w:val="00862AE1"/>
    <w:rsid w:val="00862C4E"/>
    <w:rsid w:val="00862CEE"/>
    <w:rsid w:val="008634E6"/>
    <w:rsid w:val="00865B77"/>
    <w:rsid w:val="00865D8C"/>
    <w:rsid w:val="00867472"/>
    <w:rsid w:val="00867CBC"/>
    <w:rsid w:val="00870D14"/>
    <w:rsid w:val="00874051"/>
    <w:rsid w:val="00874C05"/>
    <w:rsid w:val="00874F5D"/>
    <w:rsid w:val="008755DC"/>
    <w:rsid w:val="00876C30"/>
    <w:rsid w:val="00876F2D"/>
    <w:rsid w:val="00877017"/>
    <w:rsid w:val="008773C0"/>
    <w:rsid w:val="00877F07"/>
    <w:rsid w:val="00880364"/>
    <w:rsid w:val="00881AE9"/>
    <w:rsid w:val="008832C3"/>
    <w:rsid w:val="00884186"/>
    <w:rsid w:val="00885AC1"/>
    <w:rsid w:val="00886969"/>
    <w:rsid w:val="00886B42"/>
    <w:rsid w:val="00886C4C"/>
    <w:rsid w:val="0088711C"/>
    <w:rsid w:val="00887887"/>
    <w:rsid w:val="00891664"/>
    <w:rsid w:val="00891A0D"/>
    <w:rsid w:val="00892ECF"/>
    <w:rsid w:val="00892F06"/>
    <w:rsid w:val="00892F4E"/>
    <w:rsid w:val="0089319F"/>
    <w:rsid w:val="00894285"/>
    <w:rsid w:val="008943ED"/>
    <w:rsid w:val="00895484"/>
    <w:rsid w:val="008963EE"/>
    <w:rsid w:val="008973D6"/>
    <w:rsid w:val="008A0348"/>
    <w:rsid w:val="008A059E"/>
    <w:rsid w:val="008A20BF"/>
    <w:rsid w:val="008A325E"/>
    <w:rsid w:val="008A3CFE"/>
    <w:rsid w:val="008A40AE"/>
    <w:rsid w:val="008A4E19"/>
    <w:rsid w:val="008A50AB"/>
    <w:rsid w:val="008A6359"/>
    <w:rsid w:val="008A67C5"/>
    <w:rsid w:val="008A7AB1"/>
    <w:rsid w:val="008B037F"/>
    <w:rsid w:val="008B073B"/>
    <w:rsid w:val="008B22E1"/>
    <w:rsid w:val="008B3C78"/>
    <w:rsid w:val="008B4AE9"/>
    <w:rsid w:val="008B59D2"/>
    <w:rsid w:val="008B6FCD"/>
    <w:rsid w:val="008C0075"/>
    <w:rsid w:val="008C228B"/>
    <w:rsid w:val="008C30AD"/>
    <w:rsid w:val="008C6191"/>
    <w:rsid w:val="008C6BE0"/>
    <w:rsid w:val="008C7B6F"/>
    <w:rsid w:val="008D02DA"/>
    <w:rsid w:val="008D068E"/>
    <w:rsid w:val="008D0F33"/>
    <w:rsid w:val="008D0F7A"/>
    <w:rsid w:val="008D14DE"/>
    <w:rsid w:val="008D1D37"/>
    <w:rsid w:val="008D3AE4"/>
    <w:rsid w:val="008D4914"/>
    <w:rsid w:val="008D5564"/>
    <w:rsid w:val="008D56B5"/>
    <w:rsid w:val="008D63BE"/>
    <w:rsid w:val="008D7198"/>
    <w:rsid w:val="008D734B"/>
    <w:rsid w:val="008E06BE"/>
    <w:rsid w:val="008E0CFF"/>
    <w:rsid w:val="008E45BA"/>
    <w:rsid w:val="008E5D6B"/>
    <w:rsid w:val="008E689B"/>
    <w:rsid w:val="008E7471"/>
    <w:rsid w:val="008E76F0"/>
    <w:rsid w:val="008F00C5"/>
    <w:rsid w:val="008F15FE"/>
    <w:rsid w:val="008F1F14"/>
    <w:rsid w:val="008F2160"/>
    <w:rsid w:val="008F22FF"/>
    <w:rsid w:val="008F2A94"/>
    <w:rsid w:val="008F413C"/>
    <w:rsid w:val="008F4809"/>
    <w:rsid w:val="008F5187"/>
    <w:rsid w:val="008F52DE"/>
    <w:rsid w:val="008F5AD2"/>
    <w:rsid w:val="008F6A65"/>
    <w:rsid w:val="008F709C"/>
    <w:rsid w:val="008F7BF1"/>
    <w:rsid w:val="00900D82"/>
    <w:rsid w:val="00900EAD"/>
    <w:rsid w:val="00901447"/>
    <w:rsid w:val="00901FED"/>
    <w:rsid w:val="0090312B"/>
    <w:rsid w:val="0090427A"/>
    <w:rsid w:val="00904961"/>
    <w:rsid w:val="0090609B"/>
    <w:rsid w:val="0090623E"/>
    <w:rsid w:val="00910D34"/>
    <w:rsid w:val="009111F6"/>
    <w:rsid w:val="00912610"/>
    <w:rsid w:val="00912A18"/>
    <w:rsid w:val="009142D5"/>
    <w:rsid w:val="00914EFB"/>
    <w:rsid w:val="00915424"/>
    <w:rsid w:val="00915FAB"/>
    <w:rsid w:val="0091736D"/>
    <w:rsid w:val="00920CFD"/>
    <w:rsid w:val="00920F50"/>
    <w:rsid w:val="009216DA"/>
    <w:rsid w:val="00921709"/>
    <w:rsid w:val="0092227E"/>
    <w:rsid w:val="0092263A"/>
    <w:rsid w:val="00923B4A"/>
    <w:rsid w:val="0092477B"/>
    <w:rsid w:val="00924AAD"/>
    <w:rsid w:val="009258F0"/>
    <w:rsid w:val="00926E40"/>
    <w:rsid w:val="00931001"/>
    <w:rsid w:val="00931863"/>
    <w:rsid w:val="009321D6"/>
    <w:rsid w:val="00933524"/>
    <w:rsid w:val="009345DC"/>
    <w:rsid w:val="0093475A"/>
    <w:rsid w:val="00936522"/>
    <w:rsid w:val="00937575"/>
    <w:rsid w:val="00937938"/>
    <w:rsid w:val="00940949"/>
    <w:rsid w:val="00940BB7"/>
    <w:rsid w:val="009410D8"/>
    <w:rsid w:val="0094278D"/>
    <w:rsid w:val="00942FCA"/>
    <w:rsid w:val="009437A1"/>
    <w:rsid w:val="00943D90"/>
    <w:rsid w:val="009440AF"/>
    <w:rsid w:val="009442E6"/>
    <w:rsid w:val="009444B3"/>
    <w:rsid w:val="00945638"/>
    <w:rsid w:val="00946BD7"/>
    <w:rsid w:val="00947E1A"/>
    <w:rsid w:val="00950F42"/>
    <w:rsid w:val="0095308A"/>
    <w:rsid w:val="0095458C"/>
    <w:rsid w:val="00955AEE"/>
    <w:rsid w:val="00956F14"/>
    <w:rsid w:val="00960459"/>
    <w:rsid w:val="00960C11"/>
    <w:rsid w:val="009620FD"/>
    <w:rsid w:val="0096247A"/>
    <w:rsid w:val="009646C6"/>
    <w:rsid w:val="00964907"/>
    <w:rsid w:val="00965DA7"/>
    <w:rsid w:val="00965E98"/>
    <w:rsid w:val="00965F4B"/>
    <w:rsid w:val="0096674E"/>
    <w:rsid w:val="00967F2B"/>
    <w:rsid w:val="0097091F"/>
    <w:rsid w:val="00970F8A"/>
    <w:rsid w:val="0097150E"/>
    <w:rsid w:val="00971601"/>
    <w:rsid w:val="00971FB5"/>
    <w:rsid w:val="00972732"/>
    <w:rsid w:val="00972D2A"/>
    <w:rsid w:val="00973E86"/>
    <w:rsid w:val="009752F1"/>
    <w:rsid w:val="0097591D"/>
    <w:rsid w:val="00975CC5"/>
    <w:rsid w:val="00975E7B"/>
    <w:rsid w:val="00976328"/>
    <w:rsid w:val="00976B4E"/>
    <w:rsid w:val="00976C75"/>
    <w:rsid w:val="00982316"/>
    <w:rsid w:val="0098294E"/>
    <w:rsid w:val="0098352F"/>
    <w:rsid w:val="00983F7D"/>
    <w:rsid w:val="00984458"/>
    <w:rsid w:val="00985283"/>
    <w:rsid w:val="00985F6B"/>
    <w:rsid w:val="00987322"/>
    <w:rsid w:val="00987395"/>
    <w:rsid w:val="009876BB"/>
    <w:rsid w:val="009877E4"/>
    <w:rsid w:val="00987CC6"/>
    <w:rsid w:val="00991D2D"/>
    <w:rsid w:val="00993859"/>
    <w:rsid w:val="00993BFF"/>
    <w:rsid w:val="00994F7D"/>
    <w:rsid w:val="00995B4E"/>
    <w:rsid w:val="00996516"/>
    <w:rsid w:val="009A0F3B"/>
    <w:rsid w:val="009A1E92"/>
    <w:rsid w:val="009A31E7"/>
    <w:rsid w:val="009A3328"/>
    <w:rsid w:val="009A33C6"/>
    <w:rsid w:val="009A5973"/>
    <w:rsid w:val="009A64E4"/>
    <w:rsid w:val="009A6C4F"/>
    <w:rsid w:val="009A72C7"/>
    <w:rsid w:val="009B0268"/>
    <w:rsid w:val="009B0897"/>
    <w:rsid w:val="009B0B42"/>
    <w:rsid w:val="009B356B"/>
    <w:rsid w:val="009B6DE2"/>
    <w:rsid w:val="009B7B3C"/>
    <w:rsid w:val="009B7C8C"/>
    <w:rsid w:val="009C06F2"/>
    <w:rsid w:val="009C0DA4"/>
    <w:rsid w:val="009C1021"/>
    <w:rsid w:val="009C1656"/>
    <w:rsid w:val="009C2826"/>
    <w:rsid w:val="009C414B"/>
    <w:rsid w:val="009C45F8"/>
    <w:rsid w:val="009C5754"/>
    <w:rsid w:val="009C5EAA"/>
    <w:rsid w:val="009C6C64"/>
    <w:rsid w:val="009D044B"/>
    <w:rsid w:val="009D0852"/>
    <w:rsid w:val="009D0E03"/>
    <w:rsid w:val="009D0F58"/>
    <w:rsid w:val="009D1D11"/>
    <w:rsid w:val="009D1FBF"/>
    <w:rsid w:val="009D22C4"/>
    <w:rsid w:val="009D31DC"/>
    <w:rsid w:val="009D3FBD"/>
    <w:rsid w:val="009D5466"/>
    <w:rsid w:val="009D5A7C"/>
    <w:rsid w:val="009D6096"/>
    <w:rsid w:val="009D7043"/>
    <w:rsid w:val="009E1794"/>
    <w:rsid w:val="009E2B92"/>
    <w:rsid w:val="009E320C"/>
    <w:rsid w:val="009E399C"/>
    <w:rsid w:val="009E3C2D"/>
    <w:rsid w:val="009E3F0C"/>
    <w:rsid w:val="009E43C1"/>
    <w:rsid w:val="009E56EC"/>
    <w:rsid w:val="009E61F3"/>
    <w:rsid w:val="009E6E87"/>
    <w:rsid w:val="009E7233"/>
    <w:rsid w:val="009E7E95"/>
    <w:rsid w:val="009F0031"/>
    <w:rsid w:val="009F116F"/>
    <w:rsid w:val="009F1CA8"/>
    <w:rsid w:val="009F329E"/>
    <w:rsid w:val="009F36FD"/>
    <w:rsid w:val="009F4327"/>
    <w:rsid w:val="009F623B"/>
    <w:rsid w:val="009F6EB1"/>
    <w:rsid w:val="009F7ACB"/>
    <w:rsid w:val="009F7ED3"/>
    <w:rsid w:val="00A0030F"/>
    <w:rsid w:val="00A00E2E"/>
    <w:rsid w:val="00A02FB1"/>
    <w:rsid w:val="00A03607"/>
    <w:rsid w:val="00A03833"/>
    <w:rsid w:val="00A0387F"/>
    <w:rsid w:val="00A047FF"/>
    <w:rsid w:val="00A04FEF"/>
    <w:rsid w:val="00A063FA"/>
    <w:rsid w:val="00A0691C"/>
    <w:rsid w:val="00A07475"/>
    <w:rsid w:val="00A0764B"/>
    <w:rsid w:val="00A07871"/>
    <w:rsid w:val="00A07CAD"/>
    <w:rsid w:val="00A1026E"/>
    <w:rsid w:val="00A1050B"/>
    <w:rsid w:val="00A122CD"/>
    <w:rsid w:val="00A12863"/>
    <w:rsid w:val="00A12A32"/>
    <w:rsid w:val="00A13A9D"/>
    <w:rsid w:val="00A14248"/>
    <w:rsid w:val="00A143C6"/>
    <w:rsid w:val="00A14947"/>
    <w:rsid w:val="00A16DAB"/>
    <w:rsid w:val="00A17D24"/>
    <w:rsid w:val="00A2025E"/>
    <w:rsid w:val="00A208E5"/>
    <w:rsid w:val="00A20A47"/>
    <w:rsid w:val="00A20FE3"/>
    <w:rsid w:val="00A22866"/>
    <w:rsid w:val="00A23DC5"/>
    <w:rsid w:val="00A24280"/>
    <w:rsid w:val="00A26D7C"/>
    <w:rsid w:val="00A27961"/>
    <w:rsid w:val="00A30666"/>
    <w:rsid w:val="00A3073A"/>
    <w:rsid w:val="00A328B0"/>
    <w:rsid w:val="00A34028"/>
    <w:rsid w:val="00A35568"/>
    <w:rsid w:val="00A362A2"/>
    <w:rsid w:val="00A3670B"/>
    <w:rsid w:val="00A37056"/>
    <w:rsid w:val="00A37259"/>
    <w:rsid w:val="00A4082F"/>
    <w:rsid w:val="00A41E98"/>
    <w:rsid w:val="00A4358F"/>
    <w:rsid w:val="00A43808"/>
    <w:rsid w:val="00A447AF"/>
    <w:rsid w:val="00A453A4"/>
    <w:rsid w:val="00A45B46"/>
    <w:rsid w:val="00A46F67"/>
    <w:rsid w:val="00A474F6"/>
    <w:rsid w:val="00A47E7B"/>
    <w:rsid w:val="00A51523"/>
    <w:rsid w:val="00A52540"/>
    <w:rsid w:val="00A52E3B"/>
    <w:rsid w:val="00A536A7"/>
    <w:rsid w:val="00A53AB3"/>
    <w:rsid w:val="00A540A1"/>
    <w:rsid w:val="00A54153"/>
    <w:rsid w:val="00A546CA"/>
    <w:rsid w:val="00A5486B"/>
    <w:rsid w:val="00A54AA1"/>
    <w:rsid w:val="00A55167"/>
    <w:rsid w:val="00A55A63"/>
    <w:rsid w:val="00A568FF"/>
    <w:rsid w:val="00A56F01"/>
    <w:rsid w:val="00A6065F"/>
    <w:rsid w:val="00A61496"/>
    <w:rsid w:val="00A61833"/>
    <w:rsid w:val="00A61946"/>
    <w:rsid w:val="00A61E63"/>
    <w:rsid w:val="00A61E7E"/>
    <w:rsid w:val="00A624C6"/>
    <w:rsid w:val="00A63CEC"/>
    <w:rsid w:val="00A63FB0"/>
    <w:rsid w:val="00A64CC9"/>
    <w:rsid w:val="00A65C22"/>
    <w:rsid w:val="00A66740"/>
    <w:rsid w:val="00A6775B"/>
    <w:rsid w:val="00A7031E"/>
    <w:rsid w:val="00A71B3B"/>
    <w:rsid w:val="00A728B1"/>
    <w:rsid w:val="00A72FD4"/>
    <w:rsid w:val="00A74168"/>
    <w:rsid w:val="00A756EA"/>
    <w:rsid w:val="00A7582A"/>
    <w:rsid w:val="00A75906"/>
    <w:rsid w:val="00A763DE"/>
    <w:rsid w:val="00A76F23"/>
    <w:rsid w:val="00A8008C"/>
    <w:rsid w:val="00A803D6"/>
    <w:rsid w:val="00A80556"/>
    <w:rsid w:val="00A81282"/>
    <w:rsid w:val="00A82761"/>
    <w:rsid w:val="00A82ABF"/>
    <w:rsid w:val="00A86EE6"/>
    <w:rsid w:val="00A86EEB"/>
    <w:rsid w:val="00A8713F"/>
    <w:rsid w:val="00A90AE7"/>
    <w:rsid w:val="00A91167"/>
    <w:rsid w:val="00A9171C"/>
    <w:rsid w:val="00A92FFD"/>
    <w:rsid w:val="00A9378A"/>
    <w:rsid w:val="00A94A31"/>
    <w:rsid w:val="00A94D32"/>
    <w:rsid w:val="00A94EFC"/>
    <w:rsid w:val="00A95975"/>
    <w:rsid w:val="00A96750"/>
    <w:rsid w:val="00A9708D"/>
    <w:rsid w:val="00AA1695"/>
    <w:rsid w:val="00AA2C17"/>
    <w:rsid w:val="00AA4172"/>
    <w:rsid w:val="00AA49DB"/>
    <w:rsid w:val="00AB093B"/>
    <w:rsid w:val="00AB1153"/>
    <w:rsid w:val="00AB13F4"/>
    <w:rsid w:val="00AB1914"/>
    <w:rsid w:val="00AB2189"/>
    <w:rsid w:val="00AB35CE"/>
    <w:rsid w:val="00AB5330"/>
    <w:rsid w:val="00AB5342"/>
    <w:rsid w:val="00AB5582"/>
    <w:rsid w:val="00AB62A6"/>
    <w:rsid w:val="00AB6CF4"/>
    <w:rsid w:val="00AB6D8D"/>
    <w:rsid w:val="00AB7747"/>
    <w:rsid w:val="00AB7C29"/>
    <w:rsid w:val="00AC0919"/>
    <w:rsid w:val="00AC11DB"/>
    <w:rsid w:val="00AC2532"/>
    <w:rsid w:val="00AC291A"/>
    <w:rsid w:val="00AC395A"/>
    <w:rsid w:val="00AC3FE9"/>
    <w:rsid w:val="00AC487A"/>
    <w:rsid w:val="00AC4DAB"/>
    <w:rsid w:val="00AC6FF7"/>
    <w:rsid w:val="00AD00BB"/>
    <w:rsid w:val="00AD0823"/>
    <w:rsid w:val="00AD10A5"/>
    <w:rsid w:val="00AD1507"/>
    <w:rsid w:val="00AD28B6"/>
    <w:rsid w:val="00AD304B"/>
    <w:rsid w:val="00AD36C3"/>
    <w:rsid w:val="00AD52F7"/>
    <w:rsid w:val="00AD5A70"/>
    <w:rsid w:val="00AD738B"/>
    <w:rsid w:val="00AD7431"/>
    <w:rsid w:val="00AD7FAD"/>
    <w:rsid w:val="00AE1BF4"/>
    <w:rsid w:val="00AE1EE6"/>
    <w:rsid w:val="00AE1FCF"/>
    <w:rsid w:val="00AE3929"/>
    <w:rsid w:val="00AE4F31"/>
    <w:rsid w:val="00AE5D97"/>
    <w:rsid w:val="00AE5F59"/>
    <w:rsid w:val="00AE6794"/>
    <w:rsid w:val="00AF1078"/>
    <w:rsid w:val="00AF2C93"/>
    <w:rsid w:val="00AF3F8D"/>
    <w:rsid w:val="00AF5369"/>
    <w:rsid w:val="00B01110"/>
    <w:rsid w:val="00B0138E"/>
    <w:rsid w:val="00B014CC"/>
    <w:rsid w:val="00B017FD"/>
    <w:rsid w:val="00B02262"/>
    <w:rsid w:val="00B02C0D"/>
    <w:rsid w:val="00B03CEC"/>
    <w:rsid w:val="00B03FD1"/>
    <w:rsid w:val="00B04534"/>
    <w:rsid w:val="00B05203"/>
    <w:rsid w:val="00B107E4"/>
    <w:rsid w:val="00B11111"/>
    <w:rsid w:val="00B11712"/>
    <w:rsid w:val="00B1209F"/>
    <w:rsid w:val="00B129A0"/>
    <w:rsid w:val="00B12AD0"/>
    <w:rsid w:val="00B12E03"/>
    <w:rsid w:val="00B1336C"/>
    <w:rsid w:val="00B13473"/>
    <w:rsid w:val="00B141E5"/>
    <w:rsid w:val="00B152D4"/>
    <w:rsid w:val="00B15C0E"/>
    <w:rsid w:val="00B16535"/>
    <w:rsid w:val="00B200EB"/>
    <w:rsid w:val="00B22925"/>
    <w:rsid w:val="00B242C7"/>
    <w:rsid w:val="00B2441B"/>
    <w:rsid w:val="00B24A10"/>
    <w:rsid w:val="00B24F30"/>
    <w:rsid w:val="00B253AC"/>
    <w:rsid w:val="00B26F20"/>
    <w:rsid w:val="00B2791C"/>
    <w:rsid w:val="00B27B13"/>
    <w:rsid w:val="00B31ABF"/>
    <w:rsid w:val="00B32527"/>
    <w:rsid w:val="00B325B3"/>
    <w:rsid w:val="00B32A9C"/>
    <w:rsid w:val="00B335AE"/>
    <w:rsid w:val="00B33CDA"/>
    <w:rsid w:val="00B3473D"/>
    <w:rsid w:val="00B357AC"/>
    <w:rsid w:val="00B359F9"/>
    <w:rsid w:val="00B35E7C"/>
    <w:rsid w:val="00B3600D"/>
    <w:rsid w:val="00B36F6E"/>
    <w:rsid w:val="00B3701D"/>
    <w:rsid w:val="00B374A0"/>
    <w:rsid w:val="00B37C48"/>
    <w:rsid w:val="00B37CE1"/>
    <w:rsid w:val="00B40ACF"/>
    <w:rsid w:val="00B41341"/>
    <w:rsid w:val="00B4149B"/>
    <w:rsid w:val="00B425B6"/>
    <w:rsid w:val="00B4389F"/>
    <w:rsid w:val="00B45425"/>
    <w:rsid w:val="00B45B7A"/>
    <w:rsid w:val="00B4682D"/>
    <w:rsid w:val="00B46BAA"/>
    <w:rsid w:val="00B46CC0"/>
    <w:rsid w:val="00B47BD5"/>
    <w:rsid w:val="00B47C2F"/>
    <w:rsid w:val="00B50B5F"/>
    <w:rsid w:val="00B51A0D"/>
    <w:rsid w:val="00B51CC0"/>
    <w:rsid w:val="00B51E94"/>
    <w:rsid w:val="00B52087"/>
    <w:rsid w:val="00B5274E"/>
    <w:rsid w:val="00B52D35"/>
    <w:rsid w:val="00B54128"/>
    <w:rsid w:val="00B54177"/>
    <w:rsid w:val="00B5502C"/>
    <w:rsid w:val="00B55826"/>
    <w:rsid w:val="00B56D48"/>
    <w:rsid w:val="00B60426"/>
    <w:rsid w:val="00B61C86"/>
    <w:rsid w:val="00B61ED3"/>
    <w:rsid w:val="00B622DD"/>
    <w:rsid w:val="00B63522"/>
    <w:rsid w:val="00B638FA"/>
    <w:rsid w:val="00B6605C"/>
    <w:rsid w:val="00B675A5"/>
    <w:rsid w:val="00B70030"/>
    <w:rsid w:val="00B712F4"/>
    <w:rsid w:val="00B7194F"/>
    <w:rsid w:val="00B71D8B"/>
    <w:rsid w:val="00B72848"/>
    <w:rsid w:val="00B73A72"/>
    <w:rsid w:val="00B73E68"/>
    <w:rsid w:val="00B7433B"/>
    <w:rsid w:val="00B76F1D"/>
    <w:rsid w:val="00B77C01"/>
    <w:rsid w:val="00B82720"/>
    <w:rsid w:val="00B82A0A"/>
    <w:rsid w:val="00B85A7B"/>
    <w:rsid w:val="00B86596"/>
    <w:rsid w:val="00B86E62"/>
    <w:rsid w:val="00B908F4"/>
    <w:rsid w:val="00B91781"/>
    <w:rsid w:val="00B92511"/>
    <w:rsid w:val="00B92A19"/>
    <w:rsid w:val="00B938C8"/>
    <w:rsid w:val="00B95125"/>
    <w:rsid w:val="00B9544C"/>
    <w:rsid w:val="00B95689"/>
    <w:rsid w:val="00B96B57"/>
    <w:rsid w:val="00B96E8D"/>
    <w:rsid w:val="00B96F44"/>
    <w:rsid w:val="00B97291"/>
    <w:rsid w:val="00B97C51"/>
    <w:rsid w:val="00BA09C6"/>
    <w:rsid w:val="00BA139C"/>
    <w:rsid w:val="00BA15D7"/>
    <w:rsid w:val="00BA2440"/>
    <w:rsid w:val="00BA29E9"/>
    <w:rsid w:val="00BA32E2"/>
    <w:rsid w:val="00BA3E1F"/>
    <w:rsid w:val="00BA4552"/>
    <w:rsid w:val="00BA5C9C"/>
    <w:rsid w:val="00BB328E"/>
    <w:rsid w:val="00BB3618"/>
    <w:rsid w:val="00BB39E6"/>
    <w:rsid w:val="00BB5FC7"/>
    <w:rsid w:val="00BB65EC"/>
    <w:rsid w:val="00BB68FE"/>
    <w:rsid w:val="00BC0C9E"/>
    <w:rsid w:val="00BC137C"/>
    <w:rsid w:val="00BC1A5C"/>
    <w:rsid w:val="00BC2065"/>
    <w:rsid w:val="00BC2924"/>
    <w:rsid w:val="00BC32DC"/>
    <w:rsid w:val="00BC3F1B"/>
    <w:rsid w:val="00BC429A"/>
    <w:rsid w:val="00BC4DB2"/>
    <w:rsid w:val="00BC5FA5"/>
    <w:rsid w:val="00BC657F"/>
    <w:rsid w:val="00BC74AB"/>
    <w:rsid w:val="00BC74D8"/>
    <w:rsid w:val="00BD0949"/>
    <w:rsid w:val="00BD1B51"/>
    <w:rsid w:val="00BD2043"/>
    <w:rsid w:val="00BD36F9"/>
    <w:rsid w:val="00BD47F6"/>
    <w:rsid w:val="00BD4D94"/>
    <w:rsid w:val="00BD788E"/>
    <w:rsid w:val="00BE1326"/>
    <w:rsid w:val="00BE13D4"/>
    <w:rsid w:val="00BE13D6"/>
    <w:rsid w:val="00BE312D"/>
    <w:rsid w:val="00BE3FCA"/>
    <w:rsid w:val="00BE56AB"/>
    <w:rsid w:val="00BE5B6A"/>
    <w:rsid w:val="00BE7723"/>
    <w:rsid w:val="00BE7BF4"/>
    <w:rsid w:val="00BF2930"/>
    <w:rsid w:val="00BF2E4C"/>
    <w:rsid w:val="00BF45DA"/>
    <w:rsid w:val="00BF6873"/>
    <w:rsid w:val="00BF6ECA"/>
    <w:rsid w:val="00BF73F4"/>
    <w:rsid w:val="00BF783F"/>
    <w:rsid w:val="00BF7CB1"/>
    <w:rsid w:val="00C0521A"/>
    <w:rsid w:val="00C05719"/>
    <w:rsid w:val="00C05D49"/>
    <w:rsid w:val="00C075BB"/>
    <w:rsid w:val="00C07891"/>
    <w:rsid w:val="00C10578"/>
    <w:rsid w:val="00C11681"/>
    <w:rsid w:val="00C11DFD"/>
    <w:rsid w:val="00C13472"/>
    <w:rsid w:val="00C14838"/>
    <w:rsid w:val="00C14E57"/>
    <w:rsid w:val="00C15088"/>
    <w:rsid w:val="00C160D1"/>
    <w:rsid w:val="00C16472"/>
    <w:rsid w:val="00C16611"/>
    <w:rsid w:val="00C16A24"/>
    <w:rsid w:val="00C170A3"/>
    <w:rsid w:val="00C178E2"/>
    <w:rsid w:val="00C17D62"/>
    <w:rsid w:val="00C210DB"/>
    <w:rsid w:val="00C217C6"/>
    <w:rsid w:val="00C21A40"/>
    <w:rsid w:val="00C21FDC"/>
    <w:rsid w:val="00C223A5"/>
    <w:rsid w:val="00C24EE7"/>
    <w:rsid w:val="00C2596A"/>
    <w:rsid w:val="00C25A64"/>
    <w:rsid w:val="00C261B5"/>
    <w:rsid w:val="00C271BE"/>
    <w:rsid w:val="00C27425"/>
    <w:rsid w:val="00C312CF"/>
    <w:rsid w:val="00C31310"/>
    <w:rsid w:val="00C328FE"/>
    <w:rsid w:val="00C32B72"/>
    <w:rsid w:val="00C33A05"/>
    <w:rsid w:val="00C34ABF"/>
    <w:rsid w:val="00C34E3D"/>
    <w:rsid w:val="00C374B7"/>
    <w:rsid w:val="00C40011"/>
    <w:rsid w:val="00C40A9E"/>
    <w:rsid w:val="00C42392"/>
    <w:rsid w:val="00C42500"/>
    <w:rsid w:val="00C4409D"/>
    <w:rsid w:val="00C4464F"/>
    <w:rsid w:val="00C448D0"/>
    <w:rsid w:val="00C455BE"/>
    <w:rsid w:val="00C45D6F"/>
    <w:rsid w:val="00C464B4"/>
    <w:rsid w:val="00C47746"/>
    <w:rsid w:val="00C47D59"/>
    <w:rsid w:val="00C47D9F"/>
    <w:rsid w:val="00C518BA"/>
    <w:rsid w:val="00C51E5F"/>
    <w:rsid w:val="00C528A6"/>
    <w:rsid w:val="00C5332B"/>
    <w:rsid w:val="00C53859"/>
    <w:rsid w:val="00C555FC"/>
    <w:rsid w:val="00C61317"/>
    <w:rsid w:val="00C61E4B"/>
    <w:rsid w:val="00C62E3A"/>
    <w:rsid w:val="00C62F42"/>
    <w:rsid w:val="00C63221"/>
    <w:rsid w:val="00C640E2"/>
    <w:rsid w:val="00C64503"/>
    <w:rsid w:val="00C64944"/>
    <w:rsid w:val="00C64A1F"/>
    <w:rsid w:val="00C64BFF"/>
    <w:rsid w:val="00C6593A"/>
    <w:rsid w:val="00C673CC"/>
    <w:rsid w:val="00C7095D"/>
    <w:rsid w:val="00C70C07"/>
    <w:rsid w:val="00C71161"/>
    <w:rsid w:val="00C7156F"/>
    <w:rsid w:val="00C720F8"/>
    <w:rsid w:val="00C72409"/>
    <w:rsid w:val="00C7255B"/>
    <w:rsid w:val="00C730E0"/>
    <w:rsid w:val="00C731E2"/>
    <w:rsid w:val="00C74210"/>
    <w:rsid w:val="00C74C78"/>
    <w:rsid w:val="00C763C9"/>
    <w:rsid w:val="00C766A3"/>
    <w:rsid w:val="00C80057"/>
    <w:rsid w:val="00C80113"/>
    <w:rsid w:val="00C81B9D"/>
    <w:rsid w:val="00C81F75"/>
    <w:rsid w:val="00C82C79"/>
    <w:rsid w:val="00C832ED"/>
    <w:rsid w:val="00C84753"/>
    <w:rsid w:val="00C84DA2"/>
    <w:rsid w:val="00C8687F"/>
    <w:rsid w:val="00C8751B"/>
    <w:rsid w:val="00C90B1B"/>
    <w:rsid w:val="00C90BB4"/>
    <w:rsid w:val="00C91321"/>
    <w:rsid w:val="00C91611"/>
    <w:rsid w:val="00C91B72"/>
    <w:rsid w:val="00C92630"/>
    <w:rsid w:val="00C933F0"/>
    <w:rsid w:val="00C937F2"/>
    <w:rsid w:val="00C93AC1"/>
    <w:rsid w:val="00C94212"/>
    <w:rsid w:val="00C95304"/>
    <w:rsid w:val="00C956AF"/>
    <w:rsid w:val="00C95988"/>
    <w:rsid w:val="00C9717C"/>
    <w:rsid w:val="00C976DD"/>
    <w:rsid w:val="00CA0032"/>
    <w:rsid w:val="00CA2D32"/>
    <w:rsid w:val="00CA3585"/>
    <w:rsid w:val="00CA3D5A"/>
    <w:rsid w:val="00CA3E75"/>
    <w:rsid w:val="00CA4C7C"/>
    <w:rsid w:val="00CA50B8"/>
    <w:rsid w:val="00CA585A"/>
    <w:rsid w:val="00CA5B6B"/>
    <w:rsid w:val="00CA6632"/>
    <w:rsid w:val="00CA6C92"/>
    <w:rsid w:val="00CA709E"/>
    <w:rsid w:val="00CB0183"/>
    <w:rsid w:val="00CB13ED"/>
    <w:rsid w:val="00CB1EA3"/>
    <w:rsid w:val="00CB27A1"/>
    <w:rsid w:val="00CB4D72"/>
    <w:rsid w:val="00CB5297"/>
    <w:rsid w:val="00CB552C"/>
    <w:rsid w:val="00CB6A9E"/>
    <w:rsid w:val="00CC0B2C"/>
    <w:rsid w:val="00CC137D"/>
    <w:rsid w:val="00CC1797"/>
    <w:rsid w:val="00CC2376"/>
    <w:rsid w:val="00CC38D6"/>
    <w:rsid w:val="00CC6181"/>
    <w:rsid w:val="00CC748E"/>
    <w:rsid w:val="00CC7496"/>
    <w:rsid w:val="00CD07DA"/>
    <w:rsid w:val="00CD0E38"/>
    <w:rsid w:val="00CD0F80"/>
    <w:rsid w:val="00CD225D"/>
    <w:rsid w:val="00CD2BCD"/>
    <w:rsid w:val="00CD2D6D"/>
    <w:rsid w:val="00CD2F4D"/>
    <w:rsid w:val="00CD329D"/>
    <w:rsid w:val="00CD36AA"/>
    <w:rsid w:val="00CD3791"/>
    <w:rsid w:val="00CD3A22"/>
    <w:rsid w:val="00CD515A"/>
    <w:rsid w:val="00CD5401"/>
    <w:rsid w:val="00CD5DC6"/>
    <w:rsid w:val="00CD65B0"/>
    <w:rsid w:val="00CD7ABB"/>
    <w:rsid w:val="00CE0243"/>
    <w:rsid w:val="00CE02CD"/>
    <w:rsid w:val="00CE0DC7"/>
    <w:rsid w:val="00CE10E9"/>
    <w:rsid w:val="00CE1C94"/>
    <w:rsid w:val="00CE1D8E"/>
    <w:rsid w:val="00CE2011"/>
    <w:rsid w:val="00CE21A2"/>
    <w:rsid w:val="00CE2F75"/>
    <w:rsid w:val="00CE3FA8"/>
    <w:rsid w:val="00CE55DE"/>
    <w:rsid w:val="00CE5647"/>
    <w:rsid w:val="00CE5812"/>
    <w:rsid w:val="00CF13C2"/>
    <w:rsid w:val="00CF49CE"/>
    <w:rsid w:val="00CF49D0"/>
    <w:rsid w:val="00CF5754"/>
    <w:rsid w:val="00D0069E"/>
    <w:rsid w:val="00D0072E"/>
    <w:rsid w:val="00D00DB4"/>
    <w:rsid w:val="00D012BE"/>
    <w:rsid w:val="00D01FBF"/>
    <w:rsid w:val="00D035B2"/>
    <w:rsid w:val="00D040FF"/>
    <w:rsid w:val="00D04B9E"/>
    <w:rsid w:val="00D06C86"/>
    <w:rsid w:val="00D1069B"/>
    <w:rsid w:val="00D1224D"/>
    <w:rsid w:val="00D156A9"/>
    <w:rsid w:val="00D15720"/>
    <w:rsid w:val="00D15727"/>
    <w:rsid w:val="00D15FA2"/>
    <w:rsid w:val="00D16332"/>
    <w:rsid w:val="00D1762C"/>
    <w:rsid w:val="00D17E24"/>
    <w:rsid w:val="00D21347"/>
    <w:rsid w:val="00D21B43"/>
    <w:rsid w:val="00D22C20"/>
    <w:rsid w:val="00D22CBA"/>
    <w:rsid w:val="00D247A8"/>
    <w:rsid w:val="00D24972"/>
    <w:rsid w:val="00D24E7F"/>
    <w:rsid w:val="00D2515E"/>
    <w:rsid w:val="00D25475"/>
    <w:rsid w:val="00D270E8"/>
    <w:rsid w:val="00D271BC"/>
    <w:rsid w:val="00D27881"/>
    <w:rsid w:val="00D308ED"/>
    <w:rsid w:val="00D30C05"/>
    <w:rsid w:val="00D3153E"/>
    <w:rsid w:val="00D32363"/>
    <w:rsid w:val="00D326F2"/>
    <w:rsid w:val="00D3294E"/>
    <w:rsid w:val="00D32E66"/>
    <w:rsid w:val="00D332F2"/>
    <w:rsid w:val="00D33399"/>
    <w:rsid w:val="00D35C14"/>
    <w:rsid w:val="00D371E6"/>
    <w:rsid w:val="00D40A37"/>
    <w:rsid w:val="00D41F5A"/>
    <w:rsid w:val="00D43084"/>
    <w:rsid w:val="00D443E1"/>
    <w:rsid w:val="00D45FA2"/>
    <w:rsid w:val="00D46F9B"/>
    <w:rsid w:val="00D50C79"/>
    <w:rsid w:val="00D5178C"/>
    <w:rsid w:val="00D5189A"/>
    <w:rsid w:val="00D51A2D"/>
    <w:rsid w:val="00D51BD5"/>
    <w:rsid w:val="00D52210"/>
    <w:rsid w:val="00D533F1"/>
    <w:rsid w:val="00D541F9"/>
    <w:rsid w:val="00D55526"/>
    <w:rsid w:val="00D56178"/>
    <w:rsid w:val="00D56CF0"/>
    <w:rsid w:val="00D56F5C"/>
    <w:rsid w:val="00D60F71"/>
    <w:rsid w:val="00D611C8"/>
    <w:rsid w:val="00D63358"/>
    <w:rsid w:val="00D6378B"/>
    <w:rsid w:val="00D63BC6"/>
    <w:rsid w:val="00D63D34"/>
    <w:rsid w:val="00D6408E"/>
    <w:rsid w:val="00D65F05"/>
    <w:rsid w:val="00D65F99"/>
    <w:rsid w:val="00D65FFB"/>
    <w:rsid w:val="00D668FB"/>
    <w:rsid w:val="00D704B1"/>
    <w:rsid w:val="00D70B63"/>
    <w:rsid w:val="00D725BB"/>
    <w:rsid w:val="00D72B92"/>
    <w:rsid w:val="00D72ED4"/>
    <w:rsid w:val="00D72F75"/>
    <w:rsid w:val="00D73F61"/>
    <w:rsid w:val="00D754C0"/>
    <w:rsid w:val="00D75C26"/>
    <w:rsid w:val="00D776A2"/>
    <w:rsid w:val="00D801C4"/>
    <w:rsid w:val="00D81ED6"/>
    <w:rsid w:val="00D82355"/>
    <w:rsid w:val="00D833F0"/>
    <w:rsid w:val="00D87C0F"/>
    <w:rsid w:val="00D905C1"/>
    <w:rsid w:val="00D90836"/>
    <w:rsid w:val="00D9101D"/>
    <w:rsid w:val="00D930BC"/>
    <w:rsid w:val="00D94D40"/>
    <w:rsid w:val="00D95896"/>
    <w:rsid w:val="00D95CC6"/>
    <w:rsid w:val="00D9622B"/>
    <w:rsid w:val="00D96D08"/>
    <w:rsid w:val="00D97D58"/>
    <w:rsid w:val="00DA026D"/>
    <w:rsid w:val="00DA0397"/>
    <w:rsid w:val="00DA03C2"/>
    <w:rsid w:val="00DA2B63"/>
    <w:rsid w:val="00DA2DA3"/>
    <w:rsid w:val="00DA4077"/>
    <w:rsid w:val="00DA47DE"/>
    <w:rsid w:val="00DA4A2B"/>
    <w:rsid w:val="00DA6615"/>
    <w:rsid w:val="00DA7243"/>
    <w:rsid w:val="00DA76AE"/>
    <w:rsid w:val="00DB0903"/>
    <w:rsid w:val="00DB181E"/>
    <w:rsid w:val="00DB1C7A"/>
    <w:rsid w:val="00DB2983"/>
    <w:rsid w:val="00DB2CA7"/>
    <w:rsid w:val="00DB306E"/>
    <w:rsid w:val="00DB343D"/>
    <w:rsid w:val="00DB4117"/>
    <w:rsid w:val="00DB5579"/>
    <w:rsid w:val="00DB5CFE"/>
    <w:rsid w:val="00DB6C27"/>
    <w:rsid w:val="00DB6D57"/>
    <w:rsid w:val="00DB72F8"/>
    <w:rsid w:val="00DB770D"/>
    <w:rsid w:val="00DB7852"/>
    <w:rsid w:val="00DB7EB0"/>
    <w:rsid w:val="00DC0894"/>
    <w:rsid w:val="00DC2CC1"/>
    <w:rsid w:val="00DC2F03"/>
    <w:rsid w:val="00DC3D7A"/>
    <w:rsid w:val="00DC4EC6"/>
    <w:rsid w:val="00DC530E"/>
    <w:rsid w:val="00DC72A6"/>
    <w:rsid w:val="00DC787A"/>
    <w:rsid w:val="00DD1710"/>
    <w:rsid w:val="00DD1B18"/>
    <w:rsid w:val="00DD2113"/>
    <w:rsid w:val="00DD265E"/>
    <w:rsid w:val="00DD31F5"/>
    <w:rsid w:val="00DD43AF"/>
    <w:rsid w:val="00DD53D0"/>
    <w:rsid w:val="00DD708C"/>
    <w:rsid w:val="00DE175F"/>
    <w:rsid w:val="00DE1D89"/>
    <w:rsid w:val="00DE257A"/>
    <w:rsid w:val="00DE2BE0"/>
    <w:rsid w:val="00DE3152"/>
    <w:rsid w:val="00DE32AD"/>
    <w:rsid w:val="00DE475B"/>
    <w:rsid w:val="00DE5D9C"/>
    <w:rsid w:val="00DE7FC9"/>
    <w:rsid w:val="00DF1930"/>
    <w:rsid w:val="00DF2BEB"/>
    <w:rsid w:val="00DF488C"/>
    <w:rsid w:val="00DF514A"/>
    <w:rsid w:val="00DF5848"/>
    <w:rsid w:val="00DF5E79"/>
    <w:rsid w:val="00DF64F8"/>
    <w:rsid w:val="00DF7B09"/>
    <w:rsid w:val="00E01EC9"/>
    <w:rsid w:val="00E022A7"/>
    <w:rsid w:val="00E0358D"/>
    <w:rsid w:val="00E0375C"/>
    <w:rsid w:val="00E038B9"/>
    <w:rsid w:val="00E04AFA"/>
    <w:rsid w:val="00E0533C"/>
    <w:rsid w:val="00E05C94"/>
    <w:rsid w:val="00E06327"/>
    <w:rsid w:val="00E07051"/>
    <w:rsid w:val="00E07B86"/>
    <w:rsid w:val="00E103CB"/>
    <w:rsid w:val="00E132C2"/>
    <w:rsid w:val="00E143EF"/>
    <w:rsid w:val="00E14626"/>
    <w:rsid w:val="00E1482E"/>
    <w:rsid w:val="00E16DC2"/>
    <w:rsid w:val="00E177C5"/>
    <w:rsid w:val="00E2064B"/>
    <w:rsid w:val="00E20F35"/>
    <w:rsid w:val="00E22C28"/>
    <w:rsid w:val="00E23E40"/>
    <w:rsid w:val="00E24E86"/>
    <w:rsid w:val="00E25239"/>
    <w:rsid w:val="00E25C65"/>
    <w:rsid w:val="00E265B1"/>
    <w:rsid w:val="00E275B0"/>
    <w:rsid w:val="00E27BDF"/>
    <w:rsid w:val="00E27E8D"/>
    <w:rsid w:val="00E30FEB"/>
    <w:rsid w:val="00E31500"/>
    <w:rsid w:val="00E33FAC"/>
    <w:rsid w:val="00E369BA"/>
    <w:rsid w:val="00E40685"/>
    <w:rsid w:val="00E40DD6"/>
    <w:rsid w:val="00E41266"/>
    <w:rsid w:val="00E41297"/>
    <w:rsid w:val="00E412D0"/>
    <w:rsid w:val="00E42DE1"/>
    <w:rsid w:val="00E42EDB"/>
    <w:rsid w:val="00E43FC5"/>
    <w:rsid w:val="00E44343"/>
    <w:rsid w:val="00E46340"/>
    <w:rsid w:val="00E475EC"/>
    <w:rsid w:val="00E47CDB"/>
    <w:rsid w:val="00E502DA"/>
    <w:rsid w:val="00E51D66"/>
    <w:rsid w:val="00E51D99"/>
    <w:rsid w:val="00E52D69"/>
    <w:rsid w:val="00E539FD"/>
    <w:rsid w:val="00E549BA"/>
    <w:rsid w:val="00E5626F"/>
    <w:rsid w:val="00E566BC"/>
    <w:rsid w:val="00E566EF"/>
    <w:rsid w:val="00E567B6"/>
    <w:rsid w:val="00E56D5C"/>
    <w:rsid w:val="00E57AA1"/>
    <w:rsid w:val="00E60982"/>
    <w:rsid w:val="00E60C8D"/>
    <w:rsid w:val="00E6162F"/>
    <w:rsid w:val="00E630CD"/>
    <w:rsid w:val="00E6311B"/>
    <w:rsid w:val="00E65D97"/>
    <w:rsid w:val="00E67A61"/>
    <w:rsid w:val="00E67EFD"/>
    <w:rsid w:val="00E702DC"/>
    <w:rsid w:val="00E7124E"/>
    <w:rsid w:val="00E71712"/>
    <w:rsid w:val="00E71FFB"/>
    <w:rsid w:val="00E74085"/>
    <w:rsid w:val="00E7422C"/>
    <w:rsid w:val="00E742EF"/>
    <w:rsid w:val="00E76CC1"/>
    <w:rsid w:val="00E76CD5"/>
    <w:rsid w:val="00E76D1D"/>
    <w:rsid w:val="00E76F20"/>
    <w:rsid w:val="00E77320"/>
    <w:rsid w:val="00E77B72"/>
    <w:rsid w:val="00E806F8"/>
    <w:rsid w:val="00E8230A"/>
    <w:rsid w:val="00E831FA"/>
    <w:rsid w:val="00E8322D"/>
    <w:rsid w:val="00E83FAC"/>
    <w:rsid w:val="00E843FA"/>
    <w:rsid w:val="00E85702"/>
    <w:rsid w:val="00E85C23"/>
    <w:rsid w:val="00E8668D"/>
    <w:rsid w:val="00E869A2"/>
    <w:rsid w:val="00E869CD"/>
    <w:rsid w:val="00E86B95"/>
    <w:rsid w:val="00E87752"/>
    <w:rsid w:val="00E8793B"/>
    <w:rsid w:val="00E87BCF"/>
    <w:rsid w:val="00E87FEC"/>
    <w:rsid w:val="00E90A60"/>
    <w:rsid w:val="00E90F81"/>
    <w:rsid w:val="00E91853"/>
    <w:rsid w:val="00E91A6D"/>
    <w:rsid w:val="00E9242D"/>
    <w:rsid w:val="00E92601"/>
    <w:rsid w:val="00E92637"/>
    <w:rsid w:val="00E92A1F"/>
    <w:rsid w:val="00E93CB7"/>
    <w:rsid w:val="00E943E3"/>
    <w:rsid w:val="00E94BB2"/>
    <w:rsid w:val="00E94E46"/>
    <w:rsid w:val="00E96B9F"/>
    <w:rsid w:val="00E96C8E"/>
    <w:rsid w:val="00E97809"/>
    <w:rsid w:val="00EA01C2"/>
    <w:rsid w:val="00EA19B7"/>
    <w:rsid w:val="00EA2A13"/>
    <w:rsid w:val="00EA2EE3"/>
    <w:rsid w:val="00EA44A9"/>
    <w:rsid w:val="00EA68BF"/>
    <w:rsid w:val="00EB041C"/>
    <w:rsid w:val="00EB06BD"/>
    <w:rsid w:val="00EB1880"/>
    <w:rsid w:val="00EB2AF8"/>
    <w:rsid w:val="00EB54ED"/>
    <w:rsid w:val="00EB6A15"/>
    <w:rsid w:val="00EC0DB8"/>
    <w:rsid w:val="00EC18EA"/>
    <w:rsid w:val="00EC2B1C"/>
    <w:rsid w:val="00EC3679"/>
    <w:rsid w:val="00EC3B34"/>
    <w:rsid w:val="00EC4EF9"/>
    <w:rsid w:val="00EC4F83"/>
    <w:rsid w:val="00EC5874"/>
    <w:rsid w:val="00EC6D02"/>
    <w:rsid w:val="00ED052E"/>
    <w:rsid w:val="00ED11B2"/>
    <w:rsid w:val="00ED192D"/>
    <w:rsid w:val="00ED1CB3"/>
    <w:rsid w:val="00ED30B4"/>
    <w:rsid w:val="00ED31F5"/>
    <w:rsid w:val="00ED4BA0"/>
    <w:rsid w:val="00ED50D0"/>
    <w:rsid w:val="00ED6B64"/>
    <w:rsid w:val="00ED7AFA"/>
    <w:rsid w:val="00EE0AC7"/>
    <w:rsid w:val="00EE2213"/>
    <w:rsid w:val="00EE23C5"/>
    <w:rsid w:val="00EE2511"/>
    <w:rsid w:val="00EE475F"/>
    <w:rsid w:val="00EE4D9F"/>
    <w:rsid w:val="00EE5237"/>
    <w:rsid w:val="00EE6560"/>
    <w:rsid w:val="00EE797D"/>
    <w:rsid w:val="00EF24B0"/>
    <w:rsid w:val="00EF2759"/>
    <w:rsid w:val="00EF41A1"/>
    <w:rsid w:val="00EF45EB"/>
    <w:rsid w:val="00EF4CD2"/>
    <w:rsid w:val="00EF4E12"/>
    <w:rsid w:val="00EF5099"/>
    <w:rsid w:val="00EF5E33"/>
    <w:rsid w:val="00F00075"/>
    <w:rsid w:val="00F003DE"/>
    <w:rsid w:val="00F00D40"/>
    <w:rsid w:val="00F02AD3"/>
    <w:rsid w:val="00F02F70"/>
    <w:rsid w:val="00F03D82"/>
    <w:rsid w:val="00F0414D"/>
    <w:rsid w:val="00F04675"/>
    <w:rsid w:val="00F0545F"/>
    <w:rsid w:val="00F06051"/>
    <w:rsid w:val="00F065A3"/>
    <w:rsid w:val="00F07822"/>
    <w:rsid w:val="00F07B81"/>
    <w:rsid w:val="00F07BCE"/>
    <w:rsid w:val="00F10D53"/>
    <w:rsid w:val="00F12599"/>
    <w:rsid w:val="00F12930"/>
    <w:rsid w:val="00F1385F"/>
    <w:rsid w:val="00F13EA5"/>
    <w:rsid w:val="00F13FB6"/>
    <w:rsid w:val="00F15C95"/>
    <w:rsid w:val="00F208AB"/>
    <w:rsid w:val="00F20E98"/>
    <w:rsid w:val="00F211B5"/>
    <w:rsid w:val="00F22333"/>
    <w:rsid w:val="00F225FD"/>
    <w:rsid w:val="00F2285F"/>
    <w:rsid w:val="00F22985"/>
    <w:rsid w:val="00F235C2"/>
    <w:rsid w:val="00F23650"/>
    <w:rsid w:val="00F241AB"/>
    <w:rsid w:val="00F2640A"/>
    <w:rsid w:val="00F2661D"/>
    <w:rsid w:val="00F31382"/>
    <w:rsid w:val="00F3185B"/>
    <w:rsid w:val="00F32615"/>
    <w:rsid w:val="00F342CE"/>
    <w:rsid w:val="00F35829"/>
    <w:rsid w:val="00F35A8F"/>
    <w:rsid w:val="00F35B57"/>
    <w:rsid w:val="00F36069"/>
    <w:rsid w:val="00F370E0"/>
    <w:rsid w:val="00F37670"/>
    <w:rsid w:val="00F40502"/>
    <w:rsid w:val="00F406D8"/>
    <w:rsid w:val="00F40A0F"/>
    <w:rsid w:val="00F40AC3"/>
    <w:rsid w:val="00F40D20"/>
    <w:rsid w:val="00F4151A"/>
    <w:rsid w:val="00F425F4"/>
    <w:rsid w:val="00F42868"/>
    <w:rsid w:val="00F42ADE"/>
    <w:rsid w:val="00F43BCF"/>
    <w:rsid w:val="00F44A3D"/>
    <w:rsid w:val="00F45FBD"/>
    <w:rsid w:val="00F46112"/>
    <w:rsid w:val="00F465A7"/>
    <w:rsid w:val="00F4762F"/>
    <w:rsid w:val="00F47738"/>
    <w:rsid w:val="00F47DB9"/>
    <w:rsid w:val="00F50B7C"/>
    <w:rsid w:val="00F51639"/>
    <w:rsid w:val="00F51CA3"/>
    <w:rsid w:val="00F5202D"/>
    <w:rsid w:val="00F52CF6"/>
    <w:rsid w:val="00F54496"/>
    <w:rsid w:val="00F54EAD"/>
    <w:rsid w:val="00F55E52"/>
    <w:rsid w:val="00F56A56"/>
    <w:rsid w:val="00F60339"/>
    <w:rsid w:val="00F6084B"/>
    <w:rsid w:val="00F61097"/>
    <w:rsid w:val="00F62422"/>
    <w:rsid w:val="00F62C1A"/>
    <w:rsid w:val="00F64441"/>
    <w:rsid w:val="00F64D53"/>
    <w:rsid w:val="00F65F88"/>
    <w:rsid w:val="00F67A85"/>
    <w:rsid w:val="00F70D1A"/>
    <w:rsid w:val="00F7136F"/>
    <w:rsid w:val="00F73935"/>
    <w:rsid w:val="00F74345"/>
    <w:rsid w:val="00F74441"/>
    <w:rsid w:val="00F7456B"/>
    <w:rsid w:val="00F75070"/>
    <w:rsid w:val="00F7668D"/>
    <w:rsid w:val="00F77410"/>
    <w:rsid w:val="00F77F30"/>
    <w:rsid w:val="00F82589"/>
    <w:rsid w:val="00F82B19"/>
    <w:rsid w:val="00F8387F"/>
    <w:rsid w:val="00F83DF2"/>
    <w:rsid w:val="00F84F17"/>
    <w:rsid w:val="00F86376"/>
    <w:rsid w:val="00F86F34"/>
    <w:rsid w:val="00F90153"/>
    <w:rsid w:val="00F90AA7"/>
    <w:rsid w:val="00F90BAB"/>
    <w:rsid w:val="00F9198F"/>
    <w:rsid w:val="00F9212D"/>
    <w:rsid w:val="00F96526"/>
    <w:rsid w:val="00FA301A"/>
    <w:rsid w:val="00FA3762"/>
    <w:rsid w:val="00FA406A"/>
    <w:rsid w:val="00FA4376"/>
    <w:rsid w:val="00FA4BE6"/>
    <w:rsid w:val="00FA5CB6"/>
    <w:rsid w:val="00FA7FE9"/>
    <w:rsid w:val="00FB0E38"/>
    <w:rsid w:val="00FB266A"/>
    <w:rsid w:val="00FB2FFF"/>
    <w:rsid w:val="00FB40EB"/>
    <w:rsid w:val="00FB4557"/>
    <w:rsid w:val="00FB5907"/>
    <w:rsid w:val="00FB6519"/>
    <w:rsid w:val="00FB6F58"/>
    <w:rsid w:val="00FC0DD3"/>
    <w:rsid w:val="00FC2774"/>
    <w:rsid w:val="00FC2FAB"/>
    <w:rsid w:val="00FC3097"/>
    <w:rsid w:val="00FC53F6"/>
    <w:rsid w:val="00FC5726"/>
    <w:rsid w:val="00FC66AC"/>
    <w:rsid w:val="00FC7C76"/>
    <w:rsid w:val="00FD017D"/>
    <w:rsid w:val="00FD0C94"/>
    <w:rsid w:val="00FD18F4"/>
    <w:rsid w:val="00FD4C70"/>
    <w:rsid w:val="00FD6569"/>
    <w:rsid w:val="00FD74B4"/>
    <w:rsid w:val="00FD7EE1"/>
    <w:rsid w:val="00FE04DD"/>
    <w:rsid w:val="00FE2304"/>
    <w:rsid w:val="00FE2654"/>
    <w:rsid w:val="00FE2DF5"/>
    <w:rsid w:val="00FE3DB2"/>
    <w:rsid w:val="00FE426A"/>
    <w:rsid w:val="00FE477E"/>
    <w:rsid w:val="00FE4E20"/>
    <w:rsid w:val="00FE79AE"/>
    <w:rsid w:val="00FF0274"/>
    <w:rsid w:val="00FF0385"/>
    <w:rsid w:val="00FF0652"/>
    <w:rsid w:val="00FF0E85"/>
    <w:rsid w:val="00FF186B"/>
    <w:rsid w:val="00FF1A58"/>
    <w:rsid w:val="00FF2C4C"/>
    <w:rsid w:val="00FF2F23"/>
    <w:rsid w:val="00FF3353"/>
    <w:rsid w:val="00FF355E"/>
    <w:rsid w:val="00FF524B"/>
    <w:rsid w:val="00FF56A0"/>
    <w:rsid w:val="00FF571C"/>
    <w:rsid w:val="00FF5B0A"/>
    <w:rsid w:val="00FF66CF"/>
    <w:rsid w:val="00FF6C22"/>
    <w:rsid w:val="00FF6E0A"/>
    <w:rsid w:val="00FF6FCE"/>
    <w:rsid w:val="00FF7518"/>
    <w:rsid w:val="00FF7701"/>
    <w:rsid w:val="00FF7FD8"/>
    <w:rsid w:val="01FA317A"/>
    <w:rsid w:val="02274EC8"/>
    <w:rsid w:val="027C3466"/>
    <w:rsid w:val="02DC5445"/>
    <w:rsid w:val="030D40BE"/>
    <w:rsid w:val="03602845"/>
    <w:rsid w:val="03DE08E6"/>
    <w:rsid w:val="04036AB9"/>
    <w:rsid w:val="0414147C"/>
    <w:rsid w:val="046643CE"/>
    <w:rsid w:val="04706FFA"/>
    <w:rsid w:val="049A0157"/>
    <w:rsid w:val="04B73289"/>
    <w:rsid w:val="04E62E18"/>
    <w:rsid w:val="05742AC8"/>
    <w:rsid w:val="05C375FE"/>
    <w:rsid w:val="05D435B9"/>
    <w:rsid w:val="06352F05"/>
    <w:rsid w:val="063E7D85"/>
    <w:rsid w:val="064C314F"/>
    <w:rsid w:val="068942CF"/>
    <w:rsid w:val="06997FA3"/>
    <w:rsid w:val="070875E0"/>
    <w:rsid w:val="07293586"/>
    <w:rsid w:val="07295285"/>
    <w:rsid w:val="07770C56"/>
    <w:rsid w:val="0842480A"/>
    <w:rsid w:val="092217DD"/>
    <w:rsid w:val="093A7294"/>
    <w:rsid w:val="0ABE74AC"/>
    <w:rsid w:val="0BA81948"/>
    <w:rsid w:val="0BC129C9"/>
    <w:rsid w:val="0BD27BF6"/>
    <w:rsid w:val="0C8573BB"/>
    <w:rsid w:val="0C8C0749"/>
    <w:rsid w:val="0CCF0279"/>
    <w:rsid w:val="0CDD0FA5"/>
    <w:rsid w:val="0D75742F"/>
    <w:rsid w:val="0DAA754E"/>
    <w:rsid w:val="0E110D06"/>
    <w:rsid w:val="0E535275"/>
    <w:rsid w:val="0E990EFC"/>
    <w:rsid w:val="0EE62DD0"/>
    <w:rsid w:val="0F13775A"/>
    <w:rsid w:val="0F1A64E0"/>
    <w:rsid w:val="0F736FF7"/>
    <w:rsid w:val="0F9A112B"/>
    <w:rsid w:val="106D2F64"/>
    <w:rsid w:val="10B63710"/>
    <w:rsid w:val="10F60887"/>
    <w:rsid w:val="111C2F7A"/>
    <w:rsid w:val="113013DE"/>
    <w:rsid w:val="11BB73DB"/>
    <w:rsid w:val="122B06C2"/>
    <w:rsid w:val="13951726"/>
    <w:rsid w:val="140E413A"/>
    <w:rsid w:val="14396509"/>
    <w:rsid w:val="1447165C"/>
    <w:rsid w:val="145B4C9E"/>
    <w:rsid w:val="14C21CD2"/>
    <w:rsid w:val="16846935"/>
    <w:rsid w:val="16F2564D"/>
    <w:rsid w:val="17735226"/>
    <w:rsid w:val="17DF75BA"/>
    <w:rsid w:val="18A8690B"/>
    <w:rsid w:val="18F97DB4"/>
    <w:rsid w:val="192B3098"/>
    <w:rsid w:val="1A1C66C0"/>
    <w:rsid w:val="1A3800AF"/>
    <w:rsid w:val="1A4025CB"/>
    <w:rsid w:val="1A42393B"/>
    <w:rsid w:val="1AC148E7"/>
    <w:rsid w:val="1B046F80"/>
    <w:rsid w:val="1B3267B5"/>
    <w:rsid w:val="1BC25DC8"/>
    <w:rsid w:val="1BCC0B62"/>
    <w:rsid w:val="1BDA64C1"/>
    <w:rsid w:val="1C293EC1"/>
    <w:rsid w:val="1C453213"/>
    <w:rsid w:val="1C581337"/>
    <w:rsid w:val="1C5E7925"/>
    <w:rsid w:val="1C887FC8"/>
    <w:rsid w:val="1C956C51"/>
    <w:rsid w:val="1CC03C3F"/>
    <w:rsid w:val="1CDF0421"/>
    <w:rsid w:val="1D5F6196"/>
    <w:rsid w:val="1D6132A5"/>
    <w:rsid w:val="1D8E56D5"/>
    <w:rsid w:val="1DF002FE"/>
    <w:rsid w:val="1E62583D"/>
    <w:rsid w:val="1E7A43DA"/>
    <w:rsid w:val="1EB277FE"/>
    <w:rsid w:val="1F1840BF"/>
    <w:rsid w:val="1F31749C"/>
    <w:rsid w:val="1FE7539E"/>
    <w:rsid w:val="20082286"/>
    <w:rsid w:val="205E231E"/>
    <w:rsid w:val="20827B42"/>
    <w:rsid w:val="20963CB8"/>
    <w:rsid w:val="20B07FB6"/>
    <w:rsid w:val="213B74B1"/>
    <w:rsid w:val="214C6E7F"/>
    <w:rsid w:val="215A2310"/>
    <w:rsid w:val="21DE318A"/>
    <w:rsid w:val="21EF5B80"/>
    <w:rsid w:val="2223566D"/>
    <w:rsid w:val="224E326E"/>
    <w:rsid w:val="22576990"/>
    <w:rsid w:val="229C4EAB"/>
    <w:rsid w:val="22FF7A6F"/>
    <w:rsid w:val="235C0A1E"/>
    <w:rsid w:val="23F424BE"/>
    <w:rsid w:val="24223821"/>
    <w:rsid w:val="24523CA7"/>
    <w:rsid w:val="252D53FE"/>
    <w:rsid w:val="25E11155"/>
    <w:rsid w:val="25EC2D81"/>
    <w:rsid w:val="263519DD"/>
    <w:rsid w:val="264528BD"/>
    <w:rsid w:val="267C25A6"/>
    <w:rsid w:val="27B506FD"/>
    <w:rsid w:val="27D15DD1"/>
    <w:rsid w:val="27D21C78"/>
    <w:rsid w:val="28A76295"/>
    <w:rsid w:val="28CD0CE1"/>
    <w:rsid w:val="28DB489F"/>
    <w:rsid w:val="29206EB8"/>
    <w:rsid w:val="29224BBA"/>
    <w:rsid w:val="29D05CC2"/>
    <w:rsid w:val="29D37560"/>
    <w:rsid w:val="29E325E0"/>
    <w:rsid w:val="29FC257C"/>
    <w:rsid w:val="2A452503"/>
    <w:rsid w:val="2A9C6583"/>
    <w:rsid w:val="2AE840AE"/>
    <w:rsid w:val="2BA1588C"/>
    <w:rsid w:val="2BA936A8"/>
    <w:rsid w:val="2C0003B4"/>
    <w:rsid w:val="2C2C73FB"/>
    <w:rsid w:val="2C315A5A"/>
    <w:rsid w:val="2C4717DE"/>
    <w:rsid w:val="2D096A49"/>
    <w:rsid w:val="2D4B20C6"/>
    <w:rsid w:val="2D9E56F5"/>
    <w:rsid w:val="2DCA0C7A"/>
    <w:rsid w:val="2E667F96"/>
    <w:rsid w:val="2E8226AB"/>
    <w:rsid w:val="2EAB4607"/>
    <w:rsid w:val="2F59444C"/>
    <w:rsid w:val="2F832C79"/>
    <w:rsid w:val="2FE9188B"/>
    <w:rsid w:val="2FEF2D58"/>
    <w:rsid w:val="3045283A"/>
    <w:rsid w:val="30580BC9"/>
    <w:rsid w:val="30683051"/>
    <w:rsid w:val="30874C00"/>
    <w:rsid w:val="311E2ED7"/>
    <w:rsid w:val="31336B36"/>
    <w:rsid w:val="315C449C"/>
    <w:rsid w:val="31B82709"/>
    <w:rsid w:val="32087FC3"/>
    <w:rsid w:val="32400B34"/>
    <w:rsid w:val="329E6876"/>
    <w:rsid w:val="32BA19C0"/>
    <w:rsid w:val="32C455D6"/>
    <w:rsid w:val="33681AA0"/>
    <w:rsid w:val="33D934D4"/>
    <w:rsid w:val="33F24171"/>
    <w:rsid w:val="33FE2F6A"/>
    <w:rsid w:val="346461BF"/>
    <w:rsid w:val="355F0F7C"/>
    <w:rsid w:val="356E45E1"/>
    <w:rsid w:val="35DE78E8"/>
    <w:rsid w:val="35ED19A9"/>
    <w:rsid w:val="36064819"/>
    <w:rsid w:val="36074A7F"/>
    <w:rsid w:val="36923549"/>
    <w:rsid w:val="36B75FBF"/>
    <w:rsid w:val="36D466C5"/>
    <w:rsid w:val="36E85169"/>
    <w:rsid w:val="36FB4891"/>
    <w:rsid w:val="37354072"/>
    <w:rsid w:val="37A60062"/>
    <w:rsid w:val="37CD44D8"/>
    <w:rsid w:val="38044D88"/>
    <w:rsid w:val="38371389"/>
    <w:rsid w:val="38B642D4"/>
    <w:rsid w:val="38C04200"/>
    <w:rsid w:val="38C90FD1"/>
    <w:rsid w:val="38F12CD3"/>
    <w:rsid w:val="38F94775"/>
    <w:rsid w:val="392971ED"/>
    <w:rsid w:val="39B546EA"/>
    <w:rsid w:val="39C366C3"/>
    <w:rsid w:val="3ADF1693"/>
    <w:rsid w:val="3AE83839"/>
    <w:rsid w:val="3B3763D1"/>
    <w:rsid w:val="3BEF693C"/>
    <w:rsid w:val="3C1014B7"/>
    <w:rsid w:val="3CDA245A"/>
    <w:rsid w:val="3CEE0A37"/>
    <w:rsid w:val="3E1F28C2"/>
    <w:rsid w:val="3E6E51DF"/>
    <w:rsid w:val="3EBA2645"/>
    <w:rsid w:val="3ED92ACB"/>
    <w:rsid w:val="3F660E74"/>
    <w:rsid w:val="3FC767C1"/>
    <w:rsid w:val="403A32A2"/>
    <w:rsid w:val="407A6407"/>
    <w:rsid w:val="423A3BCC"/>
    <w:rsid w:val="42976E80"/>
    <w:rsid w:val="42C91DBF"/>
    <w:rsid w:val="433A6FE6"/>
    <w:rsid w:val="4350713C"/>
    <w:rsid w:val="436653E0"/>
    <w:rsid w:val="437D35EE"/>
    <w:rsid w:val="43CC374D"/>
    <w:rsid w:val="44A06461"/>
    <w:rsid w:val="44A41DCD"/>
    <w:rsid w:val="44CD14E0"/>
    <w:rsid w:val="451724F0"/>
    <w:rsid w:val="458946E9"/>
    <w:rsid w:val="46D955A7"/>
    <w:rsid w:val="47133957"/>
    <w:rsid w:val="475573AE"/>
    <w:rsid w:val="4779329E"/>
    <w:rsid w:val="47A07E0C"/>
    <w:rsid w:val="47F60747"/>
    <w:rsid w:val="4870272E"/>
    <w:rsid w:val="48912668"/>
    <w:rsid w:val="489D100D"/>
    <w:rsid w:val="48DB0DC3"/>
    <w:rsid w:val="48EE1869"/>
    <w:rsid w:val="49180694"/>
    <w:rsid w:val="49784602"/>
    <w:rsid w:val="49CB3958"/>
    <w:rsid w:val="49DC7715"/>
    <w:rsid w:val="4A023139"/>
    <w:rsid w:val="4A7B576F"/>
    <w:rsid w:val="4AAE5753"/>
    <w:rsid w:val="4ABF0710"/>
    <w:rsid w:val="4AE41175"/>
    <w:rsid w:val="4B5F4354"/>
    <w:rsid w:val="4C4A0649"/>
    <w:rsid w:val="4CE470D3"/>
    <w:rsid w:val="4D02490B"/>
    <w:rsid w:val="4DEC4FB0"/>
    <w:rsid w:val="4E075D8A"/>
    <w:rsid w:val="4E54216E"/>
    <w:rsid w:val="4EA73734"/>
    <w:rsid w:val="4ED02725"/>
    <w:rsid w:val="4FC62A8C"/>
    <w:rsid w:val="4FE20F0D"/>
    <w:rsid w:val="50504C4B"/>
    <w:rsid w:val="509C6E7C"/>
    <w:rsid w:val="50BD6917"/>
    <w:rsid w:val="5162104E"/>
    <w:rsid w:val="51903AC9"/>
    <w:rsid w:val="53700B90"/>
    <w:rsid w:val="53A039CC"/>
    <w:rsid w:val="53A1505A"/>
    <w:rsid w:val="53D80CD5"/>
    <w:rsid w:val="54063E08"/>
    <w:rsid w:val="543437E8"/>
    <w:rsid w:val="559B174B"/>
    <w:rsid w:val="55CE0CF4"/>
    <w:rsid w:val="56792470"/>
    <w:rsid w:val="56B22A9C"/>
    <w:rsid w:val="56F44F15"/>
    <w:rsid w:val="57B72A76"/>
    <w:rsid w:val="583E5A8D"/>
    <w:rsid w:val="59376914"/>
    <w:rsid w:val="59710078"/>
    <w:rsid w:val="59EB1A97"/>
    <w:rsid w:val="5A236E98"/>
    <w:rsid w:val="5A3C747D"/>
    <w:rsid w:val="5ABE2233"/>
    <w:rsid w:val="5AE64A95"/>
    <w:rsid w:val="5B276D18"/>
    <w:rsid w:val="5BDF5D95"/>
    <w:rsid w:val="5BEF136E"/>
    <w:rsid w:val="5D0E2612"/>
    <w:rsid w:val="5D7B2E4F"/>
    <w:rsid w:val="5DBE7604"/>
    <w:rsid w:val="5DC3724D"/>
    <w:rsid w:val="5DF87A0F"/>
    <w:rsid w:val="5E0B036F"/>
    <w:rsid w:val="5E2C27BF"/>
    <w:rsid w:val="5E9A21F1"/>
    <w:rsid w:val="5F011E9E"/>
    <w:rsid w:val="5F1A2B43"/>
    <w:rsid w:val="5FB837BB"/>
    <w:rsid w:val="5FC04FEE"/>
    <w:rsid w:val="60771379"/>
    <w:rsid w:val="61091A99"/>
    <w:rsid w:val="611E3995"/>
    <w:rsid w:val="612C0D28"/>
    <w:rsid w:val="615E6C89"/>
    <w:rsid w:val="61616290"/>
    <w:rsid w:val="620C773C"/>
    <w:rsid w:val="62364782"/>
    <w:rsid w:val="63141A74"/>
    <w:rsid w:val="63402869"/>
    <w:rsid w:val="63D40BE9"/>
    <w:rsid w:val="63E0211F"/>
    <w:rsid w:val="64A01811"/>
    <w:rsid w:val="64D616D7"/>
    <w:rsid w:val="64DD62FE"/>
    <w:rsid w:val="65373578"/>
    <w:rsid w:val="65962C14"/>
    <w:rsid w:val="66E71979"/>
    <w:rsid w:val="673F2C7A"/>
    <w:rsid w:val="6798277A"/>
    <w:rsid w:val="67C2440B"/>
    <w:rsid w:val="681F6961"/>
    <w:rsid w:val="68610A2F"/>
    <w:rsid w:val="68805514"/>
    <w:rsid w:val="691E364C"/>
    <w:rsid w:val="694E2071"/>
    <w:rsid w:val="695B05FC"/>
    <w:rsid w:val="697A3B33"/>
    <w:rsid w:val="699E2456"/>
    <w:rsid w:val="6A0D5208"/>
    <w:rsid w:val="6A3749C6"/>
    <w:rsid w:val="6A4D636B"/>
    <w:rsid w:val="6A5135AE"/>
    <w:rsid w:val="6AA656A7"/>
    <w:rsid w:val="6AB6362C"/>
    <w:rsid w:val="6ADD1EE4"/>
    <w:rsid w:val="6B322639"/>
    <w:rsid w:val="6B800362"/>
    <w:rsid w:val="6C1F3963"/>
    <w:rsid w:val="6C636C38"/>
    <w:rsid w:val="6DA71E62"/>
    <w:rsid w:val="6DB34098"/>
    <w:rsid w:val="6DB545B6"/>
    <w:rsid w:val="6DCF64ED"/>
    <w:rsid w:val="6DEC7C16"/>
    <w:rsid w:val="6DF47A4D"/>
    <w:rsid w:val="6E4375A0"/>
    <w:rsid w:val="6E514CED"/>
    <w:rsid w:val="6E79491A"/>
    <w:rsid w:val="6E9E3C91"/>
    <w:rsid w:val="6EB563D5"/>
    <w:rsid w:val="6F225983"/>
    <w:rsid w:val="6F7C600B"/>
    <w:rsid w:val="6FFC5590"/>
    <w:rsid w:val="70301DA3"/>
    <w:rsid w:val="706D1DD0"/>
    <w:rsid w:val="70702A2C"/>
    <w:rsid w:val="70856B87"/>
    <w:rsid w:val="70D527EE"/>
    <w:rsid w:val="71126D28"/>
    <w:rsid w:val="714E0847"/>
    <w:rsid w:val="715B5300"/>
    <w:rsid w:val="715F4BD7"/>
    <w:rsid w:val="71D27F8A"/>
    <w:rsid w:val="71F744C6"/>
    <w:rsid w:val="71F960CF"/>
    <w:rsid w:val="722570D7"/>
    <w:rsid w:val="724504F6"/>
    <w:rsid w:val="72A252EE"/>
    <w:rsid w:val="731F5D5E"/>
    <w:rsid w:val="738D5656"/>
    <w:rsid w:val="741E793C"/>
    <w:rsid w:val="74A82019"/>
    <w:rsid w:val="758D75E2"/>
    <w:rsid w:val="760A7571"/>
    <w:rsid w:val="762F4303"/>
    <w:rsid w:val="76724FD8"/>
    <w:rsid w:val="76A333E3"/>
    <w:rsid w:val="77762421"/>
    <w:rsid w:val="780F09F4"/>
    <w:rsid w:val="789C4F47"/>
    <w:rsid w:val="78A90480"/>
    <w:rsid w:val="78B35B5F"/>
    <w:rsid w:val="79250169"/>
    <w:rsid w:val="794F0385"/>
    <w:rsid w:val="79811327"/>
    <w:rsid w:val="79E5322C"/>
    <w:rsid w:val="7A364017"/>
    <w:rsid w:val="7A370149"/>
    <w:rsid w:val="7A456C8B"/>
    <w:rsid w:val="7A8265E1"/>
    <w:rsid w:val="7AA5772A"/>
    <w:rsid w:val="7B3F5A8A"/>
    <w:rsid w:val="7B4D4E28"/>
    <w:rsid w:val="7B686D42"/>
    <w:rsid w:val="7B830216"/>
    <w:rsid w:val="7B841746"/>
    <w:rsid w:val="7BA45C2E"/>
    <w:rsid w:val="7CE56C34"/>
    <w:rsid w:val="7D0239FF"/>
    <w:rsid w:val="7D0821F2"/>
    <w:rsid w:val="7D0A41BC"/>
    <w:rsid w:val="7D5E40CD"/>
    <w:rsid w:val="7D67339E"/>
    <w:rsid w:val="7D693BED"/>
    <w:rsid w:val="7DE25835"/>
    <w:rsid w:val="7E552A1C"/>
    <w:rsid w:val="7EAB693B"/>
    <w:rsid w:val="7F1B4997"/>
    <w:rsid w:val="7F370E72"/>
    <w:rsid w:val="7FC07199"/>
    <w:rsid w:val="7FE47E50"/>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line="360" w:lineRule="auto"/>
      <w:ind w:left="431" w:hanging="431"/>
      <w:jc w:val="center"/>
      <w:outlineLvl w:val="0"/>
    </w:pPr>
    <w:rPr>
      <w:rFonts w:eastAsia="黑体"/>
      <w:bCs/>
      <w:color w:val="000000"/>
      <w:kern w:val="44"/>
      <w:sz w:val="30"/>
      <w:szCs w:val="30"/>
    </w:rPr>
  </w:style>
  <w:style w:type="paragraph" w:styleId="5">
    <w:name w:val="heading 2"/>
    <w:basedOn w:val="1"/>
    <w:next w:val="1"/>
    <w:link w:val="39"/>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locked/>
    <w:uiPriority w:val="0"/>
    <w:pPr>
      <w:keepNext/>
      <w:keepLines/>
      <w:autoSpaceDE w:val="0"/>
      <w:autoSpaceDN w:val="0"/>
      <w:adjustRightInd w:val="0"/>
      <w:spacing w:before="20" w:after="20" w:line="540" w:lineRule="exact"/>
      <w:jc w:val="left"/>
      <w:textAlignment w:val="baseline"/>
      <w:outlineLvl w:val="2"/>
    </w:pPr>
    <w:rPr>
      <w:rFonts w:eastAsia="黑体"/>
      <w:kern w:val="0"/>
      <w:sz w:val="28"/>
      <w:szCs w:val="20"/>
    </w:rPr>
  </w:style>
  <w:style w:type="paragraph" w:styleId="7">
    <w:name w:val="heading 4"/>
    <w:basedOn w:val="1"/>
    <w:next w:val="1"/>
    <w:unhideWhenUsed/>
    <w:qFormat/>
    <w:locked/>
    <w:uiPriority w:val="0"/>
    <w:pPr>
      <w:keepNext/>
      <w:keepLines/>
      <w:spacing w:before="280" w:after="290" w:line="372" w:lineRule="auto"/>
      <w:outlineLvl w:val="3"/>
    </w:pPr>
    <w:rPr>
      <w:rFonts w:ascii="Arial" w:hAnsi="Arial" w:eastAsia="黑体"/>
      <w:b/>
      <w:sz w:val="28"/>
    </w:rPr>
  </w:style>
  <w:style w:type="character" w:default="1" w:styleId="34">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pPr>
    <w:rPr>
      <w:rFonts w:ascii="仿宋_GB2312" w:hAnsi="Times New Roman" w:eastAsia="仿宋_GB2312" w:cs="仿宋_GB2312"/>
      <w:color w:val="000000"/>
      <w:sz w:val="24"/>
      <w:szCs w:val="24"/>
    </w:rPr>
  </w:style>
  <w:style w:type="paragraph" w:customStyle="1" w:styleId="3">
    <w:name w:val="1 表头"/>
    <w:basedOn w:val="1"/>
    <w:qFormat/>
    <w:uiPriority w:val="0"/>
    <w:pPr>
      <w:adjustRightInd w:val="0"/>
      <w:snapToGrid w:val="0"/>
      <w:spacing w:line="240" w:lineRule="auto"/>
      <w:ind w:firstLine="0" w:firstLineChars="0"/>
      <w:jc w:val="center"/>
    </w:pPr>
    <w:rPr>
      <w:b/>
      <w:color w:val="000000"/>
      <w:sz w:val="21"/>
      <w:szCs w:val="21"/>
    </w:rPr>
  </w:style>
  <w:style w:type="paragraph" w:styleId="8">
    <w:name w:val="Normal Indent"/>
    <w:basedOn w:val="1"/>
    <w:next w:val="9"/>
    <w:qFormat/>
    <w:uiPriority w:val="0"/>
    <w:pPr>
      <w:ind w:firstLine="420" w:firstLineChars="200"/>
    </w:pPr>
  </w:style>
  <w:style w:type="paragraph" w:customStyle="1" w:styleId="9">
    <w:name w:val="样式 标题 2 + 三号1"/>
    <w:basedOn w:val="5"/>
    <w:next w:val="1"/>
    <w:qFormat/>
    <w:uiPriority w:val="99"/>
    <w:pPr>
      <w:keepLines w:val="0"/>
      <w:numPr>
        <w:ilvl w:val="1"/>
        <w:numId w:val="1"/>
      </w:numPr>
      <w:tabs>
        <w:tab w:val="left" w:pos="718"/>
        <w:tab w:val="clear" w:pos="576"/>
      </w:tabs>
      <w:spacing w:line="480" w:lineRule="auto"/>
      <w:ind w:left="718"/>
      <w:jc w:val="left"/>
    </w:pPr>
    <w:rPr>
      <w:rFonts w:ascii="宋体" w:hAnsi="宋体"/>
      <w:kern w:val="0"/>
      <w:sz w:val="32"/>
    </w:rPr>
  </w:style>
  <w:style w:type="paragraph" w:styleId="10">
    <w:name w:val="caption"/>
    <w:basedOn w:val="1"/>
    <w:next w:val="1"/>
    <w:link w:val="40"/>
    <w:qFormat/>
    <w:locked/>
    <w:uiPriority w:val="99"/>
    <w:pPr>
      <w:spacing w:line="500" w:lineRule="exact"/>
      <w:jc w:val="center"/>
    </w:pPr>
    <w:rPr>
      <w:rFonts w:ascii="黑体" w:hAnsi="黑体" w:eastAsia="黑体"/>
      <w:szCs w:val="20"/>
    </w:rPr>
  </w:style>
  <w:style w:type="paragraph" w:styleId="11">
    <w:name w:val="annotation text"/>
    <w:basedOn w:val="1"/>
    <w:link w:val="41"/>
    <w:semiHidden/>
    <w:qFormat/>
    <w:uiPriority w:val="0"/>
    <w:pPr>
      <w:jc w:val="left"/>
    </w:pPr>
    <w:rPr>
      <w:kern w:val="0"/>
      <w:sz w:val="20"/>
    </w:rPr>
  </w:style>
  <w:style w:type="paragraph" w:styleId="12">
    <w:name w:val="Body Text"/>
    <w:basedOn w:val="1"/>
    <w:next w:val="13"/>
    <w:link w:val="42"/>
    <w:qFormat/>
    <w:uiPriority w:val="0"/>
    <w:pPr>
      <w:widowControl/>
      <w:snapToGrid w:val="0"/>
      <w:spacing w:before="60" w:after="160" w:line="259" w:lineRule="auto"/>
      <w:ind w:right="113"/>
    </w:pPr>
    <w:rPr>
      <w:kern w:val="0"/>
      <w:sz w:val="18"/>
      <w:szCs w:val="18"/>
    </w:rPr>
  </w:style>
  <w:style w:type="paragraph" w:customStyle="1" w:styleId="13">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4">
    <w:name w:val="Body Text Indent"/>
    <w:basedOn w:val="1"/>
    <w:next w:val="15"/>
    <w:link w:val="43"/>
    <w:semiHidden/>
    <w:qFormat/>
    <w:uiPriority w:val="0"/>
    <w:pPr>
      <w:spacing w:after="120"/>
      <w:ind w:left="420" w:leftChars="200"/>
    </w:pPr>
  </w:style>
  <w:style w:type="paragraph" w:styleId="15">
    <w:name w:val="Body Text First Indent 2"/>
    <w:basedOn w:val="14"/>
    <w:next w:val="16"/>
    <w:qFormat/>
    <w:uiPriority w:val="0"/>
    <w:pPr>
      <w:spacing w:line="360" w:lineRule="auto"/>
      <w:ind w:firstLine="420" w:firstLineChars="200"/>
    </w:pPr>
    <w:rPr>
      <w:sz w:val="24"/>
    </w:rPr>
  </w:style>
  <w:style w:type="paragraph" w:styleId="16">
    <w:name w:val="Body Text First Indent"/>
    <w:basedOn w:val="12"/>
    <w:next w:val="14"/>
    <w:qFormat/>
    <w:uiPriority w:val="0"/>
    <w:pPr>
      <w:spacing w:after="120" w:line="240" w:lineRule="auto"/>
      <w:ind w:firstLine="420" w:firstLineChars="100"/>
    </w:pPr>
    <w:rPr>
      <w:sz w:val="21"/>
      <w:szCs w:val="24"/>
    </w:rPr>
  </w:style>
  <w:style w:type="paragraph" w:styleId="17">
    <w:name w:val="Block Text"/>
    <w:basedOn w:val="1"/>
    <w:qFormat/>
    <w:uiPriority w:val="0"/>
    <w:pPr>
      <w:spacing w:line="480" w:lineRule="exact"/>
      <w:ind w:left="-125" w:right="-56" w:firstLine="570"/>
    </w:pPr>
    <w:rPr>
      <w:rFonts w:ascii="等线" w:hAnsi="等线"/>
      <w:sz w:val="28"/>
    </w:rPr>
  </w:style>
  <w:style w:type="paragraph" w:styleId="18">
    <w:name w:val="Plain Text"/>
    <w:basedOn w:val="1"/>
    <w:qFormat/>
    <w:uiPriority w:val="0"/>
    <w:rPr>
      <w:rFonts w:ascii="宋体" w:hAnsi="Courier New"/>
    </w:rPr>
  </w:style>
  <w:style w:type="paragraph" w:styleId="19">
    <w:name w:val="Date"/>
    <w:basedOn w:val="1"/>
    <w:next w:val="1"/>
    <w:link w:val="44"/>
    <w:qFormat/>
    <w:uiPriority w:val="0"/>
    <w:pPr>
      <w:ind w:left="100" w:leftChars="2500"/>
    </w:pPr>
    <w:rPr>
      <w:kern w:val="0"/>
      <w:sz w:val="20"/>
    </w:rPr>
  </w:style>
  <w:style w:type="paragraph" w:styleId="20">
    <w:name w:val="Balloon Text"/>
    <w:basedOn w:val="1"/>
    <w:link w:val="45"/>
    <w:semiHidden/>
    <w:qFormat/>
    <w:uiPriority w:val="0"/>
    <w:rPr>
      <w:sz w:val="18"/>
      <w:szCs w:val="18"/>
    </w:rPr>
  </w:style>
  <w:style w:type="paragraph" w:styleId="21">
    <w:name w:val="footer"/>
    <w:basedOn w:val="1"/>
    <w:link w:val="46"/>
    <w:qFormat/>
    <w:uiPriority w:val="99"/>
    <w:pPr>
      <w:tabs>
        <w:tab w:val="center" w:pos="4153"/>
        <w:tab w:val="right" w:pos="8306"/>
      </w:tabs>
      <w:snapToGrid w:val="0"/>
      <w:jc w:val="left"/>
    </w:pPr>
    <w:rPr>
      <w:sz w:val="18"/>
      <w:szCs w:val="18"/>
    </w:rPr>
  </w:style>
  <w:style w:type="paragraph" w:styleId="22">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23">
    <w:name w:val="Body Text Indent 3"/>
    <w:basedOn w:val="1"/>
    <w:link w:val="95"/>
    <w:qFormat/>
    <w:uiPriority w:val="99"/>
    <w:pPr>
      <w:spacing w:line="480" w:lineRule="exact"/>
      <w:ind w:firstLine="720" w:firstLineChars="300"/>
    </w:pPr>
    <w:rPr>
      <w:rFonts w:ascii="Calibri" w:hAnsi="Calibri"/>
      <w:sz w:val="24"/>
    </w:rPr>
  </w:style>
  <w:style w:type="paragraph" w:styleId="24">
    <w:name w:val="toc 2"/>
    <w:basedOn w:val="1"/>
    <w:next w:val="1"/>
    <w:unhideWhenUsed/>
    <w:qFormat/>
    <w:locked/>
    <w:uiPriority w:val="39"/>
    <w:pPr>
      <w:spacing w:before="120"/>
      <w:ind w:left="210"/>
      <w:jc w:val="left"/>
    </w:pPr>
    <w:rPr>
      <w:rFonts w:ascii="Calibri" w:hAnsi="Calibri" w:cs="Calibri"/>
      <w:i/>
      <w:iCs/>
      <w:sz w:val="20"/>
    </w:rPr>
  </w:style>
  <w:style w:type="paragraph" w:styleId="25">
    <w:name w:val="Normal (Web)"/>
    <w:basedOn w:val="1"/>
    <w:link w:val="48"/>
    <w:qFormat/>
    <w:uiPriority w:val="99"/>
    <w:pPr>
      <w:widowControl/>
      <w:spacing w:before="100" w:beforeAutospacing="1" w:after="100" w:afterAutospacing="1"/>
      <w:jc w:val="left"/>
    </w:pPr>
    <w:rPr>
      <w:rFonts w:ascii="宋体" w:hAnsi="宋体"/>
      <w:kern w:val="0"/>
      <w:sz w:val="24"/>
    </w:rPr>
  </w:style>
  <w:style w:type="paragraph" w:styleId="26">
    <w:name w:val="Title"/>
    <w:basedOn w:val="1"/>
    <w:next w:val="1"/>
    <w:link w:val="82"/>
    <w:qFormat/>
    <w:locked/>
    <w:uiPriority w:val="0"/>
    <w:pPr>
      <w:spacing w:line="360" w:lineRule="auto"/>
      <w:jc w:val="center"/>
      <w:outlineLvl w:val="0"/>
    </w:pPr>
    <w:rPr>
      <w:rFonts w:eastAsia="黑体" w:asciiTheme="majorHAnsi" w:hAnsiTheme="majorHAnsi" w:cstheme="majorBidi"/>
      <w:bCs/>
      <w:sz w:val="30"/>
      <w:szCs w:val="32"/>
    </w:rPr>
  </w:style>
  <w:style w:type="paragraph" w:styleId="27">
    <w:name w:val="annotation subject"/>
    <w:basedOn w:val="11"/>
    <w:next w:val="11"/>
    <w:link w:val="49"/>
    <w:semiHidden/>
    <w:qFormat/>
    <w:uiPriority w:val="0"/>
    <w:rPr>
      <w:b/>
      <w:bCs/>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Classic 1"/>
    <w:basedOn w:val="28"/>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2">
    <w:name w:val="Table Grid 1"/>
    <w:basedOn w:val="2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33">
    <w:name w:val="Table Grid 2"/>
    <w:basedOn w:val="28"/>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styleId="35">
    <w:name w:val="page number"/>
    <w:qFormat/>
    <w:uiPriority w:val="0"/>
  </w:style>
  <w:style w:type="character" w:styleId="36">
    <w:name w:val="annotation reference"/>
    <w:semiHidden/>
    <w:qFormat/>
    <w:uiPriority w:val="0"/>
    <w:rPr>
      <w:sz w:val="21"/>
    </w:rPr>
  </w:style>
  <w:style w:type="paragraph" w:customStyle="1" w:styleId="37">
    <w:name w:val="纯文本1"/>
    <w:basedOn w:val="1"/>
    <w:qFormat/>
    <w:uiPriority w:val="0"/>
    <w:pPr>
      <w:adjustRightInd w:val="0"/>
    </w:pPr>
    <w:rPr>
      <w:rFonts w:ascii="宋体" w:hAnsi="Courier New"/>
      <w:szCs w:val="20"/>
    </w:rPr>
  </w:style>
  <w:style w:type="paragraph" w:customStyle="1" w:styleId="38">
    <w:name w:val="样式 首行缩进:  2 字符1"/>
    <w:basedOn w:val="1"/>
    <w:qFormat/>
    <w:uiPriority w:val="0"/>
    <w:pPr>
      <w:adjustRightInd w:val="0"/>
      <w:snapToGrid w:val="0"/>
      <w:spacing w:line="360" w:lineRule="auto"/>
      <w:ind w:firstLine="480" w:firstLineChars="200"/>
    </w:pPr>
    <w:rPr>
      <w:rFonts w:cs="宋体"/>
      <w:sz w:val="24"/>
      <w:lang w:val="en-US" w:eastAsia="zh-CN"/>
    </w:rPr>
  </w:style>
  <w:style w:type="character" w:customStyle="1" w:styleId="39">
    <w:name w:val="标题 2 字符"/>
    <w:link w:val="5"/>
    <w:semiHidden/>
    <w:qFormat/>
    <w:uiPriority w:val="0"/>
    <w:rPr>
      <w:rFonts w:ascii="Cambria" w:hAnsi="Cambria" w:eastAsia="宋体" w:cs="Times New Roman"/>
      <w:b/>
      <w:bCs/>
      <w:kern w:val="2"/>
      <w:sz w:val="32"/>
      <w:szCs w:val="32"/>
    </w:rPr>
  </w:style>
  <w:style w:type="character" w:customStyle="1" w:styleId="40">
    <w:name w:val="题注 字符"/>
    <w:link w:val="10"/>
    <w:qFormat/>
    <w:uiPriority w:val="0"/>
    <w:rPr>
      <w:rFonts w:ascii="黑体" w:hAnsi="黑体" w:eastAsia="黑体"/>
      <w:kern w:val="2"/>
      <w:sz w:val="21"/>
    </w:rPr>
  </w:style>
  <w:style w:type="character" w:customStyle="1" w:styleId="41">
    <w:name w:val="批注文字 字符"/>
    <w:link w:val="11"/>
    <w:qFormat/>
    <w:locked/>
    <w:uiPriority w:val="0"/>
    <w:rPr>
      <w:rFonts w:ascii="Times New Roman" w:hAnsi="Times New Roman" w:eastAsia="宋体"/>
      <w:sz w:val="24"/>
    </w:rPr>
  </w:style>
  <w:style w:type="character" w:customStyle="1" w:styleId="42">
    <w:name w:val="正文文本 字符"/>
    <w:link w:val="12"/>
    <w:qFormat/>
    <w:locked/>
    <w:uiPriority w:val="1"/>
    <w:rPr>
      <w:sz w:val="18"/>
    </w:rPr>
  </w:style>
  <w:style w:type="character" w:customStyle="1" w:styleId="43">
    <w:name w:val="正文文本缩进 字符"/>
    <w:link w:val="14"/>
    <w:semiHidden/>
    <w:qFormat/>
    <w:locked/>
    <w:uiPriority w:val="0"/>
    <w:rPr>
      <w:rFonts w:ascii="Times New Roman" w:hAnsi="Times New Roman" w:eastAsia="宋体" w:cs="Times New Roman"/>
      <w:sz w:val="24"/>
      <w:szCs w:val="24"/>
    </w:rPr>
  </w:style>
  <w:style w:type="character" w:customStyle="1" w:styleId="44">
    <w:name w:val="日期 字符1"/>
    <w:link w:val="19"/>
    <w:qFormat/>
    <w:locked/>
    <w:uiPriority w:val="0"/>
    <w:rPr>
      <w:rFonts w:ascii="Times New Roman" w:hAnsi="Times New Roman" w:eastAsia="宋体"/>
      <w:sz w:val="24"/>
    </w:rPr>
  </w:style>
  <w:style w:type="character" w:customStyle="1" w:styleId="45">
    <w:name w:val="批注框文本 字符"/>
    <w:link w:val="20"/>
    <w:semiHidden/>
    <w:qFormat/>
    <w:locked/>
    <w:uiPriority w:val="0"/>
    <w:rPr>
      <w:rFonts w:ascii="Times New Roman" w:hAnsi="Times New Roman" w:eastAsia="宋体" w:cs="Times New Roman"/>
      <w:sz w:val="18"/>
      <w:szCs w:val="18"/>
    </w:rPr>
  </w:style>
  <w:style w:type="character" w:customStyle="1" w:styleId="46">
    <w:name w:val="页脚 字符1"/>
    <w:link w:val="21"/>
    <w:qFormat/>
    <w:locked/>
    <w:uiPriority w:val="99"/>
    <w:rPr>
      <w:rFonts w:cs="Times New Roman"/>
      <w:sz w:val="18"/>
      <w:szCs w:val="18"/>
    </w:rPr>
  </w:style>
  <w:style w:type="character" w:customStyle="1" w:styleId="47">
    <w:name w:val="页眉 字符"/>
    <w:link w:val="22"/>
    <w:qFormat/>
    <w:locked/>
    <w:uiPriority w:val="99"/>
    <w:rPr>
      <w:rFonts w:cs="Times New Roman"/>
      <w:sz w:val="18"/>
      <w:szCs w:val="18"/>
    </w:rPr>
  </w:style>
  <w:style w:type="character" w:customStyle="1" w:styleId="48">
    <w:name w:val="普通(网站) 字符"/>
    <w:link w:val="25"/>
    <w:qFormat/>
    <w:locked/>
    <w:uiPriority w:val="99"/>
    <w:rPr>
      <w:rFonts w:ascii="宋体" w:hAnsi="宋体" w:eastAsia="宋体"/>
      <w:sz w:val="24"/>
    </w:rPr>
  </w:style>
  <w:style w:type="character" w:customStyle="1" w:styleId="49">
    <w:name w:val="批注主题 字符"/>
    <w:link w:val="27"/>
    <w:semiHidden/>
    <w:qFormat/>
    <w:locked/>
    <w:uiPriority w:val="0"/>
    <w:rPr>
      <w:rFonts w:ascii="Times New Roman" w:hAnsi="Times New Roman" w:eastAsia="宋体" w:cs="Times New Roman"/>
      <w:b/>
      <w:bCs/>
      <w:kern w:val="2"/>
      <w:sz w:val="24"/>
      <w:szCs w:val="24"/>
    </w:rPr>
  </w:style>
  <w:style w:type="character" w:customStyle="1" w:styleId="50">
    <w:name w:val="日期 字符"/>
    <w:semiHidden/>
    <w:qFormat/>
    <w:uiPriority w:val="0"/>
    <w:rPr>
      <w:rFonts w:ascii="Times New Roman" w:hAnsi="Times New Roman" w:eastAsia="宋体" w:cs="Times New Roman"/>
      <w:sz w:val="24"/>
      <w:szCs w:val="24"/>
    </w:rPr>
  </w:style>
  <w:style w:type="character" w:customStyle="1" w:styleId="51">
    <w:name w:val="正文文本 字符1"/>
    <w:semiHidden/>
    <w:qFormat/>
    <w:uiPriority w:val="0"/>
    <w:rPr>
      <w:rFonts w:ascii="Times New Roman" w:hAnsi="Times New Roman" w:eastAsia="宋体" w:cs="Times New Roman"/>
      <w:sz w:val="24"/>
      <w:szCs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表格 Char"/>
    <w:link w:val="54"/>
    <w:qFormat/>
    <w:locked/>
    <w:uiPriority w:val="0"/>
    <w:rPr>
      <w:rFonts w:ascii="宋体"/>
      <w:sz w:val="21"/>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kern w:val="0"/>
      <w:sz w:val="20"/>
      <w:szCs w:val="21"/>
    </w:rPr>
  </w:style>
  <w:style w:type="character" w:customStyle="1" w:styleId="55">
    <w:name w:val="批注文字 字符1"/>
    <w:semiHidden/>
    <w:qFormat/>
    <w:uiPriority w:val="0"/>
    <w:rPr>
      <w:rFonts w:ascii="Times New Roman" w:hAnsi="Times New Roman" w:eastAsia="宋体" w:cs="Times New Roman"/>
      <w:sz w:val="24"/>
      <w:szCs w:val="24"/>
    </w:rPr>
  </w:style>
  <w:style w:type="character" w:customStyle="1" w:styleId="56">
    <w:name w:val="普通(网站) Char"/>
    <w:qFormat/>
    <w:locked/>
    <w:uiPriority w:val="0"/>
    <w:rPr>
      <w:rFonts w:ascii="宋体" w:hAnsi="宋体" w:eastAsia="宋体"/>
      <w:sz w:val="24"/>
    </w:rPr>
  </w:style>
  <w:style w:type="paragraph" w:customStyle="1" w:styleId="57">
    <w:name w:val="MEL表字-书"/>
    <w:basedOn w:val="1"/>
    <w:link w:val="58"/>
    <w:qFormat/>
    <w:uiPriority w:val="0"/>
    <w:pPr>
      <w:spacing w:line="300" w:lineRule="exact"/>
      <w:jc w:val="center"/>
    </w:pPr>
    <w:rPr>
      <w:rFonts w:ascii="宋体" w:hAnsi="宋体"/>
      <w:kern w:val="0"/>
      <w:szCs w:val="21"/>
    </w:rPr>
  </w:style>
  <w:style w:type="character" w:customStyle="1" w:styleId="58">
    <w:name w:val="MEL表字-书 字符"/>
    <w:link w:val="57"/>
    <w:qFormat/>
    <w:uiPriority w:val="0"/>
    <w:rPr>
      <w:rFonts w:ascii="宋体" w:hAnsi="宋体"/>
      <w:sz w:val="21"/>
      <w:szCs w:val="21"/>
    </w:rPr>
  </w:style>
  <w:style w:type="paragraph" w:customStyle="1" w:styleId="59">
    <w:name w:val="MEL正文*"/>
    <w:basedOn w:val="1"/>
    <w:link w:val="60"/>
    <w:qFormat/>
    <w:uiPriority w:val="0"/>
    <w:pPr>
      <w:spacing w:line="500" w:lineRule="exact"/>
      <w:ind w:firstLine="200" w:firstLineChars="200"/>
    </w:pPr>
    <w:rPr>
      <w:rFonts w:ascii="宋体" w:hAnsi="宋体"/>
      <w:kern w:val="0"/>
      <w:sz w:val="24"/>
    </w:rPr>
  </w:style>
  <w:style w:type="character" w:customStyle="1" w:styleId="60">
    <w:name w:val="MEL正文* 字符"/>
    <w:link w:val="59"/>
    <w:qFormat/>
    <w:uiPriority w:val="0"/>
    <w:rPr>
      <w:rFonts w:ascii="宋体" w:hAnsi="宋体"/>
      <w:sz w:val="24"/>
      <w:szCs w:val="24"/>
    </w:rPr>
  </w:style>
  <w:style w:type="character" w:customStyle="1" w:styleId="61">
    <w:name w:val="表字-书 Char"/>
    <w:link w:val="62"/>
    <w:qFormat/>
    <w:uiPriority w:val="0"/>
    <w:rPr>
      <w:rFonts w:ascii="宋体" w:hAnsi="宋体" w:cs="Arial"/>
      <w:kern w:val="2"/>
      <w:sz w:val="21"/>
      <w:szCs w:val="21"/>
    </w:rPr>
  </w:style>
  <w:style w:type="paragraph" w:customStyle="1" w:styleId="62">
    <w:name w:val="表字-书"/>
    <w:basedOn w:val="1"/>
    <w:link w:val="61"/>
    <w:qFormat/>
    <w:uiPriority w:val="0"/>
    <w:pPr>
      <w:widowControl/>
      <w:spacing w:line="240" w:lineRule="exact"/>
      <w:jc w:val="center"/>
    </w:pPr>
    <w:rPr>
      <w:rFonts w:ascii="宋体" w:hAnsi="宋体" w:cs="Arial"/>
      <w:szCs w:val="21"/>
    </w:rPr>
  </w:style>
  <w:style w:type="character" w:customStyle="1" w:styleId="63">
    <w:name w:val="题注 字符1"/>
    <w:qFormat/>
    <w:uiPriority w:val="0"/>
    <w:rPr>
      <w:rFonts w:ascii="宋体" w:hAnsi="宋体" w:eastAsia="黑体" w:cs="宋体"/>
      <w:sz w:val="21"/>
      <w:szCs w:val="24"/>
    </w:rPr>
  </w:style>
  <w:style w:type="character" w:customStyle="1" w:styleId="64">
    <w:name w:val="页脚 字符"/>
    <w:qFormat/>
    <w:uiPriority w:val="99"/>
  </w:style>
  <w:style w:type="character" w:customStyle="1" w:styleId="65">
    <w:name w:val="YJ正文* 字符"/>
    <w:link w:val="66"/>
    <w:qFormat/>
    <w:locked/>
    <w:uiPriority w:val="0"/>
    <w:rPr>
      <w:rFonts w:ascii="宋体" w:hAnsi="宋体" w:cs="宋体"/>
      <w:sz w:val="24"/>
      <w:szCs w:val="24"/>
    </w:rPr>
  </w:style>
  <w:style w:type="paragraph" w:customStyle="1" w:styleId="66">
    <w:name w:val="YJ正文*"/>
    <w:basedOn w:val="1"/>
    <w:link w:val="65"/>
    <w:qFormat/>
    <w:uiPriority w:val="0"/>
    <w:pPr>
      <w:widowControl/>
      <w:spacing w:line="500" w:lineRule="exact"/>
      <w:ind w:firstLine="200" w:firstLineChars="200"/>
    </w:pPr>
    <w:rPr>
      <w:rFonts w:ascii="宋体" w:hAnsi="宋体" w:cs="宋体"/>
      <w:kern w:val="0"/>
      <w:sz w:val="24"/>
    </w:rPr>
  </w:style>
  <w:style w:type="paragraph" w:customStyle="1" w:styleId="67">
    <w:name w:val="正文 CDD"/>
    <w:basedOn w:val="1"/>
    <w:qFormat/>
    <w:uiPriority w:val="0"/>
    <w:pPr>
      <w:ind w:firstLine="480"/>
    </w:pPr>
    <w:rPr>
      <w:rFonts w:ascii="等线" w:hAnsi="宋体"/>
      <w:sz w:val="24"/>
    </w:rPr>
  </w:style>
  <w:style w:type="paragraph" w:customStyle="1" w:styleId="68">
    <w:name w:val="标题3 CDD"/>
    <w:basedOn w:val="1"/>
    <w:qFormat/>
    <w:uiPriority w:val="0"/>
    <w:pPr>
      <w:adjustRightInd w:val="0"/>
      <w:snapToGrid w:val="0"/>
      <w:spacing w:line="500" w:lineRule="exact"/>
      <w:ind w:firstLine="482"/>
    </w:pPr>
    <w:rPr>
      <w:rFonts w:hAnsi="宋体"/>
      <w:b/>
      <w:sz w:val="24"/>
    </w:rPr>
  </w:style>
  <w:style w:type="character" w:customStyle="1" w:styleId="69">
    <w:name w:val="正文(首行缩进) Char Char"/>
    <w:link w:val="70"/>
    <w:qFormat/>
    <w:locked/>
    <w:uiPriority w:val="99"/>
    <w:rPr>
      <w:rFonts w:hAnsi="宋体"/>
      <w:spacing w:val="-2"/>
      <w:sz w:val="24"/>
      <w:szCs w:val="24"/>
    </w:rPr>
  </w:style>
  <w:style w:type="paragraph" w:customStyle="1" w:styleId="70">
    <w:name w:val="正文(首行缩进)"/>
    <w:basedOn w:val="1"/>
    <w:link w:val="69"/>
    <w:qFormat/>
    <w:uiPriority w:val="99"/>
    <w:pPr>
      <w:widowControl/>
      <w:tabs>
        <w:tab w:val="left" w:pos="4584"/>
      </w:tabs>
      <w:adjustRightInd w:val="0"/>
      <w:snapToGrid w:val="0"/>
      <w:ind w:firstLine="531" w:firstLineChars="225"/>
      <w:jc w:val="left"/>
    </w:pPr>
    <w:rPr>
      <w:rFonts w:hAnsi="宋体"/>
      <w:spacing w:val="-2"/>
      <w:kern w:val="0"/>
      <w:sz w:val="24"/>
    </w:rPr>
  </w:style>
  <w:style w:type="character" w:customStyle="1" w:styleId="71">
    <w:name w:val="表内样式 字符"/>
    <w:link w:val="72"/>
    <w:qFormat/>
    <w:uiPriority w:val="0"/>
    <w:rPr>
      <w:rFonts w:ascii="宋体" w:hAnsi="宋体" w:eastAsia="仿宋_GB2312"/>
      <w:kern w:val="2"/>
      <w:sz w:val="21"/>
      <w:szCs w:val="21"/>
    </w:rPr>
  </w:style>
  <w:style w:type="paragraph" w:customStyle="1" w:styleId="72">
    <w:name w:val="表内样式"/>
    <w:basedOn w:val="54"/>
    <w:link w:val="71"/>
    <w:qFormat/>
    <w:uiPriority w:val="0"/>
    <w:pPr>
      <w:widowControl/>
      <w:overflowPunct w:val="0"/>
      <w:spacing w:beforeLines="0" w:afterLines="0" w:line="300" w:lineRule="atLeast"/>
      <w:jc w:val="left"/>
    </w:pPr>
    <w:rPr>
      <w:rFonts w:hAnsi="宋体" w:eastAsia="仿宋_GB2312"/>
      <w:kern w:val="2"/>
      <w:sz w:val="21"/>
    </w:rPr>
  </w:style>
  <w:style w:type="character" w:customStyle="1" w:styleId="73">
    <w:name w:val="表内文字 字符"/>
    <w:link w:val="74"/>
    <w:qFormat/>
    <w:locked/>
    <w:uiPriority w:val="0"/>
    <w:rPr>
      <w:rFonts w:ascii="宋体" w:hAnsi="宋体"/>
      <w:sz w:val="21"/>
      <w:szCs w:val="22"/>
    </w:rPr>
  </w:style>
  <w:style w:type="paragraph" w:customStyle="1" w:styleId="74">
    <w:name w:val="表内文字"/>
    <w:basedOn w:val="75"/>
    <w:link w:val="73"/>
    <w:qFormat/>
    <w:uiPriority w:val="0"/>
    <w:pPr>
      <w:widowControl/>
      <w:spacing w:line="300" w:lineRule="exact"/>
    </w:pPr>
    <w:rPr>
      <w:rFonts w:ascii="宋体" w:hAnsi="宋体"/>
      <w:szCs w:val="22"/>
    </w:rPr>
  </w:style>
  <w:style w:type="paragraph" w:customStyle="1" w:styleId="75">
    <w:name w:val="表文字"/>
    <w:basedOn w:val="1"/>
    <w:qFormat/>
    <w:uiPriority w:val="0"/>
    <w:pPr>
      <w:overflowPunct w:val="0"/>
      <w:autoSpaceDE w:val="0"/>
      <w:autoSpaceDN w:val="0"/>
      <w:adjustRightInd w:val="0"/>
      <w:spacing w:line="240" w:lineRule="atLeast"/>
      <w:jc w:val="center"/>
      <w:textAlignment w:val="baseline"/>
    </w:pPr>
    <w:rPr>
      <w:kern w:val="0"/>
    </w:rPr>
  </w:style>
  <w:style w:type="table" w:customStyle="1" w:styleId="76">
    <w:name w:val="样式1"/>
    <w:basedOn w:val="28"/>
    <w:qFormat/>
    <w:uiPriority w:val="0"/>
    <w:pPr>
      <w:spacing w:line="300" w:lineRule="exact"/>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77">
    <w:name w:val="刘群正文文本 Char"/>
    <w:link w:val="78"/>
    <w:qFormat/>
    <w:locked/>
    <w:uiPriority w:val="99"/>
    <w:rPr>
      <w:rFonts w:eastAsia="楷体_GB2312"/>
      <w:sz w:val="24"/>
    </w:rPr>
  </w:style>
  <w:style w:type="paragraph" w:customStyle="1" w:styleId="78">
    <w:name w:val="刘群正文文本"/>
    <w:basedOn w:val="8"/>
    <w:link w:val="77"/>
    <w:qFormat/>
    <w:uiPriority w:val="99"/>
    <w:pPr>
      <w:widowControl/>
      <w:tabs>
        <w:tab w:val="left" w:pos="8176"/>
      </w:tabs>
      <w:ind w:firstLine="480" w:firstLineChars="0"/>
      <w:jc w:val="left"/>
    </w:pPr>
    <w:rPr>
      <w:rFonts w:eastAsia="楷体_GB2312"/>
      <w:kern w:val="0"/>
      <w:sz w:val="24"/>
      <w:szCs w:val="20"/>
    </w:rPr>
  </w:style>
  <w:style w:type="paragraph" w:customStyle="1" w:styleId="79">
    <w:name w:val="例"/>
    <w:basedOn w:val="1"/>
    <w:qFormat/>
    <w:uiPriority w:val="0"/>
    <w:pPr>
      <w:widowControl/>
      <w:tabs>
        <w:tab w:val="left" w:pos="420"/>
      </w:tabs>
      <w:spacing w:line="360" w:lineRule="auto"/>
      <w:ind w:firstLine="483" w:firstLineChars="200"/>
      <w:outlineLvl w:val="2"/>
    </w:pPr>
    <w:rPr>
      <w:rFonts w:ascii="Arial" w:hAnsi="Arial" w:eastAsia="方正仿宋简体" w:cs="Arial"/>
      <w:bCs/>
      <w:kern w:val="0"/>
      <w:sz w:val="24"/>
      <w:szCs w:val="32"/>
    </w:rPr>
  </w:style>
  <w:style w:type="character" w:customStyle="1" w:styleId="80">
    <w:name w:val="题注 字符2"/>
    <w:qFormat/>
    <w:uiPriority w:val="0"/>
    <w:rPr>
      <w:rFonts w:ascii="宋体" w:hAnsi="宋体"/>
      <w:b/>
    </w:rPr>
  </w:style>
  <w:style w:type="paragraph" w:customStyle="1" w:styleId="81">
    <w:name w:val="YJ题注"/>
    <w:basedOn w:val="10"/>
    <w:link w:val="83"/>
    <w:qFormat/>
    <w:uiPriority w:val="0"/>
    <w:pPr>
      <w:spacing w:line="520" w:lineRule="exact"/>
    </w:pPr>
    <w:rPr>
      <w:rFonts w:ascii="宋体" w:hAnsi="宋体"/>
      <w:szCs w:val="24"/>
    </w:rPr>
  </w:style>
  <w:style w:type="character" w:customStyle="1" w:styleId="82">
    <w:name w:val="标题 字符"/>
    <w:basedOn w:val="34"/>
    <w:link w:val="26"/>
    <w:qFormat/>
    <w:uiPriority w:val="0"/>
    <w:rPr>
      <w:rFonts w:eastAsia="黑体" w:asciiTheme="majorHAnsi" w:hAnsiTheme="majorHAnsi" w:cstheme="majorBidi"/>
      <w:bCs/>
      <w:kern w:val="2"/>
      <w:sz w:val="30"/>
      <w:szCs w:val="32"/>
    </w:rPr>
  </w:style>
  <w:style w:type="character" w:customStyle="1" w:styleId="83">
    <w:name w:val="YJ题注 Char"/>
    <w:link w:val="81"/>
    <w:qFormat/>
    <w:uiPriority w:val="0"/>
    <w:rPr>
      <w:rFonts w:ascii="宋体" w:hAnsi="宋体" w:eastAsia="黑体"/>
      <w:kern w:val="2"/>
      <w:sz w:val="21"/>
      <w:szCs w:val="24"/>
    </w:rPr>
  </w:style>
  <w:style w:type="character" w:customStyle="1" w:styleId="84">
    <w:name w:val="YJ表中字体 Char"/>
    <w:link w:val="85"/>
    <w:qFormat/>
    <w:uiPriority w:val="0"/>
  </w:style>
  <w:style w:type="paragraph" w:customStyle="1" w:styleId="85">
    <w:name w:val="YJ表中字体"/>
    <w:basedOn w:val="8"/>
    <w:link w:val="84"/>
    <w:qFormat/>
    <w:uiPriority w:val="0"/>
    <w:pPr>
      <w:spacing w:line="240" w:lineRule="exact"/>
      <w:ind w:firstLine="0" w:firstLineChars="0"/>
      <w:jc w:val="center"/>
    </w:pPr>
    <w:rPr>
      <w:kern w:val="0"/>
      <w:sz w:val="20"/>
      <w:szCs w:val="20"/>
    </w:rPr>
  </w:style>
  <w:style w:type="character" w:customStyle="1" w:styleId="86">
    <w:name w:val="表中字体 Char"/>
    <w:link w:val="87"/>
    <w:qFormat/>
    <w:uiPriority w:val="0"/>
    <w:rPr>
      <w:sz w:val="21"/>
    </w:rPr>
  </w:style>
  <w:style w:type="paragraph" w:customStyle="1" w:styleId="87">
    <w:name w:val="表中字体"/>
    <w:basedOn w:val="8"/>
    <w:link w:val="86"/>
    <w:qFormat/>
    <w:uiPriority w:val="0"/>
    <w:pPr>
      <w:tabs>
        <w:tab w:val="left" w:pos="8176"/>
      </w:tabs>
      <w:spacing w:line="240" w:lineRule="exact"/>
      <w:ind w:firstLine="0" w:firstLineChars="0"/>
      <w:jc w:val="center"/>
    </w:pPr>
    <w:rPr>
      <w:kern w:val="0"/>
      <w:szCs w:val="20"/>
    </w:rPr>
  </w:style>
  <w:style w:type="character" w:customStyle="1" w:styleId="88">
    <w:name w:val="cf01"/>
    <w:basedOn w:val="34"/>
    <w:qFormat/>
    <w:uiPriority w:val="0"/>
    <w:rPr>
      <w:rFonts w:hint="eastAsia" w:ascii="Microsoft YaHei UI" w:hAnsi="Microsoft YaHei UI" w:eastAsia="Microsoft YaHei UI"/>
      <w:sz w:val="18"/>
      <w:szCs w:val="18"/>
    </w:rPr>
  </w:style>
  <w:style w:type="paragraph" w:customStyle="1" w:styleId="8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0">
    <w:name w:val="表格内文"/>
    <w:basedOn w:val="1"/>
    <w:qFormat/>
    <w:uiPriority w:val="0"/>
    <w:pPr>
      <w:spacing w:line="300" w:lineRule="exact"/>
    </w:pPr>
    <w:rPr>
      <w:rFonts w:ascii="等线" w:hAnsi="宋体"/>
      <w:lang w:val="zh-CN"/>
    </w:rPr>
  </w:style>
  <w:style w:type="paragraph" w:customStyle="1" w:styleId="91">
    <w:name w:val="yh表头"/>
    <w:basedOn w:val="81"/>
    <w:qFormat/>
    <w:uiPriority w:val="0"/>
    <w:pPr>
      <w:adjustRightInd w:val="0"/>
      <w:snapToGrid w:val="0"/>
      <w:spacing w:line="500" w:lineRule="exact"/>
    </w:pPr>
    <w:rPr>
      <w:rFonts w:ascii="黑体" w:hAnsi="黑体"/>
      <w:bCs/>
      <w:color w:val="000000"/>
    </w:rPr>
  </w:style>
  <w:style w:type="paragraph" w:customStyle="1" w:styleId="92">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修订3"/>
    <w:hidden/>
    <w:semiHidden/>
    <w:qFormat/>
    <w:uiPriority w:val="99"/>
    <w:rPr>
      <w:rFonts w:ascii="Times New Roman" w:hAnsi="Times New Roman" w:eastAsia="宋体" w:cs="Times New Roman"/>
      <w:kern w:val="2"/>
      <w:sz w:val="21"/>
      <w:szCs w:val="24"/>
      <w:lang w:val="en-US" w:eastAsia="zh-CN" w:bidi="ar-SA"/>
    </w:rPr>
  </w:style>
  <w:style w:type="paragraph" w:styleId="94">
    <w:name w:val="List Paragraph"/>
    <w:basedOn w:val="1"/>
    <w:qFormat/>
    <w:uiPriority w:val="99"/>
    <w:pPr>
      <w:ind w:firstLine="420" w:firstLineChars="200"/>
    </w:pPr>
  </w:style>
  <w:style w:type="character" w:customStyle="1" w:styleId="95">
    <w:name w:val="正文文本缩进 3 字符"/>
    <w:basedOn w:val="34"/>
    <w:link w:val="23"/>
    <w:qFormat/>
    <w:uiPriority w:val="99"/>
    <w:rPr>
      <w:rFonts w:ascii="Calibri" w:hAnsi="Calibri"/>
      <w:kern w:val="2"/>
      <w:sz w:val="24"/>
      <w:szCs w:val="24"/>
    </w:rPr>
  </w:style>
  <w:style w:type="character" w:customStyle="1" w:styleId="96">
    <w:name w:val="正文文本 字符2"/>
    <w:qFormat/>
    <w:locked/>
    <w:uiPriority w:val="1"/>
    <w:rPr>
      <w:sz w:val="18"/>
    </w:rPr>
  </w:style>
  <w:style w:type="paragraph" w:customStyle="1" w:styleId="97">
    <w:name w:val="ZQL正文*"/>
    <w:basedOn w:val="1"/>
    <w:qFormat/>
    <w:uiPriority w:val="0"/>
    <w:pPr>
      <w:adjustRightInd w:val="0"/>
      <w:snapToGrid w:val="0"/>
      <w:spacing w:line="500" w:lineRule="exact"/>
      <w:ind w:firstLine="200" w:firstLineChars="200"/>
    </w:pPr>
    <w:rPr>
      <w:rFonts w:ascii="Calibri" w:hAnsi="Calibri"/>
      <w:sz w:val="24"/>
    </w:rPr>
  </w:style>
  <w:style w:type="character" w:customStyle="1" w:styleId="98">
    <w:name w:val="文字 字符"/>
    <w:link w:val="99"/>
    <w:qFormat/>
    <w:uiPriority w:val="0"/>
    <w:rPr>
      <w:rFonts w:ascii="宋体" w:hAnsi="宋体"/>
      <w:kern w:val="2"/>
      <w:sz w:val="24"/>
      <w:szCs w:val="24"/>
    </w:rPr>
  </w:style>
  <w:style w:type="paragraph" w:customStyle="1" w:styleId="99">
    <w:name w:val="文字"/>
    <w:basedOn w:val="1"/>
    <w:link w:val="98"/>
    <w:qFormat/>
    <w:uiPriority w:val="0"/>
    <w:pPr>
      <w:spacing w:line="520" w:lineRule="exact"/>
      <w:ind w:firstLine="200" w:firstLineChars="200"/>
    </w:pPr>
    <w:rPr>
      <w:rFonts w:ascii="宋体" w:hAnsi="宋体"/>
      <w:sz w:val="24"/>
    </w:rPr>
  </w:style>
  <w:style w:type="paragraph" w:customStyle="1" w:styleId="100">
    <w:name w:val="Char Char Char Char Char Char Char"/>
    <w:basedOn w:val="1"/>
    <w:next w:val="1"/>
    <w:qFormat/>
    <w:uiPriority w:val="0"/>
    <w:pPr>
      <w:spacing w:line="360" w:lineRule="auto"/>
      <w:ind w:firstLine="200" w:firstLineChars="200"/>
    </w:pPr>
  </w:style>
  <w:style w:type="table" w:customStyle="1" w:styleId="101">
    <w:name w:val="报告书表格样式1"/>
    <w:basedOn w:val="28"/>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paragraph" w:customStyle="1" w:styleId="102">
    <w:name w:val="正文文本首行缩进 21"/>
    <w:basedOn w:val="1"/>
    <w:next w:val="1"/>
    <w:qFormat/>
    <w:uiPriority w:val="0"/>
    <w:pPr>
      <w:spacing w:line="360" w:lineRule="auto"/>
      <w:ind w:left="420" w:leftChars="200" w:firstLine="420" w:firstLineChars="200"/>
    </w:pPr>
    <w:rPr>
      <w:sz w:val="24"/>
    </w:rPr>
  </w:style>
  <w:style w:type="paragraph" w:customStyle="1" w:styleId="103">
    <w:name w:val="表头"/>
    <w:basedOn w:val="8"/>
    <w:next w:val="1"/>
    <w:qFormat/>
    <w:uiPriority w:val="0"/>
    <w:pPr>
      <w:spacing w:before="156" w:beforeLines="50"/>
      <w:ind w:firstLine="602" w:firstLineChars="250"/>
      <w:jc w:val="both"/>
    </w:pPr>
    <w:rPr>
      <w:rFonts w:ascii="黑体" w:hAnsi="黑体" w:eastAsia="黑体" w:cs="Times New Roman"/>
      <w:b/>
      <w:snapToGrid w:val="0"/>
      <w:sz w:val="24"/>
      <w:szCs w:val="24"/>
      <w:lang w:val="en-US" w:eastAsia="zh-CN" w:bidi="ar-SA"/>
    </w:rPr>
  </w:style>
  <w:style w:type="paragraph" w:customStyle="1" w:styleId="104">
    <w:name w:val="111111"/>
    <w:basedOn w:val="105"/>
    <w:qFormat/>
    <w:uiPriority w:val="0"/>
    <w:pPr>
      <w:ind w:firstLine="0" w:firstLineChars="0"/>
    </w:pPr>
    <w:rPr>
      <w:sz w:val="28"/>
    </w:rPr>
  </w:style>
  <w:style w:type="paragraph" w:customStyle="1" w:styleId="105">
    <w:name w:val="222222"/>
    <w:basedOn w:val="1"/>
    <w:qFormat/>
    <w:uiPriority w:val="0"/>
    <w:pPr>
      <w:spacing w:line="360" w:lineRule="auto"/>
    </w:pPr>
    <w:rPr>
      <w:b/>
      <w:sz w:val="24"/>
      <w:szCs w:val="24"/>
    </w:rPr>
  </w:style>
  <w:style w:type="paragraph" w:customStyle="1" w:styleId="106">
    <w:name w:val="表格内容"/>
    <w:basedOn w:val="1"/>
    <w:next w:val="1"/>
    <w:qFormat/>
    <w:uiPriority w:val="0"/>
    <w:pPr>
      <w:jc w:val="center"/>
    </w:pPr>
    <w:rPr>
      <w:rFonts w:ascii="Calibri" w:hAnsi="Calibri" w:eastAsia="宋体" w:cs="Times New Roman"/>
      <w:szCs w:val="22"/>
    </w:rPr>
  </w:style>
  <w:style w:type="paragraph" w:customStyle="1" w:styleId="107">
    <w:name w:val="文本"/>
    <w:basedOn w:val="1"/>
    <w:qFormat/>
    <w:uiPriority w:val="0"/>
    <w:pPr>
      <w:adjustRightInd w:val="0"/>
      <w:snapToGrid w:val="0"/>
      <w:spacing w:line="360" w:lineRule="auto"/>
      <w:ind w:firstLine="480" w:firstLineChars="200"/>
      <w:jc w:val="left"/>
    </w:pPr>
    <w:rPr>
      <w:rFonts w:ascii="Calibri" w:hAnsi="Calibri" w:eastAsia="宋体" w:cs="Times New Roman"/>
      <w:sz w:val="24"/>
      <w:szCs w:val="24"/>
    </w:rPr>
  </w:style>
  <w:style w:type="paragraph" w:customStyle="1" w:styleId="108">
    <w:name w:val="wyc-表文字"/>
    <w:basedOn w:val="109"/>
    <w:qFormat/>
    <w:uiPriority w:val="0"/>
    <w:pPr>
      <w:snapToGrid w:val="0"/>
    </w:pPr>
    <w:rPr>
      <w:b w:val="0"/>
      <w:bCs w:val="0"/>
      <w:sz w:val="21"/>
      <w:szCs w:val="21"/>
    </w:rPr>
  </w:style>
  <w:style w:type="paragraph" w:customStyle="1" w:styleId="109">
    <w:name w:val="wyc-表头"/>
    <w:basedOn w:val="1"/>
    <w:qFormat/>
    <w:uiPriority w:val="0"/>
    <w:pPr>
      <w:spacing w:line="240" w:lineRule="auto"/>
      <w:ind w:firstLine="0" w:firstLineChars="0"/>
      <w:jc w:val="center"/>
    </w:pPr>
    <w:rPr>
      <w:rFonts w:ascii="Times New Roman" w:hAnsi="Times New Roman" w:eastAsiaTheme="minorEastAsia"/>
      <w:b/>
      <w:bCs/>
      <w:color w:val="000000"/>
      <w:szCs w:val="24"/>
    </w:rPr>
  </w:style>
  <w:style w:type="paragraph" w:customStyle="1" w:styleId="110">
    <w:name w:val="wyc正文"/>
    <w:basedOn w:val="1"/>
    <w:qFormat/>
    <w:uiPriority w:val="0"/>
    <w:pPr>
      <w:adjustRightInd w:val="0"/>
      <w:ind w:firstLine="480"/>
    </w:pPr>
    <w:rPr>
      <w:rFonts w:ascii="Times New Roman" w:hAnsi="Times New Roman" w:eastAsia="宋体"/>
      <w:bCs/>
      <w:szCs w:val="20"/>
    </w:rPr>
  </w:style>
  <w:style w:type="paragraph" w:customStyle="1" w:styleId="111">
    <w:name w:val="wyc-四级"/>
    <w:basedOn w:val="112"/>
    <w:qFormat/>
    <w:uiPriority w:val="0"/>
    <w:pPr>
      <w:ind w:firstLine="0" w:firstLineChars="0"/>
      <w:outlineLvl w:val="3"/>
    </w:pPr>
    <w:rPr>
      <w:rFonts w:eastAsiaTheme="minorEastAsia"/>
      <w:b w:val="0"/>
      <w:sz w:val="28"/>
      <w:szCs w:val="28"/>
    </w:rPr>
  </w:style>
  <w:style w:type="paragraph" w:customStyle="1" w:styleId="112">
    <w:name w:val="wyc-正文"/>
    <w:basedOn w:val="1"/>
    <w:qFormat/>
    <w:uiPriority w:val="0"/>
    <w:rPr>
      <w:rFonts w:ascii="Times New Roman" w:hAnsi="Times New Roman"/>
      <w:b/>
      <w:szCs w:val="24"/>
    </w:rPr>
  </w:style>
  <w:style w:type="table" w:customStyle="1" w:styleId="113">
    <w:name w:val="网格型4"/>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49230-8611-4192-8779-062E152F64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37600</Words>
  <Characters>41194</Characters>
  <Lines>220</Lines>
  <Paragraphs>62</Paragraphs>
  <TotalTime>6</TotalTime>
  <ScaleCrop>false</ScaleCrop>
  <LinksUpToDate>false</LinksUpToDate>
  <CharactersWithSpaces>41473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2023-02-14T09:40:00Z</dcterms:created>
  <dc:creator>lhj</dc:creator>
  <cp:lastModifiedBy>pretty  G</cp:lastModifiedBy>
  <cp:lastPrinted>2021-05-26T11:31:00Z</cp:lastPrinted>
  <dcterms:modified xsi:type="dcterms:W3CDTF">2023-08-04T03:34:08Z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AB0DD7034C0B4434852C22ECB69A950D</vt:lpwstr>
  </property>
</Properties>
</file>