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0" w:firstLineChars="0"/>
        <w:jc w:val="center"/>
        <w:textAlignment w:val="auto"/>
        <w:outlineLvl w:val="9"/>
        <w:rPr>
          <w:rFonts w:ascii="微软雅黑" w:hAnsi="微软雅黑" w:eastAsia="微软雅黑" w:cs="微软雅黑"/>
          <w:sz w:val="30"/>
          <w:szCs w:val="30"/>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0" w:firstLineChars="0"/>
        <w:jc w:val="center"/>
        <w:textAlignment w:val="auto"/>
        <w:outlineLvl w:val="9"/>
        <w:rPr>
          <w:rFonts w:ascii="微软雅黑" w:hAnsi="微软雅黑" w:eastAsia="微软雅黑" w:cs="微软雅黑"/>
          <w:sz w:val="72"/>
          <w:szCs w:val="72"/>
          <w:lang w:val="en-US" w:eastAsia="zh-CN" w:bidi="ar-SA"/>
        </w:rPr>
      </w:pPr>
      <w:r>
        <w:rPr>
          <w:rFonts w:ascii="微软雅黑" w:hAnsi="微软雅黑" w:eastAsia="微软雅黑" w:cs="微软雅黑"/>
          <w:sz w:val="72"/>
          <w:szCs w:val="72"/>
          <w:lang w:val="en-US" w:eastAsia="zh-CN" w:bidi="ar-SA"/>
        </w:rPr>
        <w:t>建设项目环境影响报告表</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eastAsia" w:ascii="楷体" w:hAnsi="Times New Roman" w:eastAsia="楷体" w:cs="宋体"/>
          <w:sz w:val="48"/>
        </w:rPr>
      </w:pPr>
      <w:r>
        <w:rPr>
          <w:rFonts w:hint="eastAsia" w:ascii="楷体" w:hAnsi="Times New Roman" w:eastAsia="楷体" w:cs="宋体"/>
          <w:sz w:val="48"/>
        </w:rPr>
        <w:t>（</w:t>
      </w:r>
      <w:r>
        <w:rPr>
          <w:rFonts w:hint="eastAsia" w:ascii="楷体" w:eastAsia="楷体" w:cs="宋体"/>
          <w:sz w:val="48"/>
          <w:lang w:val="en-US" w:eastAsia="zh-CN"/>
        </w:rPr>
        <w:t>污染影响类</w:t>
      </w:r>
      <w:r>
        <w:rPr>
          <w:rFonts w:hint="eastAsia" w:ascii="楷体" w:hAnsi="Times New Roman" w:eastAsia="楷体" w:cs="宋体"/>
          <w:sz w:val="48"/>
        </w:rPr>
        <w:t>）</w:t>
      </w:r>
    </w:p>
    <w:p>
      <w:pPr>
        <w:overflowPunct w:val="0"/>
        <w:autoSpaceDE w:val="0"/>
        <w:autoSpaceDN w:val="0"/>
        <w:adjustRightInd w:val="0"/>
        <w:snapToGrid w:val="0"/>
        <w:spacing w:before="0" w:after="0" w:line="360" w:lineRule="auto"/>
        <w:ind w:right="0"/>
        <w:jc w:val="center"/>
        <w:rPr>
          <w:rFonts w:hint="eastAsia" w:cs="Times New Roman"/>
          <w:b w:val="0"/>
          <w:bCs w:val="0"/>
          <w:spacing w:val="-10"/>
          <w:sz w:val="28"/>
          <w:szCs w:val="28"/>
          <w:u w:val="none"/>
          <w:lang w:val="en-US" w:eastAsia="zh-CN"/>
        </w:rPr>
      </w:pPr>
      <w:r>
        <w:rPr>
          <w:rFonts w:hint="eastAsia" w:cs="Times New Roman"/>
          <w:b w:val="0"/>
          <w:bCs w:val="0"/>
          <w:spacing w:val="-10"/>
          <w:sz w:val="28"/>
          <w:szCs w:val="28"/>
          <w:u w:val="none"/>
          <w:lang w:val="en-US" w:eastAsia="zh-CN"/>
        </w:rPr>
        <w:t>（报批稿）</w:t>
      </w: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overflowPunct w:val="0"/>
        <w:autoSpaceDE w:val="0"/>
        <w:autoSpaceDN w:val="0"/>
        <w:adjustRightInd w:val="0"/>
        <w:snapToGrid w:val="0"/>
        <w:spacing w:before="0" w:after="0" w:line="500" w:lineRule="exact"/>
        <w:ind w:right="0"/>
        <w:jc w:val="left"/>
        <w:rPr>
          <w:rFonts w:hint="default" w:ascii="Times New Roman" w:hAnsi="Times New Roman" w:eastAsia="宋体" w:cs="Times New Roman"/>
          <w:b w:val="0"/>
          <w:bCs w:val="0"/>
          <w:spacing w:val="-10"/>
          <w:sz w:val="28"/>
          <w:szCs w:val="28"/>
          <w:u w:val="single"/>
          <w:lang w:val="en-US" w:eastAsia="zh-CN"/>
        </w:rPr>
      </w:pPr>
      <w:r>
        <w:rPr>
          <w:rFonts w:hint="default" w:ascii="Times New Roman" w:hAnsi="Times New Roman" w:eastAsia="宋体" w:cs="Times New Roman"/>
          <w:b w:val="0"/>
          <w:bCs w:val="0"/>
          <w:spacing w:val="-10"/>
          <w:sz w:val="28"/>
          <w:szCs w:val="28"/>
        </w:rPr>
        <w:t>项目名称：</w:t>
      </w:r>
      <w:r>
        <w:rPr>
          <w:rFonts w:hint="eastAsia" w:cs="Times New Roman"/>
          <w:b w:val="0"/>
          <w:bCs w:val="0"/>
          <w:spacing w:val="-10"/>
          <w:sz w:val="28"/>
          <w:szCs w:val="28"/>
          <w:u w:val="single"/>
          <w:lang w:val="en-US" w:eastAsia="zh-CN"/>
        </w:rPr>
        <w:t xml:space="preserve">  新疆呼图壁县石梯子西沟煤矿瓦斯抽采系统升级改建项目                                 </w:t>
      </w:r>
    </w:p>
    <w:p>
      <w:pPr>
        <w:overflowPunct w:val="0"/>
        <w:autoSpaceDE w:val="0"/>
        <w:autoSpaceDN w:val="0"/>
        <w:adjustRightInd w:val="0"/>
        <w:snapToGrid w:val="0"/>
        <w:spacing w:before="0" w:after="0" w:line="500" w:lineRule="exact"/>
        <w:ind w:left="0" w:leftChars="0" w:right="0" w:firstLine="0" w:firstLineChars="0"/>
        <w:jc w:val="left"/>
        <w:rPr>
          <w:rFonts w:hint="default" w:ascii="Times New Roman" w:hAnsi="Times New Roman" w:eastAsia="宋体" w:cs="Times New Roman"/>
          <w:b w:val="0"/>
          <w:bCs w:val="0"/>
          <w:sz w:val="28"/>
          <w:szCs w:val="28"/>
          <w:u w:val="single"/>
        </w:rPr>
      </w:pPr>
      <w:r>
        <w:rPr>
          <w:rFonts w:hint="default" w:ascii="Times New Roman" w:hAnsi="Times New Roman" w:eastAsia="宋体" w:cs="Times New Roman"/>
          <w:b w:val="0"/>
          <w:bCs w:val="0"/>
          <w:spacing w:val="-4"/>
          <w:sz w:val="28"/>
          <w:szCs w:val="28"/>
        </w:rPr>
        <w:t>建设单位（盖章）：</w:t>
      </w:r>
      <w:r>
        <w:rPr>
          <w:rFonts w:hint="default" w:ascii="Times New Roman" w:hAnsi="Times New Roman" w:eastAsia="宋体" w:cs="Times New Roman"/>
          <w:b w:val="0"/>
          <w:bCs w:val="0"/>
          <w:spacing w:val="-4"/>
          <w:sz w:val="28"/>
          <w:szCs w:val="28"/>
          <w:u w:val="single"/>
        </w:rPr>
        <w:t xml:space="preserve">  </w:t>
      </w:r>
      <w:r>
        <w:rPr>
          <w:rFonts w:hint="eastAsia" w:cs="Times New Roman"/>
          <w:b w:val="0"/>
          <w:bCs w:val="0"/>
          <w:spacing w:val="-4"/>
          <w:sz w:val="28"/>
          <w:szCs w:val="28"/>
          <w:u w:val="single"/>
          <w:lang w:val="en-US" w:eastAsia="zh-CN"/>
        </w:rPr>
        <w:t>新疆呼图壁县石梯子西沟煤炭有限责任公司</w:t>
      </w:r>
      <w:r>
        <w:rPr>
          <w:rFonts w:hint="default" w:ascii="Times New Roman" w:hAnsi="Times New Roman" w:eastAsia="宋体" w:cs="Times New Roman"/>
          <w:b w:val="0"/>
          <w:bCs w:val="0"/>
          <w:spacing w:val="-4"/>
          <w:sz w:val="28"/>
          <w:szCs w:val="28"/>
          <w:u w:val="single"/>
          <w:lang w:val="en-US" w:eastAsia="zh-CN"/>
        </w:rPr>
        <w:t xml:space="preserve">    </w:t>
      </w:r>
      <w:r>
        <w:rPr>
          <w:rFonts w:hint="eastAsia"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z w:val="28"/>
          <w:szCs w:val="28"/>
          <w:u w:val="single"/>
        </w:rPr>
        <w:t xml:space="preserve"> </w:t>
      </w:r>
      <w:r>
        <w:rPr>
          <w:rFonts w:hint="default" w:ascii="Times New Roman" w:hAnsi="Times New Roman" w:eastAsia="宋体" w:cs="Times New Roman"/>
          <w:b w:val="0"/>
          <w:bCs w:val="0"/>
          <w:sz w:val="28"/>
          <w:szCs w:val="28"/>
          <w:u w:val="single"/>
          <w:lang w:val="en-US" w:eastAsia="zh-CN"/>
        </w:rPr>
        <w:t xml:space="preserve">      </w:t>
      </w:r>
      <w:r>
        <w:rPr>
          <w:rFonts w:hint="default" w:ascii="Times New Roman" w:hAnsi="Times New Roman" w:eastAsia="宋体" w:cs="Times New Roman"/>
          <w:b w:val="0"/>
          <w:bCs w:val="0"/>
          <w:sz w:val="28"/>
          <w:szCs w:val="28"/>
          <w:u w:val="single"/>
        </w:rPr>
        <w:t xml:space="preserve"> </w:t>
      </w:r>
    </w:p>
    <w:p>
      <w:pPr>
        <w:overflowPunct w:val="0"/>
        <w:autoSpaceDE w:val="0"/>
        <w:autoSpaceDN w:val="0"/>
        <w:adjustRightInd w:val="0"/>
        <w:snapToGrid w:val="0"/>
        <w:spacing w:before="0" w:after="0" w:line="500" w:lineRule="exact"/>
        <w:ind w:left="0" w:leftChars="0" w:right="0" w:firstLine="0" w:firstLineChars="0"/>
        <w:jc w:val="left"/>
        <w:rPr>
          <w:rFonts w:hint="default" w:ascii="宋体" w:hAnsi="宋体" w:eastAsia="宋体" w:cs="宋体"/>
          <w:b w:val="0"/>
          <w:bCs w:val="0"/>
          <w:spacing w:val="-4"/>
          <w:sz w:val="28"/>
          <w:szCs w:val="28"/>
          <w:u w:val="single"/>
          <w:lang w:val="en-US" w:eastAsia="zh-CN"/>
        </w:rPr>
      </w:pPr>
      <w:r>
        <w:rPr>
          <w:rFonts w:hint="default" w:ascii="Times New Roman" w:hAnsi="Times New Roman" w:eastAsia="宋体" w:cs="Times New Roman"/>
          <w:b w:val="0"/>
          <w:bCs w:val="0"/>
          <w:spacing w:val="-4"/>
          <w:sz w:val="28"/>
          <w:szCs w:val="28"/>
          <w:lang w:val="en-US" w:eastAsia="zh-CN"/>
        </w:rPr>
        <w:t>编制日期：</w:t>
      </w:r>
      <w:r>
        <w:rPr>
          <w:rFonts w:hint="default" w:ascii="Times New Roman" w:hAnsi="Times New Roman" w:eastAsia="宋体" w:cs="Times New Roman"/>
          <w:b w:val="0"/>
          <w:bCs w:val="0"/>
          <w:spacing w:val="-4"/>
          <w:sz w:val="28"/>
          <w:szCs w:val="28"/>
          <w:u w:val="single"/>
          <w:lang w:val="en-US" w:eastAsia="zh-CN"/>
        </w:rPr>
        <w:t xml:space="preserve">                   </w:t>
      </w:r>
      <w:r>
        <w:rPr>
          <w:rFonts w:hint="eastAsia"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rPr>
        <w:t>20</w:t>
      </w:r>
      <w:r>
        <w:rPr>
          <w:rFonts w:hint="default" w:ascii="Times New Roman" w:hAnsi="Times New Roman" w:eastAsia="宋体" w:cs="Times New Roman"/>
          <w:b w:val="0"/>
          <w:bCs w:val="0"/>
          <w:spacing w:val="-4"/>
          <w:sz w:val="28"/>
          <w:szCs w:val="28"/>
          <w:u w:val="single"/>
          <w:lang w:val="en-US" w:eastAsia="zh-CN"/>
        </w:rPr>
        <w:t>2</w:t>
      </w:r>
      <w:r>
        <w:rPr>
          <w:rFonts w:hint="eastAsia" w:cs="Times New Roman"/>
          <w:b w:val="0"/>
          <w:bCs w:val="0"/>
          <w:spacing w:val="-4"/>
          <w:sz w:val="28"/>
          <w:szCs w:val="28"/>
          <w:u w:val="single"/>
          <w:lang w:val="en-US" w:eastAsia="zh-CN"/>
        </w:rPr>
        <w:t>3</w:t>
      </w:r>
      <w:r>
        <w:rPr>
          <w:rFonts w:hint="default" w:ascii="Times New Roman" w:hAnsi="Times New Roman" w:eastAsia="宋体" w:cs="Times New Roman"/>
          <w:b w:val="0"/>
          <w:bCs w:val="0"/>
          <w:spacing w:val="-4"/>
          <w:sz w:val="28"/>
          <w:szCs w:val="28"/>
          <w:u w:val="single"/>
        </w:rPr>
        <w:t>年</w:t>
      </w:r>
      <w:r>
        <w:rPr>
          <w:rFonts w:hint="eastAsia" w:cs="Times New Roman"/>
          <w:b w:val="0"/>
          <w:bCs w:val="0"/>
          <w:spacing w:val="-4"/>
          <w:sz w:val="28"/>
          <w:szCs w:val="28"/>
          <w:u w:val="single"/>
          <w:lang w:val="en-US" w:eastAsia="zh-CN"/>
        </w:rPr>
        <w:t>7</w:t>
      </w:r>
      <w:r>
        <w:rPr>
          <w:rFonts w:hint="default" w:ascii="Times New Roman" w:hAnsi="Times New Roman" w:eastAsia="宋体" w:cs="Times New Roman"/>
          <w:b w:val="0"/>
          <w:bCs w:val="0"/>
          <w:spacing w:val="-4"/>
          <w:sz w:val="28"/>
          <w:szCs w:val="28"/>
          <w:u w:val="single"/>
        </w:rPr>
        <w:t>月</w:t>
      </w:r>
      <w:r>
        <w:rPr>
          <w:rFonts w:hint="default" w:ascii="Times New Roman" w:hAnsi="Times New Roman" w:eastAsia="宋体" w:cs="Times New Roman"/>
          <w:b w:val="0"/>
          <w:bCs w:val="0"/>
          <w:spacing w:val="-4"/>
          <w:sz w:val="28"/>
          <w:szCs w:val="28"/>
          <w:u w:val="single"/>
          <w:lang w:val="en-US" w:eastAsia="zh-CN"/>
        </w:rPr>
        <w:t xml:space="preserve">     </w:t>
      </w:r>
      <w:r>
        <w:rPr>
          <w:rFonts w:hint="eastAsia" w:ascii="宋体" w:hAnsi="宋体" w:eastAsia="宋体" w:cs="宋体"/>
          <w:b w:val="0"/>
          <w:bCs w:val="0"/>
          <w:spacing w:val="-4"/>
          <w:sz w:val="28"/>
          <w:szCs w:val="28"/>
          <w:u w:val="single"/>
          <w:lang w:val="en-US" w:eastAsia="zh-CN"/>
        </w:rPr>
        <w:t xml:space="preserve">         </w:t>
      </w:r>
      <w:r>
        <w:rPr>
          <w:rFonts w:hint="eastAsia" w:ascii="宋体" w:hAnsi="宋体" w:cs="宋体"/>
          <w:b w:val="0"/>
          <w:bCs w:val="0"/>
          <w:spacing w:val="-4"/>
          <w:sz w:val="28"/>
          <w:szCs w:val="28"/>
          <w:u w:val="single"/>
          <w:lang w:val="en-US" w:eastAsia="zh-CN"/>
        </w:rPr>
        <w:t xml:space="preserve">                </w:t>
      </w:r>
      <w:r>
        <w:rPr>
          <w:rFonts w:hint="eastAsia" w:ascii="宋体" w:hAnsi="宋体" w:eastAsia="宋体" w:cs="宋体"/>
          <w:b w:val="0"/>
          <w:bCs w:val="0"/>
          <w:spacing w:val="-4"/>
          <w:sz w:val="28"/>
          <w:szCs w:val="28"/>
          <w:u w:val="single"/>
          <w:lang w:val="en-US" w:eastAsia="zh-CN"/>
        </w:rPr>
        <w:t xml:space="preserve">          </w:t>
      </w:r>
    </w:p>
    <w:p>
      <w:pPr>
        <w:overflowPunct w:val="0"/>
        <w:autoSpaceDE w:val="0"/>
        <w:autoSpaceDN w:val="0"/>
        <w:adjustRightInd w:val="0"/>
        <w:snapToGrid w:val="0"/>
        <w:spacing w:before="0" w:after="0" w:line="360" w:lineRule="auto"/>
        <w:ind w:left="0" w:right="0" w:firstLine="643" w:firstLineChars="200"/>
        <w:jc w:val="left"/>
        <w:rPr>
          <w:rFonts w:hint="default" w:ascii="宋体" w:hAnsi="宋体" w:eastAsia="宋体" w:cs="宋体"/>
          <w:b/>
          <w:bCs/>
          <w:sz w:val="32"/>
          <w:szCs w:val="32"/>
          <w:u w:val="none"/>
          <w:lang w:val="en-US" w:eastAsia="zh-CN"/>
        </w:rPr>
      </w:pPr>
    </w:p>
    <w:p>
      <w:pPr>
        <w:overflowPunct w:val="0"/>
        <w:autoSpaceDE w:val="0"/>
        <w:autoSpaceDN w:val="0"/>
        <w:adjustRightInd w:val="0"/>
        <w:snapToGrid w:val="0"/>
        <w:spacing w:before="0" w:after="0" w:line="360" w:lineRule="auto"/>
        <w:ind w:left="0" w:right="0" w:firstLine="560" w:firstLineChars="200"/>
        <w:jc w:val="left"/>
        <w:rPr>
          <w:rFonts w:ascii="宋体" w:hAnsi="宋体" w:eastAsia="宋体" w:cs="宋体"/>
          <w:sz w:val="28"/>
        </w:rPr>
      </w:pPr>
    </w:p>
    <w:p>
      <w:pPr>
        <w:widowControl w:val="0"/>
        <w:overflowPunct w:val="0"/>
        <w:autoSpaceDE w:val="0"/>
        <w:autoSpaceDN w:val="0"/>
        <w:adjustRightInd w:val="0"/>
        <w:snapToGrid w:val="0"/>
        <w:spacing w:before="0" w:after="0" w:line="360" w:lineRule="exact"/>
        <w:ind w:left="0" w:right="0" w:firstLine="560" w:firstLineChars="200"/>
        <w:jc w:val="center"/>
        <w:rPr>
          <w:rFonts w:hint="eastAsia" w:ascii="宋体" w:hAnsi="宋体" w:eastAsia="宋体" w:cs="宋体"/>
          <w:snapToGrid w:val="0"/>
          <w:sz w:val="28"/>
          <w:szCs w:val="21"/>
          <w:lang w:val="en-US" w:eastAsia="zh-CN" w:bidi="ar-SA"/>
        </w:rPr>
      </w:pPr>
      <w:r>
        <w:rPr>
          <w:rFonts w:hint="eastAsia" w:ascii="宋体" w:hAnsi="宋体" w:eastAsia="宋体" w:cs="宋体"/>
          <w:snapToGrid w:val="0"/>
          <w:sz w:val="28"/>
          <w:szCs w:val="21"/>
          <w:lang w:val="en-US" w:eastAsia="zh-CN" w:bidi="ar-SA"/>
        </w:rPr>
        <w:t xml:space="preserve"> </w:t>
      </w:r>
    </w:p>
    <w:p>
      <w:pPr>
        <w:widowControl w:val="0"/>
        <w:overflowPunct w:val="0"/>
        <w:autoSpaceDE w:val="0"/>
        <w:autoSpaceDN w:val="0"/>
        <w:adjustRightInd w:val="0"/>
        <w:snapToGrid w:val="0"/>
        <w:spacing w:before="0" w:after="0" w:line="360" w:lineRule="exact"/>
        <w:ind w:left="0" w:right="0" w:firstLine="560" w:firstLineChars="200"/>
        <w:jc w:val="center"/>
        <w:rPr>
          <w:rFonts w:hint="eastAsia" w:ascii="宋体" w:hAnsi="宋体" w:eastAsia="宋体" w:cs="宋体"/>
          <w:snapToGrid w:val="0"/>
          <w:sz w:val="28"/>
          <w:szCs w:val="21"/>
          <w:lang w:val="en-US" w:eastAsia="zh-CN" w:bidi="ar-SA"/>
        </w:rPr>
      </w:pPr>
    </w:p>
    <w:p>
      <w:pPr>
        <w:widowControl w:val="0"/>
        <w:overflowPunct w:val="0"/>
        <w:autoSpaceDE w:val="0"/>
        <w:autoSpaceDN w:val="0"/>
        <w:adjustRightInd w:val="0"/>
        <w:snapToGrid w:val="0"/>
        <w:spacing w:before="0" w:after="0" w:line="360" w:lineRule="exact"/>
        <w:ind w:left="0" w:right="0" w:firstLine="560" w:firstLineChars="200"/>
        <w:jc w:val="center"/>
        <w:rPr>
          <w:rFonts w:ascii="宋体" w:hAnsi="宋体" w:eastAsia="宋体" w:cs="宋体"/>
          <w:snapToGrid w:val="0"/>
          <w:sz w:val="28"/>
          <w:szCs w:val="21"/>
          <w:lang w:val="en-US" w:eastAsia="zh-CN" w:bidi="ar-SA"/>
        </w:rPr>
      </w:pPr>
    </w:p>
    <w:p>
      <w:pPr>
        <w:widowControl w:val="0"/>
        <w:overflowPunct w:val="0"/>
        <w:autoSpaceDE w:val="0"/>
        <w:autoSpaceDN w:val="0"/>
        <w:adjustRightInd w:val="0"/>
        <w:snapToGrid w:val="0"/>
        <w:spacing w:before="0" w:after="0" w:line="360" w:lineRule="exact"/>
        <w:ind w:left="0" w:right="0" w:firstLine="560" w:firstLineChars="200"/>
        <w:jc w:val="center"/>
        <w:rPr>
          <w:rFonts w:ascii="宋体" w:hAnsi="宋体" w:eastAsia="宋体" w:cs="宋体"/>
          <w:snapToGrid w:val="0"/>
          <w:sz w:val="28"/>
          <w:szCs w:val="21"/>
          <w:lang w:val="en-US" w:eastAsia="zh-CN" w:bidi="ar-SA"/>
        </w:rPr>
      </w:pPr>
    </w:p>
    <w:p>
      <w:pPr>
        <w:overflowPunct w:val="0"/>
        <w:autoSpaceDE w:val="0"/>
        <w:autoSpaceDN w:val="0"/>
        <w:adjustRightInd w:val="0"/>
        <w:snapToGrid w:val="0"/>
        <w:spacing w:before="50" w:after="0" w:line="500" w:lineRule="exact"/>
        <w:ind w:left="0" w:leftChars="0" w:right="464" w:firstLine="0" w:firstLineChars="0"/>
        <w:jc w:val="center"/>
        <w:rPr>
          <w:rFonts w:hint="eastAsia" w:ascii="楷体" w:hAnsi="Times New Roman" w:eastAsia="楷体" w:cs="宋体"/>
          <w:sz w:val="36"/>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楷体" w:hAnsi="Times New Roman" w:eastAsia="楷体" w:cs="宋体"/>
          <w:sz w:val="36"/>
          <w:lang w:val="en-US" w:eastAsia="zh-CN"/>
        </w:rPr>
        <w:t>中</w:t>
      </w:r>
      <w:r>
        <w:rPr>
          <w:rFonts w:hint="eastAsia" w:ascii="楷体" w:hAnsi="Times New Roman" w:eastAsia="楷体" w:cs="宋体"/>
          <w:sz w:val="36"/>
        </w:rPr>
        <w:t>华人民共和国生态环境部制</w:t>
      </w:r>
    </w:p>
    <w:sdt>
      <w:sdtPr>
        <w:rPr>
          <w:rFonts w:ascii="宋体" w:hAnsi="宋体" w:eastAsia="宋体" w:cs="宋体"/>
          <w:color w:val="auto"/>
          <w:sz w:val="21"/>
          <w:szCs w:val="22"/>
          <w:lang w:val="en-US" w:eastAsia="zh-CN" w:bidi="ar-SA"/>
        </w:rPr>
        <w:id w:val="147460502"/>
        <w15:color w:val="DBDBDB"/>
        <w:docPartObj>
          <w:docPartGallery w:val="Table of Contents"/>
          <w:docPartUnique/>
        </w:docPartObj>
      </w:sdtPr>
      <w:sdtEndPr>
        <w:rPr>
          <w:rFonts w:ascii="Times New Roman" w:hAnsi="Times New Roman" w:eastAsia="宋体" w:cs="宋体"/>
          <w:snapToGrid w:val="0"/>
          <w:color w:val="auto"/>
          <w:sz w:val="24"/>
          <w:szCs w:val="21"/>
          <w:lang w:val="en-US" w:eastAsia="zh-CN" w:bidi="ar-SA"/>
        </w:rPr>
      </w:sdtEndPr>
      <w:sdtContent>
        <w:p>
          <w:pPr>
            <w:widowControl w:val="0"/>
            <w:overflowPunct w:val="0"/>
            <w:autoSpaceDE w:val="0"/>
            <w:autoSpaceDN w:val="0"/>
            <w:adjustRightInd w:val="0"/>
            <w:snapToGrid w:val="0"/>
            <w:spacing w:before="0" w:after="0" w:line="360" w:lineRule="exact"/>
            <w:ind w:left="0" w:right="0" w:firstLine="420" w:firstLineChars="200"/>
            <w:jc w:val="center"/>
            <w:rPr>
              <w:rFonts w:ascii="Times New Roman" w:hAnsi="Times New Roman" w:eastAsia="宋体" w:cs="宋体"/>
              <w:snapToGrid w:val="0"/>
              <w:sz w:val="24"/>
              <w:szCs w:val="21"/>
              <w:lang w:val="en-US" w:eastAsia="zh-CN" w:bidi="ar-SA"/>
            </w:rPr>
          </w:pPr>
        </w:p>
        <w:p>
          <w:pPr>
            <w:overflowPunct w:val="0"/>
            <w:autoSpaceDE w:val="0"/>
            <w:autoSpaceDN w:val="0"/>
            <w:adjustRightInd w:val="0"/>
            <w:snapToGrid w:val="0"/>
            <w:spacing w:before="0" w:beforeLines="0" w:after="0" w:afterLines="0" w:line="480" w:lineRule="auto"/>
            <w:ind w:left="0" w:leftChars="0" w:right="0" w:rightChars="0" w:firstLine="0" w:firstLineChars="0"/>
            <w:jc w:val="center"/>
            <w:rPr>
              <w:rFonts w:ascii="宋体" w:hAnsi="宋体" w:eastAsia="宋体" w:cs="宋体"/>
              <w:sz w:val="32"/>
              <w:szCs w:val="32"/>
            </w:rPr>
          </w:pPr>
        </w:p>
        <w:p>
          <w:pPr>
            <w:overflowPunct w:val="0"/>
            <w:autoSpaceDE w:val="0"/>
            <w:autoSpaceDN w:val="0"/>
            <w:adjustRightInd w:val="0"/>
            <w:snapToGrid w:val="0"/>
            <w:spacing w:before="0" w:beforeLines="0" w:after="0" w:afterLines="0" w:line="360" w:lineRule="auto"/>
            <w:ind w:left="0" w:leftChars="0" w:right="0" w:rightChars="0" w:firstLine="0" w:firstLineChars="0"/>
            <w:jc w:val="cente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目</w:t>
          </w:r>
          <w:r>
            <w:rPr>
              <w:rFonts w:hint="default" w:ascii="Times New Roman" w:hAnsi="Times New Roman" w:eastAsia="宋体" w:cs="Times New Roman"/>
              <w:sz w:val="30"/>
              <w:szCs w:val="30"/>
              <w:lang w:val="en-US" w:eastAsia="zh-CN"/>
            </w:rPr>
            <w:t xml:space="preserve">  </w:t>
          </w:r>
          <w:r>
            <w:rPr>
              <w:rFonts w:hint="default" w:ascii="Times New Roman" w:hAnsi="Times New Roman" w:eastAsia="宋体" w:cs="Times New Roman"/>
              <w:sz w:val="30"/>
              <w:szCs w:val="30"/>
            </w:rPr>
            <w:t>录</w:t>
          </w:r>
        </w:p>
        <w:p>
          <w:pPr>
            <w:pStyle w:val="13"/>
            <w:tabs>
              <w:tab w:val="right" w:leader="dot" w:pos="8306"/>
            </w:tabs>
            <w:spacing w:line="360" w:lineRule="auto"/>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"1-1" \h \u </w:instrText>
          </w:r>
          <w:r>
            <w:rPr>
              <w:rFonts w:hint="default" w:ascii="Times New Roman" w:hAnsi="Times New Roman" w:cs="Times New Roman"/>
              <w:sz w:val="24"/>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_Toc11722 </w:instrText>
          </w:r>
          <w:r>
            <w:rPr>
              <w:rFonts w:hint="default" w:ascii="Times New Roman" w:hAnsi="Times New Roman" w:cs="Times New Roman"/>
              <w:szCs w:val="24"/>
            </w:rPr>
            <w:fldChar w:fldCharType="separate"/>
          </w:r>
          <w:r>
            <w:rPr>
              <w:rFonts w:hint="eastAsia" w:ascii="Times New Roman" w:hAnsi="Times New Roman" w:eastAsia="宋体" w:cs="宋体"/>
              <w:kern w:val="44"/>
              <w:szCs w:val="22"/>
              <w:lang w:val="en-US" w:eastAsia="zh-CN" w:bidi="ar-SA"/>
            </w:rPr>
            <w:t>一、</w:t>
          </w:r>
          <w:r>
            <w:rPr>
              <w:rFonts w:ascii="Times New Roman" w:hAnsi="Times New Roman" w:eastAsia="宋体" w:cs="宋体"/>
              <w:kern w:val="44"/>
              <w:szCs w:val="22"/>
              <w:lang w:val="en-US" w:eastAsia="zh-CN" w:bidi="ar-SA"/>
            </w:rPr>
            <w:t>建设项目基本情况</w:t>
          </w:r>
          <w:r>
            <w:tab/>
          </w:r>
          <w:r>
            <w:fldChar w:fldCharType="begin"/>
          </w:r>
          <w:r>
            <w:instrText xml:space="preserve"> PAGEREF _Toc11722 \h </w:instrText>
          </w:r>
          <w:r>
            <w:fldChar w:fldCharType="separate"/>
          </w:r>
          <w:r>
            <w:t>1</w:t>
          </w:r>
          <w:r>
            <w:fldChar w:fldCharType="end"/>
          </w:r>
          <w:r>
            <w:rPr>
              <w:rFonts w:hint="default" w:ascii="Times New Roman" w:hAnsi="Times New Roman" w:cs="Times New Roman"/>
              <w:szCs w:val="24"/>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_Toc13611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宋体" w:cs="宋体"/>
              <w:kern w:val="44"/>
              <w:szCs w:val="22"/>
              <w:lang w:val="en-US" w:eastAsia="zh-CN" w:bidi="ar-SA"/>
            </w:rPr>
            <w:t>二、建设项目工程分析</w:t>
          </w:r>
          <w:r>
            <w:tab/>
          </w:r>
          <w:r>
            <w:fldChar w:fldCharType="begin"/>
          </w:r>
          <w:r>
            <w:instrText xml:space="preserve"> PAGEREF _Toc13611 \h </w:instrText>
          </w:r>
          <w:r>
            <w:fldChar w:fldCharType="separate"/>
          </w:r>
          <w:r>
            <w:t>17</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_Toc24185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宋体" w:cs="宋体"/>
              <w:kern w:val="44"/>
              <w:szCs w:val="22"/>
              <w:lang w:val="en-US" w:eastAsia="zh-CN" w:bidi="ar-SA"/>
            </w:rPr>
            <w:t xml:space="preserve">三、 </w:t>
          </w:r>
          <w:r>
            <w:rPr>
              <w:rFonts w:ascii="Times New Roman" w:hAnsi="Times New Roman" w:eastAsia="宋体" w:cs="宋体"/>
              <w:kern w:val="44"/>
              <w:szCs w:val="22"/>
              <w:lang w:val="en-US" w:eastAsia="zh-CN" w:bidi="ar-SA"/>
            </w:rPr>
            <w:t>区域环境质量现状、环境保护目标及评价标准</w:t>
          </w:r>
          <w:r>
            <w:tab/>
          </w:r>
          <w:r>
            <w:fldChar w:fldCharType="begin"/>
          </w:r>
          <w:r>
            <w:instrText xml:space="preserve"> PAGEREF _Toc24185 \h </w:instrText>
          </w:r>
          <w:r>
            <w:fldChar w:fldCharType="separate"/>
          </w:r>
          <w:r>
            <w:t>37</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_Toc25648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宋体" w:cs="宋体"/>
              <w:kern w:val="44"/>
              <w:szCs w:val="22"/>
              <w:lang w:val="en-US" w:eastAsia="zh-CN" w:bidi="ar-SA"/>
            </w:rPr>
            <w:t>四、 主要环境影响和保护措施</w:t>
          </w:r>
          <w:r>
            <w:tab/>
          </w:r>
          <w:r>
            <w:fldChar w:fldCharType="begin"/>
          </w:r>
          <w:r>
            <w:instrText xml:space="preserve"> PAGEREF _Toc25648 \h </w:instrText>
          </w:r>
          <w:r>
            <w:fldChar w:fldCharType="separate"/>
          </w:r>
          <w:r>
            <w:t>44</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_Toc20053 </w:instrText>
          </w:r>
          <w:r>
            <w:rPr>
              <w:rFonts w:hint="default" w:ascii="Times New Roman" w:hAnsi="Times New Roman" w:eastAsia="宋体" w:cs="Times New Roman"/>
              <w:snapToGrid w:val="0"/>
              <w:szCs w:val="24"/>
              <w:lang w:val="en-US" w:eastAsia="zh-CN" w:bidi="ar-SA"/>
            </w:rPr>
            <w:fldChar w:fldCharType="separate"/>
          </w:r>
          <w:r>
            <w:rPr>
              <w:rFonts w:ascii="Times New Roman" w:hAnsi="Times New Roman" w:eastAsia="宋体" w:cs="宋体"/>
              <w:kern w:val="44"/>
              <w:szCs w:val="22"/>
              <w:lang w:val="en-US" w:eastAsia="zh-CN" w:bidi="ar-SA"/>
            </w:rPr>
            <w:t>五、环境保护措施监督检查清单</w:t>
          </w:r>
          <w:r>
            <w:tab/>
          </w:r>
          <w:r>
            <w:fldChar w:fldCharType="begin"/>
          </w:r>
          <w:r>
            <w:instrText xml:space="preserve"> PAGEREF _Toc20053 \h </w:instrText>
          </w:r>
          <w:r>
            <w:fldChar w:fldCharType="separate"/>
          </w:r>
          <w:r>
            <w:t>69</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_Toc23930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宋体" w:cs="宋体"/>
              <w:kern w:val="44"/>
              <w:szCs w:val="22"/>
              <w:lang w:val="en-US" w:eastAsia="zh-CN" w:bidi="ar-SA"/>
            </w:rPr>
            <w:t>六、结论</w:t>
          </w:r>
          <w:r>
            <w:tab/>
          </w:r>
          <w:r>
            <w:fldChar w:fldCharType="begin"/>
          </w:r>
          <w:r>
            <w:instrText xml:space="preserve"> PAGEREF _Toc23930 \h </w:instrText>
          </w:r>
          <w:r>
            <w:fldChar w:fldCharType="separate"/>
          </w:r>
          <w:r>
            <w:t>72</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_Toc18685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黑体" w:cs="Times New Roman"/>
              <w:snapToGrid w:val="0"/>
              <w:kern w:val="0"/>
              <w:szCs w:val="32"/>
              <w:highlight w:val="none"/>
              <w:lang w:val="en-US" w:eastAsia="zh-CN" w:bidi="ar-SA"/>
            </w:rPr>
            <w:t>附表</w:t>
          </w:r>
          <w:r>
            <w:tab/>
          </w:r>
          <w:r>
            <w:fldChar w:fldCharType="begin"/>
          </w:r>
          <w:r>
            <w:instrText xml:space="preserve"> PAGEREF _Toc18685 \h </w:instrText>
          </w:r>
          <w:r>
            <w:fldChar w:fldCharType="separate"/>
          </w:r>
          <w:r>
            <w:t>73</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_Toc30352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宋体" w:cs="宋体"/>
              <w:bCs/>
              <w:szCs w:val="28"/>
              <w:lang w:val="en-US" w:eastAsia="zh-CN"/>
            </w:rPr>
            <w:t>建设项目污染物排放量汇总表</w:t>
          </w:r>
          <w:r>
            <w:tab/>
          </w:r>
          <w:r>
            <w:fldChar w:fldCharType="begin"/>
          </w:r>
          <w:r>
            <w:instrText xml:space="preserve"> PAGEREF _Toc30352 \h </w:instrText>
          </w:r>
          <w:r>
            <w:fldChar w:fldCharType="separate"/>
          </w:r>
          <w:r>
            <w:t>73</w:t>
          </w:r>
          <w:r>
            <w:fldChar w:fldCharType="end"/>
          </w:r>
          <w:r>
            <w:rPr>
              <w:rFonts w:hint="default" w:ascii="Times New Roman" w:hAnsi="Times New Roman" w:eastAsia="宋体" w:cs="Times New Roman"/>
              <w:snapToGrid w:val="0"/>
              <w:szCs w:val="24"/>
              <w:lang w:val="en-US" w:eastAsia="zh-CN" w:bidi="ar-SA"/>
            </w:rPr>
            <w:fldChar w:fldCharType="end"/>
          </w:r>
        </w:p>
        <w:p>
          <w:pPr>
            <w:widowControl w:val="0"/>
            <w:overflowPunct w:val="0"/>
            <w:autoSpaceDE w:val="0"/>
            <w:autoSpaceDN w:val="0"/>
            <w:adjustRightInd w:val="0"/>
            <w:snapToGrid w:val="0"/>
            <w:spacing w:before="0" w:after="0" w:line="360" w:lineRule="auto"/>
            <w:ind w:left="0" w:leftChars="0" w:right="0" w:firstLine="0" w:firstLineChars="0"/>
            <w:jc w:val="both"/>
            <w:rPr>
              <w:rFonts w:ascii="Times New Roman" w:hAnsi="Times New Roman" w:eastAsia="宋体" w:cs="宋体"/>
              <w:snapToGrid w:val="0"/>
              <w:sz w:val="24"/>
              <w:szCs w:val="21"/>
              <w:lang w:val="en-US" w:eastAsia="zh-CN" w:bidi="ar-SA"/>
            </w:rPr>
          </w:pPr>
          <w:r>
            <w:rPr>
              <w:rFonts w:hint="default" w:ascii="Times New Roman" w:hAnsi="Times New Roman" w:eastAsia="宋体" w:cs="Times New Roman"/>
              <w:snapToGrid w:val="0"/>
              <w:szCs w:val="24"/>
              <w:lang w:val="en-US" w:eastAsia="zh-CN" w:bidi="ar-SA"/>
            </w:rPr>
            <w:fldChar w:fldCharType="end"/>
          </w:r>
        </w:p>
      </w:sdtContent>
    </w:sdt>
    <w:p>
      <w:pPr>
        <w:numPr>
          <w:ilvl w:val="0"/>
          <w:numId w:val="0"/>
        </w:numPr>
        <w:bidi w:val="0"/>
        <w:ind w:leftChars="0" w:right="0" w:rightChars="0"/>
        <w:jc w:val="center"/>
        <w:rPr>
          <w:rFonts w:hint="eastAsia"/>
          <w:lang w:val="en-US" w:eastAsia="zh-CN"/>
        </w:rPr>
      </w:pPr>
      <w:bookmarkStart w:id="0" w:name="_Toc9280"/>
    </w:p>
    <w:p>
      <w:pPr>
        <w:bidi w:val="0"/>
        <w:rPr>
          <w:rFonts w:hint="eastAsia" w:ascii="Times New Roman" w:hAnsi="Times New Roman" w:eastAsia="宋体" w:cs="宋体"/>
          <w:color w:val="auto"/>
          <w:sz w:val="24"/>
          <w:szCs w:val="22"/>
          <w:lang w:val="en-US" w:eastAsia="zh-CN" w:bidi="ar-SA"/>
        </w:rPr>
      </w:pPr>
    </w:p>
    <w:p>
      <w:pPr>
        <w:tabs>
          <w:tab w:val="left" w:pos="1881"/>
        </w:tabs>
        <w:bidi w:val="0"/>
        <w:jc w:val="left"/>
        <w:rPr>
          <w:rFonts w:hint="eastAsia"/>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lang w:val="en-US" w:eastAsia="zh-CN"/>
        </w:rPr>
        <w:tab/>
      </w:r>
    </w:p>
    <w:p>
      <w:pPr>
        <w:widowControl w:val="0"/>
        <w:numPr>
          <w:ilvl w:val="0"/>
          <w:numId w:val="0"/>
        </w:numPr>
        <w:overflowPunct w:val="0"/>
        <w:autoSpaceDE w:val="0"/>
        <w:autoSpaceDN w:val="0"/>
        <w:bidi w:val="0"/>
        <w:adjustRightInd w:val="0"/>
        <w:snapToGrid w:val="0"/>
        <w:spacing w:before="0" w:after="0" w:line="560" w:lineRule="exact"/>
        <w:ind w:left="0" w:leftChars="0" w:right="0" w:rightChars="0" w:firstLine="0" w:firstLineChars="0"/>
        <w:jc w:val="center"/>
        <w:outlineLvl w:val="0"/>
        <w:rPr>
          <w:rFonts w:ascii="Times New Roman" w:hAnsi="Times New Roman" w:eastAsia="宋体" w:cs="宋体"/>
          <w:b/>
          <w:kern w:val="44"/>
          <w:sz w:val="28"/>
          <w:szCs w:val="22"/>
          <w:lang w:val="en-US" w:eastAsia="zh-CN" w:bidi="ar-SA"/>
        </w:rPr>
      </w:pPr>
      <w:bookmarkStart w:id="1" w:name="_Toc11722"/>
      <w:r>
        <w:rPr>
          <w:rFonts w:hint="eastAsia" w:ascii="Times New Roman" w:hAnsi="Times New Roman" w:eastAsia="宋体" w:cs="宋体"/>
          <w:b/>
          <w:kern w:val="44"/>
          <w:sz w:val="28"/>
          <w:szCs w:val="22"/>
          <w:lang w:val="en-US" w:eastAsia="zh-CN" w:bidi="ar-SA"/>
        </w:rPr>
        <w:t>一、</w:t>
      </w:r>
      <w:r>
        <w:rPr>
          <w:rFonts w:ascii="Times New Roman" w:hAnsi="Times New Roman" w:eastAsia="宋体" w:cs="宋体"/>
          <w:b/>
          <w:kern w:val="44"/>
          <w:sz w:val="28"/>
          <w:szCs w:val="22"/>
          <w:lang w:val="en-US" w:eastAsia="zh-CN" w:bidi="ar-SA"/>
        </w:rPr>
        <w:t>建设项目基本情况</w:t>
      </w:r>
      <w:bookmarkEnd w:id="0"/>
      <w:bookmarkEnd w:id="1"/>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196"/>
        <w:gridCol w:w="1683"/>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建设项目名称</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新疆呼图壁县石梯子西沟煤矿瓦斯抽采系统升级改建项目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项目代码</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2207-652323-04-05-235859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建设单位联系</w:t>
            </w:r>
            <w:r>
              <w:rPr>
                <w:rFonts w:hint="eastAsia" w:cs="Times New Roman"/>
                <w:sz w:val="24"/>
                <w:szCs w:val="24"/>
                <w:lang w:val="en-US" w:eastAsia="zh-CN" w:bidi="ar-SA"/>
              </w:rPr>
              <w:t>人</w:t>
            </w:r>
          </w:p>
        </w:tc>
        <w:tc>
          <w:tcPr>
            <w:tcW w:w="21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p>
        </w:tc>
        <w:tc>
          <w:tcPr>
            <w:tcW w:w="1683"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联系方式</w:t>
            </w:r>
          </w:p>
        </w:tc>
        <w:tc>
          <w:tcPr>
            <w:tcW w:w="32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建设地点</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新疆呼图壁县石梯子西沟煤矿（原瓦斯磅房南侧）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地理坐标</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国民经济行业类别</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0610烟煤和无烟煤开采洗选</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建设项目行业类别</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cs="Times New Roman"/>
                <w:sz w:val="24"/>
                <w:szCs w:val="24"/>
                <w:vertAlign w:val="baseline"/>
                <w:lang w:val="en-US" w:eastAsia="zh-CN" w:bidi="ar-SA"/>
              </w:rPr>
            </w:pPr>
            <w:r>
              <w:rPr>
                <w:rFonts w:hint="eastAsia" w:cs="Times New Roman"/>
                <w:sz w:val="24"/>
                <w:szCs w:val="24"/>
                <w:vertAlign w:val="baseline"/>
                <w:lang w:val="en-US" w:eastAsia="zh-CN" w:bidi="ar-SA"/>
              </w:rPr>
              <w:t>4-06烟煤和无烟煤开采洗</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选061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建设性质</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新建（迁建）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改建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扩建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技术改造</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建设项目申报情形</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首次申报项目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不予批准后再次申报项目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超五年重新审核项目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项目审批（核准/ 备案）部门（选填）</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呼图壁县发展和改革委员会</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项目审批（核准/ 备案）文号（选填）</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HFG089-20220725-01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总投资（万元）</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1781.53</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环保投资（万元）</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环保投资占比（%）</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5.05</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施工工期</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6</w:t>
            </w:r>
            <w:r>
              <w:rPr>
                <w:rFonts w:hint="default" w:ascii="Times New Roman" w:hAnsi="Times New Roman" w:eastAsia="宋体" w:cs="Times New Roman"/>
                <w:sz w:val="24"/>
                <w:szCs w:val="24"/>
                <w:lang w:val="en-US" w:eastAsia="zh-CN" w:bidi="ar-SA"/>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是否开工建设</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否</w:t>
            </w:r>
            <w:r>
              <w:rPr>
                <w:rFonts w:hint="eastAsia" w:ascii="Times New Roman" w:hAnsi="Times New Roman" w:eastAsia="宋体"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是：</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highlight w:val="none"/>
                <w:lang w:val="en-US" w:eastAsia="zh-CN" w:bidi="ar-SA"/>
              </w:rPr>
            </w:pPr>
            <w:r>
              <w:rPr>
                <w:rFonts w:hint="default" w:ascii="Times New Roman" w:hAnsi="Times New Roman" w:eastAsia="宋体" w:cs="Times New Roman"/>
                <w:sz w:val="24"/>
                <w:szCs w:val="24"/>
                <w:highlight w:val="none"/>
                <w:lang w:val="en-US" w:eastAsia="zh-CN" w:bidi="ar-SA"/>
              </w:rPr>
              <w:t>用地（用海）面积（</w:t>
            </w:r>
            <w:r>
              <w:rPr>
                <w:rFonts w:hint="eastAsia" w:ascii="Times New Roman" w:hAnsi="Times New Roman" w:eastAsia="宋体" w:cs="Times New Roman"/>
                <w:sz w:val="24"/>
                <w:szCs w:val="24"/>
                <w:highlight w:val="none"/>
                <w:lang w:val="en-US" w:eastAsia="zh-CN" w:bidi="ar-SA"/>
              </w:rPr>
              <w:t>m</w:t>
            </w:r>
            <w:r>
              <w:rPr>
                <w:rFonts w:hint="eastAsia" w:ascii="Times New Roman" w:hAnsi="Times New Roman" w:eastAsia="宋体" w:cs="Times New Roman"/>
                <w:sz w:val="24"/>
                <w:szCs w:val="24"/>
                <w:highlight w:val="none"/>
                <w:vertAlign w:val="superscript"/>
                <w:lang w:val="en-US" w:eastAsia="zh-CN" w:bidi="ar-SA"/>
              </w:rPr>
              <w:t>2</w:t>
            </w:r>
            <w:r>
              <w:rPr>
                <w:rFonts w:hint="default" w:ascii="Times New Roman" w:hAnsi="Times New Roman" w:eastAsia="宋体" w:cs="Times New Roman"/>
                <w:sz w:val="24"/>
                <w:szCs w:val="24"/>
                <w:highlight w:val="none"/>
                <w:lang w:val="en-US" w:eastAsia="zh-CN" w:bidi="ar-SA"/>
              </w:rPr>
              <w:t>）</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highlight w:val="none"/>
                <w:lang w:val="en-US" w:eastAsia="zh-CN" w:bidi="ar-SA"/>
              </w:rPr>
            </w:pPr>
            <w:r>
              <w:rPr>
                <w:rFonts w:hint="eastAsia" w:cs="Times New Roman"/>
                <w:sz w:val="24"/>
                <w:szCs w:val="24"/>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专项评价设置情况</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规划情况</w:t>
            </w:r>
          </w:p>
        </w:tc>
        <w:tc>
          <w:tcPr>
            <w:tcW w:w="7175" w:type="dxa"/>
            <w:gridSpan w:val="3"/>
            <w:vAlign w:val="center"/>
          </w:tcPr>
          <w:p>
            <w:pPr>
              <w:autoSpaceDE w:val="0"/>
              <w:autoSpaceDN w:val="0"/>
              <w:adjustRightInd w:val="0"/>
              <w:snapToGrid w:val="0"/>
              <w:spacing w:line="360" w:lineRule="auto"/>
              <w:ind w:firstLine="480" w:firstLineChars="200"/>
              <w:jc w:val="both"/>
              <w:rPr>
                <w:rFonts w:hint="eastAsia"/>
                <w:color w:val="auto"/>
                <w:kern w:val="0"/>
                <w:szCs w:val="21"/>
                <w:lang w:eastAsia="zh-CN"/>
              </w:rPr>
            </w:pPr>
            <w:r>
              <w:rPr>
                <w:rFonts w:hint="eastAsia"/>
                <w:color w:val="auto"/>
                <w:kern w:val="0"/>
                <w:szCs w:val="21"/>
                <w:lang w:val="en-US" w:eastAsia="zh-CN"/>
              </w:rPr>
              <w:t>规划名称：《新疆昌吉白杨河矿区总体规划》</w:t>
            </w:r>
          </w:p>
          <w:p>
            <w:pPr>
              <w:autoSpaceDE w:val="0"/>
              <w:autoSpaceDN w:val="0"/>
              <w:adjustRightInd w:val="0"/>
              <w:snapToGrid w:val="0"/>
              <w:spacing w:line="360" w:lineRule="auto"/>
              <w:ind w:firstLine="480" w:firstLineChars="200"/>
              <w:jc w:val="both"/>
              <w:rPr>
                <w:rFonts w:hint="default"/>
                <w:color w:val="auto"/>
                <w:kern w:val="0"/>
                <w:szCs w:val="21"/>
                <w:lang w:val="en-US" w:eastAsia="zh-CN"/>
              </w:rPr>
            </w:pPr>
            <w:r>
              <w:rPr>
                <w:rFonts w:hint="eastAsia"/>
                <w:color w:val="auto"/>
                <w:kern w:val="0"/>
                <w:szCs w:val="21"/>
                <w:lang w:val="en-US" w:eastAsia="zh-CN"/>
              </w:rPr>
              <w:t>审批机关：国家发展和改革委员会</w:t>
            </w:r>
          </w:p>
          <w:p>
            <w:pPr>
              <w:autoSpaceDE w:val="0"/>
              <w:autoSpaceDN w:val="0"/>
              <w:adjustRightInd w:val="0"/>
              <w:snapToGrid w:val="0"/>
              <w:spacing w:line="360" w:lineRule="auto"/>
              <w:ind w:firstLine="480" w:firstLineChars="200"/>
              <w:jc w:val="both"/>
              <w:rPr>
                <w:rFonts w:hint="default" w:cs="Times New Roman"/>
                <w:sz w:val="24"/>
                <w:szCs w:val="24"/>
                <w:highlight w:val="none"/>
                <w:lang w:val="en-US" w:eastAsia="zh-CN" w:bidi="ar-SA"/>
              </w:rPr>
            </w:pPr>
            <w:r>
              <w:rPr>
                <w:rFonts w:hint="eastAsia"/>
                <w:color w:val="auto"/>
                <w:kern w:val="0"/>
                <w:szCs w:val="21"/>
                <w:lang w:val="en-US" w:eastAsia="zh-CN"/>
              </w:rPr>
              <w:t>审批文件名称及文号：《国家发展改革委关于新疆昌吉白杨河矿区总体规划的批复》</w:t>
            </w:r>
            <w:r>
              <w:rPr>
                <w:rFonts w:hint="eastAsia"/>
                <w:color w:val="auto"/>
                <w:kern w:val="0"/>
                <w:szCs w:val="21"/>
                <w:lang w:eastAsia="zh-CN"/>
              </w:rPr>
              <w:t>（</w:t>
            </w:r>
            <w:r>
              <w:rPr>
                <w:rFonts w:hint="eastAsia"/>
                <w:color w:val="auto"/>
                <w:kern w:val="0"/>
                <w:szCs w:val="21"/>
                <w:lang w:val="en-US" w:eastAsia="zh-CN"/>
              </w:rPr>
              <w:t>发改能源[2011]2865号</w:t>
            </w:r>
            <w:r>
              <w:rPr>
                <w:rFonts w:hint="eastAsia"/>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规划环境影响评价情况</w:t>
            </w:r>
          </w:p>
        </w:tc>
        <w:tc>
          <w:tcPr>
            <w:tcW w:w="7175" w:type="dxa"/>
            <w:gridSpan w:val="3"/>
            <w:vAlign w:val="center"/>
          </w:tcPr>
          <w:p>
            <w:pPr>
              <w:autoSpaceDE w:val="0"/>
              <w:autoSpaceDN w:val="0"/>
              <w:adjustRightInd w:val="0"/>
              <w:snapToGrid w:val="0"/>
              <w:spacing w:line="360" w:lineRule="auto"/>
              <w:ind w:firstLine="480" w:firstLineChars="200"/>
              <w:jc w:val="both"/>
              <w:rPr>
                <w:rFonts w:hint="eastAsia"/>
                <w:color w:val="auto"/>
                <w:kern w:val="0"/>
                <w:szCs w:val="21"/>
                <w:lang w:eastAsia="zh-CN"/>
              </w:rPr>
            </w:pPr>
            <w:r>
              <w:rPr>
                <w:rFonts w:hint="eastAsia"/>
                <w:color w:val="auto"/>
                <w:kern w:val="0"/>
                <w:szCs w:val="21"/>
                <w:lang w:val="en-US" w:eastAsia="zh-CN"/>
              </w:rPr>
              <w:t>规划名称：</w:t>
            </w:r>
            <w:r>
              <w:rPr>
                <w:rFonts w:hint="eastAsia"/>
                <w:color w:val="auto"/>
                <w:kern w:val="0"/>
                <w:szCs w:val="21"/>
                <w:lang w:eastAsia="zh-CN"/>
              </w:rPr>
              <w:t>《</w:t>
            </w:r>
            <w:r>
              <w:rPr>
                <w:rFonts w:hint="eastAsia"/>
                <w:color w:val="auto"/>
                <w:kern w:val="0"/>
                <w:szCs w:val="21"/>
                <w:lang w:val="en-US" w:eastAsia="zh-CN"/>
              </w:rPr>
              <w:t>新疆准南煤田呼图壁白杨河矿区总体规划环境影响报告书</w:t>
            </w:r>
            <w:r>
              <w:rPr>
                <w:rFonts w:hint="eastAsia"/>
                <w:color w:val="auto"/>
                <w:kern w:val="0"/>
                <w:szCs w:val="21"/>
                <w:lang w:eastAsia="zh-CN"/>
              </w:rPr>
              <w:t>》</w:t>
            </w:r>
          </w:p>
          <w:p>
            <w:pPr>
              <w:autoSpaceDE w:val="0"/>
              <w:autoSpaceDN w:val="0"/>
              <w:adjustRightInd w:val="0"/>
              <w:snapToGrid w:val="0"/>
              <w:spacing w:line="360" w:lineRule="auto"/>
              <w:ind w:firstLine="480" w:firstLineChars="200"/>
              <w:jc w:val="both"/>
              <w:rPr>
                <w:rFonts w:hint="default"/>
                <w:color w:val="auto"/>
                <w:kern w:val="0"/>
                <w:szCs w:val="21"/>
                <w:lang w:val="en-US" w:eastAsia="zh-CN"/>
              </w:rPr>
            </w:pPr>
            <w:r>
              <w:rPr>
                <w:rFonts w:hint="eastAsia"/>
                <w:color w:val="auto"/>
                <w:kern w:val="0"/>
                <w:szCs w:val="21"/>
                <w:lang w:val="en-US" w:eastAsia="zh-CN"/>
              </w:rPr>
              <w:t>审批机关：原环境保护部</w:t>
            </w:r>
          </w:p>
          <w:p>
            <w:pPr>
              <w:autoSpaceDE w:val="0"/>
              <w:autoSpaceDN w:val="0"/>
              <w:adjustRightInd w:val="0"/>
              <w:snapToGrid w:val="0"/>
              <w:spacing w:line="360" w:lineRule="auto"/>
              <w:ind w:firstLine="480" w:firstLineChars="200"/>
              <w:jc w:val="both"/>
              <w:rPr>
                <w:rFonts w:hint="default" w:cs="Times New Roman"/>
                <w:sz w:val="24"/>
                <w:szCs w:val="24"/>
                <w:highlight w:val="none"/>
                <w:lang w:val="en-US" w:eastAsia="zh-CN" w:bidi="ar-SA"/>
              </w:rPr>
            </w:pPr>
            <w:r>
              <w:rPr>
                <w:rFonts w:hint="eastAsia"/>
                <w:color w:val="auto"/>
                <w:kern w:val="0"/>
                <w:szCs w:val="21"/>
                <w:lang w:val="en-US" w:eastAsia="zh-CN"/>
              </w:rPr>
              <w:t>审批文件名称及文号：《关于新疆准南煤田呼图壁白杨河矿区总体规划环境影响报告书的审查意见》（环审[2010]434号）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规划及规划环境影响评价符合性分析</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1规划符合性分析</w:t>
            </w:r>
          </w:p>
          <w:p>
            <w:pPr>
              <w:autoSpaceDE w:val="0"/>
              <w:autoSpaceDN w:val="0"/>
              <w:adjustRightInd w:val="0"/>
              <w:snapToGrid w:val="0"/>
              <w:spacing w:line="360" w:lineRule="auto"/>
              <w:ind w:firstLine="480" w:firstLineChars="200"/>
              <w:jc w:val="both"/>
              <w:rPr>
                <w:rFonts w:hint="eastAsia"/>
              </w:rPr>
            </w:pPr>
            <w:r>
              <w:rPr>
                <w:rFonts w:hint="eastAsia"/>
                <w:color w:val="auto"/>
                <w:kern w:val="0"/>
                <w:szCs w:val="21"/>
                <w:lang w:val="en-US" w:eastAsia="zh-CN"/>
              </w:rPr>
              <w:t>白杨河</w:t>
            </w:r>
            <w:r>
              <w:rPr>
                <w:rFonts w:hint="eastAsia"/>
              </w:rPr>
              <w:t>矿区东部以呼图壁县与昌吉市行政区划边界为界</w:t>
            </w:r>
            <w:r>
              <w:rPr>
                <w:rFonts w:hint="eastAsia"/>
                <w:lang w:eastAsia="zh-CN"/>
              </w:rPr>
              <w:t>，</w:t>
            </w:r>
            <w:r>
              <w:rPr>
                <w:rFonts w:hint="eastAsia"/>
              </w:rPr>
              <w:t>与硫磺沟矿区相邻</w:t>
            </w:r>
            <w:r>
              <w:rPr>
                <w:rFonts w:hint="eastAsia"/>
                <w:lang w:eastAsia="zh-CN"/>
              </w:rPr>
              <w:t>；</w:t>
            </w:r>
            <w:r>
              <w:rPr>
                <w:rFonts w:hint="eastAsia"/>
              </w:rPr>
              <w:t>西部以涝坝湾沟为界，与塔西河矿区相邻</w:t>
            </w:r>
            <w:r>
              <w:rPr>
                <w:rFonts w:hint="eastAsia"/>
                <w:lang w:eastAsia="zh-CN"/>
              </w:rPr>
              <w:t>；</w:t>
            </w:r>
            <w:r>
              <w:rPr>
                <w:rFonts w:hint="eastAsia"/>
              </w:rPr>
              <w:t>南部以B1、B2露头或煤层火烧区边界为界</w:t>
            </w:r>
            <w:r>
              <w:rPr>
                <w:rFonts w:hint="eastAsia"/>
                <w:lang w:eastAsia="zh-CN"/>
              </w:rPr>
              <w:t>；</w:t>
            </w:r>
            <w:r>
              <w:rPr>
                <w:rFonts w:hint="eastAsia"/>
              </w:rPr>
              <w:t>北部以B7煤层+250米底板等高线为界。矿区东西长40公里</w:t>
            </w:r>
            <w:r>
              <w:rPr>
                <w:rFonts w:hint="eastAsia"/>
                <w:lang w:eastAsia="zh-CN"/>
              </w:rPr>
              <w:t>，</w:t>
            </w:r>
            <w:r>
              <w:rPr>
                <w:rFonts w:hint="eastAsia"/>
              </w:rPr>
              <w:t>南北宽4~6公里，面积231平方公里</w:t>
            </w:r>
            <w:r>
              <w:rPr>
                <w:rFonts w:hint="eastAsia"/>
                <w:lang w:eastAsia="zh-CN"/>
              </w:rPr>
              <w:t>，</w:t>
            </w:r>
            <w:r>
              <w:rPr>
                <w:rFonts w:hint="eastAsia"/>
              </w:rPr>
              <w:t>资源储量74.9亿吨。</w:t>
            </w:r>
          </w:p>
          <w:p>
            <w:pPr>
              <w:autoSpaceDE w:val="0"/>
              <w:autoSpaceDN w:val="0"/>
              <w:adjustRightInd w:val="0"/>
              <w:snapToGrid w:val="0"/>
              <w:spacing w:line="360" w:lineRule="auto"/>
              <w:ind w:firstLine="480" w:firstLineChars="200"/>
              <w:jc w:val="both"/>
              <w:rPr>
                <w:rFonts w:hint="eastAsia" w:ascii="Times New Roman" w:hAnsi="Times New Roman" w:eastAsia="宋体" w:cs="宋体"/>
                <w:color w:val="auto"/>
                <w:kern w:val="0"/>
                <w:szCs w:val="21"/>
                <w:lang w:val="en-US" w:eastAsia="zh-CN"/>
              </w:rPr>
            </w:pPr>
            <w:r>
              <w:rPr>
                <w:rFonts w:hint="eastAsia" w:ascii="Times New Roman" w:hAnsi="Times New Roman" w:eastAsia="宋体" w:cs="宋体"/>
                <w:color w:val="auto"/>
                <w:kern w:val="0"/>
                <w:szCs w:val="21"/>
                <w:lang w:val="en-US" w:eastAsia="zh-CN"/>
              </w:rPr>
              <w:t>矿区划分12个井田、1个中小</w:t>
            </w:r>
            <w:r>
              <w:rPr>
                <w:rFonts w:hint="eastAsia" w:cs="宋体"/>
                <w:color w:val="auto"/>
                <w:kern w:val="0"/>
                <w:szCs w:val="21"/>
                <w:lang w:val="en-US" w:eastAsia="zh-CN"/>
              </w:rPr>
              <w:t>煤矿</w:t>
            </w:r>
            <w:r>
              <w:rPr>
                <w:rFonts w:hint="eastAsia" w:ascii="Times New Roman" w:hAnsi="Times New Roman" w:eastAsia="宋体" w:cs="宋体"/>
                <w:color w:val="auto"/>
                <w:kern w:val="0"/>
                <w:szCs w:val="21"/>
                <w:lang w:val="en-US" w:eastAsia="zh-CN"/>
              </w:rPr>
              <w:t>开采区和3个</w:t>
            </w:r>
            <w:r>
              <w:rPr>
                <w:rFonts w:hint="eastAsia" w:cs="宋体"/>
                <w:color w:val="auto"/>
                <w:kern w:val="0"/>
                <w:szCs w:val="21"/>
                <w:lang w:val="en-US" w:eastAsia="zh-CN"/>
              </w:rPr>
              <w:t>勘查区</w:t>
            </w:r>
            <w:r>
              <w:rPr>
                <w:rFonts w:hint="eastAsia" w:ascii="Times New Roman" w:hAnsi="Times New Roman" w:eastAsia="宋体" w:cs="宋体"/>
                <w:color w:val="auto"/>
                <w:kern w:val="0"/>
                <w:szCs w:val="21"/>
                <w:lang w:val="en-US" w:eastAsia="zh-CN"/>
              </w:rPr>
              <w:t>建设总规模2670万吨/年。其中：规划整合矿井6处，建设规模870万吨/年</w:t>
            </w:r>
            <w:r>
              <w:rPr>
                <w:rFonts w:hint="eastAsia" w:cs="宋体"/>
                <w:color w:val="auto"/>
                <w:kern w:val="0"/>
                <w:szCs w:val="21"/>
                <w:lang w:val="en-US" w:eastAsia="zh-CN"/>
              </w:rPr>
              <w:t>，</w:t>
            </w:r>
            <w:r>
              <w:rPr>
                <w:rFonts w:hint="eastAsia" w:ascii="Times New Roman" w:hAnsi="Times New Roman" w:eastAsia="宋体" w:cs="宋体"/>
                <w:color w:val="auto"/>
                <w:kern w:val="0"/>
                <w:szCs w:val="21"/>
                <w:lang w:val="en-US" w:eastAsia="zh-CN"/>
              </w:rPr>
              <w:t>分别为</w:t>
            </w:r>
            <w:r>
              <w:rPr>
                <w:rFonts w:hint="eastAsia" w:cs="宋体"/>
                <w:color w:val="auto"/>
                <w:kern w:val="0"/>
                <w:szCs w:val="21"/>
                <w:lang w:val="en-US" w:eastAsia="zh-CN"/>
              </w:rPr>
              <w:t>西沟煤矿</w:t>
            </w:r>
            <w:r>
              <w:rPr>
                <w:rFonts w:hint="eastAsia" w:ascii="Times New Roman" w:hAnsi="Times New Roman" w:eastAsia="宋体" w:cs="宋体"/>
                <w:color w:val="auto"/>
                <w:kern w:val="0"/>
                <w:szCs w:val="21"/>
                <w:lang w:val="en-US" w:eastAsia="zh-CN"/>
              </w:rPr>
              <w:t>240万吨/年、小甘沟煤矿150万吨/年、小东沟矿井120万吨/年</w:t>
            </w:r>
            <w:r>
              <w:rPr>
                <w:rFonts w:hint="eastAsia" w:cs="宋体"/>
                <w:color w:val="auto"/>
                <w:kern w:val="0"/>
                <w:szCs w:val="21"/>
                <w:lang w:val="en-US" w:eastAsia="zh-CN"/>
              </w:rPr>
              <w:t>、</w:t>
            </w:r>
            <w:r>
              <w:rPr>
                <w:rFonts w:hint="eastAsia" w:ascii="Times New Roman" w:hAnsi="Times New Roman" w:eastAsia="宋体" w:cs="宋体"/>
                <w:color w:val="auto"/>
                <w:kern w:val="0"/>
                <w:szCs w:val="21"/>
                <w:lang w:val="en-US" w:eastAsia="zh-CN"/>
              </w:rPr>
              <w:t>一0六团矿井180万吨/年、</w:t>
            </w:r>
            <w:r>
              <w:rPr>
                <w:rFonts w:hint="eastAsia" w:cs="宋体"/>
                <w:color w:val="auto"/>
                <w:kern w:val="0"/>
                <w:szCs w:val="21"/>
                <w:lang w:val="en-US" w:eastAsia="zh-CN"/>
              </w:rPr>
              <w:t>石梯子</w:t>
            </w:r>
            <w:r>
              <w:rPr>
                <w:rFonts w:hint="eastAsia" w:ascii="Times New Roman" w:hAnsi="Times New Roman" w:eastAsia="宋体" w:cs="宋体"/>
                <w:color w:val="auto"/>
                <w:kern w:val="0"/>
                <w:szCs w:val="21"/>
                <w:lang w:val="en-US" w:eastAsia="zh-CN"/>
              </w:rPr>
              <w:t>西沟矿井90万吨/年、石梯子东沟矿井90万吨/年。规划改扩建矿井1处，为宽沟矿井由150万吨/年改扩建到400万吨/年。规划新建矿井5处，建设规模1400万吨/年，分别为铁列克矿井300万吨/年、天业矿井240万吨/年、白杨河矿井500万吨/年</w:t>
            </w:r>
            <w:r>
              <w:rPr>
                <w:rFonts w:hint="eastAsia" w:cs="宋体"/>
                <w:color w:val="auto"/>
                <w:kern w:val="0"/>
                <w:szCs w:val="21"/>
                <w:lang w:val="en-US" w:eastAsia="zh-CN"/>
              </w:rPr>
              <w:t>、</w:t>
            </w:r>
            <w:r>
              <w:rPr>
                <w:rFonts w:hint="eastAsia" w:ascii="Times New Roman" w:hAnsi="Times New Roman" w:eastAsia="宋体" w:cs="宋体"/>
                <w:color w:val="auto"/>
                <w:kern w:val="0"/>
                <w:szCs w:val="21"/>
                <w:lang w:val="en-US" w:eastAsia="zh-CN"/>
              </w:rPr>
              <w:t>苇子沟矿井300 万吨/年、石梯子马道沟矿井60万吨/年。</w:t>
            </w:r>
          </w:p>
          <w:p>
            <w:pPr>
              <w:autoSpaceDE w:val="0"/>
              <w:autoSpaceDN w:val="0"/>
              <w:adjustRightInd w:val="0"/>
              <w:snapToGrid w:val="0"/>
              <w:spacing w:line="360" w:lineRule="auto"/>
              <w:ind w:firstLine="480" w:firstLineChars="200"/>
              <w:jc w:val="both"/>
              <w:rPr>
                <w:rFonts w:hint="eastAsia" w:eastAsia="宋体"/>
                <w:highlight w:val="yellow"/>
                <w:lang w:eastAsia="zh-CN"/>
              </w:rPr>
            </w:pPr>
            <w:r>
              <w:rPr>
                <w:rFonts w:hint="eastAsia"/>
                <w:highlight w:val="none"/>
                <w:lang w:val="en-US" w:eastAsia="zh-CN"/>
              </w:rPr>
              <w:t>根据</w:t>
            </w:r>
            <w:r>
              <w:rPr>
                <w:rFonts w:hint="eastAsia"/>
                <w:color w:val="auto"/>
                <w:kern w:val="0"/>
                <w:szCs w:val="21"/>
                <w:highlight w:val="none"/>
                <w:lang w:val="en-US" w:eastAsia="zh-CN"/>
              </w:rPr>
              <w:t>《新疆昌吉白杨河矿区总体规划》</w:t>
            </w:r>
            <w:r>
              <w:rPr>
                <w:rFonts w:hint="eastAsia"/>
                <w:highlight w:val="none"/>
                <w:lang w:val="en-US" w:eastAsia="zh-CN"/>
              </w:rPr>
              <w:t>以及</w:t>
            </w:r>
            <w:r>
              <w:rPr>
                <w:rFonts w:hint="eastAsia"/>
                <w:color w:val="auto"/>
                <w:kern w:val="0"/>
                <w:szCs w:val="21"/>
                <w:lang w:val="en-US" w:eastAsia="zh-CN"/>
              </w:rPr>
              <w:t>《关于新疆准南煤田呼图壁白杨河矿区总体规划环境影响报告书的审查意见》（环审[2010]434号）</w:t>
            </w:r>
            <w:r>
              <w:rPr>
                <w:rFonts w:hint="eastAsia"/>
                <w:highlight w:val="none"/>
                <w:lang w:eastAsia="zh-CN"/>
              </w:rPr>
              <w:t>，</w:t>
            </w:r>
            <w:r>
              <w:rPr>
                <w:rFonts w:hint="eastAsia"/>
                <w:highlight w:val="none"/>
                <w:lang w:val="en-US" w:eastAsia="zh-CN"/>
              </w:rPr>
              <w:t>“矿区生产建设中，要加强矿区安全生产管理，做好矿区环境保护，防止水土流失。加强煤矸石、矿井水等资源综合利用。要注重提高煤炭开采技术水平和资源回收率</w:t>
            </w:r>
            <w:r>
              <w:rPr>
                <w:rFonts w:hint="eastAsia"/>
                <w:highlight w:val="none"/>
                <w:lang w:eastAsia="zh-CN"/>
              </w:rPr>
              <w:t>”。“呼图壁南山森林公园和呼图壁林场天保工程区重点公益林区等环境敏感区应划为禁采、限采区，严格控制煤炭开采边界避免对其产生影响。”“加大生态治理力度，制定可行的生态修复方案，切实预防或减缓规划实施可能引起的地表沉陷、植被破坏、水流失等生态环境影响。”“提高矿井水综合利用率。生活污水、</w:t>
            </w:r>
            <w:r>
              <w:rPr>
                <w:rFonts w:hint="eastAsia"/>
                <w:highlight w:val="none"/>
                <w:lang w:val="en-US" w:eastAsia="zh-CN"/>
              </w:rPr>
              <w:t>煤矸石</w:t>
            </w:r>
            <w:r>
              <w:rPr>
                <w:rFonts w:hint="eastAsia"/>
                <w:highlight w:val="none"/>
                <w:lang w:eastAsia="zh-CN"/>
              </w:rPr>
              <w:t>的综合利用和处置率应达到100%。矿区生活垃圾应全部集中无害化处理。提出煤层气、金属</w:t>
            </w:r>
            <w:r>
              <w:rPr>
                <w:rFonts w:hint="eastAsia"/>
                <w:highlight w:val="none"/>
                <w:lang w:val="en-US" w:eastAsia="zh-CN"/>
              </w:rPr>
              <w:t>镓</w:t>
            </w:r>
            <w:r>
              <w:rPr>
                <w:rFonts w:hint="eastAsia"/>
                <w:highlight w:val="none"/>
                <w:lang w:eastAsia="zh-CN"/>
              </w:rPr>
              <w:t>、</w:t>
            </w:r>
            <w:r>
              <w:rPr>
                <w:rFonts w:hint="eastAsia"/>
                <w:highlight w:val="none"/>
                <w:lang w:val="en-US" w:eastAsia="zh-CN"/>
              </w:rPr>
              <w:t>锗</w:t>
            </w:r>
            <w:r>
              <w:rPr>
                <w:rFonts w:hint="eastAsia"/>
                <w:highlight w:val="none"/>
                <w:lang w:eastAsia="zh-CN"/>
              </w:rPr>
              <w:t>综合利用规划。”</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default" w:cs="Times New Roman"/>
                <w:sz w:val="24"/>
                <w:szCs w:val="24"/>
                <w:highlight w:val="none"/>
                <w:lang w:val="en-US" w:eastAsia="zh-CN" w:bidi="ar-SA"/>
              </w:rPr>
            </w:pPr>
            <w:r>
              <w:rPr>
                <w:rFonts w:hint="eastAsia" w:hAnsi="Times New Roman" w:eastAsia="宋体" w:cs="宋体"/>
                <w:b w:val="0"/>
                <w:color w:val="auto"/>
                <w:kern w:val="0"/>
                <w:sz w:val="24"/>
                <w:szCs w:val="22"/>
                <w:highlight w:val="none"/>
                <w:lang w:val="en-US" w:eastAsia="zh-CN" w:bidi="ar-SA"/>
              </w:rPr>
              <w:t>项目建成后将加强矿区及其周围的绿化和植被的恢复及补偿工作，加强生态保护以及恢复治理，石梯子西沟煤矿于2018年编制《呼图壁县石梯子西沟煤矿绿色矿山建设实施方案》，并向社会公布</w:t>
            </w:r>
            <w:r>
              <w:rPr>
                <w:rFonts w:hint="eastAsia" w:ascii="Times New Roman" w:hAnsi="Times New Roman" w:eastAsia="宋体" w:cs="Times New Roman"/>
                <w:b w:val="0"/>
                <w:bCs/>
                <w:snapToGrid w:val="0"/>
                <w:color w:val="000000"/>
                <w:kern w:val="2"/>
                <w:sz w:val="24"/>
                <w:szCs w:val="24"/>
                <w:lang w:val="en-US" w:eastAsia="zh-CN" w:bidi="ar-SA"/>
              </w:rPr>
              <w:t>对</w:t>
            </w:r>
            <w:r>
              <w:rPr>
                <w:rFonts w:hint="eastAsia" w:hAnsi="Times New Roman" w:eastAsia="宋体" w:cs="Times New Roman"/>
                <w:b w:val="0"/>
                <w:bCs/>
                <w:snapToGrid w:val="0"/>
                <w:color w:val="000000"/>
                <w:kern w:val="2"/>
                <w:sz w:val="24"/>
                <w:szCs w:val="24"/>
                <w:lang w:val="en-US" w:eastAsia="zh-CN" w:bidi="ar-SA"/>
              </w:rPr>
              <w:t>。</w:t>
            </w:r>
            <w:r>
              <w:rPr>
                <w:rFonts w:hint="eastAsia" w:ascii="Times New Roman" w:hAnsi="Times New Roman" w:eastAsia="宋体" w:cs="宋体"/>
                <w:b w:val="0"/>
                <w:color w:val="auto"/>
                <w:kern w:val="0"/>
                <w:sz w:val="24"/>
                <w:szCs w:val="22"/>
                <w:highlight w:val="none"/>
                <w:lang w:val="en-US" w:eastAsia="zh-CN" w:bidi="ar-SA"/>
              </w:rPr>
              <w:t>因此本项目的建设符合</w:t>
            </w:r>
            <w:r>
              <w:rPr>
                <w:rFonts w:hint="eastAsia" w:hAnsi="Times New Roman" w:eastAsia="宋体" w:cs="宋体"/>
                <w:b w:val="0"/>
                <w:color w:val="auto"/>
                <w:kern w:val="0"/>
                <w:sz w:val="24"/>
                <w:szCs w:val="22"/>
                <w:highlight w:val="none"/>
                <w:lang w:val="en-US" w:eastAsia="zh-CN" w:bidi="ar-SA"/>
              </w:rPr>
              <w:t>矿区</w:t>
            </w:r>
            <w:r>
              <w:rPr>
                <w:rFonts w:hint="eastAsia" w:ascii="Times New Roman" w:hAnsi="Times New Roman" w:eastAsia="宋体" w:cs="宋体"/>
                <w:b w:val="0"/>
                <w:color w:val="auto"/>
                <w:kern w:val="0"/>
                <w:sz w:val="24"/>
                <w:szCs w:val="22"/>
                <w:highlight w:val="none"/>
                <w:lang w:val="en-US" w:eastAsia="zh-CN" w:bidi="ar-SA"/>
              </w:rPr>
              <w:t>的规划及规划环评的要求。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Hans" w:bidi="ar-SA"/>
              </w:rPr>
              <w:t>其他符合性分析</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2</w:t>
            </w:r>
            <w:r>
              <w:rPr>
                <w:rFonts w:hint="eastAsia" w:ascii="Times New Roman" w:hAnsi="Times New Roman" w:eastAsia="宋体" w:cs="黑体"/>
                <w:b/>
                <w:sz w:val="28"/>
                <w:szCs w:val="30"/>
                <w:lang w:val="en-US" w:eastAsia="zh-CN" w:bidi="ar-SA"/>
              </w:rPr>
              <w:t>产业政策相符性分析</w:t>
            </w:r>
          </w:p>
          <w:p>
            <w:pPr>
              <w:overflowPunct w:val="0"/>
              <w:autoSpaceDE w:val="0"/>
              <w:autoSpaceDN w:val="0"/>
              <w:bidi w:val="0"/>
              <w:adjustRightInd w:val="0"/>
              <w:snapToGrid w:val="0"/>
              <w:spacing w:before="0" w:after="0" w:line="360" w:lineRule="auto"/>
              <w:ind w:left="0" w:right="0" w:firstLine="480" w:firstLineChars="200"/>
              <w:jc w:val="both"/>
              <w:rPr>
                <w:rFonts w:hint="eastAsia"/>
              </w:rPr>
            </w:pPr>
            <w:r>
              <w:rPr>
                <w:rFonts w:hint="eastAsia" w:ascii="Times New Roman" w:eastAsia="宋体"/>
                <w:lang w:val="en-US" w:eastAsia="zh-CN"/>
              </w:rPr>
              <w:t>根据</w:t>
            </w:r>
            <w:r>
              <w:rPr>
                <w:rFonts w:hint="eastAsia" w:ascii="Times New Roman" w:eastAsia="宋体" w:cs="宋体"/>
                <w:lang w:val="en-US" w:eastAsia="zh-CN"/>
              </w:rPr>
              <w:t>《产业结构调整指导目录（2019年本）》</w:t>
            </w:r>
            <w:r>
              <w:rPr>
                <w:rFonts w:hint="eastAsia" w:cs="宋体"/>
                <w:lang w:val="en-US" w:eastAsia="zh-CN"/>
              </w:rPr>
              <w:t>（2021年修订）</w:t>
            </w:r>
            <w:r>
              <w:rPr>
                <w:rFonts w:hint="eastAsia" w:ascii="Times New Roman" w:eastAsia="宋体"/>
                <w:lang w:val="en-US" w:eastAsia="zh-CN"/>
              </w:rPr>
              <w:t>，</w:t>
            </w:r>
            <w:r>
              <w:rPr>
                <w:rFonts w:hint="eastAsia"/>
                <w:lang w:val="en-US" w:eastAsia="zh-CN"/>
              </w:rPr>
              <w:t>本项目属于</w:t>
            </w:r>
            <w:r>
              <w:rPr>
                <w:rFonts w:hint="eastAsia" w:ascii="Times New Roman" w:eastAsia="宋体"/>
                <w:lang w:val="en-US" w:eastAsia="zh-CN"/>
              </w:rPr>
              <w:t>鼓励类“三、煤炭”中“5、煤层气勘探、开发、利用和煤矿瓦斯抽采、利用”，符合产业政策。</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3</w:t>
            </w:r>
            <w:r>
              <w:rPr>
                <w:rFonts w:hint="eastAsia" w:ascii="Times New Roman" w:hAnsi="Times New Roman" w:eastAsia="宋体" w:cs="黑体"/>
                <w:b/>
                <w:sz w:val="28"/>
                <w:szCs w:val="30"/>
                <w:lang w:val="en-US" w:eastAsia="zh-CN" w:bidi="ar-SA"/>
              </w:rPr>
              <w:t>“三线一单”控制要求的相符性</w:t>
            </w:r>
          </w:p>
          <w:p>
            <w:pPr>
              <w:widowControl w:val="0"/>
              <w:spacing w:line="360" w:lineRule="auto"/>
              <w:ind w:firstLine="480" w:firstLineChars="200"/>
              <w:jc w:val="both"/>
              <w:rPr>
                <w:rFonts w:hint="default"/>
              </w:rPr>
            </w:pPr>
            <w:r>
              <w:rPr>
                <w:rFonts w:hint="default"/>
                <w:lang w:val="en-US" w:eastAsia="zh-CN"/>
              </w:rPr>
              <w:t>为贯彻落实《中共中央</w:t>
            </w:r>
            <w:r>
              <w:rPr>
                <w:rFonts w:hint="eastAsia" w:ascii="Times New Roman" w:eastAsia="宋体"/>
                <w:lang w:val="en-US" w:eastAsia="zh-CN"/>
              </w:rPr>
              <w:t xml:space="preserve"> </w:t>
            </w:r>
            <w:r>
              <w:rPr>
                <w:rFonts w:hint="default"/>
                <w:lang w:val="en-US" w:eastAsia="zh-CN"/>
              </w:rPr>
              <w:t>国务院关于全面加强生态环境保护坚决打好污染防治攻坚战的意见》、《自治区党委</w:t>
            </w:r>
            <w:r>
              <w:rPr>
                <w:rFonts w:hint="eastAsia" w:ascii="Times New Roman" w:eastAsia="宋体"/>
                <w:lang w:val="en-US" w:eastAsia="zh-CN"/>
              </w:rPr>
              <w:t xml:space="preserve"> </w:t>
            </w:r>
            <w:r>
              <w:rPr>
                <w:rFonts w:hint="default"/>
                <w:lang w:val="en-US" w:eastAsia="zh-CN"/>
              </w:rPr>
              <w:t>自治区人民政府关于全面加强生态环境保护坚决打好污染防治攻坚战实施方案》和《自治州党委</w:t>
            </w:r>
            <w:r>
              <w:rPr>
                <w:rFonts w:hint="eastAsia" w:ascii="Times New Roman" w:eastAsia="宋体"/>
                <w:lang w:val="en-US" w:eastAsia="zh-CN"/>
              </w:rPr>
              <w:t xml:space="preserve"> </w:t>
            </w:r>
            <w:r>
              <w:rPr>
                <w:rFonts w:hint="default"/>
                <w:lang w:val="en-US" w:eastAsia="zh-CN"/>
              </w:rPr>
              <w:t>自治州人民政府关于全面加强生态环境保护坚决打好污染防治攻坚战实施方案》，落实《新疆维吾尔自治区</w:t>
            </w:r>
            <w:r>
              <w:rPr>
                <w:rFonts w:hint="eastAsia" w:ascii="Times New Roman" w:eastAsia="宋体"/>
                <w:lang w:val="en-US" w:eastAsia="zh-CN"/>
              </w:rPr>
              <w:t>“</w:t>
            </w:r>
            <w:r>
              <w:rPr>
                <w:rFonts w:hint="default"/>
                <w:lang w:val="en-US" w:eastAsia="zh-CN"/>
              </w:rPr>
              <w:t>三线一单</w:t>
            </w:r>
            <w:r>
              <w:rPr>
                <w:rFonts w:hint="eastAsia" w:ascii="Times New Roman" w:eastAsia="宋体"/>
                <w:lang w:val="en-US" w:eastAsia="zh-CN"/>
              </w:rPr>
              <w:t>”</w:t>
            </w:r>
            <w:r>
              <w:rPr>
                <w:rFonts w:hint="default"/>
                <w:lang w:val="en-US" w:eastAsia="zh-CN"/>
              </w:rPr>
              <w:t>生态环境分区管控方案》，按照生态环境部和自治区生态环境厅统一部署，自治州组织编制了</w:t>
            </w:r>
            <w:r>
              <w:rPr>
                <w:rFonts w:hint="eastAsia" w:ascii="Times New Roman" w:eastAsia="宋体"/>
                <w:lang w:val="en-US" w:eastAsia="zh-CN"/>
              </w:rPr>
              <w:t>“</w:t>
            </w:r>
            <w:r>
              <w:rPr>
                <w:rFonts w:hint="default"/>
                <w:lang w:val="en-US" w:eastAsia="zh-CN"/>
              </w:rPr>
              <w:t>生态保护红线、环境质量底线、资源利用上线和生态环境准入清单</w:t>
            </w:r>
            <w:r>
              <w:rPr>
                <w:rFonts w:hint="eastAsia" w:ascii="Times New Roman" w:eastAsia="宋体"/>
                <w:lang w:val="en-US" w:eastAsia="zh-CN"/>
              </w:rPr>
              <w:t>”</w:t>
            </w:r>
            <w:r>
              <w:rPr>
                <w:rFonts w:hint="default"/>
                <w:lang w:val="en-US" w:eastAsia="zh-CN"/>
              </w:rPr>
              <w:t>（以下简称</w:t>
            </w:r>
            <w:r>
              <w:rPr>
                <w:rFonts w:hint="eastAsia" w:ascii="Times New Roman" w:eastAsia="宋体"/>
                <w:lang w:val="en-US" w:eastAsia="zh-CN"/>
              </w:rPr>
              <w:t>“</w:t>
            </w:r>
            <w:r>
              <w:rPr>
                <w:rFonts w:hint="default"/>
                <w:lang w:val="en-US" w:eastAsia="zh-CN"/>
              </w:rPr>
              <w:t>三线一单</w:t>
            </w:r>
            <w:r>
              <w:rPr>
                <w:rFonts w:hint="eastAsia" w:ascii="Times New Roman" w:eastAsia="宋体"/>
                <w:lang w:val="en-US" w:eastAsia="zh-CN"/>
              </w:rPr>
              <w:t>”</w:t>
            </w:r>
            <w:r>
              <w:rPr>
                <w:rFonts w:hint="default"/>
                <w:lang w:val="en-US" w:eastAsia="zh-CN"/>
              </w:rPr>
              <w:t>），现就实施</w:t>
            </w:r>
            <w:r>
              <w:rPr>
                <w:rFonts w:hint="eastAsia" w:ascii="Times New Roman" w:eastAsia="宋体"/>
                <w:lang w:val="en-US" w:eastAsia="zh-CN"/>
              </w:rPr>
              <w:t>“</w:t>
            </w:r>
            <w:r>
              <w:rPr>
                <w:rFonts w:hint="default"/>
                <w:lang w:val="en-US" w:eastAsia="zh-CN"/>
              </w:rPr>
              <w:t>三线一单</w:t>
            </w:r>
            <w:r>
              <w:rPr>
                <w:rFonts w:hint="eastAsia" w:ascii="Times New Roman" w:eastAsia="宋体"/>
                <w:lang w:val="en-US" w:eastAsia="zh-CN"/>
              </w:rPr>
              <w:t>”</w:t>
            </w:r>
            <w:r>
              <w:rPr>
                <w:rFonts w:hint="default"/>
                <w:lang w:val="en-US" w:eastAsia="zh-CN"/>
              </w:rPr>
              <w:t>生态环境分区管控，制定</w:t>
            </w:r>
            <w:r>
              <w:rPr>
                <w:rFonts w:hint="eastAsia" w:ascii="Times New Roman" w:eastAsia="宋体"/>
                <w:lang w:val="en-US" w:eastAsia="zh-CN"/>
              </w:rPr>
              <w:t>《昌吉回族自治州“三线一单”生态环境分区管控方案》</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（1）生态保护红线</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按照</w:t>
            </w:r>
            <w:r>
              <w:rPr>
                <w:rFonts w:hint="eastAsia" w:ascii="Times New Roman" w:eastAsia="宋体"/>
                <w:lang w:val="en-US" w:eastAsia="zh-CN"/>
              </w:rPr>
              <w:t>“</w:t>
            </w:r>
            <w:r>
              <w:rPr>
                <w:rFonts w:hint="default"/>
                <w:lang w:val="en-US" w:eastAsia="zh-CN"/>
              </w:rPr>
              <w:t>生态功能不降低、面积不减少、性质不改变</w:t>
            </w:r>
            <w:r>
              <w:rPr>
                <w:rFonts w:hint="eastAsia" w:ascii="Times New Roman" w:eastAsia="宋体"/>
                <w:lang w:val="en-US" w:eastAsia="zh-CN"/>
              </w:rPr>
              <w:t>”</w:t>
            </w:r>
            <w:r>
              <w:rPr>
                <w:rFonts w:hint="default"/>
                <w:lang w:val="en-US" w:eastAsia="zh-CN"/>
              </w:rPr>
              <w:t>的基本要求，生态空间得到优化和保护，生态保护红线得到严格管控。生态功能保持稳定，生物多样性水平稳步提升，生态空间保护体系基本建立。</w:t>
            </w:r>
          </w:p>
          <w:p>
            <w:pPr>
              <w:widowControl w:val="0"/>
              <w:overflowPunct w:val="0"/>
              <w:autoSpaceDE w:val="0"/>
              <w:autoSpaceDN w:val="0"/>
              <w:adjustRightInd w:val="0"/>
              <w:snapToGrid w:val="0"/>
              <w:spacing w:before="0" w:after="0" w:line="360" w:lineRule="auto"/>
              <w:ind w:left="0" w:right="0" w:firstLine="480" w:firstLineChars="200"/>
              <w:jc w:val="both"/>
              <w:rPr>
                <w:rFonts w:hint="default"/>
                <w:lang w:val="en-US" w:eastAsia="zh-CN"/>
              </w:rPr>
            </w:pPr>
            <w:r>
              <w:rPr>
                <w:rFonts w:hint="eastAsia" w:ascii="Times New Roman" w:eastAsia="宋体"/>
                <w:lang w:val="en-US" w:eastAsia="zh-CN"/>
              </w:rPr>
              <w:t>根据图1.3-1，本项目位于</w:t>
            </w:r>
            <w:r>
              <w:rPr>
                <w:rFonts w:hint="eastAsia"/>
                <w:lang w:val="en-US" w:eastAsia="zh-CN"/>
              </w:rPr>
              <w:t>呼图壁县</w:t>
            </w:r>
            <w:r>
              <w:rPr>
                <w:rFonts w:hint="eastAsia" w:ascii="Times New Roman" w:eastAsia="宋体"/>
                <w:lang w:val="en-US" w:eastAsia="zh-CN"/>
              </w:rPr>
              <w:t>划定的</w:t>
            </w:r>
            <w:r>
              <w:rPr>
                <w:rFonts w:hint="eastAsia"/>
                <w:lang w:val="en-US" w:eastAsia="zh-CN"/>
              </w:rPr>
              <w:t>重点</w:t>
            </w:r>
            <w:r>
              <w:rPr>
                <w:rFonts w:hint="eastAsia" w:ascii="Times New Roman" w:eastAsia="宋体"/>
                <w:lang w:val="en-US" w:eastAsia="zh-CN"/>
              </w:rPr>
              <w:t>管控单元内，不涉及生态保护红线，项目所在区域不存在自然保护区、风景名胜区、饮用水水源保护区等需要特别保护的区域，不属于禁止建设开发区和限制建设开发区，符合生态保护红线的要求，</w:t>
            </w:r>
            <w:r>
              <w:t>不会影响所在区域内生态功能</w:t>
            </w:r>
            <w:r>
              <w:rPr>
                <w:rFonts w:hint="eastAsia" w:ascii="Times New Roman" w:eastAsia="宋体"/>
                <w:lang w:val="en-US" w:eastAsia="zh-CN"/>
              </w:rPr>
              <w:t>和性质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（2）环境质量底线</w:t>
            </w:r>
          </w:p>
          <w:p>
            <w:pPr>
              <w:widowControl w:val="0"/>
              <w:overflowPunct w:val="0"/>
              <w:autoSpaceDE w:val="0"/>
              <w:autoSpaceDN w:val="0"/>
              <w:adjustRightInd w:val="0"/>
              <w:snapToGrid w:val="0"/>
              <w:spacing w:before="0" w:after="0" w:line="360" w:lineRule="auto"/>
              <w:ind w:left="0" w:right="0" w:firstLine="480" w:firstLineChars="200"/>
              <w:jc w:val="both"/>
            </w:pPr>
            <w:r>
              <w:rPr>
                <w:rFonts w:hint="eastAsia"/>
              </w:rPr>
              <w:t>全州环境空气质量有所提升，重污染天数持续减少，已达标城市环境空气质量保持稳定，未达标城市环境空气质量持续改善；</w:t>
            </w:r>
            <w:r>
              <w:t>全州河流、湖库及城镇集中式饮用水水源地水质稳中向好。地下水质量考核点位水质级别保持稳定，地下水污染风险得到有效控制</w:t>
            </w:r>
            <w:r>
              <w:rPr>
                <w:rFonts w:hint="eastAsia"/>
              </w:rPr>
              <w:t>，地下水超采得到严格控制；全州土壤环境质量保持稳定，污染地块安全利用水平稳中有升，土壤环境风险得到进一步管控。</w:t>
            </w:r>
          </w:p>
          <w:p>
            <w:pPr>
              <w:widowControl w:val="0"/>
              <w:overflowPunct w:val="0"/>
              <w:autoSpaceDE w:val="0"/>
              <w:autoSpaceDN w:val="0"/>
              <w:adjustRightInd w:val="0"/>
              <w:snapToGrid w:val="0"/>
              <w:spacing w:before="0" w:after="0" w:line="360" w:lineRule="auto"/>
              <w:ind w:left="0" w:right="0" w:firstLine="480" w:firstLineChars="200"/>
              <w:jc w:val="both"/>
              <w:rPr>
                <w:rFonts w:hint="eastAsia"/>
                <w:lang w:eastAsia="zh-CN"/>
              </w:rPr>
            </w:pPr>
            <w:r>
              <w:t>本项目施工期产生的废气、废水、固体废物、噪声对区域环境影响较小，且随施工结束而消失；营运期项目</w:t>
            </w:r>
            <w:r>
              <w:rPr>
                <w:rFonts w:hint="eastAsia" w:ascii="Times New Roman" w:eastAsia="宋体"/>
                <w:lang w:val="en-US" w:eastAsia="zh-CN"/>
              </w:rPr>
              <w:t>不涉及地下水</w:t>
            </w:r>
            <w:r>
              <w:rPr>
                <w:rFonts w:hint="eastAsia"/>
                <w:lang w:val="en-US" w:eastAsia="zh-CN"/>
              </w:rPr>
              <w:t>开采</w:t>
            </w:r>
            <w:r>
              <w:rPr>
                <w:rFonts w:hint="eastAsia" w:ascii="Times New Roman" w:eastAsia="宋体"/>
                <w:lang w:val="en-US" w:eastAsia="zh-CN"/>
              </w:rPr>
              <w:t>，</w:t>
            </w:r>
            <w:r>
              <w:rPr>
                <w:rFonts w:hint="eastAsia"/>
                <w:lang w:val="en-US" w:eastAsia="zh-CN"/>
              </w:rPr>
              <w:t>本项目无新增员工，因此无新增生活用水，生产用水主要为抽采泵循环用水，新增用水来自现有矿井供水系统</w:t>
            </w:r>
            <w:r>
              <w:rPr>
                <w:rFonts w:hint="default"/>
                <w:lang w:val="en-US" w:eastAsia="zh-CN"/>
              </w:rPr>
              <w:t>。</w:t>
            </w:r>
            <w:r>
              <w:rPr>
                <w:rFonts w:hint="eastAsia" w:ascii="Times New Roman" w:eastAsia="宋体"/>
                <w:lang w:val="en-US" w:eastAsia="zh-CN"/>
              </w:rPr>
              <w:t>本项目对区域环境质量造成的影响降低。工业固废均得到合理处置。</w:t>
            </w:r>
          </w:p>
          <w:p>
            <w:pPr>
              <w:overflowPunct w:val="0"/>
              <w:autoSpaceDE w:val="0"/>
              <w:autoSpaceDN w:val="0"/>
              <w:bidi w:val="0"/>
              <w:adjustRightInd w:val="0"/>
              <w:snapToGrid w:val="0"/>
              <w:spacing w:before="0" w:after="0" w:line="360" w:lineRule="auto"/>
              <w:ind w:left="0" w:right="0" w:firstLine="480" w:firstLineChars="200"/>
              <w:jc w:val="left"/>
              <w:rPr>
                <w:rFonts w:hint="default"/>
                <w:lang w:val="en-US" w:eastAsia="zh-CN"/>
              </w:rPr>
            </w:pPr>
            <w:r>
              <w:rPr>
                <w:rFonts w:hint="eastAsia" w:ascii="Times New Roman" w:eastAsia="宋体"/>
                <w:lang w:val="en-US" w:eastAsia="zh-CN"/>
              </w:rPr>
              <w:t>本项目废气污染物产生量较小，经合理处置后对区域环境空气质量影响较小；项目建设对周边生态、土壤影响较小，不会突破环境质量底线。</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（3）资源利用上线</w:t>
            </w:r>
          </w:p>
          <w:p>
            <w:pPr>
              <w:overflowPunct w:val="0"/>
              <w:autoSpaceDE w:val="0"/>
              <w:autoSpaceDN w:val="0"/>
              <w:bidi w:val="0"/>
              <w:adjustRightInd w:val="0"/>
              <w:snapToGrid w:val="0"/>
              <w:spacing w:before="0" w:after="0" w:line="360" w:lineRule="auto"/>
              <w:ind w:left="0" w:right="0" w:firstLine="480" w:firstLineChars="200"/>
              <w:jc w:val="left"/>
              <w:rPr>
                <w:rFonts w:hint="default"/>
                <w:lang w:val="en-US" w:eastAsia="zh-CN"/>
              </w:rPr>
            </w:pPr>
            <w:r>
              <w:rPr>
                <w:rFonts w:hint="default"/>
                <w:lang w:val="en-US" w:eastAsia="zh-CN"/>
              </w:rPr>
              <w:t>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本项目</w:t>
            </w:r>
            <w:r>
              <w:rPr>
                <w:rFonts w:hint="eastAsia" w:ascii="Times New Roman" w:eastAsia="宋体"/>
                <w:lang w:val="en-US" w:eastAsia="zh-CN"/>
              </w:rPr>
              <w:t>不消耗煤矿资源</w:t>
            </w:r>
            <w:r>
              <w:rPr>
                <w:rFonts w:hint="default"/>
                <w:lang w:val="en-US" w:eastAsia="zh-CN"/>
              </w:rPr>
              <w:t>；建设项目用水主要为</w:t>
            </w:r>
            <w:r>
              <w:rPr>
                <w:rFonts w:hint="eastAsia"/>
                <w:lang w:val="en-US" w:eastAsia="zh-CN"/>
              </w:rPr>
              <w:t>生产用水</w:t>
            </w:r>
            <w:r>
              <w:rPr>
                <w:rFonts w:hint="default"/>
                <w:lang w:val="en-US" w:eastAsia="zh-CN"/>
              </w:rPr>
              <w:t>，项目用水</w:t>
            </w:r>
            <w:r>
              <w:rPr>
                <w:rFonts w:hint="eastAsia" w:ascii="Times New Roman" w:eastAsia="宋体"/>
                <w:lang w:val="en-US" w:eastAsia="zh-CN"/>
              </w:rPr>
              <w:t>来自矿井工业场地供水系统</w:t>
            </w:r>
            <w:r>
              <w:rPr>
                <w:rFonts w:hint="default"/>
                <w:lang w:val="en-US" w:eastAsia="zh-CN"/>
              </w:rPr>
              <w:t>，</w:t>
            </w:r>
            <w:r>
              <w:rPr>
                <w:rFonts w:hint="eastAsia" w:ascii="Times New Roman" w:eastAsia="宋体"/>
                <w:lang w:val="en-US" w:eastAsia="zh-CN"/>
              </w:rPr>
              <w:t>规划</w:t>
            </w:r>
            <w:r>
              <w:rPr>
                <w:rFonts w:hint="default"/>
                <w:lang w:val="en-US" w:eastAsia="zh-CN"/>
              </w:rPr>
              <w:t>水量充足，不会达到资源利用上限；项目</w:t>
            </w:r>
            <w:r>
              <w:rPr>
                <w:rFonts w:hint="eastAsia" w:ascii="Times New Roman" w:eastAsia="宋体"/>
                <w:lang w:val="en-US" w:eastAsia="zh-CN"/>
              </w:rPr>
              <w:t>用地</w:t>
            </w:r>
            <w:r>
              <w:rPr>
                <w:rFonts w:hint="default"/>
                <w:lang w:val="en-US" w:eastAsia="zh-CN"/>
              </w:rPr>
              <w:t>为</w:t>
            </w:r>
            <w:r>
              <w:rPr>
                <w:rFonts w:hint="eastAsia"/>
                <w:lang w:val="en-US" w:eastAsia="zh-CN"/>
              </w:rPr>
              <w:t>新疆</w:t>
            </w:r>
            <w:r>
              <w:rPr>
                <w:rFonts w:hint="default"/>
                <w:lang w:val="en-US" w:eastAsia="zh-CN"/>
              </w:rPr>
              <w:t>呼图壁县西沟煤炭有限责任公司</w:t>
            </w:r>
            <w:r>
              <w:rPr>
                <w:rFonts w:hint="eastAsia" w:ascii="Times New Roman" w:eastAsia="宋体"/>
                <w:lang w:val="en-US" w:eastAsia="zh-CN"/>
              </w:rPr>
              <w:t>内部用地，未新增建设用地</w:t>
            </w:r>
            <w:r>
              <w:rPr>
                <w:rFonts w:hint="default"/>
                <w:lang w:val="en-US" w:eastAsia="zh-CN"/>
              </w:rPr>
              <w:t>，土地利用不会突破区域土地资源上限。满足能源利用上线的要求。</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（4）</w:t>
            </w:r>
            <w:r>
              <w:rPr>
                <w:rFonts w:hint="eastAsia" w:ascii="Times New Roman" w:eastAsia="宋体"/>
                <w:lang w:val="en-US" w:eastAsia="zh-CN"/>
              </w:rPr>
              <w:t>生态环境准入</w:t>
            </w:r>
            <w:r>
              <w:rPr>
                <w:rFonts w:hint="default"/>
                <w:lang w:val="en-US" w:eastAsia="zh-CN"/>
              </w:rPr>
              <w:t>清单</w:t>
            </w:r>
          </w:p>
          <w:p>
            <w:pPr>
              <w:keepNext w:val="0"/>
              <w:keepLines w:val="0"/>
              <w:pageBreakBefore w:val="0"/>
              <w:widowControl w:val="0"/>
              <w:kinsoku/>
              <w:wordWrap/>
              <w:overflowPunct/>
              <w:topLinePunct w:val="0"/>
              <w:autoSpaceDE/>
              <w:autoSpaceDN/>
              <w:bidi w:val="0"/>
              <w:adjustRightInd/>
              <w:snapToGrid/>
              <w:spacing w:line="360" w:lineRule="auto"/>
              <w:ind w:firstLine="510"/>
              <w:jc w:val="both"/>
              <w:textAlignment w:val="auto"/>
              <w:rPr>
                <w:rFonts w:hint="eastAsia"/>
                <w:lang w:val="en-US" w:eastAsia="zh-CN"/>
              </w:rPr>
            </w:pPr>
            <w:r>
              <w:rPr>
                <w:rFonts w:hint="eastAsia" w:ascii="Times New Roman" w:eastAsia="宋体"/>
                <w:lang w:val="en-US" w:eastAsia="zh-CN"/>
              </w:rPr>
              <w:t>本项目位于</w:t>
            </w:r>
            <w:r>
              <w:rPr>
                <w:rFonts w:hint="eastAsia"/>
                <w:lang w:val="en-US" w:eastAsia="zh-CN"/>
              </w:rPr>
              <w:t>呼图壁县</w:t>
            </w:r>
            <w:r>
              <w:rPr>
                <w:rFonts w:hint="eastAsia" w:ascii="Times New Roman" w:eastAsia="宋体"/>
                <w:lang w:val="en-US" w:eastAsia="zh-CN"/>
              </w:rPr>
              <w:t>划定的</w:t>
            </w:r>
            <w:r>
              <w:rPr>
                <w:rFonts w:hint="eastAsia"/>
                <w:lang w:val="en-US" w:eastAsia="zh-CN"/>
              </w:rPr>
              <w:t>重点</w:t>
            </w:r>
            <w:r>
              <w:rPr>
                <w:rFonts w:hint="eastAsia" w:ascii="Times New Roman" w:eastAsia="宋体"/>
                <w:lang w:val="en-US" w:eastAsia="zh-CN"/>
              </w:rPr>
              <w:t>管控单元内</w:t>
            </w:r>
            <w:r>
              <w:rPr>
                <w:rFonts w:hint="eastAsia"/>
                <w:lang w:val="en-US" w:eastAsia="zh-CN"/>
              </w:rPr>
              <w:t>，位于准南煤矿呼图壁县白杨河矿区，环境管控单元编码为</w:t>
            </w:r>
            <w:r>
              <w:rPr>
                <w:rFonts w:ascii="Times New Roman" w:hAnsi="Times New Roman" w:eastAsia="仿宋" w:cs="Times New Roman"/>
                <w:color w:val="000000" w:themeColor="text1"/>
                <w:kern w:val="0"/>
                <w:sz w:val="24"/>
                <w:szCs w:val="24"/>
                <w14:textFill>
                  <w14:solidFill>
                    <w14:schemeClr w14:val="tx1"/>
                  </w14:solidFill>
                </w14:textFill>
              </w:rPr>
              <w:t>ZH65232320003</w:t>
            </w:r>
            <w:r>
              <w:rPr>
                <w:rFonts w:hint="eastAsia" w:ascii="Times New Roman" w:eastAsia="宋体"/>
                <w:lang w:val="en-US" w:eastAsia="zh-CN"/>
              </w:rPr>
              <w:t>，本项目符合《昌吉回族自治州区域空间生态环境评价暨“三线一单”生态环境准入清单》</w:t>
            </w:r>
            <w:r>
              <w:rPr>
                <w:rFonts w:hint="eastAsia"/>
                <w:lang w:val="en-US" w:eastAsia="zh-CN"/>
              </w:rPr>
              <w:t>呼图壁县重点</w:t>
            </w:r>
            <w:r>
              <w:rPr>
                <w:rFonts w:hint="eastAsia" w:ascii="Times New Roman" w:eastAsia="宋体"/>
                <w:lang w:val="en-US" w:eastAsia="zh-CN"/>
              </w:rPr>
              <w:t>管控单元空间布局约束，不属于新、改、扩建“两高”（高污染、高耗能）行业项目，执行自治区总体准入要求中关于一般环境管控单元的准入要求。</w:t>
            </w:r>
          </w:p>
          <w:p>
            <w:pPr>
              <w:keepNext w:val="0"/>
              <w:keepLines w:val="0"/>
              <w:pageBreakBefore w:val="0"/>
              <w:widowControl w:val="0"/>
              <w:kinsoku/>
              <w:wordWrap/>
              <w:overflowPunct/>
              <w:topLinePunct w:val="0"/>
              <w:autoSpaceDE/>
              <w:autoSpaceDN/>
              <w:bidi w:val="0"/>
              <w:adjustRightInd/>
              <w:snapToGrid/>
              <w:spacing w:line="360" w:lineRule="auto"/>
              <w:ind w:firstLine="510"/>
              <w:jc w:val="both"/>
              <w:textAlignment w:val="auto"/>
              <w:rPr>
                <w:rFonts w:hint="default"/>
                <w:lang w:val="en-US" w:eastAsia="zh-CN"/>
              </w:rPr>
            </w:pPr>
            <w:r>
              <w:rPr>
                <w:rFonts w:hint="eastAsia" w:ascii="Times New Roman" w:eastAsia="宋体"/>
                <w:lang w:val="en-US" w:eastAsia="zh-CN"/>
              </w:rPr>
              <w:t>根据昌吉州空间布局约束：1、木垒县、奇台县、吉木萨尔县城市建成区原则上不再新建每小时35蒸吨以下的燃煤锅炉。2、“乌-昌-石”区域各县级及以上城市建成区以及国家级、自治区级工业园区禁止新建每小时65蒸吨以下燃煤锅炉；其他区域原则上不再新建每小时10蒸吨及以下的燃煤锅炉。3、禁止在“乌-昌-石”区域内4县市2园区新增燃煤机组装机规模。本项目不位于工业园区内，</w:t>
            </w:r>
            <w:r>
              <w:rPr>
                <w:rFonts w:hint="eastAsia"/>
                <w:lang w:val="en-US" w:eastAsia="zh-CN"/>
              </w:rPr>
              <w:t>不新增燃煤锅炉</w:t>
            </w:r>
            <w:r>
              <w:rPr>
                <w:rFonts w:hint="eastAsia" w:ascii="Times New Roman" w:eastAsia="宋体"/>
                <w:lang w:val="en-US" w:eastAsia="zh-CN"/>
              </w:rPr>
              <w:t>，建设符合昌吉州空间布局约束。</w:t>
            </w:r>
          </w:p>
          <w:p>
            <w:pPr>
              <w:overflowPunct w:val="0"/>
              <w:autoSpaceDE w:val="0"/>
              <w:autoSpaceDN w:val="0"/>
              <w:adjustRightInd w:val="0"/>
              <w:snapToGrid w:val="0"/>
              <w:spacing w:before="0" w:after="0" w:line="360" w:lineRule="auto"/>
              <w:ind w:left="0" w:right="0" w:firstLine="480" w:firstLineChars="200"/>
              <w:jc w:val="left"/>
              <w:rPr>
                <w:rFonts w:hint="eastAsia"/>
                <w:sz w:val="24"/>
                <w:szCs w:val="24"/>
                <w:lang w:val="en-US" w:eastAsia="zh-CN"/>
              </w:rPr>
            </w:pPr>
            <w:r>
              <w:rPr>
                <w:rFonts w:hint="eastAsia"/>
                <w:sz w:val="24"/>
                <w:szCs w:val="24"/>
                <w:lang w:val="en-US" w:eastAsia="zh-CN"/>
              </w:rPr>
              <w:t>本项目不涉及生态保护红线，不属于禁止建设开发区和限制建设开发区，建设过程中加强生态环境治理恢复与动态监测工作，确保该区生态功能不降低，建设单位应严格执行“三同时”，切实做到环保治理设施与主体工程同时设计、同时施工、同时投产使用；落实清洁生产和循环经济要求，建立健全长期稳定的环境监测体系，满足“合理确定开发时序和规模，强化环境管理。规划项目应满足清洁生产和循环经济要求，严格落实各开发阶段环境保护措施，达到国内清洁生产先进水平。优化调整规划开发时序时考虑煤炭矿区规划实施进度。针对煤层气开发现存环境问题开展集中整治。加强对在建和已建项目事中事后监管，严格依法查处和纠正建设项目违法违规行为，督促企业认真执行环保‘三同时’制度。”相关要求。</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本项目与</w:t>
            </w:r>
            <w:r>
              <w:rPr>
                <w:rFonts w:hint="eastAsia"/>
                <w:lang w:val="en-US" w:eastAsia="zh-CN"/>
              </w:rPr>
              <w:t>准南煤矿呼图壁县白杨河矿区</w:t>
            </w:r>
            <w:r>
              <w:rPr>
                <w:rFonts w:hint="eastAsia" w:ascii="Times New Roman" w:hAnsi="Times New Roman" w:eastAsia="宋体" w:cs="宋体"/>
                <w:lang w:val="en-US" w:eastAsia="zh-CN"/>
              </w:rPr>
              <w:t>重点管控单元要求符合性见表1.3-1。</w:t>
            </w:r>
          </w:p>
          <w:p>
            <w:pPr>
              <w:overflowPunct w:val="0"/>
              <w:autoSpaceDE w:val="0"/>
              <w:autoSpaceDN w:val="0"/>
              <w:adjustRightInd w:val="0"/>
              <w:snapToGrid w:val="0"/>
              <w:spacing w:before="0" w:after="0" w:line="360" w:lineRule="auto"/>
              <w:ind w:right="0"/>
              <w:jc w:val="center"/>
              <w:rPr>
                <w:rFonts w:hint="default" w:ascii="Times New Roman" w:hAnsi="Times New Roman" w:eastAsia="宋体" w:cs="宋体"/>
                <w:b/>
                <w:bCs/>
                <w:lang w:val="en-US" w:eastAsia="zh-CN"/>
              </w:rPr>
            </w:pPr>
            <w:r>
              <w:rPr>
                <w:rFonts w:hint="eastAsia" w:ascii="Times New Roman" w:hAnsi="Times New Roman" w:eastAsia="宋体" w:cs="宋体"/>
                <w:b/>
                <w:bCs/>
                <w:lang w:val="en-US" w:eastAsia="zh-CN"/>
              </w:rPr>
              <w:t>表1.3-1 本项目与准南煤矿呼图壁县白杨河矿区重点管控单元要求符合性分析表</w:t>
            </w:r>
          </w:p>
          <w:tbl>
            <w:tblPr>
              <w:tblStyle w:val="20"/>
              <w:tblW w:w="70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51"/>
              <w:gridCol w:w="644"/>
              <w:gridCol w:w="2436"/>
              <w:gridCol w:w="18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环境管控单元编码</w:t>
                  </w:r>
                </w:p>
              </w:tc>
              <w:tc>
                <w:tcPr>
                  <w:tcW w:w="756"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环境管控单元名称</w:t>
                  </w:r>
                </w:p>
              </w:tc>
              <w:tc>
                <w:tcPr>
                  <w:tcW w:w="3105" w:type="dxa"/>
                  <w:gridSpan w:val="2"/>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管控要求</w:t>
                  </w:r>
                </w:p>
              </w:tc>
              <w:tc>
                <w:tcPr>
                  <w:tcW w:w="1904"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本项目符合性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Merge w:val="restart"/>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ZH65230220003</w:t>
                  </w:r>
                </w:p>
              </w:tc>
              <w:tc>
                <w:tcPr>
                  <w:tcW w:w="756" w:type="dxa"/>
                  <w:vMerge w:val="restart"/>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准南煤矿呼图壁县白杨河矿区</w:t>
                  </w:r>
                </w:p>
              </w:tc>
              <w:tc>
                <w:tcPr>
                  <w:tcW w:w="648"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空间布局约束</w:t>
                  </w:r>
                </w:p>
              </w:tc>
              <w:tc>
                <w:tcPr>
                  <w:tcW w:w="2457"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1、执行自治区、乌昌石片区总体准入要求中关于重点管控单元空间布局约束的准入要求。</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2、禁止新建煤层含硫量大于3%的煤矿。</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3、水环境功能区划为Ⅰ、Ⅱ类和具有饮用功能的Ⅲ类水体岸边1000米以内，其它Ⅲ类水体岸边200米以内，禁止建设煤炭采选的工业场地或露天煤矿</w:t>
                  </w:r>
                  <w:r>
                    <w:rPr>
                      <w:rFonts w:hint="eastAsia" w:ascii="Times New Roman" w:hAnsi="Times New Roman" w:eastAsia="宋体" w:cs="Times New Roman"/>
                      <w:color w:val="auto"/>
                      <w:kern w:val="2"/>
                      <w:sz w:val="21"/>
                      <w:szCs w:val="24"/>
                      <w:vertAlign w:val="baseline"/>
                      <w:lang w:val="en-US" w:eastAsia="zh-CN" w:bidi="ar-SA"/>
                    </w:rPr>
                    <w:t>，</w:t>
                  </w:r>
                  <w:r>
                    <w:rPr>
                      <w:rFonts w:hint="default" w:ascii="Times New Roman" w:hAnsi="Times New Roman" w:eastAsia="宋体" w:cs="Times New Roman"/>
                      <w:color w:val="auto"/>
                      <w:kern w:val="2"/>
                      <w:sz w:val="21"/>
                      <w:szCs w:val="24"/>
                      <w:vertAlign w:val="baseline"/>
                      <w:lang w:val="en-US" w:eastAsia="zh-CN" w:bidi="ar-SA"/>
                    </w:rPr>
                    <w:t>存在山体等阻隔地形或建设人工地下水阻隔设施的，可根据实际情况，在确保不会对水体产生污染影响的前提下适当放宽距离要求。</w:t>
                  </w:r>
                </w:p>
              </w:tc>
              <w:tc>
                <w:tcPr>
                  <w:tcW w:w="1904"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本项目煤矿瓦斯抽采，符合产业政策，不新建煤矿，本项目不涉及煤炭采选、露天煤矿建设，施工期生产废水沉淀回用不外排，生活污水依托现有工程污水处理站。运营期生产废水进入现有工程</w:t>
                  </w:r>
                  <w:r>
                    <w:rPr>
                      <w:rFonts w:hint="eastAsia" w:cs="Times New Roman"/>
                      <w:color w:val="auto"/>
                      <w:kern w:val="2"/>
                      <w:sz w:val="21"/>
                      <w:szCs w:val="24"/>
                      <w:vertAlign w:val="baseline"/>
                      <w:lang w:val="en-US" w:eastAsia="zh-CN" w:bidi="ar-SA"/>
                    </w:rPr>
                    <w:t>矿井水</w:t>
                  </w:r>
                  <w:r>
                    <w:rPr>
                      <w:rFonts w:hint="eastAsia" w:ascii="Times New Roman" w:hAnsi="Times New Roman" w:eastAsia="宋体" w:cs="Times New Roman"/>
                      <w:color w:val="auto"/>
                      <w:kern w:val="2"/>
                      <w:sz w:val="21"/>
                      <w:szCs w:val="24"/>
                      <w:vertAlign w:val="baseline"/>
                      <w:lang w:val="en-US" w:eastAsia="zh-CN" w:bidi="ar-SA"/>
                    </w:rPr>
                    <w:t>处理站内经处理后达到《煤炭工业污染物排放标准》（GB20426-2006）以及《污水综合排放标准》（GB8978-1996）一级标准后用于井上、井下降尘和矿区绿化，与地表水无水力联系，符合空间布局约束要求。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756"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648"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污染物排放管控</w:t>
                  </w:r>
                </w:p>
              </w:tc>
              <w:tc>
                <w:tcPr>
                  <w:tcW w:w="2457"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1、执行自治区、乌昌石片区总体准入要求中关于重点管控单元污染物排放管控的准入要求。</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2、工业废水禁止排入II类以上地表水体及有集中式饮用水源功能的III类地表水体。生活污水处理达标后应优先安排综合利用。</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3、所有矿山企业均应对照《矿山生态环境保护与恢复治理技术规范（试行）》（HJ 651-2013）中各项要求，编制实施矿山生态环境保护与恢复治理方案。</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4、煤矸石无害化处置率达到100%。露天矿的剥离物集中排入排土场，处置率达100%。煤矸石堆场的建设及运营应符合《一般工业固体废弃物贮存、处置场污染控制标准》（GB18599）的有关要求。煤矸石为Ⅱ类一般工业固废的，其堆场采取防渗技术措施。生活垃圾实现100%无害化处置。</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5、采矿产生的固体废物，应在专用场所堆放，并采取措施防止二次污染；禁止向河流、湖泊、水库等水体及行洪渠道排放岩土、含油垃圾、泥浆、煤渣、煤矸石和其他固体废物。</w:t>
                  </w:r>
                </w:p>
              </w:tc>
              <w:tc>
                <w:tcPr>
                  <w:tcW w:w="1904"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本项目无新增生活污水，</w:t>
                  </w:r>
                  <w:r>
                    <w:rPr>
                      <w:rFonts w:hint="eastAsia" w:cs="Times New Roman"/>
                      <w:color w:val="auto"/>
                      <w:kern w:val="2"/>
                      <w:sz w:val="21"/>
                      <w:szCs w:val="24"/>
                      <w:vertAlign w:val="baseline"/>
                      <w:lang w:val="en-US" w:eastAsia="zh-CN" w:bidi="ar-SA"/>
                    </w:rPr>
                    <w:t>生产废水依托</w:t>
                  </w:r>
                  <w:r>
                    <w:rPr>
                      <w:rFonts w:hint="eastAsia" w:ascii="Times New Roman" w:hAnsi="Times New Roman" w:eastAsia="宋体" w:cs="Times New Roman"/>
                      <w:color w:val="auto"/>
                      <w:kern w:val="2"/>
                      <w:sz w:val="21"/>
                      <w:szCs w:val="24"/>
                      <w:vertAlign w:val="baseline"/>
                      <w:lang w:val="en-US" w:eastAsia="zh-CN" w:bidi="ar-SA"/>
                    </w:rPr>
                    <w:t>现有工程矿井水处理站经处理后达到《煤炭工业污染物排放标准》（GB20426-2006）以及《污水综合排放标准》（GB8978-1996）一级标准后用于井上、井下降尘和矿区绿化，与地表水无水力联系</w:t>
                  </w:r>
                  <w:r>
                    <w:rPr>
                      <w:rFonts w:hint="eastAsia" w:ascii="Times New Roman" w:hAnsi="Times New Roman" w:eastAsia="宋体" w:cs="宋体"/>
                      <w:color w:val="000000" w:themeColor="text1"/>
                      <w:kern w:val="2"/>
                      <w:sz w:val="21"/>
                      <w:szCs w:val="24"/>
                      <w:lang w:val="zh-CN" w:eastAsia="zh-CN" w:bidi="ar-SA"/>
                      <w14:textFill>
                        <w14:solidFill>
                          <w14:schemeClr w14:val="tx1"/>
                        </w14:solidFill>
                      </w14:textFill>
                    </w:rPr>
                    <w:t>。2018年编制《煤矿绿色矿山建设实施方案》，并向社会公布。</w:t>
                  </w:r>
                  <w:r>
                    <w:rPr>
                      <w:rFonts w:hint="eastAsia" w:ascii="Times New Roman" w:hAnsi="Times New Roman" w:eastAsia="宋体" w:cs="宋体"/>
                      <w:color w:val="000000" w:themeColor="text1"/>
                      <w:kern w:val="2"/>
                      <w:sz w:val="21"/>
                      <w:szCs w:val="24"/>
                      <w:lang w:val="en-US" w:eastAsia="zh-CN" w:bidi="ar-SA"/>
                      <w14:textFill>
                        <w14:solidFill>
                          <w14:schemeClr w14:val="tx1"/>
                        </w14:solidFill>
                      </w14:textFill>
                    </w:rPr>
                    <w:t>本项目建成后无新增生活垃圾、煤矸石等，符合</w:t>
                  </w:r>
                  <w:r>
                    <w:rPr>
                      <w:rFonts w:hint="eastAsia" w:ascii="Times New Roman" w:hAnsi="Times New Roman" w:eastAsia="宋体" w:cs="Times New Roman"/>
                      <w:color w:val="auto"/>
                      <w:kern w:val="2"/>
                      <w:sz w:val="21"/>
                      <w:szCs w:val="24"/>
                      <w:vertAlign w:val="baseline"/>
                      <w:lang w:val="en-US" w:eastAsia="zh-CN" w:bidi="ar-SA"/>
                    </w:rPr>
                    <w:t>污染物排放管控要求。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756"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648"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环境风险防控</w:t>
                  </w:r>
                </w:p>
              </w:tc>
              <w:tc>
                <w:tcPr>
                  <w:tcW w:w="2457"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1、执行自治区、乌昌石片区总体准入要求中关于重点管控单元环境风险防控的准入要求</w:t>
                  </w:r>
                  <w:r>
                    <w:rPr>
                      <w:rFonts w:hint="eastAsia" w:ascii="Times New Roman" w:hAnsi="Times New Roman" w:eastAsia="宋体" w:cs="Times New Roman"/>
                      <w:color w:val="auto"/>
                      <w:kern w:val="2"/>
                      <w:sz w:val="21"/>
                      <w:szCs w:val="24"/>
                      <w:vertAlign w:val="baseline"/>
                      <w:lang w:val="en-US" w:eastAsia="zh-CN" w:bidi="ar-SA"/>
                    </w:rPr>
                    <w:t>。</w:t>
                  </w:r>
                </w:p>
              </w:tc>
              <w:tc>
                <w:tcPr>
                  <w:tcW w:w="1904"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建议在本项目</w:t>
                  </w:r>
                  <w:r>
                    <w:rPr>
                      <w:rFonts w:hint="eastAsia" w:cs="Times New Roman"/>
                      <w:color w:val="auto"/>
                      <w:kern w:val="2"/>
                      <w:sz w:val="21"/>
                      <w:szCs w:val="24"/>
                      <w:vertAlign w:val="baseline"/>
                      <w:lang w:val="en-US" w:eastAsia="zh-CN" w:bidi="ar-SA"/>
                    </w:rPr>
                    <w:t>建设</w:t>
                  </w:r>
                  <w:r>
                    <w:rPr>
                      <w:rFonts w:hint="eastAsia" w:ascii="Times New Roman" w:hAnsi="Times New Roman" w:eastAsia="宋体" w:cs="Times New Roman"/>
                      <w:color w:val="auto"/>
                      <w:kern w:val="2"/>
                      <w:sz w:val="21"/>
                      <w:szCs w:val="24"/>
                      <w:vertAlign w:val="baseline"/>
                      <w:lang w:val="en-US" w:eastAsia="zh-CN" w:bidi="ar-SA"/>
                    </w:rPr>
                    <w:t>后</w:t>
                  </w:r>
                  <w:r>
                    <w:rPr>
                      <w:rFonts w:hint="eastAsia" w:cs="Times New Roman"/>
                      <w:color w:val="auto"/>
                      <w:kern w:val="2"/>
                      <w:sz w:val="21"/>
                      <w:szCs w:val="24"/>
                      <w:vertAlign w:val="baseline"/>
                      <w:lang w:val="en-US" w:eastAsia="zh-CN" w:bidi="ar-SA"/>
                    </w:rPr>
                    <w:t>更新</w:t>
                  </w:r>
                  <w:r>
                    <w:rPr>
                      <w:rFonts w:hint="eastAsia" w:ascii="Times New Roman" w:hAnsi="Times New Roman" w:eastAsia="宋体" w:cs="Times New Roman"/>
                      <w:color w:val="auto"/>
                      <w:kern w:val="2"/>
                      <w:sz w:val="21"/>
                      <w:szCs w:val="24"/>
                      <w:vertAlign w:val="baseline"/>
                      <w:lang w:val="en-US" w:eastAsia="zh-CN" w:bidi="ar-SA"/>
                    </w:rPr>
                    <w:t>突发环境事件应急预案并在昌吉州生态环境局呼图壁县分局进行备案</w:t>
                  </w:r>
                  <w:r>
                    <w:rPr>
                      <w:rFonts w:hint="eastAsia" w:cs="Times New Roman"/>
                      <w:color w:val="auto"/>
                      <w:kern w:val="2"/>
                      <w:sz w:val="21"/>
                      <w:szCs w:val="24"/>
                      <w:vertAlign w:val="baseline"/>
                      <w:lang w:val="en-US" w:eastAsia="zh-CN" w:bidi="ar-SA"/>
                    </w:rPr>
                    <w:t>，定期开展应急演练</w:t>
                  </w:r>
                  <w:r>
                    <w:rPr>
                      <w:rFonts w:hint="eastAsia" w:ascii="Times New Roman" w:hAnsi="Times New Roman" w:eastAsia="宋体" w:cs="Times New Roman"/>
                      <w:color w:val="auto"/>
                      <w:kern w:val="2"/>
                      <w:sz w:val="21"/>
                      <w:szCs w:val="24"/>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756"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648"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资源利用效率</w:t>
                  </w:r>
                </w:p>
              </w:tc>
              <w:tc>
                <w:tcPr>
                  <w:tcW w:w="2457"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1、执行自治区、乌昌石片区总体准入要求中关于重点管控单元资源利用效率的准入要求。</w:t>
                  </w:r>
                </w:p>
              </w:tc>
              <w:tc>
                <w:tcPr>
                  <w:tcW w:w="1904"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本项目落实</w:t>
                  </w:r>
                  <w:r>
                    <w:rPr>
                      <w:rFonts w:hint="default" w:ascii="Times New Roman" w:hAnsi="Times New Roman" w:eastAsia="宋体" w:cs="Times New Roman"/>
                      <w:color w:val="auto"/>
                      <w:kern w:val="2"/>
                      <w:sz w:val="21"/>
                      <w:szCs w:val="24"/>
                      <w:vertAlign w:val="baseline"/>
                      <w:lang w:val="en-US" w:eastAsia="zh-CN" w:bidi="ar-SA"/>
                    </w:rPr>
                    <w:t>自治区、乌昌石片区总体准入要求中关于重点管控单元资源利用效率的准入要求</w:t>
                  </w:r>
                  <w:r>
                    <w:rPr>
                      <w:rFonts w:hint="eastAsia" w:ascii="Times New Roman" w:hAnsi="Times New Roman" w:eastAsia="宋体" w:cs="Times New Roman"/>
                      <w:color w:val="auto"/>
                      <w:kern w:val="2"/>
                      <w:sz w:val="21"/>
                      <w:szCs w:val="24"/>
                      <w:vertAlign w:val="baseline"/>
                      <w:lang w:val="en-US" w:eastAsia="zh-CN" w:bidi="ar-SA"/>
                    </w:rPr>
                    <w:t>，利用煤矿内部预留用地，不新增用地，尽可能在工艺需求范围内严格把控用水，生产不使用化石燃料。</w:t>
                  </w:r>
                </w:p>
              </w:tc>
            </w:tr>
          </w:tbl>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eastAsia"/>
                <w:lang w:val="en-US" w:eastAsia="zh-CN"/>
              </w:rPr>
            </w:pPr>
            <w:r>
              <w:rPr>
                <w:rFonts w:hint="default"/>
                <w:lang w:val="en-US" w:eastAsia="zh-CN"/>
              </w:rPr>
              <w:t>综上本项目建设符合</w:t>
            </w:r>
            <w:r>
              <w:rPr>
                <w:rFonts w:hint="eastAsia" w:ascii="Times New Roman" w:eastAsia="宋体"/>
                <w:lang w:val="en-US" w:eastAsia="zh-CN"/>
              </w:rPr>
              <w:t>《昌吉回族自治州“三线一单”生态环境分区管控方案》相关</w:t>
            </w:r>
            <w:r>
              <w:rPr>
                <w:rFonts w:hint="default"/>
                <w:lang w:val="en-US" w:eastAsia="zh-CN"/>
              </w:rPr>
              <w:t>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eastAsia="宋体" w:cs="黑体"/>
                <w:b/>
                <w:sz w:val="28"/>
                <w:szCs w:val="30"/>
                <w:lang w:val="en-US" w:eastAsia="zh-CN" w:bidi="ar-SA"/>
              </w:rPr>
              <w:t>1.</w:t>
            </w:r>
            <w:r>
              <w:rPr>
                <w:rFonts w:hint="eastAsia" w:cs="黑体"/>
                <w:b/>
                <w:sz w:val="28"/>
                <w:szCs w:val="30"/>
                <w:lang w:val="en-US" w:eastAsia="zh-CN" w:bidi="ar-SA"/>
              </w:rPr>
              <w:t>4</w:t>
            </w:r>
            <w:r>
              <w:rPr>
                <w:rFonts w:hint="eastAsia" w:eastAsia="宋体" w:cs="黑体"/>
                <w:b/>
                <w:sz w:val="28"/>
                <w:szCs w:val="30"/>
                <w:lang w:val="en-US" w:eastAsia="zh-CN" w:bidi="ar-SA"/>
              </w:rPr>
              <w:t>与《新疆维吾尔自治区七大片区“三线一单”生态环境分区管控要求》（2021年版）符合性分析</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eastAsia" w:eastAsia="宋体" w:cs="宋体"/>
                <w:lang w:val="en-US" w:eastAsia="zh-CN"/>
              </w:rPr>
            </w:pPr>
            <w:r>
              <w:rPr>
                <w:rFonts w:hint="eastAsia" w:eastAsia="宋体" w:cs="宋体"/>
                <w:lang w:val="en-US" w:eastAsia="zh-CN"/>
              </w:rPr>
              <w:t>按照《新疆维吾尔自治区“三线一单”生态环境分区管控方案》，全区划分为七大片区，包括北疆北部（塔城地区、阿勒泰地区）、伊犁河谷、克奎</w:t>
            </w:r>
            <w:r>
              <w:rPr>
                <w:rFonts w:hint="eastAsia" w:cs="宋体"/>
                <w:lang w:val="en-US" w:eastAsia="zh-CN"/>
              </w:rPr>
              <w:t>乌</w:t>
            </w:r>
            <w:r>
              <w:rPr>
                <w:rFonts w:hint="eastAsia" w:eastAsia="宋体" w:cs="宋体"/>
                <w:lang w:val="en-US" w:eastAsia="zh-CN"/>
              </w:rPr>
              <w:t>-博州、乌昌石、吐哈、天山南坡（巴州、阿克苏地区）和南疆三地州片区，新疆维吾尔自治区生态环境厅制定《新疆维吾尔自治区七大片区“三线一单”生态环境分区管控要求》。本项目位于乌昌石片区，本项目在七大片区范围图位置见图1.4-1。</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default" w:eastAsia="宋体" w:cs="宋体"/>
                <w:lang w:val="en-US" w:eastAsia="zh-CN"/>
              </w:rPr>
              <w:t>乌昌石片区包括乌鲁木齐市、昌吉回族自治州和沙湾市。除国家规划项目外，乌鲁木齐市七区一县、昌吉市、阜康市、玛纳斯县、呼图壁县、沙湾市建成区及周边敏感区域内不再布局建设煤化工、电解铝、燃煤纯发电机组、金属硅、碳化硅、聚氯乙烯（电石法</w:t>
            </w:r>
            <w:r>
              <w:rPr>
                <w:rFonts w:hint="eastAsia" w:eastAsia="宋体" w:cs="宋体"/>
                <w:lang w:val="en-US" w:eastAsia="zh-CN"/>
              </w:rPr>
              <w:t>）</w:t>
            </w:r>
            <w:r>
              <w:rPr>
                <w:rFonts w:hint="default" w:eastAsia="宋体" w:cs="宋体"/>
                <w:lang w:val="en-US" w:eastAsia="zh-CN"/>
              </w:rPr>
              <w:t>、焦炭（含半焦）等新增产能项目。具备风光电清洁供暖建设条件的区域原则上不新批热电联产项目。坚持属地负责与区域大气污染联防联控相结合，以明显降低细颗粒物浓度为重点，协同推进</w:t>
            </w:r>
            <w:r>
              <w:rPr>
                <w:rFonts w:hint="eastAsia" w:eastAsia="宋体" w:cs="宋体"/>
                <w:lang w:val="en-US" w:eastAsia="zh-CN"/>
              </w:rPr>
              <w:t>“乌</w:t>
            </w:r>
            <w:r>
              <w:rPr>
                <w:rFonts w:hint="default" w:eastAsia="宋体" w:cs="宋体"/>
                <w:lang w:val="en-US" w:eastAsia="zh-CN"/>
              </w:rPr>
              <w:t>-昌-石</w:t>
            </w:r>
            <w:r>
              <w:rPr>
                <w:rFonts w:hint="eastAsia" w:eastAsia="宋体" w:cs="宋体"/>
                <w:lang w:val="en-US" w:eastAsia="zh-CN"/>
              </w:rPr>
              <w:t>”</w:t>
            </w:r>
            <w:r>
              <w:rPr>
                <w:rFonts w:hint="default" w:eastAsia="宋体" w:cs="宋体"/>
                <w:lang w:val="en-US" w:eastAsia="zh-CN"/>
              </w:rPr>
              <w:t>同防同治区域大气环境治理。强化与生产建设兵团第六师、第八师、第十一师、第十二师的同防同治，所有新建、改建、扩建工业项目执行最严格的大气污染物排放标准</w:t>
            </w:r>
            <w:r>
              <w:rPr>
                <w:rFonts w:hint="eastAsia" w:eastAsia="宋体" w:cs="宋体"/>
                <w:lang w:val="en-US" w:eastAsia="zh-CN"/>
              </w:rPr>
              <w:t>，</w:t>
            </w:r>
            <w:r>
              <w:rPr>
                <w:rFonts w:hint="default" w:eastAsia="宋体" w:cs="宋体"/>
                <w:lang w:val="en-US" w:eastAsia="zh-CN"/>
              </w:rPr>
              <w:t>强化氮氧化物深度治理</w:t>
            </w:r>
            <w:r>
              <w:rPr>
                <w:rFonts w:hint="eastAsia" w:eastAsia="宋体" w:cs="宋体"/>
                <w:lang w:val="en-US" w:eastAsia="zh-CN"/>
              </w:rPr>
              <w:t>，</w:t>
            </w:r>
            <w:r>
              <w:rPr>
                <w:rFonts w:hint="default" w:eastAsia="宋体" w:cs="宋体"/>
                <w:lang w:val="en-US" w:eastAsia="zh-CN"/>
              </w:rPr>
              <w:t>确保区域环境空气质量持续改善。</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default" w:eastAsia="宋体" w:cs="宋体"/>
                <w:lang w:val="en-US" w:eastAsia="zh-CN"/>
              </w:rPr>
              <w:t>强化挥发性有机物污染防治措施。推广使用低挥发性有机物原辅料，推动有条件的园区（工业集聚区）建设集中喷涂工程中心，配备高效治污设施，替代企业独立喷涂工序。</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default" w:eastAsia="宋体" w:cs="宋体"/>
                <w:lang w:val="en-US" w:eastAsia="zh-CN"/>
              </w:rPr>
              <w:t>强化企业清洁生产改造，推进节水型企业、节水型工业园区建设，提高资源集约节约利用水平。积极推进地下水超采治理，逐步压减地下水超采量，实现地下水采补平衡。</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default" w:eastAsia="宋体" w:cs="宋体"/>
                <w:lang w:val="en-US" w:eastAsia="zh-CN"/>
              </w:rPr>
              <w:t>强化油（气）资源开发区土壤环境污染综合整治。加强涉重金属行业污染防控与工业废物处理处置。</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default" w:eastAsia="宋体" w:cs="宋体"/>
                <w:lang w:val="en-US" w:eastAsia="zh-CN"/>
              </w:rPr>
              <w:t>煤炭、石油、天然气开发单位应当制定生态保护和恢复治理方案，并予以实施。生态保护和恢复治理方案内容应当向社会公布，接受社会监督。</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eastAsia" w:eastAsia="宋体" w:cs="宋体"/>
                <w:lang w:val="en-US" w:eastAsia="zh-CN"/>
              </w:rPr>
              <w:t>本项目位于</w:t>
            </w:r>
            <w:r>
              <w:rPr>
                <w:rFonts w:hint="eastAsia" w:cs="Times New Roman"/>
                <w:sz w:val="24"/>
                <w:szCs w:val="24"/>
                <w:lang w:val="en-US" w:eastAsia="zh-CN" w:bidi="ar-SA"/>
              </w:rPr>
              <w:t>新疆呼图壁县石梯子西沟煤矿</w:t>
            </w:r>
            <w:r>
              <w:rPr>
                <w:rFonts w:hint="eastAsia" w:eastAsia="宋体" w:cs="宋体"/>
                <w:lang w:val="en-US" w:eastAsia="zh-CN"/>
              </w:rPr>
              <w:t>，属于“乌-昌-石”联防联控区，本项目生产不涉及</w:t>
            </w:r>
            <w:r>
              <w:rPr>
                <w:rFonts w:hint="default" w:eastAsia="宋体" w:cs="宋体"/>
                <w:lang w:val="en-US" w:eastAsia="zh-CN"/>
              </w:rPr>
              <w:t>挥发性有机物</w:t>
            </w:r>
            <w:r>
              <w:rPr>
                <w:rFonts w:hint="eastAsia" w:eastAsia="宋体" w:cs="宋体"/>
                <w:lang w:val="en-US" w:eastAsia="zh-CN"/>
              </w:rPr>
              <w:t>排放，同时本项目不涉及地下水</w:t>
            </w:r>
            <w:r>
              <w:rPr>
                <w:rFonts w:hint="eastAsia" w:cs="宋体"/>
                <w:lang w:val="en-US" w:eastAsia="zh-CN"/>
              </w:rPr>
              <w:t>开采</w:t>
            </w:r>
            <w:r>
              <w:rPr>
                <w:rFonts w:hint="eastAsia" w:eastAsia="宋体" w:cs="宋体"/>
                <w:lang w:val="en-US" w:eastAsia="zh-CN"/>
              </w:rPr>
              <w:t>，项目无新增生活用水，生产用水由现有矿井供水系统提供，项目建成后将加强矿区及其周围的绿化和植被的恢复及补偿工作，加强生态保护以及恢复治理，石梯子西沟煤矿于2018年编制《呼图壁县石梯子西沟煤矿绿色矿山建设实施方案》，并向社会公布，因此本项目符合《新疆维吾尔自治区七大片区“三线一单”生态环境分区管控要求》（2021年版）乌昌石片区管控要求。</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eastAsia="宋体"/>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7</w:t>
            </w:r>
            <w:r>
              <w:rPr>
                <w:rFonts w:hint="eastAsia" w:ascii="Times New Roman" w:hAnsi="Times New Roman" w:eastAsia="宋体" w:cs="黑体"/>
                <w:b/>
                <w:sz w:val="28"/>
                <w:szCs w:val="30"/>
                <w:lang w:val="en-US" w:eastAsia="zh-CN" w:bidi="ar-SA"/>
              </w:rPr>
              <w:t>与《关于进一步加强煤矿瓦斯防治工作的若干意见》（国办发[2011]26号）符合性分析</w:t>
            </w:r>
          </w:p>
          <w:p>
            <w:pPr>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强力推进煤矿瓦斯抽采系统建设。高瓦斯和煤与瓦斯突出矿井，要做到先抽后采、抽采达标。凡应建未建瓦斯抽采系统或抽采未达标的矿井</w:t>
            </w:r>
            <w:r>
              <w:rPr>
                <w:rFonts w:hint="eastAsia" w:cs="宋体"/>
                <w:lang w:val="en-US" w:eastAsia="zh-CN"/>
              </w:rPr>
              <w:t>，</w:t>
            </w:r>
            <w:r>
              <w:rPr>
                <w:rFonts w:hint="default" w:ascii="Times New Roman" w:hAnsi="Times New Roman" w:eastAsia="宋体" w:cs="宋体"/>
                <w:lang w:val="en-US" w:eastAsia="zh-CN"/>
              </w:rPr>
              <w:t>要停产整顿</w:t>
            </w:r>
            <w:r>
              <w:rPr>
                <w:rFonts w:hint="eastAsia" w:cs="宋体"/>
                <w:lang w:val="en-US" w:eastAsia="zh-CN"/>
              </w:rPr>
              <w:t>，</w:t>
            </w:r>
            <w:r>
              <w:rPr>
                <w:rFonts w:hint="default" w:ascii="Times New Roman" w:hAnsi="Times New Roman" w:eastAsia="宋体" w:cs="宋体"/>
                <w:lang w:val="en-US" w:eastAsia="zh-CN"/>
              </w:rPr>
              <w:t>经验收达到相关标准后方可恢复生产。在建的煤与瓦斯突出矿井揭露煤层前，应建地面抽采系统的高瓦斯矿井进入采区施工前</w:t>
            </w:r>
            <w:r>
              <w:rPr>
                <w:rFonts w:hint="eastAsia" w:cs="宋体"/>
                <w:lang w:val="en-US" w:eastAsia="zh-CN"/>
              </w:rPr>
              <w:t>，</w:t>
            </w:r>
            <w:r>
              <w:rPr>
                <w:rFonts w:hint="default" w:ascii="Times New Roman" w:hAnsi="Times New Roman" w:eastAsia="宋体" w:cs="宋体"/>
                <w:lang w:val="en-US" w:eastAsia="zh-CN"/>
              </w:rPr>
              <w:t>要建成地面瓦斯抽采系统并投入使用。</w:t>
            </w:r>
          </w:p>
          <w:p>
            <w:pPr>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完善煤矿安全监测监控系统。高瓦斯和煤与瓦斯突出矿井的监测监控系统</w:t>
            </w:r>
            <w:r>
              <w:rPr>
                <w:rFonts w:hint="eastAsia" w:cs="宋体"/>
                <w:lang w:val="en-US" w:eastAsia="zh-CN"/>
              </w:rPr>
              <w:t>，</w:t>
            </w:r>
            <w:r>
              <w:rPr>
                <w:rFonts w:hint="default" w:ascii="Times New Roman" w:hAnsi="Times New Roman" w:eastAsia="宋体" w:cs="宋体"/>
                <w:lang w:val="en-US" w:eastAsia="zh-CN"/>
              </w:rPr>
              <w:t>必须与煤炭行业管理部门或煤矿安全监管部门联网。未实现联网或不能实时上传数据的</w:t>
            </w:r>
            <w:r>
              <w:rPr>
                <w:rFonts w:hint="eastAsia" w:cs="宋体"/>
                <w:lang w:val="en-US" w:eastAsia="zh-CN"/>
              </w:rPr>
              <w:t>，</w:t>
            </w:r>
            <w:r>
              <w:rPr>
                <w:rFonts w:hint="default" w:ascii="Times New Roman" w:hAnsi="Times New Roman" w:eastAsia="宋体" w:cs="宋体"/>
                <w:lang w:val="en-US" w:eastAsia="zh-CN"/>
              </w:rPr>
              <w:t>要限期整改</w:t>
            </w:r>
            <w:r>
              <w:rPr>
                <w:rFonts w:hint="eastAsia" w:cs="宋体"/>
                <w:lang w:val="en-US" w:eastAsia="zh-CN"/>
              </w:rPr>
              <w:t>，</w:t>
            </w:r>
            <w:r>
              <w:rPr>
                <w:rFonts w:hint="default" w:ascii="Times New Roman" w:hAnsi="Times New Roman" w:eastAsia="宋体" w:cs="宋体"/>
                <w:lang w:val="en-US" w:eastAsia="zh-CN"/>
              </w:rPr>
              <w:t>确保信息畅通。各地区要加强区域性监测监控系统服务中心建设，对不具备监测监控系统维护能力的小煤矿提供技术指导和服务，保障设备正常运转。</w:t>
            </w:r>
          </w:p>
          <w:p>
            <w:pPr>
              <w:overflowPunct w:val="0"/>
              <w:autoSpaceDE w:val="0"/>
              <w:autoSpaceDN w:val="0"/>
              <w:adjustRightInd w:val="0"/>
              <w:snapToGrid w:val="0"/>
              <w:spacing w:before="0" w:after="0" w:line="360" w:lineRule="auto"/>
              <w:ind w:left="0" w:right="0" w:firstLine="480" w:firstLineChars="200"/>
              <w:jc w:val="left"/>
              <w:rPr>
                <w:rFonts w:hint="eastAsia"/>
                <w:lang w:val="en-US" w:eastAsia="zh-CN"/>
              </w:rPr>
            </w:pPr>
            <w:r>
              <w:rPr>
                <w:rFonts w:hint="eastAsia"/>
                <w:sz w:val="24"/>
                <w:szCs w:val="24"/>
                <w:lang w:val="en-US" w:eastAsia="zh-CN"/>
              </w:rPr>
              <w:t>本项目建设</w:t>
            </w:r>
            <w:r>
              <w:rPr>
                <w:rFonts w:hint="default" w:ascii="Times New Roman" w:hAnsi="Times New Roman" w:eastAsia="宋体" w:cs="宋体"/>
                <w:lang w:val="en-US" w:eastAsia="zh-CN"/>
              </w:rPr>
              <w:t>煤矿瓦斯抽采系统</w:t>
            </w:r>
            <w:r>
              <w:rPr>
                <w:rFonts w:hint="eastAsia" w:ascii="Times New Roman" w:hAnsi="Times New Roman" w:eastAsia="宋体" w:cs="宋体"/>
                <w:lang w:val="en-US" w:eastAsia="zh-CN"/>
              </w:rPr>
              <w:t>，</w:t>
            </w:r>
            <w:r>
              <w:rPr>
                <w:rFonts w:hint="eastAsia"/>
                <w:sz w:val="24"/>
                <w:szCs w:val="24"/>
                <w:lang w:val="en-US" w:eastAsia="zh-CN"/>
              </w:rPr>
              <w:t>建立甲烷气体监测系统，设计落实“应抽尽抽，多措并举”的原则，满足</w:t>
            </w:r>
            <w:r>
              <w:rPr>
                <w:rFonts w:hint="eastAsia" w:cs="宋体"/>
                <w:lang w:val="en-US" w:eastAsia="zh-CN"/>
              </w:rPr>
              <w:t>《煤层气（煤矿瓦斯）排放标准（暂行）》（GB 21522-2008）要求</w:t>
            </w:r>
            <w:r>
              <w:rPr>
                <w:rFonts w:hint="eastAsia"/>
                <w:lang w:val="en-US" w:eastAsia="zh-CN"/>
              </w:rPr>
              <w:t>，符合《关于进一步加强煤矿瓦斯防治工作的若干意见》相关要求。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9与《新疆生态环境保护“十四五”规划》符合性分析</w:t>
            </w:r>
          </w:p>
          <w:p>
            <w:pPr>
              <w:numPr>
                <w:ilvl w:val="0"/>
                <w:numId w:val="0"/>
              </w:numPr>
              <w:overflowPunct w:val="0"/>
              <w:autoSpaceDE w:val="0"/>
              <w:autoSpaceDN w:val="0"/>
              <w:adjustRightInd w:val="0"/>
              <w:snapToGrid w:val="0"/>
              <w:spacing w:before="0" w:after="0" w:line="360" w:lineRule="auto"/>
              <w:ind w:right="0" w:rightChars="0" w:firstLine="48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促进大气污染物与温室气体协同控制。实施污染物和温室气体协同控制，实现减污降碳协同效应。开展工业、农业温室气体和污染减排协同控制研究，减少温室气体和污染物排放。强化污水、垃圾等集中处置设施环境管理，协同控制氢氟碳化物、甲烷、氧化亚氮等温室气体。加强节约能源与大气污染防治协同有效衔接，促进大气污染防治协同增效。</w:t>
            </w:r>
          </w:p>
          <w:p>
            <w:pPr>
              <w:numPr>
                <w:ilvl w:val="0"/>
                <w:numId w:val="0"/>
              </w:numPr>
              <w:overflowPunct w:val="0"/>
              <w:autoSpaceDE w:val="0"/>
              <w:autoSpaceDN w:val="0"/>
              <w:adjustRightInd w:val="0"/>
              <w:snapToGrid w:val="0"/>
              <w:spacing w:before="0" w:after="0" w:line="360" w:lineRule="auto"/>
              <w:ind w:right="0" w:rightChars="0" w:firstLine="48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推进扬尘精细化管控。全面推行绿色施工，城市建成区建筑工地扬尘防控标准化管理全覆盖；加强城市道路清扫保洁和洒水抑尘，渣土车实施硬覆盖；推进低尘机械化作业水平，控制道路扬尘污染；强化非道路移动源综合治理；充分运用新型、高效的防尘、降尘、除尘技术，加强矿山粉尘治理。</w:t>
            </w:r>
          </w:p>
          <w:p>
            <w:pPr>
              <w:numPr>
                <w:ilvl w:val="0"/>
                <w:numId w:val="0"/>
              </w:numPr>
              <w:overflowPunct w:val="0"/>
              <w:autoSpaceDE w:val="0"/>
              <w:autoSpaceDN w:val="0"/>
              <w:adjustRightInd w:val="0"/>
              <w:snapToGrid w:val="0"/>
              <w:spacing w:before="0" w:after="0" w:line="360" w:lineRule="auto"/>
              <w:ind w:right="0" w:rightChars="0" w:firstLine="480"/>
              <w:jc w:val="both"/>
              <w:rPr>
                <w:rFonts w:hint="eastAsia"/>
                <w:lang w:val="en-US" w:eastAsia="zh-CN"/>
              </w:rPr>
            </w:pPr>
            <w:r>
              <w:rPr>
                <w:rFonts w:hint="eastAsia"/>
                <w:lang w:val="en-US" w:eastAsia="zh-CN"/>
              </w:rPr>
              <w:t>加强环境噪声污染防控。加强噪声污染源监管，继续强化和深入推进交通运输噪声、建筑施工噪声、社会生活噪声、工业企业、机场周边噪声污染防治，推进工业企业噪声纳入排污许可管理。优化重点区域声环境质量监测点位，加强城市环境噪声、道路交通噪声、功能区噪声例行监测与评价，推动功能区声环境质量自动监测，强化声环境功能区管理，适时调整完善声环境功能区。继续强化噪声信访处置，畅通噪声污染投诉渠道，完善生态环境与相关部门的噪声污染投诉信息共享处理机制。</w:t>
            </w:r>
          </w:p>
          <w:p>
            <w:pPr>
              <w:numPr>
                <w:ilvl w:val="0"/>
                <w:numId w:val="0"/>
              </w:numPr>
              <w:overflowPunct w:val="0"/>
              <w:autoSpaceDE w:val="0"/>
              <w:autoSpaceDN w:val="0"/>
              <w:adjustRightInd w:val="0"/>
              <w:snapToGrid w:val="0"/>
              <w:spacing w:before="0" w:after="0" w:line="360" w:lineRule="auto"/>
              <w:ind w:right="0" w:rightChars="0" w:firstLine="480"/>
              <w:jc w:val="both"/>
              <w:rPr>
                <w:rFonts w:hint="default"/>
                <w:lang w:val="en-US" w:eastAsia="zh-CN"/>
              </w:rPr>
            </w:pPr>
            <w:r>
              <w:rPr>
                <w:rFonts w:hint="eastAsia"/>
                <w:lang w:val="en-US" w:eastAsia="zh-CN"/>
              </w:rPr>
              <w:t>本项目抽采的煤矿瓦斯浓度均低于30%，按照矿井现有瓦斯抽采水平，设计矿井瓦斯抽采系统抽采瓦斯纯量较少，浓度较低，满足</w:t>
            </w:r>
            <w:r>
              <w:rPr>
                <w:rFonts w:hint="eastAsia" w:cs="宋体"/>
                <w:lang w:val="en-US" w:eastAsia="zh-CN"/>
              </w:rPr>
              <w:t>《煤层气（煤矿瓦斯）排放标准（暂行）》（GB 21522-2008），对周边环境影响不大</w:t>
            </w:r>
            <w:r>
              <w:rPr>
                <w:rFonts w:hint="eastAsia"/>
                <w:lang w:val="en-US" w:eastAsia="zh-CN"/>
              </w:rPr>
              <w:t>。本项目施工期落实</w:t>
            </w:r>
            <w:r>
              <w:rPr>
                <w:rFonts w:hint="eastAsia" w:ascii="Times New Roman" w:hAnsi="Times New Roman" w:eastAsia="宋体" w:cs="宋体"/>
                <w:color w:val="000000"/>
                <w:kern w:val="0"/>
                <w:sz w:val="24"/>
                <w:szCs w:val="24"/>
                <w:highlight w:val="none"/>
                <w:lang w:val="en-US" w:eastAsia="zh-CN" w:bidi="ar"/>
              </w:rPr>
              <w:t>工地周边围挡、物料堆放覆盖、土方开挖湿法作业、路面硬化、出入车辆清洗、渣土车辆密闭运输“六个百分百”，能够有效降低扬尘对周边环境的影响。本项目运营期噪声通过设置隔声减振措施，对周边声环境质量影响较小。因此本项目符合《新疆生态环境保护“十四五”规划》相关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1.1</w:t>
            </w:r>
            <w:r>
              <w:rPr>
                <w:rFonts w:hint="eastAsia" w:cs="黑体"/>
                <w:b/>
                <w:sz w:val="28"/>
                <w:szCs w:val="30"/>
                <w:lang w:val="en-US" w:eastAsia="zh-CN" w:bidi="ar-SA"/>
              </w:rPr>
              <w:t>0与</w:t>
            </w:r>
            <w:r>
              <w:rPr>
                <w:rFonts w:hint="eastAsia" w:ascii="Times New Roman" w:hAnsi="Times New Roman" w:eastAsia="宋体" w:cs="黑体"/>
                <w:b/>
                <w:sz w:val="28"/>
                <w:szCs w:val="30"/>
                <w:lang w:val="en-US" w:eastAsia="zh-CN" w:bidi="ar-SA"/>
              </w:rPr>
              <w:t>《关于加强乌鲁木齐、昌吉、石河子、五家渠区域环境同防同治区的意见》（新政发[2016]140号）符合性分析</w:t>
            </w:r>
          </w:p>
          <w:p>
            <w:pPr>
              <w:numPr>
                <w:ilvl w:val="0"/>
                <w:numId w:val="0"/>
              </w:numPr>
              <w:overflowPunct w:val="0"/>
              <w:autoSpaceDE w:val="0"/>
              <w:autoSpaceDN w:val="0"/>
              <w:adjustRightInd w:val="0"/>
              <w:snapToGrid w:val="0"/>
              <w:spacing w:before="0" w:after="0" w:line="360" w:lineRule="auto"/>
              <w:ind w:right="0" w:rightChars="0" w:firstLine="480"/>
              <w:jc w:val="both"/>
              <w:rPr>
                <w:rFonts w:hint="eastAsia"/>
                <w:lang w:val="en-US" w:eastAsia="zh-CN"/>
              </w:rPr>
            </w:pPr>
            <w:r>
              <w:rPr>
                <w:rFonts w:hint="eastAsia"/>
                <w:lang w:val="en-US" w:eastAsia="zh-CN"/>
              </w:rPr>
              <w:t>加大扬尘治理力度。严格落实建筑施工、道路、车辆运输堆场等扬尘源点污染控制要求，扩大绿地和地面铺装硬化面积。要落实生态保护主体责任，对城市周边及近郊区的生态破坏进行排查，开展矿山、砂场开采扬尘综合整治，关停13类落后小煤矿督促企业依法履行地质环境治理恢复义务。</w:t>
            </w:r>
          </w:p>
          <w:p>
            <w:pPr>
              <w:numPr>
                <w:ilvl w:val="0"/>
                <w:numId w:val="0"/>
              </w:numPr>
              <w:overflowPunct w:val="0"/>
              <w:autoSpaceDE w:val="0"/>
              <w:autoSpaceDN w:val="0"/>
              <w:adjustRightInd w:val="0"/>
              <w:snapToGrid w:val="0"/>
              <w:spacing w:before="0" w:after="0" w:line="360" w:lineRule="auto"/>
              <w:ind w:right="0" w:rightChars="0" w:firstLine="480"/>
              <w:jc w:val="both"/>
              <w:rPr>
                <w:rFonts w:hint="eastAsia" w:eastAsia="宋体" w:cs="宋体"/>
                <w:lang w:val="en-US" w:eastAsia="zh-CN"/>
              </w:rPr>
            </w:pPr>
            <w:r>
              <w:rPr>
                <w:rFonts w:hint="eastAsia"/>
                <w:lang w:val="en-US" w:eastAsia="zh-CN"/>
              </w:rPr>
              <w:t>本项目施工期落实</w:t>
            </w:r>
            <w:r>
              <w:rPr>
                <w:rFonts w:hint="eastAsia" w:ascii="Times New Roman" w:hAnsi="Times New Roman" w:eastAsia="宋体" w:cs="宋体"/>
                <w:color w:val="000000"/>
                <w:kern w:val="0"/>
                <w:sz w:val="24"/>
                <w:szCs w:val="24"/>
                <w:highlight w:val="none"/>
                <w:lang w:val="en-US" w:eastAsia="zh-CN" w:bidi="ar"/>
              </w:rPr>
              <w:t>工地周边围挡、物料堆放覆盖、土方开挖湿法作业、路面硬化、出入车辆清洗、渣土车辆密闭运输“六个百分百”，</w:t>
            </w:r>
            <w:r>
              <w:rPr>
                <w:rFonts w:hint="eastAsia" w:eastAsia="宋体" w:cs="宋体"/>
                <w:lang w:val="en-US" w:eastAsia="zh-CN"/>
              </w:rPr>
              <w:t>项目建成后将加强矿区及其周围的绿化和植被的恢复及补偿工作，加强生态保护以及恢复治理，石梯子西沟煤矿于2018年编制《呼图壁县石梯子西沟煤矿绿色矿山建设实施方案》，并向社会公布，因此符合《关于加强乌鲁木齐、昌吉、石河子、五家渠区域环境同防同治区的意见》（新政发[2016]140号）相关要求。</w:t>
            </w:r>
          </w:p>
          <w:p>
            <w:pPr>
              <w:pStyle w:val="26"/>
              <w:spacing w:line="360" w:lineRule="auto"/>
              <w:jc w:val="left"/>
              <w:rPr>
                <w:rFonts w:hint="default" w:ascii="Times New Roman" w:hAnsi="Times New Roman" w:eastAsia="宋体" w:cs="黑体"/>
                <w:b/>
                <w:snapToGrid/>
                <w:color w:val="auto"/>
                <w:sz w:val="28"/>
                <w:szCs w:val="30"/>
                <w:lang w:val="en-US" w:eastAsia="zh-CN" w:bidi="ar-SA"/>
              </w:rPr>
            </w:pPr>
            <w:r>
              <w:rPr>
                <w:rFonts w:hint="eastAsia" w:ascii="Times New Roman" w:hAnsi="Times New Roman" w:eastAsia="宋体" w:cs="黑体"/>
                <w:b/>
                <w:snapToGrid w:val="0"/>
                <w:color w:val="auto"/>
                <w:sz w:val="28"/>
                <w:szCs w:val="30"/>
                <w:lang w:val="en-US" w:eastAsia="zh-CN" w:bidi="ar-SA"/>
              </w:rPr>
              <w:t xml:space="preserve">  </w:t>
            </w:r>
            <w:r>
              <w:rPr>
                <w:rFonts w:hint="eastAsia" w:ascii="Times New Roman" w:hAnsi="Times New Roman" w:eastAsia="宋体" w:cs="黑体"/>
                <w:b/>
                <w:snapToGrid/>
                <w:color w:val="auto"/>
                <w:sz w:val="28"/>
                <w:szCs w:val="30"/>
                <w:lang w:val="en-US" w:eastAsia="zh-CN" w:bidi="ar-SA"/>
              </w:rPr>
              <w:t xml:space="preserve">  1.11与《关于开展昌吉州2022年度夏秋季大气污染防治“冬病夏治”有关工作的通知》（昌州环委办发[2022]18号）符合性分析</w:t>
            </w:r>
          </w:p>
          <w:p>
            <w:pPr>
              <w:numPr>
                <w:ilvl w:val="0"/>
                <w:numId w:val="0"/>
              </w:numPr>
              <w:overflowPunct w:val="0"/>
              <w:autoSpaceDE w:val="0"/>
              <w:autoSpaceDN w:val="0"/>
              <w:adjustRightInd w:val="0"/>
              <w:snapToGrid w:val="0"/>
              <w:spacing w:before="0" w:after="0" w:line="360" w:lineRule="auto"/>
              <w:ind w:left="0" w:right="0" w:rightChars="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加强道路扬尘整治，各县市、园区要提高城市道路机械化清扫率，提升背街小巷清扫保洁力度，有效控制单位面积尘土残存量。严格渣土运输车辆密闭管理，严禁渣土运输车辆带泥上路，强化渣土运输企业诚信考核。对城市公共区域、长期未开发建设裸地，以及废旧厂区、物流园、大型停车场等进行排查建档并采取防尘措施。</w:t>
            </w:r>
          </w:p>
          <w:p>
            <w:pPr>
              <w:numPr>
                <w:ilvl w:val="0"/>
                <w:numId w:val="0"/>
              </w:numPr>
              <w:overflowPunct w:val="0"/>
              <w:autoSpaceDE w:val="0"/>
              <w:autoSpaceDN w:val="0"/>
              <w:adjustRightInd w:val="0"/>
              <w:snapToGrid w:val="0"/>
              <w:spacing w:before="0" w:after="0" w:line="360" w:lineRule="auto"/>
              <w:ind w:right="0" w:rightChars="0" w:firstLine="480"/>
              <w:jc w:val="both"/>
              <w:rPr>
                <w:rFonts w:hint="default"/>
                <w:lang w:val="en-US" w:eastAsia="zh-CN"/>
              </w:rPr>
            </w:pPr>
            <w:r>
              <w:rPr>
                <w:rFonts w:hint="eastAsia"/>
                <w:lang w:val="en-US" w:eastAsia="zh-CN"/>
              </w:rPr>
              <w:t>本项目施工期落实</w:t>
            </w:r>
            <w:r>
              <w:rPr>
                <w:rFonts w:hint="eastAsia" w:ascii="Times New Roman" w:hAnsi="Times New Roman" w:eastAsia="宋体" w:cs="宋体"/>
                <w:color w:val="000000"/>
                <w:kern w:val="0"/>
                <w:sz w:val="24"/>
                <w:szCs w:val="24"/>
                <w:highlight w:val="none"/>
                <w:lang w:val="en-US" w:eastAsia="zh-CN" w:bidi="ar"/>
              </w:rPr>
              <w:t>工地周边围挡、物料堆放覆盖、土方开挖湿法作业、路面硬化、出入车辆清洗、渣土车辆密闭运输“六个百分百”，</w:t>
            </w:r>
            <w:r>
              <w:rPr>
                <w:rFonts w:hint="eastAsia" w:eastAsia="宋体" w:cs="宋体"/>
                <w:lang w:val="en-US" w:eastAsia="zh-CN"/>
              </w:rPr>
              <w:t>因此符合《关于开展昌吉州2022年度夏秋季大气污染防治“冬病夏治”有关工作的通知》（昌州环委办发[2022]18号）相关要求。</w:t>
            </w:r>
            <w:bookmarkStart w:id="58" w:name="_GoBack"/>
            <w:bookmarkEnd w:id="58"/>
          </w:p>
        </w:tc>
      </w:tr>
    </w:tbl>
    <w:p>
      <w:pPr>
        <w:widowControl w:val="0"/>
        <w:numPr>
          <w:ilvl w:val="0"/>
          <w:numId w:val="0"/>
        </w:numPr>
        <w:overflowPunct w:val="0"/>
        <w:autoSpaceDE w:val="0"/>
        <w:autoSpaceDN w:val="0"/>
        <w:bidi w:val="0"/>
        <w:adjustRightInd w:val="0"/>
        <w:snapToGrid w:val="0"/>
        <w:spacing w:before="0" w:after="0" w:line="560" w:lineRule="exact"/>
        <w:ind w:leftChars="0" w:right="0" w:rightChars="0"/>
        <w:jc w:val="center"/>
        <w:outlineLvl w:val="0"/>
        <w:rPr>
          <w:rFonts w:hint="eastAsia" w:ascii="Times New Roman" w:hAnsi="Times New Roman" w:eastAsia="宋体" w:cs="宋体"/>
          <w:b/>
          <w:kern w:val="44"/>
          <w:sz w:val="28"/>
          <w:szCs w:val="22"/>
          <w:lang w:val="en-US" w:eastAsia="zh-CN" w:bidi="ar-SA"/>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widowControl w:val="0"/>
        <w:numPr>
          <w:ilvl w:val="0"/>
          <w:numId w:val="0"/>
        </w:numPr>
        <w:overflowPunct w:val="0"/>
        <w:autoSpaceDE w:val="0"/>
        <w:autoSpaceDN w:val="0"/>
        <w:bidi w:val="0"/>
        <w:adjustRightInd w:val="0"/>
        <w:snapToGrid w:val="0"/>
        <w:spacing w:before="0" w:after="0" w:line="560" w:lineRule="exact"/>
        <w:ind w:left="0" w:leftChars="0" w:right="0" w:rightChars="0" w:firstLine="0" w:firstLineChars="0"/>
        <w:jc w:val="center"/>
        <w:outlineLvl w:val="0"/>
        <w:rPr>
          <w:rFonts w:hint="eastAsia" w:ascii="Times New Roman" w:hAnsi="Times New Roman" w:eastAsia="宋体" w:cs="宋体"/>
          <w:b/>
          <w:kern w:val="44"/>
          <w:sz w:val="28"/>
          <w:szCs w:val="22"/>
          <w:lang w:val="en-US" w:eastAsia="zh-CN" w:bidi="ar-SA"/>
        </w:rPr>
      </w:pPr>
      <w:bookmarkStart w:id="2" w:name="_Toc13611"/>
      <w:r>
        <w:rPr>
          <w:rFonts w:hint="eastAsia" w:ascii="Times New Roman" w:hAnsi="Times New Roman" w:eastAsia="宋体" w:cs="宋体"/>
          <w:b/>
          <w:kern w:val="44"/>
          <w:sz w:val="28"/>
          <w:szCs w:val="22"/>
          <w:lang w:val="en-US" w:eastAsia="zh-CN" w:bidi="ar-SA"/>
        </w:rPr>
        <w:t>二、建设项目工程分析</w:t>
      </w:r>
      <w:bookmarkEnd w:id="2"/>
    </w:p>
    <w:tbl>
      <w:tblPr>
        <w:tblStyle w:val="19"/>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3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653" w:type="dxa"/>
            <w:noWrap w:val="0"/>
            <w:vAlign w:val="center"/>
          </w:tcPr>
          <w:p>
            <w:pPr>
              <w:widowControl/>
              <w:shd w:val="clear" w:color="auto" w:fill="FFFFFF"/>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4"/>
                <w:szCs w:val="24"/>
                <w:lang w:val="en-US" w:eastAsia="zh-CN" w:bidi="ar-SA"/>
              </w:rPr>
              <w:t>建设内容</w:t>
            </w:r>
          </w:p>
        </w:tc>
        <w:tc>
          <w:tcPr>
            <w:tcW w:w="83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2.1项目概况</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（1）项目名称：</w:t>
            </w:r>
            <w:r>
              <w:rPr>
                <w:rFonts w:hint="eastAsia" w:cs="Times New Roman"/>
                <w:color w:val="000000"/>
                <w:kern w:val="2"/>
                <w:sz w:val="24"/>
                <w:szCs w:val="24"/>
                <w:highlight w:val="none"/>
                <w:lang w:val="en-US" w:eastAsia="zh-CN" w:bidi="ar-SA"/>
              </w:rPr>
              <w:t>新疆呼图壁县石梯子西沟煤矿瓦斯抽采系统升级改建项目</w:t>
            </w:r>
            <w:r>
              <w:rPr>
                <w:rFonts w:hint="default" w:ascii="Times New Roman" w:hAnsi="Times New Roman" w:eastAsia="宋体" w:cs="Times New Roman"/>
                <w:color w:val="000000"/>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（2）建设单位：新疆呼图壁县石梯子西沟</w:t>
            </w:r>
            <w:r>
              <w:rPr>
                <w:rFonts w:hint="eastAsia" w:ascii="Times New Roman" w:hAnsi="Times New Roman" w:eastAsia="宋体" w:cs="Times New Roman"/>
                <w:color w:val="000000"/>
                <w:kern w:val="2"/>
                <w:sz w:val="24"/>
                <w:szCs w:val="24"/>
                <w:highlight w:val="none"/>
                <w:lang w:val="en-US" w:eastAsia="zh-CN" w:bidi="ar-SA"/>
              </w:rPr>
              <w:t>煤炭有限责任公司</w:t>
            </w:r>
            <w:r>
              <w:rPr>
                <w:rFonts w:hint="default" w:ascii="Times New Roman" w:hAnsi="Times New Roman" w:eastAsia="宋体" w:cs="Times New Roman"/>
                <w:color w:val="000000"/>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（3）</w:t>
            </w:r>
            <w:r>
              <w:rPr>
                <w:rFonts w:hint="default" w:ascii="Times New Roman" w:hAnsi="Times New Roman" w:eastAsia="宋体" w:cs="Times New Roman"/>
                <w:color w:val="000000"/>
                <w:kern w:val="0"/>
                <w:sz w:val="24"/>
                <w:szCs w:val="24"/>
                <w:highlight w:val="none"/>
                <w:lang w:val="en-US" w:eastAsia="zh-CN" w:bidi="ar-SA"/>
              </w:rPr>
              <w:t>建设地点：</w:t>
            </w:r>
            <w:r>
              <w:rPr>
                <w:rFonts w:hint="eastAsia" w:cs="Times New Roman"/>
                <w:sz w:val="24"/>
                <w:szCs w:val="24"/>
                <w:lang w:val="en-US" w:eastAsia="zh-CN" w:bidi="ar-SA"/>
              </w:rPr>
              <w:t>新疆呼图壁县石梯子西沟煤矿（原瓦斯磅房南侧）</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本项目地理位置图见图2.1-1。项目卫星图见图2.1-2；</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（4）建设性质：</w:t>
            </w:r>
            <w:r>
              <w:rPr>
                <w:rFonts w:hint="eastAsia" w:cs="Times New Roman"/>
                <w:color w:val="000000"/>
                <w:kern w:val="2"/>
                <w:sz w:val="24"/>
                <w:szCs w:val="24"/>
                <w:highlight w:val="none"/>
                <w:lang w:val="en-US" w:eastAsia="zh-CN" w:bidi="ar-SA"/>
              </w:rPr>
              <w:t>改建</w:t>
            </w:r>
            <w:r>
              <w:rPr>
                <w:rFonts w:hint="default" w:ascii="Times New Roman" w:hAnsi="Times New Roman" w:eastAsia="宋体" w:cs="Times New Roman"/>
                <w:color w:val="000000"/>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（5）项目投资：项目总投资</w:t>
            </w:r>
            <w:r>
              <w:rPr>
                <w:rFonts w:hint="eastAsia" w:cs="Times New Roman"/>
                <w:color w:val="000000"/>
                <w:kern w:val="2"/>
                <w:sz w:val="24"/>
                <w:szCs w:val="24"/>
                <w:highlight w:val="none"/>
                <w:lang w:val="en-US" w:eastAsia="zh-CN" w:bidi="ar-SA"/>
              </w:rPr>
              <w:t>1781.53</w:t>
            </w:r>
            <w:r>
              <w:rPr>
                <w:rFonts w:hint="default" w:ascii="Times New Roman" w:hAnsi="Times New Roman" w:eastAsia="宋体" w:cs="Times New Roman"/>
                <w:color w:val="000000"/>
                <w:kern w:val="2"/>
                <w:sz w:val="24"/>
                <w:szCs w:val="24"/>
                <w:highlight w:val="none"/>
                <w:lang w:val="en-US" w:eastAsia="zh-CN" w:bidi="ar-SA"/>
              </w:rPr>
              <w:t>万元，资金全部由企业自筹；</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（6）劳动定员：本项目劳动定员</w:t>
            </w:r>
            <w:r>
              <w:rPr>
                <w:rFonts w:hint="eastAsia" w:ascii="Times New Roman" w:hAnsi="Times New Roman" w:eastAsia="宋体" w:cs="Times New Roman"/>
                <w:color w:val="000000"/>
                <w:kern w:val="2"/>
                <w:sz w:val="24"/>
                <w:szCs w:val="24"/>
                <w:highlight w:val="none"/>
                <w:lang w:val="en-US" w:eastAsia="zh-CN" w:bidi="ar-SA"/>
              </w:rPr>
              <w:t>25人</w:t>
            </w:r>
            <w:r>
              <w:rPr>
                <w:rFonts w:hint="default" w:ascii="Times New Roman" w:hAnsi="Times New Roman" w:eastAsia="宋体"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均</w:t>
            </w:r>
            <w:r>
              <w:rPr>
                <w:rFonts w:hint="default" w:ascii="Times New Roman" w:hAnsi="Times New Roman" w:eastAsia="宋体" w:cs="Times New Roman"/>
                <w:color w:val="000000"/>
                <w:kern w:val="2"/>
                <w:sz w:val="24"/>
                <w:szCs w:val="24"/>
                <w:highlight w:val="none"/>
                <w:lang w:val="en-US" w:eastAsia="zh-CN" w:bidi="ar-SA"/>
              </w:rPr>
              <w:t>在现有工程人员中调剂；</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（7）工作制度：</w:t>
            </w:r>
            <w:r>
              <w:rPr>
                <w:rFonts w:hint="default" w:ascii="Times New Roman" w:hAnsi="Times New Roman" w:eastAsia="宋体" w:cs="Times New Roman"/>
                <w:color w:val="000000"/>
                <w:kern w:val="0"/>
                <w:sz w:val="24"/>
                <w:szCs w:val="24"/>
                <w:highlight w:val="none"/>
                <w:lang w:val="en-US" w:eastAsia="zh-CN" w:bidi="ar-SA"/>
              </w:rPr>
              <w:t>年运行</w:t>
            </w:r>
            <w:r>
              <w:rPr>
                <w:rFonts w:hint="eastAsia" w:ascii="Times New Roman" w:hAnsi="Times New Roman" w:eastAsia="宋体" w:cs="Times New Roman"/>
                <w:color w:val="000000"/>
                <w:kern w:val="0"/>
                <w:sz w:val="24"/>
                <w:szCs w:val="24"/>
                <w:highlight w:val="none"/>
                <w:lang w:val="en-US" w:eastAsia="zh-CN" w:bidi="ar-SA"/>
              </w:rPr>
              <w:t>330</w:t>
            </w:r>
            <w:r>
              <w:rPr>
                <w:rFonts w:hint="default" w:ascii="Times New Roman" w:hAnsi="Times New Roman" w:eastAsia="宋体" w:cs="Times New Roman"/>
                <w:color w:val="000000"/>
                <w:kern w:val="0"/>
                <w:sz w:val="24"/>
                <w:szCs w:val="24"/>
                <w:highlight w:val="none"/>
                <w:lang w:val="en-US" w:eastAsia="zh-CN" w:bidi="ar-SA"/>
              </w:rPr>
              <w:t>d，</w:t>
            </w:r>
            <w:r>
              <w:rPr>
                <w:rFonts w:hint="eastAsia" w:ascii="Times New Roman" w:hAnsi="Times New Roman" w:eastAsia="宋体" w:cs="Times New Roman"/>
                <w:color w:val="000000"/>
                <w:kern w:val="0"/>
                <w:sz w:val="24"/>
                <w:szCs w:val="24"/>
                <w:highlight w:val="none"/>
                <w:lang w:val="en-US" w:eastAsia="zh-CN" w:bidi="ar-SA"/>
              </w:rPr>
              <w:t>实行三班制工作制度</w:t>
            </w:r>
            <w:r>
              <w:rPr>
                <w:rFonts w:hint="default" w:ascii="Times New Roman" w:hAnsi="Times New Roman" w:eastAsia="宋体" w:cs="Times New Roman"/>
                <w:color w:val="000000"/>
                <w:kern w:val="0"/>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kern w:val="2"/>
                <w:sz w:val="24"/>
                <w:szCs w:val="24"/>
              </w:rPr>
            </w:pPr>
            <w:r>
              <w:rPr>
                <w:rFonts w:hint="eastAsia" w:ascii="Times New Roman" w:hAnsi="Times New Roman" w:eastAsia="宋体" w:cs="Times New Roman"/>
                <w:color w:val="000000"/>
                <w:kern w:val="2"/>
                <w:sz w:val="24"/>
                <w:szCs w:val="24"/>
                <w:highlight w:val="none"/>
                <w:lang w:val="en-US" w:eastAsia="zh-CN" w:bidi="ar-SA"/>
              </w:rPr>
              <w:t>（8）建设规模：二水平矿井设计抽采量为25m</w:t>
            </w:r>
            <w:r>
              <w:rPr>
                <w:rFonts w:hint="eastAsia" w:ascii="Times New Roman" w:hAnsi="Times New Roman" w:eastAsia="宋体" w:cs="Times New Roman"/>
                <w:color w:val="000000"/>
                <w:kern w:val="2"/>
                <w:sz w:val="24"/>
                <w:szCs w:val="24"/>
                <w:highlight w:val="none"/>
                <w:vertAlign w:val="superscript"/>
                <w:lang w:val="en-US" w:eastAsia="zh-CN" w:bidi="ar-SA"/>
              </w:rPr>
              <w:t>3</w:t>
            </w:r>
            <w:r>
              <w:rPr>
                <w:rFonts w:hint="eastAsia" w:ascii="Times New Roman" w:hAnsi="Times New Roman" w:eastAsia="宋体" w:cs="Times New Roman"/>
                <w:color w:val="000000"/>
                <w:kern w:val="2"/>
                <w:sz w:val="24"/>
                <w:szCs w:val="24"/>
                <w:highlight w:val="none"/>
                <w:lang w:val="en-US" w:eastAsia="zh-CN" w:bidi="ar-SA"/>
              </w:rPr>
              <w:t>/min纯瓦斯。</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Times New Roman"/>
                <w:b/>
                <w:bCs/>
                <w:sz w:val="28"/>
                <w:szCs w:val="30"/>
                <w:lang w:val="en-US" w:eastAsia="zh-CN" w:bidi="ar-SA"/>
              </w:rPr>
            </w:pPr>
            <w:r>
              <w:rPr>
                <w:rFonts w:hint="default" w:ascii="Times New Roman" w:hAnsi="Times New Roman" w:eastAsia="宋体" w:cs="Times New Roman"/>
                <w:b/>
                <w:bCs/>
                <w:sz w:val="28"/>
                <w:szCs w:val="30"/>
                <w:lang w:val="en-US" w:eastAsia="zh-CN" w:bidi="ar-SA"/>
              </w:rPr>
              <w:t>2.2建设内容</w:t>
            </w:r>
            <w:r>
              <w:rPr>
                <w:rFonts w:hint="eastAsia" w:eastAsia="宋体" w:cs="Times New Roman"/>
                <w:b/>
                <w:bCs/>
                <w:sz w:val="28"/>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本项目</w:t>
            </w:r>
            <w:r>
              <w:rPr>
                <w:rFonts w:hint="eastAsia"/>
                <w:lang w:val="en-US" w:eastAsia="zh-CN"/>
              </w:rPr>
              <w:t>建立瓦斯抽采站，设计纯瓦斯抽采量为25m</w:t>
            </w:r>
            <w:r>
              <w:rPr>
                <w:rFonts w:hint="eastAsia"/>
                <w:vertAlign w:val="superscript"/>
                <w:lang w:val="en-US" w:eastAsia="zh-CN"/>
              </w:rPr>
              <w:t>3</w:t>
            </w:r>
            <w:r>
              <w:rPr>
                <w:rFonts w:hint="eastAsia"/>
                <w:lang w:val="en-US" w:eastAsia="zh-CN"/>
              </w:rPr>
              <w:t>/min（其中高负压抽采系统抽采量为15m</w:t>
            </w:r>
            <w:r>
              <w:rPr>
                <w:rFonts w:hint="eastAsia"/>
                <w:vertAlign w:val="superscript"/>
                <w:lang w:val="en-US" w:eastAsia="zh-CN"/>
              </w:rPr>
              <w:t>3</w:t>
            </w:r>
            <w:r>
              <w:rPr>
                <w:rFonts w:hint="eastAsia"/>
                <w:lang w:val="en-US" w:eastAsia="zh-CN"/>
              </w:rPr>
              <w:t>/min，低负压抽采系统抽采量为10m</w:t>
            </w:r>
            <w:r>
              <w:rPr>
                <w:rFonts w:hint="eastAsia"/>
                <w:vertAlign w:val="superscript"/>
                <w:lang w:val="en-US" w:eastAsia="zh-CN"/>
              </w:rPr>
              <w:t>3</w:t>
            </w:r>
            <w:r>
              <w:rPr>
                <w:rFonts w:hint="eastAsia"/>
                <w:lang w:val="en-US" w:eastAsia="zh-CN"/>
              </w:rPr>
              <w:t>/min）</w:t>
            </w:r>
            <w:r>
              <w:rPr>
                <w:rFonts w:hint="default" w:ascii="Times New Roman" w:hAnsi="Times New Roman" w:eastAsia="宋体" w:cs="Times New Roman"/>
                <w:kern w:val="2"/>
                <w:sz w:val="24"/>
                <w:szCs w:val="24"/>
                <w:lang w:val="en-US" w:eastAsia="zh-CN" w:bidi="ar-SA"/>
              </w:rPr>
              <w:t>。项目组成见表</w:t>
            </w:r>
            <w:r>
              <w:rPr>
                <w:rFonts w:hint="eastAsia" w:ascii="Times New Roman" w:hAnsi="Times New Roman" w:eastAsia="宋体" w:cs="Times New Roman"/>
                <w:kern w:val="2"/>
                <w:sz w:val="24"/>
                <w:szCs w:val="24"/>
                <w:lang w:val="en-US" w:eastAsia="zh-CN" w:bidi="ar-SA"/>
              </w:rPr>
              <w:t>2.2-1</w:t>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2.4</w:t>
            </w:r>
            <w:r>
              <w:rPr>
                <w:rFonts w:hint="default" w:ascii="Times New Roman" w:hAnsi="Times New Roman" w:eastAsia="宋体" w:cs="黑体"/>
                <w:b/>
                <w:sz w:val="28"/>
                <w:szCs w:val="30"/>
                <w:lang w:val="en-US" w:eastAsia="zh-CN" w:bidi="ar-SA"/>
              </w:rPr>
              <w:t>公用工程</w:t>
            </w:r>
          </w:p>
          <w:p>
            <w:pPr>
              <w:keepNext w:val="0"/>
              <w:keepLines w:val="0"/>
              <w:pageBreakBefore w:val="0"/>
              <w:widowControl w:val="0"/>
              <w:numPr>
                <w:ilvl w:val="0"/>
                <w:numId w:val="0"/>
              </w:numPr>
              <w:kinsoku/>
              <w:overflowPunct/>
              <w:topLinePunct w:val="0"/>
              <w:autoSpaceDE/>
              <w:autoSpaceDN/>
              <w:bidi w:val="0"/>
              <w:spacing w:line="480" w:lineRule="exact"/>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供电</w:t>
            </w:r>
          </w:p>
          <w:p>
            <w:pPr>
              <w:keepNext w:val="0"/>
              <w:keepLines w:val="0"/>
              <w:pageBreakBefore w:val="0"/>
              <w:widowControl w:val="0"/>
              <w:numPr>
                <w:ilvl w:val="0"/>
                <w:numId w:val="0"/>
              </w:numPr>
              <w:kinsoku/>
              <w:overflowPunct/>
              <w:topLinePunct w:val="0"/>
              <w:autoSpaceDE/>
              <w:autoSpaceDN/>
              <w:bidi w:val="0"/>
              <w:spacing w:line="480" w:lineRule="exact"/>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瓦斯抽采站变电所采用双电源供电，回线路同时工作，分列运行</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当一回线路故障时，另一回能保证该变电所所带全部负荷用电。本工程建筑为瓦斯抽采泵站及其附属用房，瓦斯泵站内所有设备用电均为一级负荷。负荷用电电压等级为10kV、0.69kV及127V。</w:t>
            </w:r>
          </w:p>
          <w:p>
            <w:pPr>
              <w:keepNext w:val="0"/>
              <w:keepLines w:val="0"/>
              <w:pageBreakBefore w:val="0"/>
              <w:widowControl w:val="0"/>
              <w:numPr>
                <w:ilvl w:val="0"/>
                <w:numId w:val="0"/>
              </w:numPr>
              <w:kinsoku/>
              <w:overflowPunct/>
              <w:topLinePunct w:val="0"/>
              <w:autoSpaceDE/>
              <w:autoSpaceDN/>
              <w:bidi w:val="0"/>
              <w:spacing w:line="480" w:lineRule="exact"/>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本项目在瓦斯抽采站内部设置10kv专用瓦斯抽采专用配电室，变配电室内部设置12台矿用隔爆兼本质安全型高压真空配电装置</w:t>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供水</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cs="Times New Roman"/>
                <w:kern w:val="2"/>
                <w:sz w:val="24"/>
                <w:szCs w:val="24"/>
                <w:lang w:val="en-US" w:eastAsia="zh-CN" w:bidi="ar-SA"/>
              </w:rPr>
            </w:pPr>
            <w:r>
              <w:rPr>
                <w:rFonts w:hint="eastAsia" w:cs="Times New Roman"/>
                <w:kern w:val="2"/>
                <w:sz w:val="24"/>
                <w:szCs w:val="24"/>
                <w:lang w:val="en-US" w:eastAsia="zh-CN" w:bidi="ar-SA"/>
              </w:rPr>
              <w:t>①生活用水</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eastAsia" w:cs="Times New Roman"/>
                <w:kern w:val="2"/>
                <w:sz w:val="24"/>
                <w:szCs w:val="24"/>
                <w:lang w:val="en-US" w:eastAsia="zh-CN" w:bidi="ar-SA"/>
              </w:rPr>
            </w:pPr>
            <w:r>
              <w:rPr>
                <w:rFonts w:hint="eastAsia" w:cs="Times New Roman"/>
                <w:kern w:val="2"/>
                <w:sz w:val="24"/>
                <w:szCs w:val="24"/>
                <w:lang w:val="en-US" w:eastAsia="zh-CN" w:bidi="ar-SA"/>
              </w:rPr>
              <w:t>本项目新建后不新增劳动定员，劳动定员由现有工程内部调剂，因此无新增生活用水。</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eastAsia" w:cs="Times New Roman"/>
                <w:kern w:val="2"/>
                <w:sz w:val="24"/>
                <w:szCs w:val="24"/>
                <w:lang w:val="en-US" w:eastAsia="zh-CN" w:bidi="ar-SA"/>
              </w:rPr>
            </w:pPr>
            <w:r>
              <w:rPr>
                <w:rFonts w:hint="eastAsia" w:cs="Times New Roman"/>
                <w:kern w:val="2"/>
                <w:sz w:val="24"/>
                <w:szCs w:val="24"/>
                <w:lang w:val="en-US" w:eastAsia="zh-CN" w:bidi="ar-SA"/>
              </w:rPr>
              <w:t>②生产用水</w:t>
            </w:r>
          </w:p>
          <w:p>
            <w:pPr>
              <w:widowControl w:val="0"/>
              <w:autoSpaceDE w:val="0"/>
              <w:autoSpaceDN w:val="0"/>
              <w:adjustRightInd w:val="0"/>
              <w:spacing w:line="360" w:lineRule="auto"/>
              <w:ind w:firstLine="480"/>
              <w:jc w:val="both"/>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本项目生产用水主要为循环冷却系统用水</w:t>
            </w:r>
            <w:r>
              <w:rPr>
                <w:rFonts w:hint="eastAsia" w:ascii="Calibri" w:hAnsi="Calibri" w:cs="Times New Roman"/>
                <w:kern w:val="2"/>
                <w:sz w:val="24"/>
                <w:szCs w:val="24"/>
                <w:lang w:val="en-US" w:eastAsia="zh-CN" w:bidi="ar-SA"/>
              </w:rPr>
              <w:t>，利用矿井供水系统为水源，在循环泵房内设置软水设备制备</w:t>
            </w:r>
            <w:r>
              <w:rPr>
                <w:rFonts w:hint="default" w:ascii="Times New Roman" w:hAnsi="Times New Roman" w:eastAsia="宋体" w:cs="Times New Roman"/>
                <w:color w:val="000000"/>
                <w:kern w:val="2"/>
                <w:sz w:val="24"/>
                <w:szCs w:val="24"/>
                <w:lang w:val="en-US" w:eastAsia="zh-CN" w:bidi="ar-SA"/>
              </w:rPr>
              <w:t>。</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（3）</w:t>
            </w:r>
            <w:r>
              <w:rPr>
                <w:rFonts w:hint="eastAsia" w:ascii="Times New Roman" w:hAnsi="Times New Roman" w:cs="Times New Roman"/>
                <w:kern w:val="2"/>
                <w:sz w:val="24"/>
                <w:szCs w:val="24"/>
                <w:lang w:val="en-US" w:eastAsia="zh-CN" w:bidi="ar-SA"/>
              </w:rPr>
              <w:t>排水</w:t>
            </w:r>
          </w:p>
          <w:p>
            <w:pPr>
              <w:widowControl w:val="0"/>
              <w:autoSpaceDE w:val="0"/>
              <w:autoSpaceDN w:val="0"/>
              <w:adjustRightInd w:val="0"/>
              <w:spacing w:line="360" w:lineRule="auto"/>
              <w:ind w:firstLine="480"/>
              <w:jc w:val="both"/>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lang w:val="en-US" w:eastAsia="zh-CN" w:bidi="ar-SA"/>
              </w:rPr>
              <w:t>本项目无新增生活污水，生产废水主要为软水系统排水以及</w:t>
            </w:r>
            <w:r>
              <w:rPr>
                <w:rFonts w:hint="eastAsia" w:ascii="Times New Roman" w:hAnsi="Times New Roman" w:cs="Times New Roman"/>
                <w:kern w:val="2"/>
                <w:sz w:val="24"/>
                <w:szCs w:val="24"/>
                <w:lang w:val="en-US" w:eastAsia="zh-CN" w:bidi="ar-SA"/>
              </w:rPr>
              <w:t>循环系统</w:t>
            </w:r>
            <w:r>
              <w:rPr>
                <w:rFonts w:hint="default" w:ascii="Times New Roman" w:hAnsi="Times New Roman" w:cs="Times New Roman"/>
                <w:kern w:val="2"/>
                <w:sz w:val="24"/>
                <w:szCs w:val="24"/>
                <w:lang w:val="en-US" w:eastAsia="zh-CN" w:bidi="ar-SA"/>
              </w:rPr>
              <w:t>排水</w:t>
            </w:r>
            <w:r>
              <w:rPr>
                <w:rFonts w:hint="default" w:ascii="Times New Roman" w:hAnsi="Times New Roman" w:cs="Times New Roman"/>
                <w:b w:val="0"/>
                <w:bCs w:val="0"/>
                <w:color w:val="auto"/>
                <w:kern w:val="2"/>
                <w:sz w:val="24"/>
                <w:szCs w:val="22"/>
                <w:lang w:val="en-US" w:eastAsia="zh-CN"/>
              </w:rPr>
              <w:t>。</w:t>
            </w:r>
            <w:r>
              <w:rPr>
                <w:rFonts w:hint="eastAsia" w:ascii="Times New Roman" w:hAnsi="Times New Roman" w:cs="Times New Roman"/>
                <w:b w:val="0"/>
                <w:bCs w:val="0"/>
                <w:color w:val="auto"/>
                <w:kern w:val="2"/>
                <w:sz w:val="24"/>
                <w:szCs w:val="22"/>
                <w:lang w:val="en-US" w:eastAsia="zh-CN"/>
              </w:rPr>
              <w:t>软水系统排水主要为pH、COD以及溶解性总固体（全盐量）。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lang w:val="en-US" w:eastAsia="zh-CN"/>
              </w:rPr>
            </w:pPr>
            <w:r>
              <w:rPr>
                <w:rFonts w:hint="default" w:ascii="Times New Roman" w:hAnsi="Times New Roman" w:eastAsia="宋体" w:cs="Times New Roman"/>
                <w:kern w:val="2"/>
                <w:sz w:val="24"/>
                <w:szCs w:val="24"/>
                <w:lang w:val="en-US" w:eastAsia="zh-CN" w:bidi="ar-SA"/>
              </w:rPr>
              <w:t>根据本项目可研提供数据，本项目</w:t>
            </w:r>
            <w:r>
              <w:rPr>
                <w:rFonts w:hint="eastAsia" w:ascii="Times New Roman" w:hAnsi="Times New Roman" w:eastAsia="宋体" w:cs="Times New Roman"/>
                <w:color w:val="000000"/>
                <w:kern w:val="2"/>
                <w:sz w:val="24"/>
                <w:szCs w:val="22"/>
                <w:lang w:val="en-US" w:eastAsia="zh-CN"/>
              </w:rPr>
              <w:t>循环冷却排水</w:t>
            </w:r>
            <w:r>
              <w:rPr>
                <w:rFonts w:hint="default" w:ascii="Times New Roman" w:hAnsi="Times New Roman" w:eastAsia="宋体" w:cs="Times New Roman"/>
                <w:kern w:val="2"/>
                <w:sz w:val="24"/>
                <w:szCs w:val="24"/>
                <w:lang w:val="en-US" w:eastAsia="zh-CN" w:bidi="ar-SA"/>
              </w:rPr>
              <w:t>约为2m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，660</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a</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color w:val="000000"/>
                <w:kern w:val="2"/>
                <w:sz w:val="24"/>
                <w:szCs w:val="22"/>
                <w:lang w:val="en-US" w:eastAsia="zh-CN"/>
              </w:rPr>
              <w:t>主要污染物为</w:t>
            </w:r>
            <w:r>
              <w:rPr>
                <w:rFonts w:hint="eastAsia" w:cs="Times New Roman"/>
                <w:color w:val="000000"/>
                <w:kern w:val="2"/>
                <w:sz w:val="24"/>
                <w:szCs w:val="22"/>
                <w:lang w:val="en-US" w:eastAsia="zh-CN"/>
              </w:rPr>
              <w:t>pH、COD</w:t>
            </w:r>
            <w:r>
              <w:rPr>
                <w:rFonts w:hint="eastAsia" w:ascii="Times New Roman" w:hAnsi="Times New Roman" w:eastAsia="宋体" w:cs="Times New Roman"/>
                <w:color w:val="000000"/>
                <w:kern w:val="2"/>
                <w:sz w:val="24"/>
                <w:szCs w:val="22"/>
                <w:lang w:val="en-US" w:eastAsia="zh-CN"/>
              </w:rPr>
              <w:t>，</w:t>
            </w:r>
            <w:r>
              <w:rPr>
                <w:rFonts w:hint="default" w:ascii="Times New Roman" w:hAnsi="Times New Roman" w:eastAsia="宋体" w:cs="Times New Roman"/>
                <w:kern w:val="2"/>
                <w:sz w:val="24"/>
                <w:szCs w:val="24"/>
                <w:lang w:val="en-US" w:eastAsia="zh-CN" w:bidi="ar-SA"/>
              </w:rPr>
              <w:t>排入现有工程</w:t>
            </w:r>
            <w:r>
              <w:rPr>
                <w:rFonts w:hint="eastAsia" w:cs="Times New Roman"/>
                <w:kern w:val="2"/>
                <w:sz w:val="24"/>
                <w:szCs w:val="24"/>
                <w:lang w:val="en-US" w:eastAsia="zh-CN" w:bidi="ar-SA"/>
              </w:rPr>
              <w:t>矿井水</w:t>
            </w:r>
            <w:r>
              <w:rPr>
                <w:rFonts w:hint="default" w:ascii="Times New Roman" w:hAnsi="Times New Roman" w:eastAsia="宋体" w:cs="Times New Roman"/>
                <w:kern w:val="2"/>
                <w:sz w:val="24"/>
                <w:szCs w:val="24"/>
                <w:lang w:val="en-US" w:eastAsia="zh-CN" w:bidi="ar-SA"/>
              </w:rPr>
              <w:t>处理站内。</w:t>
            </w:r>
          </w:p>
          <w:p>
            <w:pPr>
              <w:overflowPunct w:val="0"/>
              <w:autoSpaceDE w:val="0"/>
              <w:autoSpaceDN w:val="0"/>
              <w:bidi w:val="0"/>
              <w:adjustRightInd w:val="0"/>
              <w:snapToGrid w:val="0"/>
              <w:spacing w:line="360" w:lineRule="auto"/>
              <w:ind w:firstLine="480" w:firstLineChars="200"/>
              <w:rPr>
                <w:rFonts w:hint="default" w:ascii="Times New Roman" w:hAnsi="Times New Roman"/>
                <w:highlight w:val="none"/>
                <w:lang w:val="en-US" w:eastAsia="zh-CN"/>
              </w:rPr>
            </w:pPr>
            <w:r>
              <w:rPr>
                <w:rFonts w:hint="default" w:ascii="Times New Roman" w:hAnsi="Times New Roman"/>
                <w:highlight w:val="none"/>
              </w:rPr>
              <w:t>建设项目水平衡图见图</w:t>
            </w:r>
            <w:r>
              <w:rPr>
                <w:rFonts w:hint="eastAsia" w:ascii="Times New Roman" w:hAnsi="Times New Roman" w:eastAsia="宋体"/>
                <w:highlight w:val="none"/>
                <w:lang w:val="en-US" w:eastAsia="zh-CN"/>
              </w:rPr>
              <w:t>2.4-1</w:t>
            </w:r>
            <w:r>
              <w:rPr>
                <w:rFonts w:hint="default" w:ascii="Times New Roman" w:hAnsi="Times New Roman"/>
                <w:highlight w:val="none"/>
              </w:rPr>
              <w:t>。</w:t>
            </w:r>
            <w:r>
              <w:rPr>
                <w:rFonts w:hint="eastAsia" w:ascii="Times New Roman" w:hAnsi="Times New Roman" w:eastAsia="宋体" w:cs="Times New Roman"/>
                <w:color w:val="000000"/>
                <w:kern w:val="2"/>
                <w:sz w:val="24"/>
                <w:szCs w:val="22"/>
                <w:highlight w:val="none"/>
                <w:lang w:val="en-US" w:eastAsia="zh-CN"/>
              </w:rPr>
              <w:t xml:space="preserve"> </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500" w:lineRule="exact"/>
              <w:ind w:right="0"/>
              <w:jc w:val="left"/>
              <w:textAlignment w:val="auto"/>
              <w:rPr>
                <w:rFonts w:hint="default" w:ascii="Times New Roman" w:hAnsi="Times New Roman"/>
                <w:highlight w:val="none"/>
                <w:lang w:val="en-US" w:eastAsia="zh-CN"/>
              </w:rPr>
            </w:pPr>
            <w:r>
              <w:rPr>
                <w:sz w:val="24"/>
              </w:rPr>
              <mc:AlternateContent>
                <mc:Choice Requires="wpg">
                  <w:drawing>
                    <wp:anchor distT="0" distB="0" distL="114300" distR="114300" simplePos="0" relativeHeight="251664384" behindDoc="0" locked="0" layoutInCell="1" allowOverlap="1">
                      <wp:simplePos x="0" y="0"/>
                      <wp:positionH relativeFrom="column">
                        <wp:posOffset>367665</wp:posOffset>
                      </wp:positionH>
                      <wp:positionV relativeFrom="paragraph">
                        <wp:posOffset>76835</wp:posOffset>
                      </wp:positionV>
                      <wp:extent cx="4526280" cy="1686560"/>
                      <wp:effectExtent l="4445" t="0" r="0" b="0"/>
                      <wp:wrapNone/>
                      <wp:docPr id="52" name="组合 52"/>
                      <wp:cNvGraphicFramePr/>
                      <a:graphic xmlns:a="http://schemas.openxmlformats.org/drawingml/2006/main">
                        <a:graphicData uri="http://schemas.microsoft.com/office/word/2010/wordprocessingGroup">
                          <wpg:wgp>
                            <wpg:cNvGrpSpPr/>
                            <wpg:grpSpPr>
                              <a:xfrm>
                                <a:off x="0" y="0"/>
                                <a:ext cx="4526280" cy="1686560"/>
                                <a:chOff x="6335" y="484994"/>
                                <a:chExt cx="7128" cy="2656"/>
                              </a:xfrm>
                            </wpg:grpSpPr>
                            <wpg:grpSp>
                              <wpg:cNvPr id="37" name="组合 37"/>
                              <wpg:cNvGrpSpPr/>
                              <wpg:grpSpPr>
                                <a:xfrm>
                                  <a:off x="6335" y="484994"/>
                                  <a:ext cx="7129" cy="2657"/>
                                  <a:chOff x="7348" y="296357"/>
                                  <a:chExt cx="7129" cy="2657"/>
                                </a:xfrm>
                              </wpg:grpSpPr>
                              <wpg:grpSp>
                                <wpg:cNvPr id="38" name="组合 4"/>
                                <wpg:cNvGrpSpPr/>
                                <wpg:grpSpPr>
                                  <a:xfrm>
                                    <a:off x="7348" y="296357"/>
                                    <a:ext cx="7129" cy="2657"/>
                                    <a:chOff x="6935" y="317568"/>
                                    <a:chExt cx="7129" cy="2657"/>
                                  </a:xfrm>
                                </wpg:grpSpPr>
                                <wpg:grpSp>
                                  <wpg:cNvPr id="39" name="组合 24"/>
                                  <wpg:cNvGrpSpPr/>
                                  <wpg:grpSpPr>
                                    <a:xfrm>
                                      <a:off x="6935" y="317568"/>
                                      <a:ext cx="7129" cy="2485"/>
                                      <a:chOff x="6309" y="241679"/>
                                      <a:chExt cx="7129" cy="2485"/>
                                    </a:xfrm>
                                  </wpg:grpSpPr>
                                  <wpg:grpSp>
                                    <wpg:cNvPr id="41" name="组合 38"/>
                                    <wpg:cNvGrpSpPr/>
                                    <wpg:grpSpPr>
                                      <a:xfrm rot="0">
                                        <a:off x="6309" y="241679"/>
                                        <a:ext cx="7129" cy="2485"/>
                                        <a:chOff x="5957" y="266818"/>
                                        <a:chExt cx="7129" cy="2485"/>
                                      </a:xfrm>
                                    </wpg:grpSpPr>
                                    <wps:wsp>
                                      <wps:cNvPr id="42" name="肘形连接符 29"/>
                                      <wps:cNvCnPr>
                                        <a:endCxn id="45" idx="1"/>
                                      </wps:cNvCnPr>
                                      <wps:spPr>
                                        <a:xfrm>
                                          <a:off x="9319" y="267559"/>
                                          <a:ext cx="742" cy="693"/>
                                        </a:xfrm>
                                        <a:prstGeom prst="bentConnector3">
                                          <a:avLst>
                                            <a:gd name="adj1" fmla="val 50135"/>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cNvPr id="43" name="组合 35"/>
                                      <wpg:cNvGrpSpPr/>
                                      <wpg:grpSpPr>
                                        <a:xfrm rot="0">
                                          <a:off x="5957" y="266818"/>
                                          <a:ext cx="7129" cy="2485"/>
                                          <a:chOff x="5957" y="266818"/>
                                          <a:chExt cx="7129" cy="2485"/>
                                        </a:xfrm>
                                      </wpg:grpSpPr>
                                      <wps:wsp>
                                        <wps:cNvPr id="44" name="矩形 37"/>
                                        <wps:cNvSpPr/>
                                        <wps:spPr>
                                          <a:xfrm>
                                            <a:off x="5957" y="268739"/>
                                            <a:ext cx="1082" cy="564"/>
                                          </a:xfrm>
                                          <a:prstGeom prst="rect">
                                            <a:avLst/>
                                          </a:prstGeom>
                                          <a:noFill/>
                                          <a:ln w="9525" cap="flat" cmpd="sng">
                                            <a:solidFill>
                                              <a:srgbClr val="000000"/>
                                            </a:solidFill>
                                            <a:prstDash val="solid"/>
                                            <a:miter/>
                                            <a:headEnd type="none" w="med" len="med"/>
                                            <a:tailEnd type="none" w="med" len="med"/>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新鲜水</w:t>
                                              </w:r>
                                            </w:p>
                                          </w:txbxContent>
                                        </wps:txbx>
                                        <wps:bodyPr upright="1"/>
                                      </wps:wsp>
                                      <wps:wsp>
                                        <wps:cNvPr id="54" name="矩形 54"/>
                                        <wps:cNvSpPr/>
                                        <wps:spPr>
                                          <a:xfrm>
                                            <a:off x="7919" y="267316"/>
                                            <a:ext cx="1387" cy="477"/>
                                          </a:xfrm>
                                          <a:prstGeom prst="rect">
                                            <a:avLst/>
                                          </a:prstGeom>
                                          <a:noFill/>
                                          <a:ln w="9525" cap="flat" cmpd="sng">
                                            <a:solidFill>
                                              <a:srgbClr val="000000"/>
                                            </a:solidFill>
                                            <a:prstDash val="solid"/>
                                            <a:miter/>
                                            <a:headEnd type="none" w="med" len="med"/>
                                            <a:tailEnd type="none" w="med" len="med"/>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循环系统</w:t>
                                              </w:r>
                                            </w:p>
                                          </w:txbxContent>
                                        </wps:txbx>
                                        <wps:bodyPr upright="1"/>
                                      </wps:wsp>
                                      <wps:wsp>
                                        <wps:cNvPr id="45" name="矩形 42"/>
                                        <wps:cNvSpPr/>
                                        <wps:spPr>
                                          <a:xfrm>
                                            <a:off x="8247" y="266818"/>
                                            <a:ext cx="856" cy="477"/>
                                          </a:xfrm>
                                          <a:prstGeom prst="rect">
                                            <a:avLst/>
                                          </a:prstGeom>
                                          <a:noFill/>
                                          <a:ln>
                                            <a:noFill/>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41217</w:t>
                                              </w:r>
                                            </w:p>
                                          </w:txbxContent>
                                        </wps:txbx>
                                        <wps:bodyPr upright="1"/>
                                      </wps:wsp>
                                      <wps:wsp>
                                        <wps:cNvPr id="47" name="矩形 47"/>
                                        <wps:cNvSpPr/>
                                        <wps:spPr>
                                          <a:xfrm>
                                            <a:off x="9134" y="267012"/>
                                            <a:ext cx="938" cy="477"/>
                                          </a:xfrm>
                                          <a:prstGeom prst="rect">
                                            <a:avLst/>
                                          </a:prstGeom>
                                          <a:noFill/>
                                          <a:ln>
                                            <a:noFill/>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660</w:t>
                                              </w:r>
                                            </w:p>
                                          </w:txbxContent>
                                        </wps:txbx>
                                        <wps:bodyPr upright="1"/>
                                      </wps:wsp>
                                      <wps:wsp>
                                        <wps:cNvPr id="46" name="矩形 45"/>
                                        <wps:cNvSpPr/>
                                        <wps:spPr>
                                          <a:xfrm>
                                            <a:off x="10061" y="268014"/>
                                            <a:ext cx="3025" cy="475"/>
                                          </a:xfrm>
                                          <a:prstGeom prst="rect">
                                            <a:avLst/>
                                          </a:prstGeom>
                                          <a:noFill/>
                                          <a:ln>
                                            <a:noFill/>
                                          </a:ln>
                                          <a:effectLst/>
                                        </wps:spPr>
                                        <wps:txbx>
                                          <w:txbxContent>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1"/>
                                                  <w:lang w:val="en-US" w:eastAsia="zh-CN" w:bidi="ar-SA"/>
                                                </w:rPr>
                                                <w:t>现有工程</w:t>
                                              </w:r>
                                              <w:r>
                                                <w:rPr>
                                                  <w:rFonts w:hint="eastAsia" w:cs="Times New Roman"/>
                                                  <w:kern w:val="2"/>
                                                  <w:sz w:val="21"/>
                                                  <w:szCs w:val="21"/>
                                                  <w:lang w:val="en-US" w:eastAsia="zh-CN" w:bidi="ar-SA"/>
                                                </w:rPr>
                                                <w:t>矿井水</w:t>
                                              </w:r>
                                              <w:r>
                                                <w:rPr>
                                                  <w:rFonts w:hint="default" w:ascii="Times New Roman" w:hAnsi="Times New Roman" w:eastAsia="宋体" w:cs="Times New Roman"/>
                                                  <w:kern w:val="2"/>
                                                  <w:sz w:val="21"/>
                                                  <w:szCs w:val="21"/>
                                                  <w:lang w:val="en-US" w:eastAsia="zh-CN" w:bidi="ar-SA"/>
                                                </w:rPr>
                                                <w:t>处理站</w:t>
                                              </w:r>
                                            </w:p>
                                          </w:txbxContent>
                                        </wps:txbx>
                                        <wps:bodyPr upright="1"/>
                                      </wps:wsp>
                                    </wpg:grpSp>
                                  </wpg:grpSp>
                                  <wps:wsp>
                                    <wps:cNvPr id="84" name="直接连接符 48"/>
                                    <wps:cNvCnPr/>
                                    <wps:spPr>
                                      <a:xfrm flipV="1">
                                        <a:off x="8269" y="241948"/>
                                        <a:ext cx="390" cy="240"/>
                                      </a:xfrm>
                                      <a:prstGeom prst="line">
                                        <a:avLst/>
                                      </a:prstGeom>
                                      <a:ln w="9525" cap="sq" cmpd="sng">
                                        <a:solidFill>
                                          <a:srgbClr val="000000"/>
                                        </a:solidFill>
                                        <a:prstDash val="sysDot"/>
                                        <a:headEnd type="none" w="med" len="med"/>
                                        <a:tailEnd type="triangle" w="med" len="med"/>
                                      </a:ln>
                                      <a:effectLst/>
                                    </wps:spPr>
                                    <wps:bodyPr upright="1"/>
                                  </wps:wsp>
                                </wpg:grpSp>
                                <wpg:grpSp>
                                  <wpg:cNvPr id="48" name="组合 109"/>
                                  <wpg:cNvGrpSpPr/>
                                  <wpg:grpSpPr>
                                    <a:xfrm>
                                      <a:off x="8008" y="319028"/>
                                      <a:ext cx="2421" cy="1197"/>
                                      <a:chOff x="8248" y="318383"/>
                                      <a:chExt cx="2421" cy="1197"/>
                                    </a:xfrm>
                                  </wpg:grpSpPr>
                                  <wps:wsp>
                                    <wps:cNvPr id="101" name="矩形 25"/>
                                    <wps:cNvSpPr/>
                                    <wps:spPr>
                                      <a:xfrm>
                                        <a:off x="9176" y="318911"/>
                                        <a:ext cx="1312" cy="477"/>
                                      </a:xfrm>
                                      <a:prstGeom prst="rect">
                                        <a:avLst/>
                                      </a:prstGeom>
                                      <a:noFill/>
                                      <a:ln w="9525" cap="flat" cmpd="sng">
                                        <a:solidFill>
                                          <a:srgbClr val="000000"/>
                                        </a:solidFill>
                                        <a:prstDash val="solid"/>
                                        <a:miter/>
                                        <a:headEnd type="none" w="med" len="med"/>
                                        <a:tailEnd type="none" w="med" len="med"/>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软水系统</w:t>
                                          </w:r>
                                        </w:p>
                                      </w:txbxContent>
                                    </wps:txbx>
                                    <wps:bodyPr upright="1"/>
                                  </wps:wsp>
                                  <wps:wsp>
                                    <wps:cNvPr id="105" name="矩形 43"/>
                                    <wps:cNvSpPr/>
                                    <wps:spPr>
                                      <a:xfrm>
                                        <a:off x="8248" y="319103"/>
                                        <a:ext cx="975" cy="477"/>
                                      </a:xfrm>
                                      <a:prstGeom prst="rect">
                                        <a:avLst/>
                                      </a:prstGeom>
                                      <a:noFill/>
                                      <a:ln>
                                        <a:noFill/>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59824</w:t>
                                          </w:r>
                                        </w:p>
                                      </w:txbxContent>
                                    </wps:txbx>
                                    <wps:bodyPr upright="1"/>
                                  </wps:wsp>
                                  <wps:wsp>
                                    <wps:cNvPr id="107" name="矩形 107"/>
                                    <wps:cNvSpPr/>
                                    <wps:spPr>
                                      <a:xfrm>
                                        <a:off x="9795" y="318383"/>
                                        <a:ext cx="874" cy="477"/>
                                      </a:xfrm>
                                      <a:prstGeom prst="rect">
                                        <a:avLst/>
                                      </a:prstGeom>
                                      <a:noFill/>
                                      <a:ln>
                                        <a:noFill/>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41877</w:t>
                                          </w:r>
                                        </w:p>
                                      </w:txbxContent>
                                    </wps:txbx>
                                    <wps:bodyPr upright="1"/>
                                  </wps:wsp>
                                </wpg:grpSp>
                              </wpg:grpSp>
                              <wps:wsp>
                                <wps:cNvPr id="12" name="肘形连接符 29"/>
                                <wps:cNvCnPr>
                                  <a:endCxn id="45" idx="1"/>
                                </wps:cNvCnPr>
                                <wps:spPr>
                                  <a:xfrm flipV="1">
                                    <a:off x="10635" y="297791"/>
                                    <a:ext cx="817" cy="793"/>
                                  </a:xfrm>
                                  <a:prstGeom prst="bentConnector3">
                                    <a:avLst>
                                      <a:gd name="adj1" fmla="val 55569"/>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49" name="矩形 14"/>
                                <wps:cNvSpPr/>
                                <wps:spPr>
                                  <a:xfrm>
                                    <a:off x="10450" y="298493"/>
                                    <a:ext cx="1058" cy="477"/>
                                  </a:xfrm>
                                  <a:prstGeom prst="rect">
                                    <a:avLst/>
                                  </a:prstGeom>
                                  <a:noFill/>
                                  <a:ln>
                                    <a:noFill/>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17947</w:t>
                                      </w:r>
                                    </w:p>
                                  </w:txbxContent>
                                </wps:txbx>
                                <wps:bodyPr upright="1"/>
                              </wps:wsp>
                            </wpg:grpSp>
                            <wps:wsp>
                              <wps:cNvPr id="50" name="直接箭头连接符 50"/>
                              <wps:cNvCnPr/>
                              <wps:spPr>
                                <a:xfrm flipV="1">
                                  <a:off x="7417" y="487191"/>
                                  <a:ext cx="893" cy="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直接箭头连接符 51"/>
                              <wps:cNvCnPr>
                                <a:stCxn id="101" idx="0"/>
                                <a:endCxn id="54" idx="2"/>
                              </wps:cNvCnPr>
                              <wps:spPr>
                                <a:xfrm flipH="1" flipV="1">
                                  <a:off x="8991" y="485969"/>
                                  <a:ext cx="1" cy="10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8.95pt;margin-top:6.05pt;height:132.8pt;width:356.4pt;z-index:251664384;mso-width-relative:page;mso-height-relative:page;" coordorigin="6335,484994" coordsize="7128,2656" o:gfxdata="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OltJYXZAAAACQEAAA8A&#10;AAAAAAAAAQAgAAAAIgAAAGRycy9kb3ducmV2LnhtbFBLAQIUABQAAAAIAIdO4kASCaGx/AYAAHkl&#10;AAAOAAAAAAAAAAEAIAAAACgBAABkcnMvZTJvRG9jLnhtbFBLBQYAAAAABgAGAFkBAACWCgAAAAA=&#10;">
                      <o:lock v:ext="edit" aspectratio="f"/>
                      <v:group id="_x0000_s1026" o:spid="_x0000_s1026" o:spt="203" style="position:absolute;left:6335;top:484994;height:2657;width:7129;" coordorigin="7348,296357" coordsize="7129,2657"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group id="组合 4" o:spid="_x0000_s1026" o:spt="203" style="position:absolute;left:7348;top:296357;height:2657;width:7129;" coordorigin="6935,317568" coordsize="7129,2657"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组合 24" o:spid="_x0000_s1026" o:spt="203" style="position:absolute;left:6935;top:317568;height:2485;width:7129;" coordorigin="6309,241679" coordsize="7129,2485"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group id="组合 38" o:spid="_x0000_s1026" o:spt="203" style="position:absolute;left:6309;top:241679;height:2485;width:7129;" coordorigin="5957,266818" coordsize="7129,2485"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肘形连接符 29" o:spid="_x0000_s1026" o:spt="34" type="#_x0000_t34" style="position:absolute;left:9319;top:267559;height:693;width:742;" filled="f" stroked="t" coordsize="21600,21600" o:gfxdata="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cLUEugAAANsA&#10;AAAPAAAAAAAAAAEAIAAAACIAAABkcnMvZG93bnJldi54bWxQSwECFAAUAAAACACHTuJAMy8FnjsA&#10;AAA5AAAAEAAAAAAAAAABACAAAAAJAQAAZHJzL3NoYXBleG1sLnhtbFBLBQYAAAAABgAGAFsBAACz&#10;AwAAAAA=&#10;" adj="10829">
                                <v:fill on="f" focussize="0,0"/>
                                <v:stroke weight="0.5pt" color="#000000 [3204]" miterlimit="8" joinstyle="miter" endarrow="block"/>
                                <v:imagedata o:title=""/>
                                <o:lock v:ext="edit" aspectratio="f"/>
                              </v:shape>
                              <v:group id="组合 35" o:spid="_x0000_s1026" o:spt="203" style="position:absolute;left:5957;top:266818;height:2485;width:7129;" coordorigin="5957,266818" coordsize="7129,2485"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rect id="矩形 37" o:spid="_x0000_s1026" o:spt="1" style="position:absolute;left:5957;top:268739;height:564;width:1082;"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新鲜水</w:t>
                                        </w:r>
                                      </w:p>
                                    </w:txbxContent>
                                  </v:textbox>
                                </v:rect>
                                <v:rect id="_x0000_s1026" o:spid="_x0000_s1026" o:spt="1" style="position:absolute;left:7919;top:267316;height:477;width:1387;"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循环系统</w:t>
                                        </w:r>
                                      </w:p>
                                    </w:txbxContent>
                                  </v:textbox>
                                </v:rect>
                                <v:rect id="矩形 42" o:spid="_x0000_s1026" o:spt="1" style="position:absolute;left:8247;top:266818;height:477;width:856;" filled="f" stroked="f" coordsize="21600,21600" o:gfxdata="UEsDBAoAAAAAAIdO4kAAAAAAAAAAAAAAAAAEAAAAZHJzL1BLAwQUAAAACACHTuJAE/solb4AAADb&#10;AAAADwAAAGRycy9kb3ducmV2LnhtbEWPQWvCQBSE7wX/w/KEXopuIq2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ol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41217</w:t>
                                        </w:r>
                                      </w:p>
                                    </w:txbxContent>
                                  </v:textbox>
                                </v:rect>
                                <v:rect id="_x0000_s1026" o:spid="_x0000_s1026" o:spt="1" style="position:absolute;left:9134;top:267012;height:477;width:938;" filled="f" stroked="f" coordsize="21600,21600" o:gfxdata="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UTe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660</w:t>
                                        </w:r>
                                      </w:p>
                                    </w:txbxContent>
                                  </v:textbox>
                                </v:rect>
                                <v:rect id="矩形 45" o:spid="_x0000_s1026" o:spt="1" style="position:absolute;left:10061;top:268014;height:475;width:3025;" filled="f" stroked="f" coordsize="21600,21600" o:gfxdata="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Kbb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1"/>
                                            <w:lang w:val="en-US" w:eastAsia="zh-CN" w:bidi="ar-SA"/>
                                          </w:rPr>
                                          <w:t>现有工程</w:t>
                                        </w:r>
                                        <w:r>
                                          <w:rPr>
                                            <w:rFonts w:hint="eastAsia" w:cs="Times New Roman"/>
                                            <w:kern w:val="2"/>
                                            <w:sz w:val="21"/>
                                            <w:szCs w:val="21"/>
                                            <w:lang w:val="en-US" w:eastAsia="zh-CN" w:bidi="ar-SA"/>
                                          </w:rPr>
                                          <w:t>矿井水</w:t>
                                        </w:r>
                                        <w:r>
                                          <w:rPr>
                                            <w:rFonts w:hint="default" w:ascii="Times New Roman" w:hAnsi="Times New Roman" w:eastAsia="宋体" w:cs="Times New Roman"/>
                                            <w:kern w:val="2"/>
                                            <w:sz w:val="21"/>
                                            <w:szCs w:val="21"/>
                                            <w:lang w:val="en-US" w:eastAsia="zh-CN" w:bidi="ar-SA"/>
                                          </w:rPr>
                                          <w:t>处理站</w:t>
                                        </w:r>
                                      </w:p>
                                    </w:txbxContent>
                                  </v:textbox>
                                </v:rect>
                              </v:group>
                            </v:group>
                            <v:line id="直接连接符 48" o:spid="_x0000_s1026" o:spt="20" style="position:absolute;left:8269;top:241948;flip:y;height:240;width:390;" filled="f" stroked="t" coordsize="21600,21600" o:gfxdata="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JxRL4A&#10;AADbAAAADwAAAAAAAAABACAAAAAiAAAAZHJzL2Rvd25yZXYueG1sUEsBAhQAFAAAAAgAh07iQDMv&#10;BZ47AAAAOQAAABAAAAAAAAAAAQAgAAAADQEAAGRycy9zaGFwZXhtbC54bWxQSwUGAAAAAAYABgBb&#10;AQAAtwMAAAAA&#10;">
                              <v:fill on="f" focussize="0,0"/>
                              <v:stroke color="#000000" joinstyle="round" dashstyle="1 1" endcap="square" endarrow="block"/>
                              <v:imagedata o:title=""/>
                              <o:lock v:ext="edit" aspectratio="f"/>
                            </v:line>
                          </v:group>
                          <v:group id="组合 109" o:spid="_x0000_s1026" o:spt="203" style="position:absolute;left:8008;top:319028;height:1197;width:2421;" coordorigin="8248,318383" coordsize="2421,1197"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rect id="矩形 25" o:spid="_x0000_s1026" o:spt="1" style="position:absolute;left:9176;top:318911;height:477;width:1312;" filled="f" stroked="t" coordsize="21600,21600" o:gfxdata="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436J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软水系统</w:t>
                                    </w:r>
                                  </w:p>
                                </w:txbxContent>
                              </v:textbox>
                            </v:rect>
                            <v:rect id="矩形 43" o:spid="_x0000_s1026" o:spt="1" style="position:absolute;left:8248;top:319103;height:477;width:975;" filled="f" stroked="f" coordsize="21600,21600" o:gfxdata="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bPwe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59824</w:t>
                                    </w:r>
                                  </w:p>
                                </w:txbxContent>
                              </v:textbox>
                            </v:rect>
                            <v:rect id="_x0000_s1026" o:spid="_x0000_s1026" o:spt="1" style="position:absolute;left:9795;top:318383;height:477;width:874;" filled="f" stroked="f" coordsize="21600,21600" o:gfxdata="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FBOu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41877</w:t>
                                    </w:r>
                                  </w:p>
                                </w:txbxContent>
                              </v:textbox>
                            </v:rect>
                          </v:group>
                        </v:group>
                        <v:shape id="肘形连接符 29" o:spid="_x0000_s1026" o:spt="34" type="#_x0000_t34" style="position:absolute;left:10635;top:297791;flip:y;height:793;width:817;" filled="f" stroked="t" coordsize="21600,21600" o:gfxdata="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wUuqugAAANsA&#10;AAAPAAAAAAAAAAEAIAAAACIAAABkcnMvZG93bnJldi54bWxQSwECFAAUAAAACACHTuJAMy8FnjsA&#10;AAA5AAAAEAAAAAAAAAABACAAAAAJAQAAZHJzL3NoYXBleG1sLnhtbFBLBQYAAAAABgAGAFsBAACz&#10;AwAAAAA=&#10;" adj="12003">
                          <v:fill on="f" focussize="0,0"/>
                          <v:stroke weight="0.5pt" color="#000000 [3204]" miterlimit="8" joinstyle="miter" endarrow="block"/>
                          <v:imagedata o:title=""/>
                          <o:lock v:ext="edit" aspectratio="f"/>
                        </v:shape>
                        <v:rect id="矩形 14" o:spid="_x0000_s1026" o:spt="1" style="position:absolute;left:10450;top:298493;height:477;width:1058;" filled="f" stroked="f" coordsize="21600,21600" o:gfxdata="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Yik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17947</w:t>
                                </w:r>
                              </w:p>
                            </w:txbxContent>
                          </v:textbox>
                        </v:rect>
                      </v:group>
                      <v:shape id="_x0000_s1026" o:spid="_x0000_s1026" o:spt="32" type="#_x0000_t32" style="position:absolute;left:7417;top:487191;flip:y;height:6;width:893;" filled="f" stroked="t" coordsize="21600,21600" o:gfxdata="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X2C65AAAA2wAA&#10;AA8AAAAAAAAAAQAgAAAAIgAAAGRycy9kb3ducmV2LnhtbFBLAQIUABQAAAAIAIdO4kAzLwWeOwAA&#10;ADkAAAAQAAAAAAAAAAEAIAAAAAgBAABkcnMvc2hhcGV4bWwueG1sUEsFBgAAAAAGAAYAWwEAALID&#10;AAAAAA==&#10;">
                        <v:fill on="f" focussize="0,0"/>
                        <v:stroke weight="0.5pt" color="#000000 [3213]" miterlimit="8" joinstyle="miter" endarrow="block"/>
                        <v:imagedata o:title=""/>
                        <o:lock v:ext="edit" aspectratio="f"/>
                      </v:shape>
                      <v:shape id="_x0000_s1026" o:spid="_x0000_s1026" o:spt="32" type="#_x0000_t32" style="position:absolute;left:8991;top:485969;flip:x y;height:1013;width:1;" filled="f" stroked="t" coordsize="21600,21600" o:gfxdata="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qHNL4A&#10;AADbAAAADwAAAAAAAAABACAAAAAiAAAAZHJzL2Rvd25yZXYueG1sUEsBAhQAFAAAAAgAh07iQDMv&#10;BZ47AAAAOQAAABAAAAAAAAAAAQAgAAAADQEAAGRycy9zaGFwZXhtbC54bWxQSwUGAAAAAAYABgBb&#10;AQAAtwMAAAAA&#10;">
                        <v:fill on="f" focussize="0,0"/>
                        <v:stroke weight="0.5pt" color="#000000 [3213]" miterlimit="8" joinstyle="miter" endarrow="block"/>
                        <v:imagedata o:title=""/>
                        <o:lock v:ext="edit" aspectratio="f"/>
                      </v:shape>
                    </v:group>
                  </w:pict>
                </mc:Fallback>
              </mc:AlternateContent>
            </w:r>
          </w:p>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both"/>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both"/>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both"/>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default" w:ascii="Times New Roman" w:hAnsi="Times New Roman" w:eastAsia="宋体" w:cs="宋体"/>
                <w:b/>
                <w:color w:val="000000"/>
                <w:sz w:val="24"/>
                <w:szCs w:val="24"/>
                <w:highlight w:val="none"/>
                <w:lang w:val="en-US" w:eastAsia="zh-CN" w:bidi="ar-SA"/>
              </w:rPr>
            </w:pPr>
            <w:r>
              <w:rPr>
                <w:rFonts w:hint="default" w:ascii="Times New Roman" w:hAnsi="Times New Roman" w:eastAsia="宋体" w:cs="宋体"/>
                <w:b/>
                <w:color w:val="000000"/>
                <w:sz w:val="24"/>
                <w:szCs w:val="24"/>
                <w:highlight w:val="none"/>
                <w:lang w:val="en-US" w:eastAsia="zh-CN" w:bidi="ar-SA"/>
              </w:rPr>
              <w:t>图</w:t>
            </w:r>
            <w:r>
              <w:rPr>
                <w:rFonts w:hint="eastAsia" w:ascii="Times New Roman" w:hAnsi="Times New Roman" w:eastAsia="宋体" w:cs="宋体"/>
                <w:b/>
                <w:color w:val="000000"/>
                <w:sz w:val="24"/>
                <w:szCs w:val="24"/>
                <w:highlight w:val="none"/>
                <w:lang w:val="en-US" w:eastAsia="zh-CN" w:bidi="ar-SA"/>
              </w:rPr>
              <w:t xml:space="preserve">2.4-1  </w:t>
            </w:r>
            <w:r>
              <w:rPr>
                <w:rFonts w:hint="default" w:ascii="Times New Roman" w:hAnsi="Times New Roman" w:eastAsia="宋体" w:cs="宋体"/>
                <w:b/>
                <w:color w:val="000000"/>
                <w:sz w:val="24"/>
                <w:szCs w:val="24"/>
                <w:highlight w:val="none"/>
                <w:lang w:val="en-US" w:eastAsia="zh-CN" w:bidi="ar-SA"/>
              </w:rPr>
              <w:t>项目水平衡图（单位 m</w:t>
            </w:r>
            <w:r>
              <w:rPr>
                <w:rFonts w:hint="eastAsia" w:ascii="Times New Roman" w:hAnsi="Times New Roman" w:eastAsia="宋体" w:cs="宋体"/>
                <w:b/>
                <w:color w:val="000000"/>
                <w:sz w:val="24"/>
                <w:szCs w:val="24"/>
                <w:highlight w:val="none"/>
                <w:vertAlign w:val="superscript"/>
                <w:lang w:val="en-US" w:eastAsia="zh-CN" w:bidi="ar-SA"/>
              </w:rPr>
              <w:t>3</w:t>
            </w:r>
            <w:r>
              <w:rPr>
                <w:rFonts w:hint="default" w:ascii="Times New Roman" w:hAnsi="Times New Roman" w:eastAsia="宋体" w:cs="宋体"/>
                <w:b/>
                <w:color w:val="000000"/>
                <w:sz w:val="24"/>
                <w:szCs w:val="24"/>
                <w:highlight w:val="none"/>
                <w:lang w:val="en-US" w:eastAsia="zh-CN" w:bidi="ar-SA"/>
              </w:rPr>
              <w:t>/a）</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highlight w:val="none"/>
                <w:lang w:val="en-US" w:eastAsia="zh-CN"/>
              </w:rPr>
            </w:pPr>
            <w:r>
              <w:rPr>
                <w:rFonts w:hint="eastAsia" w:ascii="Times New Roman" w:hAnsi="Times New Roman" w:eastAsia="宋体" w:cs="宋体"/>
                <w:highlight w:val="none"/>
                <w:lang w:val="en-US" w:eastAsia="zh-CN"/>
              </w:rPr>
              <w:t>（4）</w:t>
            </w:r>
            <w:r>
              <w:rPr>
                <w:rFonts w:hint="default" w:ascii="Times New Roman" w:hAnsi="Times New Roman" w:eastAsia="宋体" w:cs="宋体"/>
                <w:highlight w:val="none"/>
                <w:lang w:val="en-US" w:eastAsia="zh-CN"/>
              </w:rPr>
              <w:t>供热</w:t>
            </w:r>
          </w:p>
          <w:p>
            <w:pPr>
              <w:widowControl w:val="0"/>
              <w:overflowPunct w:val="0"/>
              <w:autoSpaceDE w:val="0"/>
              <w:autoSpaceDN w:val="0"/>
              <w:adjustRightInd w:val="0"/>
              <w:snapToGrid w:val="0"/>
              <w:spacing w:before="0" w:after="0" w:line="360" w:lineRule="auto"/>
              <w:ind w:right="0" w:firstLine="480" w:firstLineChars="200"/>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4"/>
                <w:szCs w:val="28"/>
                <w:highlight w:val="none"/>
                <w:lang w:val="en-US" w:eastAsia="zh-CN" w:bidi="ar-SA"/>
              </w:rPr>
              <w:t>瓦斯抽采站建筑采暖、通风总热负荷</w:t>
            </w:r>
            <w:r>
              <w:rPr>
                <w:rFonts w:hint="eastAsia" w:cs="Times New Roman"/>
                <w:kern w:val="2"/>
                <w:sz w:val="24"/>
                <w:szCs w:val="28"/>
                <w:highlight w:val="none"/>
                <w:lang w:val="en-US" w:eastAsia="zh-CN" w:bidi="ar-SA"/>
              </w:rPr>
              <w:t>：</w:t>
            </w:r>
            <w:r>
              <w:rPr>
                <w:rFonts w:hint="eastAsia" w:ascii="Times New Roman" w:hAnsi="Times New Roman" w:eastAsia="宋体" w:cs="Times New Roman"/>
                <w:kern w:val="2"/>
                <w:sz w:val="24"/>
                <w:szCs w:val="28"/>
                <w:highlight w:val="none"/>
                <w:lang w:val="en-US" w:eastAsia="zh-CN" w:bidi="ar-SA"/>
              </w:rPr>
              <w:t>370889W，即370.89kw。瓦斯泵房、管道间采暖负荷由散热器负担，通风负荷部分由瓦斯泵余热负担，余下部分由散热器负担。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52" w:hRule="atLeast"/>
          <w:jc w:val="center"/>
        </w:trPr>
        <w:tc>
          <w:tcPr>
            <w:tcW w:w="653" w:type="dxa"/>
            <w:noWrap w:val="0"/>
            <w:vAlign w:val="center"/>
          </w:tcPr>
          <w:p>
            <w:pPr>
              <w:overflowPunct w:val="0"/>
              <w:autoSpaceDE w:val="0"/>
              <w:autoSpaceDN w:val="0"/>
              <w:bidi w:val="0"/>
              <w:adjustRightInd w:val="0"/>
              <w:snapToGrid w:val="0"/>
              <w:spacing w:before="0" w:after="0" w:line="500" w:lineRule="exact"/>
              <w:ind w:left="0" w:leftChars="0" w:right="0" w:firstLine="0" w:firstLineChars="0"/>
              <w:jc w:val="center"/>
              <w:rPr>
                <w:rFonts w:eastAsia="宋体" w:cs="宋体"/>
              </w:rPr>
            </w:pPr>
            <w:r>
              <w:rPr>
                <w:rFonts w:hint="eastAsia" w:ascii="Times New Roman" w:eastAsia="宋体" w:cs="宋体"/>
                <w:lang w:val="en-US" w:eastAsia="zh-Hans"/>
              </w:rPr>
              <w:t>工</w:t>
            </w:r>
            <w:r>
              <w:rPr>
                <w:rFonts w:eastAsia="宋体" w:cs="宋体"/>
              </w:rPr>
              <w:t>艺流程和产排污环节</w:t>
            </w:r>
          </w:p>
          <w:p>
            <w:pPr>
              <w:widowControl/>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highlight w:val="none"/>
                <w:lang w:val="en-US" w:eastAsia="zh-CN" w:bidi="ar-SA"/>
              </w:rPr>
            </w:pPr>
          </w:p>
        </w:tc>
        <w:tc>
          <w:tcPr>
            <w:tcW w:w="83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highlight w:val="none"/>
                <w:lang w:val="en-US" w:eastAsia="zh-CN" w:bidi="ar-SA"/>
              </w:rPr>
            </w:pPr>
            <w:r>
              <w:rPr>
                <w:rFonts w:hint="eastAsia" w:ascii="Times New Roman" w:hAnsi="Times New Roman" w:eastAsia="宋体" w:cs="黑体"/>
                <w:b/>
                <w:sz w:val="28"/>
                <w:szCs w:val="30"/>
                <w:highlight w:val="none"/>
                <w:lang w:val="en-US" w:eastAsia="zh-CN" w:bidi="ar-SA"/>
              </w:rPr>
              <w:t>2.6施工期工艺流程及产污环节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eastAsia="宋体"/>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瓦斯抽采站建设</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lang w:val="en-US" w:eastAsia="zh-CN"/>
              </w:rPr>
            </w:pPr>
            <w:r>
              <w:t>施工期</w:t>
            </w:r>
            <w:r>
              <w:rPr>
                <w:rFonts w:hint="eastAsia"/>
              </w:rPr>
              <w:t>工程内容主要为</w:t>
            </w:r>
            <w:r>
              <w:rPr>
                <w:rFonts w:hint="eastAsia"/>
                <w:lang w:val="en-US" w:eastAsia="zh-CN"/>
              </w:rPr>
              <w:t>瓦斯抽采站的建设、设备</w:t>
            </w:r>
            <w:r>
              <w:rPr>
                <w:rFonts w:hint="eastAsia"/>
              </w:rPr>
              <w:t>的安装</w:t>
            </w:r>
            <w:r>
              <w:rPr>
                <w:rFonts w:hint="eastAsia"/>
                <w:lang w:val="en-US" w:eastAsia="zh-CN"/>
              </w:rPr>
              <w:t>以及管路敷设</w:t>
            </w:r>
            <w:r>
              <w:rPr>
                <w:rFonts w:hint="eastAsia"/>
              </w:rPr>
              <w:t>，期</w:t>
            </w:r>
            <w:r>
              <w:t>间产生施工</w:t>
            </w:r>
            <w:r>
              <w:rPr>
                <w:rFonts w:hint="eastAsia"/>
              </w:rPr>
              <w:t>扬尘、装修废气，</w:t>
            </w:r>
            <w:r>
              <w:t>噪声、建筑垃圾</w:t>
            </w:r>
            <w:r>
              <w:rPr>
                <w:rFonts w:hint="eastAsia"/>
              </w:rPr>
              <w:t>等，其生产工艺流程及产污节点见图</w:t>
            </w:r>
            <w:r>
              <w:rPr>
                <w:rFonts w:hint="eastAsia"/>
                <w:lang w:val="en-US" w:eastAsia="zh-CN"/>
              </w:rPr>
              <w:t>2.6-1。</w:t>
            </w:r>
          </w:p>
          <w:p>
            <w:pPr>
              <w:overflowPunct w:val="0"/>
              <w:autoSpaceDE w:val="0"/>
              <w:autoSpaceDN w:val="0"/>
              <w:adjustRightInd w:val="0"/>
              <w:snapToGrid w:val="0"/>
              <w:spacing w:before="0" w:after="0" w:line="500" w:lineRule="exact"/>
              <w:ind w:left="0" w:right="0" w:firstLine="480" w:firstLineChars="200"/>
              <w:jc w:val="left"/>
              <w:rPr>
                <w:rFonts w:hint="default"/>
                <w:lang w:val="en-US" w:eastAsia="zh-CN"/>
              </w:rPr>
            </w:pPr>
            <w:r>
              <w:drawing>
                <wp:anchor distT="0" distB="0" distL="114300" distR="114300" simplePos="0" relativeHeight="251660288" behindDoc="0" locked="0" layoutInCell="1" allowOverlap="1">
                  <wp:simplePos x="0" y="0"/>
                  <wp:positionH relativeFrom="column">
                    <wp:posOffset>193675</wp:posOffset>
                  </wp:positionH>
                  <wp:positionV relativeFrom="paragraph">
                    <wp:posOffset>19685</wp:posOffset>
                  </wp:positionV>
                  <wp:extent cx="4788535" cy="1748155"/>
                  <wp:effectExtent l="0" t="0" r="12065" b="4445"/>
                  <wp:wrapNone/>
                  <wp:docPr id="26" name="图片 38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81" descr="IMG_256"/>
                          <pic:cNvPicPr>
                            <a:picLocks noChangeAspect="1"/>
                          </pic:cNvPicPr>
                        </pic:nvPicPr>
                        <pic:blipFill>
                          <a:blip r:embed="rId21"/>
                          <a:stretch>
                            <a:fillRect/>
                          </a:stretch>
                        </pic:blipFill>
                        <pic:spPr>
                          <a:xfrm>
                            <a:off x="0" y="0"/>
                            <a:ext cx="4788535" cy="1748155"/>
                          </a:xfrm>
                          <a:prstGeom prst="rect">
                            <a:avLst/>
                          </a:prstGeom>
                          <a:noFill/>
                          <a:ln>
                            <a:noFill/>
                          </a:ln>
                        </pic:spPr>
                      </pic:pic>
                    </a:graphicData>
                  </a:graphic>
                </wp:anchor>
              </w:drawing>
            </w: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lang w:val="en-US" w:eastAsia="zh-CN"/>
              </w:rPr>
            </w:pPr>
          </w:p>
          <w:p>
            <w:pPr>
              <w:widowControl w:val="0"/>
              <w:overflowPunct w:val="0"/>
              <w:autoSpaceDE w:val="0"/>
              <w:autoSpaceDN w:val="0"/>
              <w:bidi w:val="0"/>
              <w:adjustRightInd w:val="0"/>
              <w:snapToGrid w:val="0"/>
              <w:spacing w:before="0" w:after="0" w:line="360" w:lineRule="auto"/>
              <w:ind w:left="0" w:right="0" w:firstLine="0" w:firstLineChars="0"/>
              <w:jc w:val="center"/>
              <w:rPr>
                <w:rFonts w:hint="eastAsia"/>
                <w:lang w:eastAsia="zh-CN"/>
              </w:rPr>
            </w:pPr>
            <w:r>
              <w:rPr>
                <w:rFonts w:hint="default"/>
                <w:b/>
                <w:bCs/>
                <w:lang w:val="en-US" w:eastAsia="zh-CN"/>
              </w:rPr>
              <w:t>图</w:t>
            </w:r>
            <w:r>
              <w:rPr>
                <w:rFonts w:hint="eastAsia"/>
                <w:b/>
                <w:bCs/>
                <w:lang w:val="en-US" w:eastAsia="zh-CN"/>
              </w:rPr>
              <w:t xml:space="preserve">2.6-1  </w:t>
            </w:r>
            <w:r>
              <w:rPr>
                <w:rFonts w:hint="default"/>
                <w:b/>
                <w:bCs/>
                <w:lang w:val="en-US" w:eastAsia="zh-CN"/>
              </w:rPr>
              <w:t>施工期工艺流程及产污节点图</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废气：土建工程的土方挖填、运输过程产生的扬尘、装修废气及施工设备和运输设备产生的废气。</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废水：主要为施工废水。施工废水主要来源于混凝土冲洗、养护等作业中多余或泄露的废水，清洗机具、运输车辆等少量废水。</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噪声：土石方阶段的挖土机、冲击机、底板及结构阶段的电焊机、空压机等，运输车辆产生的噪声、设备安装过程中产生的噪声。</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废渣：主要来源于施工过程中开挖的土石方、建筑垃圾及施工人员产生的生活垃圾。</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项目施工期主要污染源分析如表</w:t>
            </w:r>
            <w:r>
              <w:rPr>
                <w:rFonts w:hint="eastAsia"/>
                <w:lang w:val="en-US" w:eastAsia="zh-CN"/>
              </w:rPr>
              <w:t>2.6-1</w:t>
            </w:r>
            <w:r>
              <w:rPr>
                <w:rFonts w:hint="default"/>
              </w:rPr>
              <w:t>。</w:t>
            </w:r>
          </w:p>
          <w:p>
            <w:pPr>
              <w:widowControl w:val="0"/>
              <w:overflowPunct w:val="0"/>
              <w:autoSpaceDE w:val="0"/>
              <w:autoSpaceDN w:val="0"/>
              <w:bidi w:val="0"/>
              <w:adjustRightInd w:val="0"/>
              <w:snapToGrid w:val="0"/>
              <w:spacing w:before="0" w:after="0" w:line="360" w:lineRule="auto"/>
              <w:ind w:left="0" w:right="0" w:firstLine="0" w:firstLineChars="0"/>
              <w:jc w:val="center"/>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表2.6-1  施工期主要污染工序一览表</w:t>
            </w:r>
          </w:p>
          <w:tbl>
            <w:tblPr>
              <w:tblStyle w:val="2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973"/>
              <w:gridCol w:w="1936"/>
              <w:gridCol w:w="32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污染类别</w:t>
                  </w: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污染源名称</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产生工序</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废气</w:t>
                  </w: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堆场、施工场地</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施工过程</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扬尘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机械动力设备</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机械设备运行</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尾气(SO</w:t>
                  </w:r>
                  <w:r>
                    <w:rPr>
                      <w:rFonts w:hint="default" w:ascii="Times New Roman" w:hAnsi="Times New Roman" w:cs="Times New Roman"/>
                      <w:sz w:val="21"/>
                      <w:szCs w:val="21"/>
                      <w:vertAlign w:val="subscript"/>
                      <w:lang w:val="en-US" w:eastAsia="zh-CN"/>
                    </w:rPr>
                    <w:t>2</w:t>
                  </w:r>
                  <w:r>
                    <w:rPr>
                      <w:rFonts w:hint="default" w:ascii="Times New Roman" w:hAnsi="Times New Roman" w:cs="Times New Roman"/>
                      <w:sz w:val="21"/>
                      <w:szCs w:val="21"/>
                      <w:lang w:val="en-US" w:eastAsia="zh-CN"/>
                    </w:rPr>
                    <w:t>、颗粒物、总烃、CO、NOx)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废水</w:t>
                  </w: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施工废水</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施工作业过程</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噪声</w:t>
                  </w: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施工设备</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施工设备运行</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运输车辆</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运输车辆行驶</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交通噪声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施工人员</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人员施工、生活</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生活噪声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固体废物</w:t>
                  </w: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建筑垃圾</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施工过程</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土石方、建材等建筑垃圾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生活固废</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施工人员生活</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生态</w:t>
                  </w:r>
                </w:p>
              </w:tc>
              <w:tc>
                <w:tcPr>
                  <w:tcW w:w="7167" w:type="dxa"/>
                  <w:gridSpan w:val="3"/>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本项目未新增用地，</w:t>
                  </w:r>
                  <w:r>
                    <w:rPr>
                      <w:rFonts w:hint="eastAsia" w:cs="Times New Roman"/>
                      <w:sz w:val="21"/>
                      <w:szCs w:val="21"/>
                      <w:lang w:val="en-US" w:eastAsia="zh-CN"/>
                    </w:rPr>
                    <w:t>现有工程</w:t>
                  </w:r>
                  <w:r>
                    <w:rPr>
                      <w:rFonts w:hint="default" w:ascii="Times New Roman" w:hAnsi="Times New Roman" w:cs="Times New Roman"/>
                      <w:sz w:val="21"/>
                      <w:szCs w:val="21"/>
                      <w:lang w:val="en-US" w:eastAsia="zh-CN"/>
                    </w:rPr>
                    <w:t>场地现有生态现状植被覆盖率低，受</w:t>
                  </w:r>
                  <w:r>
                    <w:rPr>
                      <w:rFonts w:hint="eastAsia" w:cs="Times New Roman"/>
                      <w:sz w:val="21"/>
                      <w:szCs w:val="21"/>
                      <w:lang w:val="en-US" w:eastAsia="zh-CN"/>
                    </w:rPr>
                    <w:t>矿区</w:t>
                  </w:r>
                  <w:r>
                    <w:rPr>
                      <w:rFonts w:hint="default" w:ascii="Times New Roman" w:hAnsi="Times New Roman" w:cs="Times New Roman"/>
                      <w:sz w:val="21"/>
                      <w:szCs w:val="21"/>
                      <w:lang w:val="en-US" w:eastAsia="zh-CN"/>
                    </w:rPr>
                    <w:t>施工作业以及周边荒漠地形影响，野生动物少</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highlight w:val="none"/>
                <w:lang w:val="en-US" w:eastAsia="zh-CN" w:bidi="ar-SA"/>
              </w:rPr>
            </w:pPr>
            <w:r>
              <w:rPr>
                <w:rFonts w:hint="eastAsia" w:ascii="Times New Roman" w:hAnsi="Times New Roman" w:eastAsia="宋体" w:cs="黑体"/>
                <w:b/>
                <w:sz w:val="28"/>
                <w:szCs w:val="30"/>
                <w:highlight w:val="none"/>
                <w:lang w:val="en-US" w:eastAsia="zh-CN" w:bidi="ar-SA"/>
              </w:rPr>
              <w:t>2.7运营期工艺流程及产污环节</w:t>
            </w:r>
          </w:p>
          <w:p>
            <w:pPr>
              <w:overflowPunct/>
              <w:autoSpaceDE/>
              <w:autoSpaceDN/>
              <w:adjustRightInd w:val="0"/>
              <w:snapToGrid w:val="0"/>
              <w:spacing w:before="0" w:after="0" w:line="360" w:lineRule="auto"/>
              <w:ind w:left="0" w:right="0" w:firstLine="480" w:firstLineChars="200"/>
              <w:jc w:val="both"/>
              <w:rPr>
                <w:rFonts w:hint="eastAsia"/>
                <w:lang w:val="en-US" w:eastAsia="zh-CN"/>
              </w:rPr>
            </w:pPr>
            <w:r>
              <w:rPr>
                <w:rFonts w:hint="eastAsia"/>
                <w:lang w:val="en-US" w:eastAsia="zh-CN"/>
              </w:rPr>
              <w:t>本项目</w:t>
            </w:r>
            <w:r>
              <w:rPr>
                <w:rFonts w:hint="eastAsia"/>
              </w:rPr>
              <w:t>工艺流程图详见图</w:t>
            </w:r>
            <w:r>
              <w:rPr>
                <w:rFonts w:hint="eastAsia"/>
                <w:lang w:val="en-US" w:eastAsia="zh-CN"/>
              </w:rPr>
              <w:t>2.7-1</w:t>
            </w:r>
            <w:r>
              <w:rPr>
                <w:rFonts w:hint="eastAsia"/>
              </w:rPr>
              <w:t>。</w:t>
            </w:r>
          </w:p>
          <w:p>
            <w:pPr>
              <w:widowControl w:val="0"/>
              <w:overflowPunct w:val="0"/>
              <w:autoSpaceDE w:val="0"/>
              <w:autoSpaceDN w:val="0"/>
              <w:bidi w:val="0"/>
              <w:adjustRightInd w:val="0"/>
              <w:snapToGrid w:val="0"/>
              <w:spacing w:before="0" w:after="0" w:line="360" w:lineRule="auto"/>
              <w:ind w:left="0" w:right="0" w:firstLine="0" w:firstLineChars="0"/>
              <w:jc w:val="center"/>
              <w:rPr>
                <w:rFonts w:hint="eastAsia"/>
                <w:b/>
                <w:bCs/>
                <w:lang w:val="en-US" w:eastAsia="zh-CN"/>
              </w:rPr>
            </w:pPr>
            <w:r>
              <w:rPr>
                <w:rFonts w:hint="eastAsia"/>
                <w:b/>
                <w:bCs/>
                <w:lang w:val="en-US" w:eastAsia="zh-CN"/>
              </w:rPr>
              <w:t>表2.7-1  运营期主要污染工序一览表</w:t>
            </w:r>
          </w:p>
          <w:tbl>
            <w:tblPr>
              <w:tblStyle w:val="2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14"/>
              <w:gridCol w:w="1528"/>
              <w:gridCol w:w="33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污染类别</w:t>
                  </w:r>
                </w:p>
              </w:tc>
              <w:tc>
                <w:tcPr>
                  <w:tcW w:w="2114"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污染源名称</w:t>
                  </w:r>
                </w:p>
              </w:tc>
              <w:tc>
                <w:tcPr>
                  <w:tcW w:w="1528"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产生工序</w:t>
                  </w:r>
                </w:p>
              </w:tc>
              <w:tc>
                <w:tcPr>
                  <w:tcW w:w="3378"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废气</w:t>
                  </w:r>
                </w:p>
              </w:tc>
              <w:tc>
                <w:tcPr>
                  <w:tcW w:w="2114"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G1</w:t>
                  </w:r>
                  <w:r>
                    <w:rPr>
                      <w:rFonts w:hint="default" w:ascii="Times New Roman" w:hAnsi="Times New Roman" w:cs="Times New Roman"/>
                      <w:sz w:val="21"/>
                      <w:szCs w:val="21"/>
                      <w:lang w:val="en-US" w:eastAsia="zh-CN"/>
                    </w:rPr>
                    <w:t>瓦斯</w:t>
                  </w:r>
                  <w:r>
                    <w:rPr>
                      <w:rFonts w:hint="eastAsia" w:cs="Times New Roman"/>
                      <w:sz w:val="21"/>
                      <w:szCs w:val="21"/>
                      <w:lang w:val="en-US" w:eastAsia="zh-CN"/>
                    </w:rPr>
                    <w:t>放散废气</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瓦斯泵房</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瓦斯（CH</w:t>
                  </w:r>
                  <w:r>
                    <w:rPr>
                      <w:rFonts w:hint="eastAsia" w:cs="Times New Roman"/>
                      <w:sz w:val="21"/>
                      <w:szCs w:val="21"/>
                      <w:vertAlign w:val="subscript"/>
                      <w:lang w:val="en-US" w:eastAsia="zh-CN"/>
                    </w:rPr>
                    <w:t>4</w:t>
                  </w:r>
                  <w:r>
                    <w:rPr>
                      <w:rFonts w:hint="eastAsia"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废水</w:t>
                  </w:r>
                </w:p>
              </w:tc>
              <w:tc>
                <w:tcPr>
                  <w:tcW w:w="211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W1循环系统排水</w:t>
                  </w:r>
                </w:p>
              </w:tc>
              <w:tc>
                <w:tcPr>
                  <w:tcW w:w="152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循环水系统</w:t>
                  </w:r>
                </w:p>
              </w:tc>
              <w:tc>
                <w:tcPr>
                  <w:tcW w:w="337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pH、COD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cs="Times New Roman"/>
                      <w:sz w:val="21"/>
                      <w:szCs w:val="21"/>
                      <w:lang w:val="en-US" w:eastAsia="zh-CN"/>
                    </w:rPr>
                  </w:pPr>
                </w:p>
              </w:tc>
              <w:tc>
                <w:tcPr>
                  <w:tcW w:w="211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W2软水系统排水</w:t>
                  </w:r>
                </w:p>
              </w:tc>
              <w:tc>
                <w:tcPr>
                  <w:tcW w:w="152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软水系统</w:t>
                  </w:r>
                </w:p>
              </w:tc>
              <w:tc>
                <w:tcPr>
                  <w:tcW w:w="337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cs="Times New Roman"/>
                      <w:sz w:val="21"/>
                      <w:szCs w:val="21"/>
                      <w:lang w:val="en-US" w:eastAsia="zh-CN"/>
                    </w:rPr>
                  </w:pPr>
                  <w:r>
                    <w:rPr>
                      <w:rFonts w:hint="eastAsia" w:cs="Times New Roman"/>
                      <w:sz w:val="21"/>
                      <w:szCs w:val="21"/>
                      <w:lang w:val="en-US" w:eastAsia="zh-CN"/>
                    </w:rPr>
                    <w:t>pH、COD、溶解性总固体（全盐量）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噪声</w:t>
                  </w:r>
                </w:p>
              </w:tc>
              <w:tc>
                <w:tcPr>
                  <w:tcW w:w="2114"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eastAsia="宋体" w:cs="Times New Roman"/>
                      <w:kern w:val="2"/>
                      <w:sz w:val="21"/>
                      <w:szCs w:val="21"/>
                      <w:lang w:val="en-US" w:eastAsia="zh-CN"/>
                    </w:rPr>
                    <w:t>N1</w:t>
                  </w:r>
                  <w:r>
                    <w:rPr>
                      <w:rFonts w:hint="default" w:ascii="Times New Roman" w:hAnsi="Times New Roman" w:cs="Times New Roman"/>
                      <w:sz w:val="21"/>
                      <w:szCs w:val="21"/>
                      <w:lang w:val="en-US" w:eastAsia="zh-CN"/>
                    </w:rPr>
                    <w:t>水环式真空泵</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设备运行</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0"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2114"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N2循环水泵噪声</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设备运行</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2114"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N3</w:t>
                  </w:r>
                  <w:r>
                    <w:rPr>
                      <w:rFonts w:hint="eastAsia" w:ascii="Times New Roman" w:hAnsi="Times New Roman" w:eastAsia="宋体" w:cs="Times New Roman"/>
                      <w:kern w:val="2"/>
                      <w:sz w:val="21"/>
                      <w:szCs w:val="21"/>
                      <w:lang w:val="en-US" w:eastAsia="zh-CN"/>
                    </w:rPr>
                    <w:t>排污泵</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设备运行</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固体废物</w:t>
                  </w:r>
                </w:p>
              </w:tc>
              <w:tc>
                <w:tcPr>
                  <w:tcW w:w="211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S1</w:t>
                  </w:r>
                  <w:r>
                    <w:rPr>
                      <w:rFonts w:hint="default" w:ascii="Times New Roman" w:hAnsi="Times New Roman" w:cs="Times New Roman"/>
                      <w:sz w:val="21"/>
                      <w:szCs w:val="21"/>
                      <w:lang w:val="en-US" w:eastAsia="zh-CN"/>
                    </w:rPr>
                    <w:t>纯水制备系统</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纯水制备</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废离子交换树脂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211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S2</w:t>
                  </w:r>
                  <w:r>
                    <w:rPr>
                      <w:rFonts w:hint="default" w:ascii="Times New Roman" w:hAnsi="Times New Roman" w:cs="Times New Roman"/>
                      <w:sz w:val="21"/>
                      <w:szCs w:val="21"/>
                      <w:lang w:val="en-US" w:eastAsia="zh-CN"/>
                    </w:rPr>
                    <w:t>瓦斯抽采泵</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维修保养</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w:t>
                  </w:r>
                  <w:r>
                    <w:rPr>
                      <w:rFonts w:hint="eastAsia" w:cs="Times New Roman"/>
                      <w:sz w:val="21"/>
                      <w:szCs w:val="21"/>
                      <w:lang w:val="en-US" w:eastAsia="zh-CN"/>
                    </w:rPr>
                    <w:t>润滑油</w:t>
                  </w:r>
                </w:p>
              </w:tc>
            </w:tr>
          </w:tbl>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Style w:val="2"/>
              <w:rPr>
                <w:rFonts w:hint="default"/>
              </w:rPr>
            </w:pPr>
          </w:p>
          <w:p>
            <w:pPr>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r>
              <w:rPr>
                <w:sz w:val="24"/>
              </w:rPr>
              <mc:AlternateContent>
                <mc:Choice Requires="wpg">
                  <w:drawing>
                    <wp:anchor distT="0" distB="0" distL="114300" distR="114300" simplePos="0" relativeHeight="251665408" behindDoc="0" locked="0" layoutInCell="1" allowOverlap="1">
                      <wp:simplePos x="0" y="0"/>
                      <wp:positionH relativeFrom="column">
                        <wp:posOffset>1033145</wp:posOffset>
                      </wp:positionH>
                      <wp:positionV relativeFrom="paragraph">
                        <wp:posOffset>17780</wp:posOffset>
                      </wp:positionV>
                      <wp:extent cx="2672080" cy="2348230"/>
                      <wp:effectExtent l="4445" t="0" r="9525" b="13970"/>
                      <wp:wrapNone/>
                      <wp:docPr id="53" name="组合 53"/>
                      <wp:cNvGraphicFramePr/>
                      <a:graphic xmlns:a="http://schemas.openxmlformats.org/drawingml/2006/main">
                        <a:graphicData uri="http://schemas.microsoft.com/office/word/2010/wordprocessingGroup">
                          <wpg:wgp>
                            <wpg:cNvGrpSpPr/>
                            <wpg:grpSpPr>
                              <a:xfrm>
                                <a:off x="0" y="0"/>
                                <a:ext cx="2672080" cy="2348230"/>
                                <a:chOff x="7505" y="553831"/>
                                <a:chExt cx="4208" cy="3698"/>
                              </a:xfrm>
                            </wpg:grpSpPr>
                            <wpg:grpSp>
                              <wpg:cNvPr id="137" name="组合 137"/>
                              <wpg:cNvGrpSpPr/>
                              <wpg:grpSpPr>
                                <a:xfrm rot="0">
                                  <a:off x="7505" y="553831"/>
                                  <a:ext cx="4209" cy="3698"/>
                                  <a:chOff x="6133" y="398257"/>
                                  <a:chExt cx="4209" cy="3698"/>
                                </a:xfrm>
                              </wpg:grpSpPr>
                              <wpg:grpSp>
                                <wpg:cNvPr id="126" name="组合 126"/>
                                <wpg:cNvGrpSpPr/>
                                <wpg:grpSpPr>
                                  <a:xfrm rot="0">
                                    <a:off x="6133" y="398257"/>
                                    <a:ext cx="4207" cy="3698"/>
                                    <a:chOff x="5908" y="397793"/>
                                    <a:chExt cx="4207" cy="3698"/>
                                  </a:xfrm>
                                </wpg:grpSpPr>
                                <wps:wsp>
                                  <wps:cNvPr id="117" name="直接箭头连接符 117"/>
                                  <wps:cNvCnPr/>
                                  <wps:spPr>
                                    <a:xfrm flipH="1">
                                      <a:off x="7051" y="398217"/>
                                      <a:ext cx="15" cy="597"/>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cNvPr id="124" name="组合 124"/>
                                  <wpg:cNvGrpSpPr/>
                                  <wpg:grpSpPr>
                                    <a:xfrm rot="0">
                                      <a:off x="5908" y="397793"/>
                                      <a:ext cx="4207" cy="3698"/>
                                      <a:chOff x="5908" y="397793"/>
                                      <a:chExt cx="4207" cy="3698"/>
                                    </a:xfrm>
                                  </wpg:grpSpPr>
                                  <wps:wsp>
                                    <wps:cNvPr id="115" name="文本框 115"/>
                                    <wps:cNvSpPr txBox="1"/>
                                    <wps:spPr>
                                      <a:xfrm>
                                        <a:off x="5908" y="400870"/>
                                        <a:ext cx="2240" cy="6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水封阻火泄爆装置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23" name="组合 123"/>
                                    <wpg:cNvGrpSpPr/>
                                    <wpg:grpSpPr>
                                      <a:xfrm>
                                        <a:off x="6168" y="397793"/>
                                        <a:ext cx="3947" cy="3058"/>
                                        <a:chOff x="6168" y="397793"/>
                                        <a:chExt cx="3947" cy="3058"/>
                                      </a:xfrm>
                                    </wpg:grpSpPr>
                                    <wps:wsp>
                                      <wps:cNvPr id="114" name="文本框 114"/>
                                      <wps:cNvSpPr txBox="1"/>
                                      <wps:spPr>
                                        <a:xfrm>
                                          <a:off x="6168" y="399820"/>
                                          <a:ext cx="1745" cy="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自动抑爆装置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22" name="组合 122"/>
                                      <wpg:cNvGrpSpPr/>
                                      <wpg:grpSpPr>
                                        <a:xfrm>
                                          <a:off x="6178" y="397793"/>
                                          <a:ext cx="3937" cy="3058"/>
                                          <a:chOff x="6178" y="397793"/>
                                          <a:chExt cx="3937" cy="3058"/>
                                        </a:xfrm>
                                      </wpg:grpSpPr>
                                      <wpg:grpSp>
                                        <wpg:cNvPr id="121" name="组合 121"/>
                                        <wpg:cNvGrpSpPr/>
                                        <wpg:grpSpPr>
                                          <a:xfrm>
                                            <a:off x="6178" y="397793"/>
                                            <a:ext cx="3937" cy="3058"/>
                                            <a:chOff x="6178" y="397793"/>
                                            <a:chExt cx="3937" cy="3058"/>
                                          </a:xfrm>
                                        </wpg:grpSpPr>
                                        <wpg:grpSp>
                                          <wpg:cNvPr id="120" name="组合 120"/>
                                          <wpg:cNvGrpSpPr/>
                                          <wpg:grpSpPr>
                                            <a:xfrm>
                                              <a:off x="6178" y="397793"/>
                                              <a:ext cx="3937" cy="3058"/>
                                              <a:chOff x="6178" y="397793"/>
                                              <a:chExt cx="3937" cy="3058"/>
                                            </a:xfrm>
                                          </wpg:grpSpPr>
                                          <wpg:grpSp>
                                            <wpg:cNvPr id="108" name="组合 108"/>
                                            <wpg:cNvGrpSpPr/>
                                            <wpg:grpSpPr>
                                              <a:xfrm>
                                                <a:off x="6178" y="397793"/>
                                                <a:ext cx="3937" cy="3058"/>
                                                <a:chOff x="6178" y="397793"/>
                                                <a:chExt cx="3937" cy="3058"/>
                                              </a:xfrm>
                                            </wpg:grpSpPr>
                                            <wps:wsp>
                                              <wps:cNvPr id="35" name="直接箭头连接符 35"/>
                                              <wps:cNvCnPr/>
                                              <wps:spPr>
                                                <a:xfrm flipH="1">
                                                  <a:off x="7047" y="400368"/>
                                                  <a:ext cx="5" cy="483"/>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cNvPr id="96" name="组合 96"/>
                                              <wpg:cNvGrpSpPr/>
                                              <wpg:grpSpPr>
                                                <a:xfrm rot="0">
                                                  <a:off x="6178" y="397793"/>
                                                  <a:ext cx="3937" cy="986"/>
                                                  <a:chOff x="7873" y="397628"/>
                                                  <a:chExt cx="3937" cy="986"/>
                                                </a:xfrm>
                                              </wpg:grpSpPr>
                                              <wps:wsp>
                                                <wps:cNvPr id="16" name="文本框 16"/>
                                                <wps:cNvSpPr txBox="1"/>
                                                <wps:spPr>
                                                  <a:xfrm>
                                                    <a:off x="7873" y="397628"/>
                                                    <a:ext cx="1826" cy="5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低浓度瓦斯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文本框 20"/>
                                                <wps:cNvSpPr txBox="1"/>
                                                <wps:spPr>
                                                  <a:xfrm>
                                                    <a:off x="9126" y="398168"/>
                                                    <a:ext cx="2684" cy="4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lang w:val="en-US" w:eastAsia="zh-CN"/>
                                                        </w:rPr>
                                                        <w:t>N1、W1、W2、S1、S2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112" name="文本框 112"/>
                                            <wps:cNvSpPr txBox="1"/>
                                            <wps:spPr>
                                              <a:xfrm>
                                                <a:off x="6207" y="398800"/>
                                                <a:ext cx="1790" cy="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瓦斯抽采</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18" name="直接箭头连接符 22"/>
                                          <wps:cNvCnPr/>
                                          <wps:spPr>
                                            <a:xfrm flipV="1">
                                              <a:off x="7053" y="398610"/>
                                              <a:ext cx="409" cy="212"/>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s:wsp>
                                        <wps:cNvPr id="119" name="直接箭头连接符 119"/>
                                        <wps:cNvCnPr/>
                                        <wps:spPr>
                                          <a:xfrm flipH="1">
                                            <a:off x="7047" y="399333"/>
                                            <a:ext cx="5" cy="483"/>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grpSp>
                                </wpg:grpSp>
                              </wpg:grpSp>
                              <wps:wsp>
                                <wps:cNvPr id="135" name="文本框 135"/>
                                <wps:cNvSpPr txBox="1"/>
                                <wps:spPr>
                                  <a:xfrm>
                                    <a:off x="8668" y="399262"/>
                                    <a:ext cx="1674" cy="5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eastAsia="宋体"/>
                                          <w:lang w:val="en-US" w:eastAsia="zh-CN"/>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直接箭头连接符 136"/>
                                <wps:cNvCnPr>
                                  <a:stCxn id="135" idx="1"/>
                                  <a:endCxn id="112" idx="3"/>
                                </wps:cNvCnPr>
                                <wps:spPr>
                                  <a:xfrm flipH="1">
                                    <a:off x="8222" y="399528"/>
                                    <a:ext cx="446" cy="2"/>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s:wsp>
                              <wps:cNvPr id="18" name="直接箭头连接符 22"/>
                              <wps:cNvCnPr/>
                              <wps:spPr>
                                <a:xfrm flipV="1">
                                  <a:off x="8650" y="556671"/>
                                  <a:ext cx="409" cy="212"/>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17" name="文本框 20"/>
                              <wps:cNvSpPr txBox="1"/>
                              <wps:spPr>
                                <a:xfrm>
                                  <a:off x="9148" y="556454"/>
                                  <a:ext cx="2369" cy="4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lang w:val="en-US" w:eastAsia="zh-CN"/>
                                      </w:rPr>
                                      <w:t>N2、N3、G1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1.35pt;margin-top:1.4pt;height:184.9pt;width:210.4pt;z-index:251665408;mso-width-relative:page;mso-height-relative:page;" coordorigin="7505,553831" coordsize="4208,3698" o:gfxdata="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">
                      <o:lock v:ext="edit" aspectratio="f"/>
                      <v:group id="_x0000_s1026" o:spid="_x0000_s1026" o:spt="203" style="position:absolute;left:7505;top:553831;height:3698;width:4209;" coordorigin="6133,398257" coordsize="4209,3698"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6133;top:398257;height:3698;width:4207;" coordorigin="5908,397793" coordsize="4207,3698"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7051;top:398217;flip:x;height:597;width:15;" filled="f" stroked="t" coordsize="21600,21600" o:gfxdata="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AvqG8AAAA&#10;3AAAAA8AAAAAAAAAAQAgAAAAIgAAAGRycy9kb3ducmV2LnhtbFBLAQIUABQAAAAIAIdO4kAzLwWe&#10;OwAAADkAAAAQAAAAAAAAAAEAIAAAAAsBAABkcnMvc2hhcGV4bWwueG1sUEsFBgAAAAAGAAYAWwEA&#10;ALUDAAAAAA==&#10;">
                            <v:fill on="f" focussize="0,0"/>
                            <v:stroke weight="0.5pt" color="#000000 [3204]" miterlimit="8" joinstyle="miter" endarrow="block"/>
                            <v:imagedata o:title=""/>
                            <o:lock v:ext="edit" aspectratio="f"/>
                          </v:shape>
                          <v:group id="_x0000_s1026" o:spid="_x0000_s1026" o:spt="203" style="position:absolute;left:5908;top:397793;height:3698;width:4207;" coordorigin="5908,397793" coordsize="4207,3698"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5908;top:400870;height:621;width:2240;" fillcolor="#FFFFFF [3201]" filled="t" stroked="t" coordsize="21600,21600" o:gfxdata="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Qojc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lang w:val="en-US" w:eastAsia="zh-CN"/>
                                      </w:rPr>
                                    </w:pPr>
                                    <w:r>
                                      <w:rPr>
                                        <w:rFonts w:hint="eastAsia"/>
                                        <w:lang w:val="en-US" w:eastAsia="zh-CN"/>
                                      </w:rPr>
                                      <w:t>水封阻火泄爆装置</w:t>
                                    </w:r>
                                  </w:p>
                                </w:txbxContent>
                              </v:textbox>
                            </v:shape>
                            <v:group id="_x0000_s1026" o:spid="_x0000_s1026" o:spt="203" style="position:absolute;left:6168;top:397793;height:3058;width:3947;" coordorigin="6168,397793" coordsize="3947,3058"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6168;top:399820;height:532;width:1745;" fillcolor="#FFFFFF [3201]" filled="t" stroked="t" coordsize="21600,21600" o:gfxdata="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kaG6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lang w:val="en-US" w:eastAsia="zh-CN"/>
                                        </w:rPr>
                                      </w:pPr>
                                      <w:r>
                                        <w:rPr>
                                          <w:rFonts w:hint="eastAsia"/>
                                          <w:lang w:val="en-US" w:eastAsia="zh-CN"/>
                                        </w:rPr>
                                        <w:t>自动抑爆装置</w:t>
                                      </w:r>
                                    </w:p>
                                  </w:txbxContent>
                                </v:textbox>
                              </v:shape>
                              <v:group id="_x0000_s1026" o:spid="_x0000_s1026" o:spt="203" style="position:absolute;left:6178;top:397793;height:3058;width:3937;" coordorigin="6178,397793" coordsize="3937,3058"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6178;top:397793;height:3058;width:3937;" coordorigin="6178,397793" coordsize="3937,3058"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6178;top:397793;height:3058;width:3937;" coordorigin="6178,397793" coordsize="3937,3058"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6178;top:397793;height:3058;width:3937;" coordorigin="6178,397793" coordsize="3937,3058"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7047;top:400368;flip:x;height:483;width:5;" filled="f" stroked="t" coordsize="21600,21600" o:gfxdata="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eFr4A&#10;AADbAAAADwAAAAAAAAABACAAAAAiAAAAZHJzL2Rvd25yZXYueG1sUEsBAhQAFAAAAAgAh07iQDMv&#10;BZ47AAAAOQAAABAAAAAAAAAAAQAgAAAADQEAAGRycy9zaGFwZXhtbC54bWxQSwUGAAAAAAYABgBb&#10;AQAAtwMAAAAA&#10;">
                                        <v:fill on="f" focussize="0,0"/>
                                        <v:stroke weight="0.5pt" color="#000000 [3204]" miterlimit="8" joinstyle="miter" endarrow="block"/>
                                        <v:imagedata o:title=""/>
                                        <o:lock v:ext="edit" aspectratio="f"/>
                                      </v:shape>
                                      <v:group id="_x0000_s1026" o:spid="_x0000_s1026" o:spt="203" style="position:absolute;left:6178;top:397793;height:986;width:3937;" coordorigin="7873,397628" coordsize="3937,986"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7873;top:397628;height:532;width:1826;" fillcolor="#FFFFFF [3201]" filled="t" stroked="f" coordsize="21600,21600" o:gfxdata="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bFZdZ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低浓度瓦斯</w:t>
                                                </w:r>
                                              </w:p>
                                            </w:txbxContent>
                                          </v:textbox>
                                        </v:shape>
                                        <v:shape id="文本框 20" o:spid="_x0000_s1026" o:spt="202" type="#_x0000_t202" style="position:absolute;left:9126;top:398168;height:446;width:2684;" fillcolor="#FFFFFF [3201]" filled="t" stroked="f" coordsize="21600,21600" o:gfxdata="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SPqjb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jc w:val="both"/>
                                                  <w:rPr>
                                                    <w:rFonts w:hint="default" w:eastAsia="宋体"/>
                                                    <w:lang w:val="en-US" w:eastAsia="zh-CN"/>
                                                  </w:rPr>
                                                </w:pPr>
                                                <w:r>
                                                  <w:rPr>
                                                    <w:rFonts w:hint="eastAsia"/>
                                                    <w:lang w:val="en-US" w:eastAsia="zh-CN"/>
                                                  </w:rPr>
                                                  <w:t>N1、W1、W2、S1、S2</w:t>
                                                </w:r>
                                              </w:p>
                                            </w:txbxContent>
                                          </v:textbox>
                                        </v:shape>
                                      </v:group>
                                    </v:group>
                                    <v:shape id="_x0000_s1026" o:spid="_x0000_s1026" o:spt="202" type="#_x0000_t202" style="position:absolute;left:6207;top:398800;height:532;width:1790;" fillcolor="#FFFFFF [3201]" filled="t" stroked="t" coordsize="21600,21600" o:gfxdata="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uO7B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val="en-US" w:eastAsia="zh-CN"/>
                                              </w:rPr>
                                              <w:t>瓦斯抽采</w:t>
                                            </w:r>
                                          </w:p>
                                          <w:p>
                                            <w:pPr>
                                              <w:rPr>
                                                <w:rFonts w:hint="default"/>
                                                <w:lang w:val="en-US" w:eastAsia="zh-CN"/>
                                              </w:rPr>
                                            </w:pPr>
                                          </w:p>
                                        </w:txbxContent>
                                      </v:textbox>
                                    </v:shape>
                                  </v:group>
                                  <v:shape id="直接箭头连接符 22" o:spid="_x0000_s1026" o:spt="32" type="#_x0000_t32" style="position:absolute;left:7053;top:398610;flip:y;height:212;width:409;" filled="f" stroked="t" coordsize="21600,21600" o:gfxdata="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D7dL4A&#10;AADcAAAADwAAAAAAAAABACAAAAAiAAAAZHJzL2Rvd25yZXYueG1sUEsBAhQAFAAAAAgAh07iQDMv&#10;BZ47AAAAOQAAABAAAAAAAAAAAQAgAAAADQEAAGRycy9zaGFwZXhtbC54bWxQSwUGAAAAAAYABgBb&#10;AQAAtwMAAAAA&#10;">
                                    <v:fill on="f" focussize="0,0"/>
                                    <v:stroke weight="1pt" color="#000000 [3204]" miterlimit="8" joinstyle="miter" dashstyle="1 1" endarrow="block"/>
                                    <v:imagedata o:title=""/>
                                    <o:lock v:ext="edit" aspectratio="f"/>
                                  </v:shape>
                                </v:group>
                                <v:shape id="_x0000_s1026" o:spid="_x0000_s1026" o:spt="32" type="#_x0000_t32" style="position:absolute;left:7047;top:399333;flip:x;height:483;width:5;" filled="f" stroked="t" coordsize="21600,21600" o:gfxdata="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Tj0i8AAAA&#10;3AAAAA8AAAAAAAAAAQAgAAAAIgAAAGRycy9kb3ducmV2LnhtbFBLAQIUABQAAAAIAIdO4kAzLwWe&#10;OwAAADkAAAAQAAAAAAAAAAEAIAAAAAsBAABkcnMvc2hhcGV4bWwueG1sUEsFBgAAAAAGAAYAWwEA&#10;ALUDAAAAAA==&#10;">
                                  <v:fill on="f" focussize="0,0"/>
                                  <v:stroke weight="0.5pt" color="#000000 [3204]" miterlimit="8" joinstyle="miter" endarrow="block"/>
                                  <v:imagedata o:title=""/>
                                  <o:lock v:ext="edit" aspectratio="f"/>
                                </v:shape>
                              </v:group>
                            </v:group>
                          </v:group>
                        </v:group>
                        <v:shape id="_x0000_s1026" o:spid="_x0000_s1026" o:spt="202" type="#_x0000_t202" style="position:absolute;left:8668;top:399262;height:532;width:1674;" fillcolor="#FFFFFF [3201]" filled="t" stroked="f" coordsize="21600,21600" o:gfxdata="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mBM2C5AAAA3A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both"/>
                                  <w:rPr>
                                    <w:rFonts w:hint="default" w:eastAsia="宋体"/>
                                    <w:lang w:val="en-US" w:eastAsia="zh-CN"/>
                                  </w:rPr>
                                </w:pPr>
                                <w:r>
                                  <w:rPr>
                                    <w:rFonts w:hint="eastAsia" w:eastAsia="宋体"/>
                                    <w:lang w:val="en-US" w:eastAsia="zh-CN"/>
                                  </w:rPr>
                                  <w:t>新鲜水</w:t>
                                </w:r>
                              </w:p>
                            </w:txbxContent>
                          </v:textbox>
                        </v:shape>
                        <v:shape id="_x0000_s1026" o:spid="_x0000_s1026" o:spt="32" type="#_x0000_t32" style="position:absolute;left:8222;top:399528;flip:x;height:2;width:446;" filled="f" stroked="t" coordsize="21600,21600" o:gfxdata="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PlHWrsAAADc&#10;AAAADwAAAAAAAAABACAAAAAiAAAAZHJzL2Rvd25yZXYueG1sUEsBAhQAFAAAAAgAh07iQDMvBZ47&#10;AAAAOQAAABAAAAAAAAAAAQAgAAAACgEAAGRycy9zaGFwZXhtbC54bWxQSwUGAAAAAAYABgBbAQAA&#10;tAMAAAAA&#10;">
                          <v:fill on="f" focussize="0,0"/>
                          <v:stroke weight="0.5pt" color="#000000 [3204]" miterlimit="8" joinstyle="miter" endarrow="block"/>
                          <v:imagedata o:title=""/>
                          <o:lock v:ext="edit" aspectratio="f"/>
                        </v:shape>
                      </v:group>
                      <v:shape id="直接箭头连接符 22" o:spid="_x0000_s1026" o:spt="32" type="#_x0000_t32" style="position:absolute;left:8650;top:556671;flip:y;height:212;width:409;" filled="f" stroked="t" coordsize="21600,21600" o:gfxdata="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IRRevQAA&#10;ANsAAAAPAAAAAAAAAAEAIAAAACIAAABkcnMvZG93bnJldi54bWxQSwECFAAUAAAACACHTuJAMy8F&#10;njsAAAA5AAAAEAAAAAAAAAABACAAAAAMAQAAZHJzL3NoYXBleG1sLnhtbFBLBQYAAAAABgAGAFsB&#10;AAC2AwAAAAA=&#10;">
                        <v:fill on="f" focussize="0,0"/>
                        <v:stroke weight="1pt" color="#000000 [3204]" miterlimit="8" joinstyle="miter" dashstyle="1 1" endarrow="block"/>
                        <v:imagedata o:title=""/>
                        <o:lock v:ext="edit" aspectratio="f"/>
                      </v:shape>
                      <v:shape id="文本框 20" o:spid="_x0000_s1026" o:spt="202" type="#_x0000_t202" style="position:absolute;left:9148;top:556454;height:446;width:2369;" fillcolor="#FFFFFF [3201]" filled="t" stroked="f" coordsize="21600,21600" o:gfxdata="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Fkywr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both"/>
                                <w:rPr>
                                  <w:rFonts w:hint="default" w:eastAsia="宋体"/>
                                  <w:lang w:val="en-US" w:eastAsia="zh-CN"/>
                                </w:rPr>
                              </w:pPr>
                              <w:r>
                                <w:rPr>
                                  <w:rFonts w:hint="eastAsia"/>
                                  <w:lang w:val="en-US" w:eastAsia="zh-CN"/>
                                </w:rPr>
                                <w:t>N2、N3、G1</w:t>
                              </w:r>
                            </w:p>
                          </w:txbxContent>
                        </v:textbox>
                      </v:shape>
                    </v:group>
                  </w:pict>
                </mc:Fallback>
              </mc:AlternateContent>
            </w: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Style w:val="18"/>
              <w:rPr>
                <w:rFonts w:hint="default"/>
              </w:rPr>
            </w:pPr>
          </w:p>
          <w:p>
            <w:pPr>
              <w:rPr>
                <w:rFonts w:hint="default"/>
              </w:rPr>
            </w:pPr>
          </w:p>
          <w:p>
            <w:pPr>
              <w:pStyle w:val="18"/>
              <w:rPr>
                <w:rFonts w:hint="default"/>
              </w:rPr>
            </w:pPr>
          </w:p>
          <w:p>
            <w:pPr>
              <w:rPr>
                <w:rFonts w:hint="default"/>
              </w:rPr>
            </w:pPr>
          </w:p>
          <w:p>
            <w:pPr>
              <w:pStyle w:val="18"/>
              <w:rPr>
                <w:rFonts w:hint="default"/>
              </w:rPr>
            </w:pPr>
          </w:p>
          <w:p>
            <w:pPr>
              <w:pStyle w:val="18"/>
              <w:ind w:left="0" w:leftChars="0" w:firstLine="0" w:firstLineChars="0"/>
              <w:rPr>
                <w:rFonts w:hint="default"/>
              </w:rPr>
            </w:pPr>
          </w:p>
          <w:p>
            <w:pPr>
              <w:jc w:val="center"/>
              <w:rPr>
                <w:rFonts w:hint="default"/>
              </w:rPr>
            </w:pPr>
            <w:r>
              <w:rPr>
                <w:rFonts w:hint="eastAsia" w:ascii="Times New Roman" w:hAnsi="Times New Roman" w:eastAsia="宋体" w:cs="宋体"/>
                <w:b/>
                <w:bCs/>
              </w:rPr>
              <w:t>图</w:t>
            </w:r>
            <w:r>
              <w:rPr>
                <w:rFonts w:hint="eastAsia" w:ascii="Times New Roman" w:hAnsi="Times New Roman" w:eastAsia="宋体" w:cs="宋体"/>
                <w:b/>
                <w:bCs/>
                <w:lang w:val="en-US" w:eastAsia="zh-CN"/>
              </w:rPr>
              <w:t>2.7-1  本项目</w:t>
            </w:r>
            <w:r>
              <w:rPr>
                <w:rFonts w:hint="eastAsia" w:ascii="Times New Roman" w:hAnsi="Times New Roman" w:eastAsia="宋体" w:cs="宋体"/>
                <w:b/>
                <w:bCs/>
              </w:rPr>
              <w:t>工艺流程图</w:t>
            </w:r>
          </w:p>
        </w:tc>
      </w:tr>
    </w:tbl>
    <w:p>
      <w:pPr>
        <w:sectPr>
          <w:footerReference r:id="rId10" w:type="default"/>
          <w:pgSz w:w="11906" w:h="16838"/>
          <w:pgMar w:top="1440" w:right="1800" w:bottom="1440" w:left="163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numPr>
          <w:ilvl w:val="0"/>
          <w:numId w:val="3"/>
        </w:numPr>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3" w:name="_Toc1394"/>
      <w:bookmarkStart w:id="4" w:name="_Toc11713"/>
      <w:bookmarkStart w:id="5" w:name="_Toc24758"/>
      <w:bookmarkStart w:id="6" w:name="_Toc24185"/>
      <w:bookmarkStart w:id="7" w:name="_Toc2229"/>
      <w:bookmarkStart w:id="8" w:name="_Toc8509"/>
      <w:r>
        <w:rPr>
          <w:rFonts w:ascii="Times New Roman" w:hAnsi="Times New Roman" w:eastAsia="宋体" w:cs="宋体"/>
          <w:b/>
          <w:kern w:val="44"/>
          <w:sz w:val="28"/>
          <w:szCs w:val="22"/>
          <w:lang w:val="en-US" w:eastAsia="zh-CN" w:bidi="ar-SA"/>
        </w:rPr>
        <w:t>区域环境质量现状、环境保护目标及评价标准</w:t>
      </w:r>
      <w:bookmarkEnd w:id="3"/>
      <w:bookmarkEnd w:id="4"/>
      <w:bookmarkEnd w:id="5"/>
      <w:bookmarkEnd w:id="6"/>
      <w:bookmarkEnd w:id="7"/>
      <w:bookmarkEnd w:id="8"/>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8" w:hRule="atLeast"/>
          <w:jc w:val="center"/>
        </w:trPr>
        <w:tc>
          <w:tcPr>
            <w:tcW w:w="6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域</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环</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境</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质</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量</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hint="default" w:ascii="Times New Roman" w:hAnsi="Times New Roman" w:eastAsia="宋体" w:cs="宋体"/>
                <w:vertAlign w:val="baseline"/>
                <w:lang w:val="en-US" w:eastAsia="zh-CN"/>
              </w:rPr>
            </w:pPr>
            <w:r>
              <w:rPr>
                <w:rFonts w:ascii="Times New Roman" w:hAnsi="Times New Roman" w:eastAsia="宋体" w:cs="宋体"/>
              </w:rPr>
              <w:t>状</w:t>
            </w:r>
          </w:p>
        </w:tc>
        <w:tc>
          <w:tcPr>
            <w:tcW w:w="837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3.1大气环境质量现状</w:t>
            </w:r>
          </w:p>
          <w:p>
            <w:pPr>
              <w:overflowPunct/>
              <w:autoSpaceDE/>
              <w:autoSpaceDN/>
              <w:bidi w:val="0"/>
              <w:adjustRightInd/>
              <w:snapToGrid/>
              <w:spacing w:before="0" w:after="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宋体"/>
                <w:lang w:val="en-US" w:eastAsia="zh-CN"/>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r>
              <w:rPr>
                <w:rFonts w:hint="eastAsia" w:ascii="Times New Roman" w:hAnsi="Times New Roman" w:eastAsia="宋体" w:cs="Times New Roman"/>
                <w:szCs w:val="24"/>
              </w:rPr>
              <w:t>本项目位于</w:t>
            </w:r>
            <w:r>
              <w:rPr>
                <w:rFonts w:hint="eastAsia" w:ascii="Times New Roman" w:hAnsi="Times New Roman" w:eastAsia="宋体" w:cs="Times New Roman"/>
                <w:szCs w:val="24"/>
                <w:lang w:val="en-US" w:eastAsia="zh-CN"/>
              </w:rPr>
              <w:t>昌吉州呼图壁县</w:t>
            </w:r>
            <w:r>
              <w:rPr>
                <w:rFonts w:hint="eastAsia" w:ascii="Times New Roman" w:hAnsi="Times New Roman" w:eastAsia="宋体" w:cs="Times New Roman"/>
                <w:szCs w:val="24"/>
              </w:rPr>
              <w:t>，</w:t>
            </w:r>
            <w:r>
              <w:rPr>
                <w:rFonts w:hint="eastAsia" w:ascii="Times New Roman" w:hAnsi="Times New Roman" w:eastAsia="宋体" w:cs="Times New Roman"/>
                <w:color w:val="auto"/>
                <w:sz w:val="24"/>
                <w:szCs w:val="24"/>
                <w:lang w:val="en-US" w:eastAsia="zh-CN"/>
              </w:rPr>
              <w:t>选取距离本项目最近的呼图壁县监测站点</w:t>
            </w:r>
            <w:r>
              <w:rPr>
                <w:rFonts w:hint="default"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21年基准年连续</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年的监测数据，作为本项目环境空气现状评价基本污染物</w:t>
            </w:r>
            <w:r>
              <w:rPr>
                <w:rFonts w:hint="default" w:ascii="Times New Roman" w:hAnsi="Times New Roman" w:eastAsia="宋体" w:cs="Times New Roman"/>
                <w:color w:val="auto"/>
                <w:sz w:val="24"/>
                <w:szCs w:val="24"/>
                <w:lang w:val="en-US" w:eastAsia="zh-CN"/>
              </w:rPr>
              <w:t>SO</w:t>
            </w:r>
            <w:r>
              <w:rPr>
                <w:rFonts w:hint="default"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NO</w:t>
            </w:r>
            <w:r>
              <w:rPr>
                <w:rFonts w:hint="default"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10</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2.5</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CO</w:t>
            </w:r>
            <w:r>
              <w:rPr>
                <w:rFonts w:hint="eastAsia" w:ascii="Times New Roman" w:hAnsi="Times New Roman" w:eastAsia="宋体" w:cs="Times New Roman"/>
                <w:color w:val="auto"/>
                <w:sz w:val="24"/>
                <w:szCs w:val="24"/>
                <w:lang w:val="en-US" w:eastAsia="zh-CN"/>
              </w:rPr>
              <w:t>和</w:t>
            </w:r>
            <w:r>
              <w:rPr>
                <w:rFonts w:hint="default" w:ascii="Times New Roman" w:hAnsi="Times New Roman" w:eastAsia="宋体" w:cs="Times New Roman"/>
                <w:color w:val="auto"/>
                <w:sz w:val="24"/>
                <w:szCs w:val="24"/>
                <w:lang w:val="en-US" w:eastAsia="zh-CN"/>
              </w:rPr>
              <w:t>O</w:t>
            </w:r>
            <w:r>
              <w:rPr>
                <w:rFonts w:hint="default" w:ascii="Times New Roman" w:hAnsi="Times New Roman" w:eastAsia="宋体" w:cs="Times New Roman"/>
                <w:color w:val="auto"/>
                <w:sz w:val="24"/>
                <w:szCs w:val="24"/>
                <w:vertAlign w:val="subscript"/>
                <w:lang w:val="en-US" w:eastAsia="zh-CN"/>
              </w:rPr>
              <w:t>3</w:t>
            </w:r>
            <w:r>
              <w:rPr>
                <w:rFonts w:hint="eastAsia" w:ascii="Times New Roman" w:hAnsi="Times New Roman" w:eastAsia="宋体" w:cs="Times New Roman"/>
                <w:color w:val="auto"/>
                <w:sz w:val="24"/>
                <w:szCs w:val="24"/>
                <w:lang w:val="en-US" w:eastAsia="zh-CN"/>
              </w:rPr>
              <w:t>的数据来源。呼图壁县监测点</w:t>
            </w:r>
            <w:r>
              <w:rPr>
                <w:rFonts w:hint="eastAsia" w:ascii="Times New Roman" w:hAnsi="Times New Roman" w:eastAsia="宋体" w:cs="Times New Roman"/>
                <w:color w:val="auto"/>
                <w:sz w:val="24"/>
                <w:szCs w:val="24"/>
                <w:highlight w:val="none"/>
                <w:lang w:val="en-US" w:eastAsia="zh-CN"/>
              </w:rPr>
              <w:t>（站点坐标为</w:t>
            </w:r>
            <w:r>
              <w:rPr>
                <w:rFonts w:hint="default" w:ascii="Times New Roman" w:hAnsi="Times New Roman" w:eastAsia="宋体"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51</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0.000</w:t>
            </w:r>
            <w:r>
              <w:rPr>
                <w:rFonts w:hint="default"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0.120</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lang w:val="en-US" w:eastAsia="zh-CN"/>
              </w:rPr>
              <w:t>位于项目区</w:t>
            </w:r>
            <w:r>
              <w:rPr>
                <w:rFonts w:hint="eastAsia" w:cs="Times New Roman"/>
                <w:color w:val="auto"/>
                <w:sz w:val="24"/>
                <w:szCs w:val="24"/>
                <w:lang w:val="en-US" w:eastAsia="zh-CN"/>
              </w:rPr>
              <w:t>北侧</w:t>
            </w:r>
            <w:r>
              <w:rPr>
                <w:rFonts w:hint="eastAsia" w:ascii="Times New Roman" w:hAnsi="Times New Roman" w:eastAsia="宋体" w:cs="Times New Roman"/>
                <w:color w:val="auto"/>
                <w:sz w:val="24"/>
                <w:szCs w:val="24"/>
                <w:lang w:val="en-US" w:eastAsia="zh-CN"/>
              </w:rPr>
              <w:t>约</w:t>
            </w:r>
            <w:r>
              <w:rPr>
                <w:rFonts w:hint="eastAsia" w:cs="Times New Roman"/>
                <w:color w:val="auto"/>
                <w:sz w:val="24"/>
                <w:szCs w:val="24"/>
                <w:lang w:val="en-US" w:eastAsia="zh-CN"/>
              </w:rPr>
              <w:t>48</w:t>
            </w:r>
            <w:r>
              <w:rPr>
                <w:rFonts w:hint="default" w:ascii="Times New Roman" w:hAnsi="Times New Roman" w:eastAsia="宋体" w:cs="Times New Roman"/>
                <w:color w:val="auto"/>
                <w:sz w:val="24"/>
                <w:szCs w:val="24"/>
                <w:lang w:val="en-US" w:eastAsia="zh-CN"/>
              </w:rPr>
              <w:t>km</w:t>
            </w:r>
            <w:r>
              <w:rPr>
                <w:rFonts w:hint="eastAsia" w:ascii="Times New Roman" w:hAnsi="Times New Roman" w:eastAsia="宋体" w:cs="Times New Roman"/>
                <w:color w:val="auto"/>
                <w:sz w:val="24"/>
                <w:szCs w:val="24"/>
                <w:lang w:val="en-US" w:eastAsia="zh-CN"/>
              </w:rPr>
              <w:t>处，监测点位和项目所在区域地形、气象条件、环境特征、环境功能基本一致，引用数据能客观体现所在区域环境质量，项目引用环境质量资料基本可行。</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①</w:t>
            </w:r>
            <w:r>
              <w:rPr>
                <w:rFonts w:hint="default" w:ascii="Times New Roman" w:hAnsi="Times New Roman" w:eastAsia="宋体" w:cs="宋体"/>
                <w:lang w:val="en-US" w:eastAsia="zh-CN"/>
              </w:rPr>
              <w:t>评价标准</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根据本项目所在区域的环境功能区划，常规污染物</w:t>
            </w:r>
            <w:r>
              <w:rPr>
                <w:rFonts w:hint="eastAsia" w:ascii="Times New Roman" w:hAnsi="Times New Roman" w:eastAsia="宋体" w:cs="宋体"/>
                <w:lang w:val="en-US" w:eastAsia="zh-CN"/>
              </w:rPr>
              <w:t>均</w:t>
            </w:r>
            <w:r>
              <w:rPr>
                <w:rFonts w:hint="default" w:ascii="Times New Roman" w:hAnsi="Times New Roman" w:eastAsia="宋体" w:cs="宋体"/>
                <w:lang w:val="en-US" w:eastAsia="zh-CN"/>
              </w:rPr>
              <w:t>执行《环境空气质量标准》（GB3095－2012）中的二级标准。</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②</w:t>
            </w:r>
            <w:r>
              <w:rPr>
                <w:rFonts w:hint="default" w:ascii="Times New Roman" w:hAnsi="Times New Roman" w:eastAsia="宋体" w:cs="宋体"/>
                <w:lang w:val="en-US" w:eastAsia="zh-CN"/>
              </w:rPr>
              <w:t>常规污染物监测结果及评价统计</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根据2021年呼图壁县监测站点空气质量逐日统计结果，SO</w:t>
            </w:r>
            <w:r>
              <w:rPr>
                <w:rFonts w:hint="eastAsia" w:ascii="Times New Roman" w:hAnsi="Times New Roman" w:eastAsia="宋体" w:cs="宋体"/>
                <w:vertAlign w:val="subscript"/>
                <w:lang w:val="en-US" w:eastAsia="zh-CN"/>
              </w:rPr>
              <w:t>2</w:t>
            </w:r>
            <w:r>
              <w:rPr>
                <w:rFonts w:hint="eastAsia" w:ascii="Times New Roman" w:hAnsi="Times New Roman" w:eastAsia="宋体" w:cs="宋体"/>
                <w:lang w:val="en-US" w:eastAsia="zh-CN"/>
              </w:rPr>
              <w:t>、NO</w:t>
            </w:r>
            <w:r>
              <w:rPr>
                <w:rFonts w:hint="eastAsia" w:ascii="Times New Roman" w:hAnsi="Times New Roman" w:eastAsia="宋体" w:cs="宋体"/>
                <w:vertAlign w:val="subscript"/>
                <w:lang w:val="en-US" w:eastAsia="zh-CN"/>
              </w:rPr>
              <w:t>2</w:t>
            </w:r>
            <w:r>
              <w:rPr>
                <w:rFonts w:hint="eastAsia" w:ascii="Times New Roman" w:hAnsi="Times New Roman" w:eastAsia="宋体" w:cs="宋体"/>
                <w:lang w:val="en-US" w:eastAsia="zh-CN"/>
              </w:rPr>
              <w:t>、PM</w:t>
            </w:r>
            <w:r>
              <w:rPr>
                <w:rFonts w:hint="eastAsia" w:ascii="Times New Roman" w:hAnsi="Times New Roman" w:eastAsia="宋体" w:cs="宋体"/>
                <w:vertAlign w:val="subscript"/>
                <w:lang w:val="en-US" w:eastAsia="zh-CN"/>
              </w:rPr>
              <w:t>10</w:t>
            </w:r>
            <w:r>
              <w:rPr>
                <w:rFonts w:hint="eastAsia" w:ascii="Times New Roman" w:hAnsi="Times New Roman" w:eastAsia="宋体" w:cs="宋体"/>
                <w:lang w:val="en-US" w:eastAsia="zh-CN"/>
              </w:rPr>
              <w:t>、PM</w:t>
            </w:r>
            <w:r>
              <w:rPr>
                <w:rFonts w:hint="eastAsia" w:ascii="Times New Roman" w:hAnsi="Times New Roman" w:eastAsia="宋体" w:cs="宋体"/>
                <w:vertAlign w:val="subscript"/>
                <w:lang w:val="en-US" w:eastAsia="zh-CN"/>
              </w:rPr>
              <w:t>2.5</w:t>
            </w:r>
            <w:r>
              <w:rPr>
                <w:rFonts w:hint="eastAsia" w:ascii="Times New Roman" w:hAnsi="Times New Roman" w:eastAsia="宋体" w:cs="宋体"/>
                <w:lang w:val="en-US" w:eastAsia="zh-CN"/>
              </w:rPr>
              <w:t>、CO和O</w:t>
            </w:r>
            <w:r>
              <w:rPr>
                <w:rFonts w:hint="eastAsia" w:ascii="Times New Roman" w:hAnsi="Times New Roman" w:eastAsia="宋体" w:cs="宋体"/>
                <w:vertAlign w:val="subscript"/>
                <w:lang w:val="en-US" w:eastAsia="zh-CN"/>
              </w:rPr>
              <w:t>3</w:t>
            </w:r>
            <w:r>
              <w:rPr>
                <w:rFonts w:hint="eastAsia" w:ascii="Times New Roman" w:hAnsi="Times New Roman" w:eastAsia="宋体" w:cs="宋体"/>
                <w:lang w:val="en-US" w:eastAsia="zh-CN"/>
              </w:rPr>
              <w:t>连续一年的基本污染物监测数据，</w:t>
            </w:r>
            <w:r>
              <w:rPr>
                <w:rFonts w:hint="default" w:ascii="Times New Roman" w:hAnsi="Times New Roman" w:eastAsia="宋体" w:cs="宋体"/>
                <w:lang w:val="en-US" w:eastAsia="zh-CN"/>
              </w:rPr>
              <w:t>本项目所在区域空气质量达标区判定情况见表</w:t>
            </w:r>
            <w:r>
              <w:rPr>
                <w:rFonts w:hint="eastAsia" w:ascii="Times New Roman" w:hAnsi="Times New Roman" w:eastAsia="宋体" w:cs="宋体"/>
                <w:lang w:val="en-US" w:eastAsia="zh-CN"/>
              </w:rPr>
              <w:t>3.1-1</w:t>
            </w:r>
            <w:r>
              <w:rPr>
                <w:rFonts w:hint="default" w:ascii="Times New Roman" w:hAnsi="Times New Roman" w:eastAsia="宋体" w:cs="宋体"/>
                <w:lang w:val="en-US" w:eastAsia="zh-CN"/>
              </w:rPr>
              <w:t>。</w:t>
            </w:r>
          </w:p>
          <w:p>
            <w:pPr>
              <w:overflowPunct/>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宋体"/>
                <w:b/>
                <w:bCs/>
                <w:lang w:val="en-US" w:eastAsia="zh-CN"/>
              </w:rPr>
            </w:pPr>
            <w:r>
              <w:rPr>
                <w:rFonts w:hint="default" w:ascii="Times New Roman" w:hAnsi="Times New Roman" w:eastAsia="宋体" w:cs="宋体"/>
                <w:b/>
                <w:bCs/>
                <w:lang w:eastAsia="zh-CN"/>
              </w:rPr>
              <w:t>表</w:t>
            </w:r>
            <w:r>
              <w:rPr>
                <w:rFonts w:hint="eastAsia" w:ascii="Times New Roman" w:hAnsi="Times New Roman" w:eastAsia="宋体" w:cs="宋体"/>
                <w:b/>
                <w:bCs/>
                <w:lang w:val="en-US" w:eastAsia="zh-CN"/>
              </w:rPr>
              <w:t>3.1-1</w:t>
            </w:r>
            <w:r>
              <w:rPr>
                <w:rFonts w:hint="default" w:ascii="Times New Roman" w:hAnsi="Times New Roman" w:eastAsia="宋体" w:cs="宋体"/>
                <w:b/>
                <w:bCs/>
                <w:lang w:eastAsia="zh-CN"/>
              </w:rPr>
              <w:t>区域空气质量现状评价表</w:t>
            </w:r>
            <w:r>
              <w:rPr>
                <w:rFonts w:hint="eastAsia" w:ascii="Times New Roman" w:hAnsi="Times New Roman" w:eastAsia="宋体" w:cs="宋体"/>
                <w:b/>
                <w:bCs/>
                <w:lang w:val="en-US" w:eastAsia="zh-CN"/>
              </w:rPr>
              <w:t xml:space="preserve">  </w:t>
            </w:r>
            <w:r>
              <w:rPr>
                <w:rFonts w:hint="default" w:ascii="Times New Roman" w:hAnsi="Times New Roman" w:eastAsia="宋体" w:cs="宋体"/>
                <w:b/>
                <w:bCs/>
                <w:lang w:eastAsia="zh-CN"/>
              </w:rPr>
              <w:t>单位：</w:t>
            </w:r>
            <w:r>
              <w:rPr>
                <w:rFonts w:hint="default" w:ascii="Times New Roman" w:hAnsi="Times New Roman" w:eastAsia="宋体" w:cs="宋体"/>
                <w:b/>
                <w:bCs/>
              </w:rPr>
              <w:t>μg/m</w:t>
            </w:r>
            <w:r>
              <w:rPr>
                <w:rFonts w:hint="default" w:ascii="Times New Roman" w:hAnsi="Times New Roman" w:eastAsia="宋体" w:cs="宋体"/>
                <w:b/>
                <w:bCs/>
                <w:vertAlign w:val="superscript"/>
              </w:rPr>
              <w:t>3</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04"/>
              <w:gridCol w:w="2205"/>
              <w:gridCol w:w="1393"/>
              <w:gridCol w:w="1107"/>
              <w:gridCol w:w="1098"/>
              <w:gridCol w:w="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序号</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项目</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平均时间</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标准值</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kern w:val="0"/>
                      <w:sz w:val="21"/>
                      <w:szCs w:val="21"/>
                      <w:lang w:val="en-US" w:eastAsia="zh-CN" w:bidi="ar-SA"/>
                    </w:rPr>
                    <w:t>现状浓度</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占标率%</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1</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SO</w:t>
                  </w:r>
                  <w:r>
                    <w:rPr>
                      <w:rFonts w:hint="default" w:ascii="Times New Roman" w:hAnsi="Times New Roman" w:eastAsia="宋体" w:cs="Times New Roman"/>
                      <w:kern w:val="0"/>
                      <w:sz w:val="21"/>
                      <w:szCs w:val="21"/>
                      <w:vertAlign w:val="subscript"/>
                      <w:lang w:val="en-US" w:eastAsia="zh-CN" w:bidi="ar-SA"/>
                    </w:rPr>
                    <w:t>2</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60</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10</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16.67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2</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NO</w:t>
                  </w:r>
                  <w:r>
                    <w:rPr>
                      <w:rFonts w:hint="default" w:ascii="Times New Roman" w:hAnsi="Times New Roman" w:eastAsia="宋体" w:cs="Times New Roman"/>
                      <w:kern w:val="0"/>
                      <w:sz w:val="21"/>
                      <w:szCs w:val="21"/>
                      <w:vertAlign w:val="subscript"/>
                      <w:lang w:val="en-US" w:eastAsia="zh-CN" w:bidi="ar-SA"/>
                    </w:rPr>
                    <w:t>2</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40</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25</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62.50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3</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PM</w:t>
                  </w:r>
                  <w:r>
                    <w:rPr>
                      <w:rFonts w:hint="default" w:ascii="Times New Roman" w:hAnsi="Times New Roman" w:eastAsia="宋体" w:cs="Times New Roman"/>
                      <w:kern w:val="0"/>
                      <w:sz w:val="21"/>
                      <w:szCs w:val="21"/>
                      <w:vertAlign w:val="subscript"/>
                      <w:lang w:val="en-US" w:eastAsia="zh-CN" w:bidi="ar-SA"/>
                    </w:rPr>
                    <w:t>10</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70</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69</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98.57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4</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PM</w:t>
                  </w:r>
                  <w:r>
                    <w:rPr>
                      <w:rFonts w:hint="default" w:ascii="Times New Roman" w:hAnsi="Times New Roman" w:eastAsia="宋体" w:cs="Times New Roman"/>
                      <w:kern w:val="0"/>
                      <w:sz w:val="21"/>
                      <w:szCs w:val="21"/>
                      <w:vertAlign w:val="subscript"/>
                      <w:lang w:val="en-US" w:eastAsia="zh-CN" w:bidi="ar-SA"/>
                    </w:rPr>
                    <w:t>2.5</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35</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37</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105.71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5</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CO</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95百分位24小时平均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4</w:t>
                  </w:r>
                  <w:r>
                    <w:rPr>
                      <w:rFonts w:hint="eastAsia" w:ascii="Times New Roman" w:hAnsi="宋体" w:eastAsia="宋体" w:cs="Times New Roman"/>
                      <w:kern w:val="0"/>
                      <w:sz w:val="21"/>
                      <w:szCs w:val="21"/>
                      <w:lang w:val="en-US" w:eastAsia="zh-CN" w:bidi="ar-SA"/>
                    </w:rPr>
                    <w:t>000</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900</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22.50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6</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O</w:t>
                  </w:r>
                  <w:r>
                    <w:rPr>
                      <w:rFonts w:hint="default" w:ascii="Times New Roman" w:hAnsi="Times New Roman" w:eastAsia="宋体" w:cs="Times New Roman"/>
                      <w:kern w:val="0"/>
                      <w:sz w:val="21"/>
                      <w:szCs w:val="21"/>
                      <w:vertAlign w:val="subscript"/>
                      <w:lang w:val="en-US" w:eastAsia="zh-CN" w:bidi="ar-SA"/>
                    </w:rPr>
                    <w:t>3</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90百分位8小时平均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160</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88</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55.00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bl>
          <w:p>
            <w:pPr>
              <w:widowControl w:val="0"/>
              <w:adjustRightInd w:val="0"/>
              <w:spacing w:line="360" w:lineRule="auto"/>
              <w:ind w:firstLine="480" w:firstLineChars="200"/>
              <w:jc w:val="left"/>
              <w:textAlignment w:val="baseline"/>
              <w:rPr>
                <w:rFonts w:hint="eastAsia" w:ascii="Times New Roman" w:hAnsi="Times New Roman" w:eastAsia="宋体" w:cs="Times New Roman"/>
                <w:b/>
                <w:bCs/>
                <w:kern w:val="0"/>
                <w:sz w:val="24"/>
                <w:szCs w:val="24"/>
                <w:vertAlign w:val="superscript"/>
                <w:lang w:val="en-US" w:eastAsia="zh-CN" w:bidi="ar-SA"/>
              </w:rPr>
            </w:pPr>
            <w:r>
              <w:rPr>
                <w:rFonts w:hint="default" w:ascii="Times New Roman" w:hAnsi="Times New Roman" w:eastAsia="宋体" w:cs="Times New Roman"/>
                <w:kern w:val="2"/>
                <w:sz w:val="24"/>
                <w:szCs w:val="24"/>
                <w:lang w:val="en-US" w:eastAsia="zh-CN"/>
              </w:rPr>
              <w:t>根据</w:t>
            </w:r>
            <w:r>
              <w:rPr>
                <w:rFonts w:hint="default" w:ascii="Times New Roman" w:hAnsi="Times New Roman" w:eastAsia="宋体" w:cs="Times New Roman"/>
                <w:kern w:val="2"/>
                <w:sz w:val="24"/>
                <w:szCs w:val="24"/>
                <w:lang w:eastAsia="zh-CN"/>
              </w:rPr>
              <w:t>《环境空气质量评价技术规范（试行）》（HJ663</w:t>
            </w:r>
            <w:r>
              <w:rPr>
                <w:rFonts w:hint="default" w:ascii="Times New Roman" w:hAnsi="Times New Roman" w:eastAsia="宋体" w:cs="Times New Roman"/>
                <w:kern w:val="2"/>
                <w:sz w:val="24"/>
                <w:szCs w:val="24"/>
                <w:lang w:val="en-US" w:eastAsia="zh-CN"/>
              </w:rPr>
              <w:t>-2013</w:t>
            </w:r>
            <w:r>
              <w:rPr>
                <w:rFonts w:hint="default" w:ascii="Times New Roman" w:hAnsi="Times New Roman" w:eastAsia="宋体" w:cs="Times New Roman"/>
                <w:kern w:val="2"/>
                <w:sz w:val="24"/>
                <w:szCs w:val="24"/>
                <w:lang w:eastAsia="zh-CN"/>
              </w:rPr>
              <w:t>），按照2013年以来全国环境质量报告书采用的达标评价方法，目前只考虑</w:t>
            </w:r>
            <w:r>
              <w:rPr>
                <w:rFonts w:hint="default" w:ascii="Times New Roman" w:hAnsi="Times New Roman" w:eastAsia="宋体" w:cs="Times New Roman"/>
                <w:kern w:val="0"/>
                <w:sz w:val="24"/>
                <w:szCs w:val="24"/>
              </w:rPr>
              <w:t>SO</w:t>
            </w:r>
            <w:r>
              <w:rPr>
                <w:rFonts w:hint="default" w:ascii="Times New Roman" w:hAnsi="Times New Roman" w:eastAsia="宋体" w:cs="Times New Roman"/>
                <w:kern w:val="0"/>
                <w:sz w:val="24"/>
                <w:szCs w:val="24"/>
                <w:vertAlign w:val="subscript"/>
              </w:rPr>
              <w:t>2</w:t>
            </w:r>
            <w:r>
              <w:rPr>
                <w:rFonts w:hint="default" w:ascii="Times New Roman" w:hAnsi="Times New Roman" w:eastAsia="宋体" w:cs="Times New Roman"/>
                <w:kern w:val="0"/>
                <w:sz w:val="24"/>
                <w:szCs w:val="24"/>
              </w:rPr>
              <w:t>、NO</w:t>
            </w:r>
            <w:r>
              <w:rPr>
                <w:rFonts w:hint="default" w:ascii="Times New Roman" w:hAnsi="Times New Roman" w:eastAsia="宋体" w:cs="Times New Roman"/>
                <w:kern w:val="0"/>
                <w:sz w:val="24"/>
                <w:szCs w:val="24"/>
                <w:vertAlign w:val="subscript"/>
              </w:rPr>
              <w:t>2</w:t>
            </w:r>
            <w:r>
              <w:rPr>
                <w:rFonts w:hint="default" w:ascii="Times New Roman" w:hAnsi="Times New Roman" w:eastAsia="宋体" w:cs="Times New Roman"/>
                <w:kern w:val="0"/>
                <w:sz w:val="24"/>
                <w:szCs w:val="24"/>
              </w:rPr>
              <w:t>、PM</w:t>
            </w:r>
            <w:r>
              <w:rPr>
                <w:rFonts w:hint="default" w:ascii="Times New Roman" w:hAnsi="Times New Roman" w:eastAsia="宋体" w:cs="Times New Roman"/>
                <w:kern w:val="0"/>
                <w:sz w:val="24"/>
                <w:szCs w:val="24"/>
                <w:vertAlign w:val="subscript"/>
              </w:rPr>
              <w:t>10</w:t>
            </w:r>
            <w:r>
              <w:rPr>
                <w:rFonts w:hint="default" w:ascii="Times New Roman" w:hAnsi="Times New Roman" w:eastAsia="宋体" w:cs="Times New Roman"/>
                <w:kern w:val="0"/>
                <w:sz w:val="24"/>
                <w:szCs w:val="24"/>
              </w:rPr>
              <w:t>、PM</w:t>
            </w:r>
            <w:r>
              <w:rPr>
                <w:rFonts w:hint="default" w:ascii="Times New Roman" w:hAnsi="Times New Roman" w:eastAsia="宋体" w:cs="Times New Roman"/>
                <w:kern w:val="0"/>
                <w:sz w:val="24"/>
                <w:szCs w:val="24"/>
                <w:vertAlign w:val="subscript"/>
              </w:rPr>
              <w:t>2.5</w:t>
            </w:r>
            <w:r>
              <w:rPr>
                <w:rFonts w:hint="default" w:ascii="Times New Roman" w:hAnsi="Times New Roman" w:eastAsia="宋体" w:cs="Times New Roman"/>
                <w:kern w:val="2"/>
                <w:sz w:val="24"/>
                <w:szCs w:val="24"/>
                <w:lang w:eastAsia="zh-CN"/>
              </w:rPr>
              <w:t>年平均浓度和CO、O</w:t>
            </w:r>
            <w:r>
              <w:rPr>
                <w:rFonts w:hint="default" w:ascii="Times New Roman" w:hAnsi="Times New Roman" w:eastAsia="宋体" w:cs="Times New Roman"/>
                <w:kern w:val="2"/>
                <w:sz w:val="24"/>
                <w:szCs w:val="24"/>
                <w:vertAlign w:val="subscript"/>
                <w:lang w:eastAsia="zh-CN"/>
              </w:rPr>
              <w:t>3</w:t>
            </w:r>
            <w:r>
              <w:rPr>
                <w:rFonts w:hint="default" w:ascii="Times New Roman" w:hAnsi="Times New Roman" w:eastAsia="宋体" w:cs="Times New Roman"/>
                <w:kern w:val="2"/>
                <w:sz w:val="24"/>
                <w:szCs w:val="24"/>
                <w:lang w:eastAsia="zh-CN"/>
              </w:rPr>
              <w:t>百分位浓度的达标情况。</w:t>
            </w:r>
          </w:p>
          <w:p>
            <w:pPr>
              <w:bidi w:val="0"/>
              <w:spacing w:line="360" w:lineRule="auto"/>
              <w:ind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由评价结果来看，</w:t>
            </w:r>
            <w:r>
              <w:rPr>
                <w:rFonts w:hint="eastAsia" w:ascii="Times New Roman" w:hAnsi="Times New Roman" w:eastAsia="宋体" w:cs="Times New Roman"/>
                <w:kern w:val="2"/>
                <w:sz w:val="24"/>
                <w:szCs w:val="24"/>
                <w:lang w:val="en-US" w:eastAsia="zh-CN" w:bidi="ar-SA"/>
              </w:rPr>
              <w:t>SO</w:t>
            </w:r>
            <w:r>
              <w:rPr>
                <w:rFonts w:hint="eastAsia" w:ascii="Times New Roman" w:hAnsi="Times New Roman" w:eastAsia="宋体" w:cs="Times New Roman"/>
                <w:kern w:val="2"/>
                <w:sz w:val="24"/>
                <w:szCs w:val="24"/>
                <w:vertAlign w:val="subscript"/>
                <w:lang w:val="en-US" w:eastAsia="zh-CN" w:bidi="ar-SA"/>
              </w:rPr>
              <w:t>2</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0"/>
                <w:sz w:val="24"/>
                <w:szCs w:val="24"/>
                <w:lang w:val="en-US" w:eastAsia="zh-CN" w:bidi="ar-SA"/>
              </w:rPr>
              <w:t>NO</w:t>
            </w:r>
            <w:r>
              <w:rPr>
                <w:rFonts w:hint="default" w:ascii="Times New Roman" w:hAnsi="Times New Roman" w:eastAsia="宋体" w:cs="Times New Roman"/>
                <w:kern w:val="0"/>
                <w:sz w:val="24"/>
                <w:szCs w:val="24"/>
                <w:vertAlign w:val="subscript"/>
                <w:lang w:val="en-US" w:eastAsia="zh-CN" w:bidi="ar-SA"/>
              </w:rPr>
              <w:t>2</w:t>
            </w:r>
            <w:r>
              <w:rPr>
                <w:rFonts w:hint="eastAsia" w:ascii="Times New Roman" w:hAnsi="Times New Roman" w:eastAsia="宋体" w:cs="Times New Roman"/>
                <w:kern w:val="0"/>
                <w:sz w:val="21"/>
                <w:szCs w:val="21"/>
                <w:vertAlign w:val="baseline"/>
                <w:lang w:val="en-US" w:eastAsia="zh-CN" w:bidi="ar-SA"/>
              </w:rPr>
              <w:t>、</w:t>
            </w:r>
            <w:r>
              <w:rPr>
                <w:rFonts w:hint="eastAsia" w:ascii="Times New Roman" w:hAnsi="Times New Roman" w:eastAsia="宋体" w:cs="Times New Roman"/>
                <w:kern w:val="2"/>
                <w:sz w:val="24"/>
                <w:szCs w:val="24"/>
                <w:lang w:val="en-US" w:eastAsia="zh-CN" w:bidi="ar-SA"/>
              </w:rPr>
              <w:t>CO、O</w:t>
            </w:r>
            <w:r>
              <w:rPr>
                <w:rFonts w:hint="eastAsia" w:ascii="Times New Roman" w:hAnsi="Times New Roman" w:eastAsia="宋体" w:cs="Times New Roman"/>
                <w:kern w:val="2"/>
                <w:sz w:val="24"/>
                <w:szCs w:val="24"/>
                <w:vertAlign w:val="subscript"/>
                <w:lang w:val="en-US" w:eastAsia="zh-CN" w:bidi="ar-SA"/>
              </w:rPr>
              <w:t>3</w:t>
            </w:r>
            <w:r>
              <w:rPr>
                <w:rFonts w:hint="default" w:ascii="Times New Roman" w:hAnsi="Times New Roman" w:eastAsia="宋体" w:cs="Times New Roman"/>
                <w:kern w:val="2"/>
                <w:sz w:val="24"/>
                <w:szCs w:val="24"/>
              </w:rPr>
              <w:t>平均浓度均优于《环境空气质量标准》（GB3095-2012）中二级标准限值</w:t>
            </w: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bidi="ar-SA"/>
              </w:rPr>
              <w:t>PM</w:t>
            </w:r>
            <w:r>
              <w:rPr>
                <w:rFonts w:hint="eastAsia" w:ascii="Times New Roman" w:hAnsi="Times New Roman" w:eastAsia="宋体" w:cs="Times New Roman"/>
                <w:kern w:val="2"/>
                <w:sz w:val="24"/>
                <w:szCs w:val="24"/>
                <w:vertAlign w:val="subscript"/>
                <w:lang w:val="en-US" w:eastAsia="zh-CN" w:bidi="ar-SA"/>
              </w:rPr>
              <w:t>2.5</w:t>
            </w:r>
            <w:r>
              <w:rPr>
                <w:rFonts w:hint="eastAsia" w:ascii="Times New Roman" w:hAnsi="Times New Roman" w:eastAsia="宋体" w:cs="Times New Roman"/>
                <w:kern w:val="2"/>
                <w:sz w:val="24"/>
                <w:szCs w:val="24"/>
                <w:vertAlign w:val="baseline"/>
                <w:lang w:val="en-US" w:eastAsia="zh-CN" w:bidi="ar-SA"/>
              </w:rPr>
              <w:t>超标，超标原因为：在采暖季受冬季集中采暖烟气影响较大，非采暖季受沙尘影响较大</w:t>
            </w:r>
            <w:r>
              <w:rPr>
                <w:rFonts w:hint="default" w:ascii="Times New Roman" w:hAnsi="Times New Roman" w:eastAsia="宋体" w:cs="Times New Roman"/>
                <w:kern w:val="2"/>
                <w:sz w:val="24"/>
                <w:szCs w:val="24"/>
              </w:rPr>
              <w:t>，项目区为</w:t>
            </w:r>
            <w:r>
              <w:rPr>
                <w:rFonts w:hint="eastAsia" w:ascii="Times New Roman" w:hAnsi="Times New Roman" w:eastAsia="宋体" w:cs="Times New Roman"/>
                <w:kern w:val="2"/>
                <w:sz w:val="24"/>
                <w:szCs w:val="24"/>
                <w:lang w:val="en-US" w:eastAsia="zh-CN"/>
              </w:rPr>
              <w:t>空气质量非</w:t>
            </w:r>
            <w:r>
              <w:rPr>
                <w:rFonts w:hint="default" w:ascii="Times New Roman" w:hAnsi="Times New Roman" w:eastAsia="宋体" w:cs="Times New Roman"/>
                <w:kern w:val="2"/>
                <w:sz w:val="24"/>
                <w:szCs w:val="24"/>
              </w:rPr>
              <w:t>达标区。</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3.2</w:t>
            </w:r>
            <w:r>
              <w:rPr>
                <w:rFonts w:ascii="Times New Roman" w:hAnsi="Times New Roman" w:eastAsia="宋体" w:cs="黑体"/>
                <w:b/>
                <w:sz w:val="28"/>
                <w:szCs w:val="30"/>
                <w:lang w:val="en-US" w:eastAsia="zh-CN" w:bidi="ar-SA"/>
              </w:rPr>
              <w:t>水环境质量现状调查与评价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kern w:val="2"/>
                <w:sz w:val="24"/>
                <w:szCs w:val="24"/>
                <w:lang w:val="en-US" w:eastAsia="zh-CN" w:bidi="ar-SA"/>
              </w:rPr>
            </w:pPr>
            <w:r>
              <w:rPr>
                <w:rFonts w:hint="eastAsia" w:cs="宋体"/>
                <w:lang w:val="en-US" w:eastAsia="zh-CN"/>
              </w:rPr>
              <w:t>本项目无新增生活污水，生产废水经现有工程矿井水处理站处理后</w:t>
            </w:r>
            <w:r>
              <w:rPr>
                <w:rFonts w:hint="eastAsia" w:ascii="Times New Roman" w:hAnsi="Times New Roman" w:cs="Times New Roman"/>
                <w:kern w:val="2"/>
                <w:sz w:val="24"/>
                <w:szCs w:val="24"/>
                <w:lang w:val="en-US" w:eastAsia="zh-CN" w:bidi="ar-SA"/>
              </w:rPr>
              <w:t>满足《煤炭工业污染物排放标准》（GB20426-2006）以及《污水综合排放标准》（GB8978-1996）一级标准后用于井上、井下降尘和矿区绿化，与周边地表水无水力联系。</w:t>
            </w:r>
            <w:r>
              <w:rPr>
                <w:rFonts w:hint="eastAsia" w:cs="Times New Roman"/>
                <w:kern w:val="2"/>
                <w:sz w:val="24"/>
                <w:szCs w:val="24"/>
                <w:lang w:val="en-US" w:eastAsia="zh-CN" w:bidi="ar-SA"/>
              </w:rPr>
              <w:t>东沟河与本项目存在山体阻隔，通过做好防渗工作，本项目对水环境保护目标无影响。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建设项目环境影响报告表编制技术指南（污染影响类）（试行）》，引用与建设项目距离近的有效数据，包括近3年的规划环境影响评价的监测数据，所在流域控制单元内国家、地方控制断面监测数据，生态环境主管部门发布的水环境质量数据或地表水达标情况的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cs="宋体"/>
                <w:color w:val="auto"/>
                <w:lang w:val="en-US" w:eastAsia="zh-CN"/>
              </w:rPr>
              <w:t>本项目引用2020年10月12日</w:t>
            </w:r>
            <w:r>
              <w:rPr>
                <w:rFonts w:hint="eastAsia" w:cs="宋体"/>
                <w:lang w:val="en-US" w:eastAsia="zh-CN"/>
              </w:rPr>
              <w:t>新疆锡水金山环境科技有限公司就“新疆呼图壁县石梯子西沟煤炭有限责任公司封闭式储煤场项目”监测数据，</w:t>
            </w:r>
            <w:r>
              <w:rPr>
                <w:rFonts w:hint="eastAsia" w:ascii="Times New Roman" w:hAnsi="Times New Roman" w:eastAsia="宋体" w:cs="Times New Roman"/>
                <w:b w:val="0"/>
                <w:bCs w:val="0"/>
                <w:kern w:val="2"/>
                <w:sz w:val="24"/>
                <w:szCs w:val="24"/>
                <w:lang w:val="en-US" w:eastAsia="zh-CN" w:bidi="ar-SA"/>
              </w:rPr>
              <w:t>监测点位位于东沟河与西沟河交汇后河段，共1个监测点位，位于项目区北侧</w:t>
            </w:r>
            <w:r>
              <w:rPr>
                <w:rFonts w:hint="eastAsia" w:ascii="Times New Roman" w:hAnsi="Times New Roman" w:cs="Times New Roman"/>
                <w:b w:val="0"/>
                <w:bCs w:val="0"/>
                <w:kern w:val="2"/>
                <w:sz w:val="24"/>
                <w:szCs w:val="24"/>
                <w:lang w:val="en-US" w:eastAsia="zh-CN" w:bidi="ar-SA"/>
              </w:rPr>
              <w:t>1.3k</w:t>
            </w:r>
            <w:r>
              <w:rPr>
                <w:rFonts w:hint="eastAsia" w:ascii="Times New Roman" w:hAnsi="Times New Roman" w:eastAsia="宋体" w:cs="Times New Roman"/>
                <w:b w:val="0"/>
                <w:bCs w:val="0"/>
                <w:kern w:val="2"/>
                <w:sz w:val="24"/>
                <w:szCs w:val="24"/>
                <w:lang w:val="en-US" w:eastAsia="zh-CN" w:bidi="ar-SA"/>
              </w:rPr>
              <w:t>m处，监测项目为：</w:t>
            </w:r>
            <w:r>
              <w:rPr>
                <w:rFonts w:hint="eastAsia" w:ascii="Times New Roman" w:hAnsi="Times New Roman" w:eastAsia="宋体" w:cs="Times New Roman"/>
                <w:b w:val="0"/>
                <w:bCs w:val="0"/>
                <w:color w:val="000000"/>
                <w:kern w:val="2"/>
                <w:sz w:val="24"/>
                <w:szCs w:val="24"/>
                <w:lang w:val="en-US" w:eastAsia="zh-CN" w:bidi="ar-SA"/>
              </w:rPr>
              <w:t>水温、pH、溶解氧、高锰酸盐指数、化学需氧量、五日生化需氧量、氨氮、总磷、总氮、铜、锌、氟化物、硒、砷、汞、镉、铬（六价）、铅、氰化物、挥发酚、石油类、阴离子表面活性剂、硫化物、粪大肠菌群</w:t>
            </w:r>
            <w:r>
              <w:rPr>
                <w:rFonts w:hint="eastAsia" w:ascii="Times New Roman" w:hAnsi="Times New Roman" w:cs="Times New Roman"/>
                <w:b w:val="0"/>
                <w:bCs w:val="0"/>
                <w:color w:val="000000"/>
                <w:kern w:val="2"/>
                <w:sz w:val="24"/>
                <w:szCs w:val="24"/>
                <w:lang w:val="en-US" w:eastAsia="zh-CN" w:bidi="ar-SA"/>
              </w:rPr>
              <w:t>。</w:t>
            </w:r>
          </w:p>
          <w:p>
            <w:pPr>
              <w:keepNext/>
              <w:keepLines/>
              <w:widowControl w:val="0"/>
              <w:spacing w:line="360" w:lineRule="auto"/>
              <w:ind w:firstLine="480" w:firstLineChars="200"/>
              <w:jc w:val="both"/>
              <w:outlineLvl w:val="1"/>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①评价方法</w:t>
            </w:r>
          </w:p>
          <w:p>
            <w:pPr>
              <w:widowControl w:val="0"/>
              <w:spacing w:line="360" w:lineRule="auto"/>
              <w:ind w:firstLine="480" w:firstLineChars="200"/>
              <w:jc w:val="both"/>
              <w:rPr>
                <w:rFonts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lang w:val="en-US" w:eastAsia="zh-CN" w:bidi="ar-SA"/>
              </w:rPr>
              <w:t>本次环评地表水环境质量评价方法采用《环境影响评价技术导则 地表水环境》（HJ2.3-2018）推荐方法-水质指数法进行评价。</w:t>
            </w:r>
          </w:p>
          <w:p>
            <w:pPr>
              <w:widowControl w:val="0"/>
              <w:spacing w:line="360" w:lineRule="auto"/>
              <w:ind w:firstLine="480" w:firstLineChars="200"/>
              <w:jc w:val="both"/>
              <w:rPr>
                <w:rFonts w:hint="default" w:ascii="Times New Roman" w:hAnsi="Times New Roman" w:eastAsia="宋体" w:cs="宋体"/>
                <w:color w:val="auto"/>
                <w:kern w:val="2"/>
                <w:sz w:val="24"/>
                <w:lang w:val="en-US" w:eastAsia="zh-CN" w:bidi="ar-SA"/>
              </w:rPr>
            </w:pPr>
            <w:r>
              <w:rPr>
                <w:rFonts w:hint="eastAsia" w:ascii="Times New Roman" w:hAnsi="Times New Roman" w:eastAsia="宋体" w:cs="宋体"/>
                <w:color w:val="auto"/>
                <w:kern w:val="2"/>
                <w:sz w:val="24"/>
                <w:lang w:val="en-US" w:eastAsia="zh-CN" w:bidi="ar-SA"/>
              </w:rPr>
              <w:t>（1）一般性水质因子的指数计算公式</w:t>
            </w:r>
          </w:p>
          <w:p>
            <w:pPr>
              <w:widowControl w:val="0"/>
              <w:spacing w:line="360" w:lineRule="auto"/>
              <w:ind w:left="0" w:leftChars="0" w:firstLine="0" w:firstLineChars="0"/>
              <w:jc w:val="center"/>
              <w:rPr>
                <w:rFonts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4"/>
                <w:lang w:val="en-US" w:eastAsia="zh-CN" w:bidi="ar-SA"/>
              </w:rPr>
              <w:t>S</w:t>
            </w:r>
            <w:r>
              <w:rPr>
                <w:rFonts w:hint="eastAsia" w:ascii="Times New Roman" w:hAnsi="Times New Roman" w:eastAsia="宋体" w:cs="宋体"/>
                <w:color w:val="auto"/>
                <w:kern w:val="2"/>
                <w:sz w:val="24"/>
                <w:vertAlign w:val="subscript"/>
                <w:lang w:val="en-US" w:eastAsia="zh-CN" w:bidi="ar-SA"/>
              </w:rPr>
              <w:t>i，j</w:t>
            </w:r>
            <w:r>
              <w:rPr>
                <w:rFonts w:hint="eastAsia" w:ascii="Times New Roman" w:hAnsi="Times New Roman" w:eastAsia="宋体" w:cs="宋体"/>
                <w:color w:val="auto"/>
                <w:kern w:val="2"/>
                <w:sz w:val="24"/>
                <w:vertAlign w:val="baseline"/>
                <w:lang w:val="en-US" w:eastAsia="zh-CN" w:bidi="ar-SA"/>
              </w:rPr>
              <w:t>=C</w:t>
            </w:r>
            <w:r>
              <w:rPr>
                <w:rFonts w:hint="eastAsia" w:ascii="Times New Roman" w:hAnsi="Times New Roman" w:eastAsia="宋体" w:cs="宋体"/>
                <w:color w:val="auto"/>
                <w:kern w:val="2"/>
                <w:sz w:val="24"/>
                <w:vertAlign w:val="subscript"/>
                <w:lang w:val="en-US" w:eastAsia="zh-CN" w:bidi="ar-SA"/>
              </w:rPr>
              <w:t>i，j</w:t>
            </w:r>
            <w:r>
              <w:rPr>
                <w:rFonts w:hint="eastAsia" w:ascii="Times New Roman" w:hAnsi="Times New Roman" w:eastAsia="宋体" w:cs="宋体"/>
                <w:color w:val="auto"/>
                <w:kern w:val="2"/>
                <w:sz w:val="24"/>
                <w:vertAlign w:val="baseline"/>
                <w:lang w:val="en-US" w:eastAsia="zh-CN" w:bidi="ar-SA"/>
              </w:rPr>
              <w:t>/C</w:t>
            </w:r>
            <w:r>
              <w:rPr>
                <w:rFonts w:hint="eastAsia" w:ascii="Times New Roman" w:hAnsi="Times New Roman" w:eastAsia="宋体" w:cs="宋体"/>
                <w:color w:val="auto"/>
                <w:kern w:val="2"/>
                <w:sz w:val="24"/>
                <w:vertAlign w:val="subscript"/>
                <w:lang w:val="en-US" w:eastAsia="zh-CN" w:bidi="ar-SA"/>
              </w:rPr>
              <w:t>si</w:t>
            </w:r>
          </w:p>
          <w:p>
            <w:pPr>
              <w:widowControl w:val="0"/>
              <w:spacing w:line="360" w:lineRule="auto"/>
              <w:ind w:firstLine="480" w:firstLineChars="2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式中：S</w:t>
            </w:r>
            <w:r>
              <w:rPr>
                <w:rFonts w:ascii="Times New Roman" w:hAnsi="Times New Roman" w:eastAsia="宋体" w:cs="华文仿宋"/>
                <w:color w:val="auto"/>
                <w:kern w:val="2"/>
                <w:sz w:val="24"/>
                <w:szCs w:val="24"/>
                <w:vertAlign w:val="subscript"/>
                <w:lang w:val="en-US" w:eastAsia="zh-CN" w:bidi="ar-SA"/>
              </w:rPr>
              <w:t>i</w:t>
            </w:r>
            <w:r>
              <w:rPr>
                <w:rFonts w:hint="eastAsia" w:ascii="Times New Roman" w:hAnsi="Times New Roman" w:eastAsia="宋体" w:cs="华文仿宋"/>
                <w:color w:val="auto"/>
                <w:kern w:val="2"/>
                <w:sz w:val="24"/>
                <w:szCs w:val="24"/>
                <w:vertAlign w:val="subscript"/>
                <w:lang w:val="en-US" w:eastAsia="zh-CN" w:bidi="ar-SA"/>
              </w:rPr>
              <w:t>，</w:t>
            </w:r>
            <w:r>
              <w:rPr>
                <w:rFonts w:ascii="Times New Roman" w:hAnsi="Times New Roman" w:eastAsia="宋体" w:cs="华文仿宋"/>
                <w:color w:val="auto"/>
                <w:kern w:val="2"/>
                <w:sz w:val="24"/>
                <w:szCs w:val="24"/>
                <w:vertAlign w:val="subscript"/>
                <w:lang w:val="en-US" w:eastAsia="zh-CN" w:bidi="ar-SA"/>
              </w:rPr>
              <w:t>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评价因子i的水质指数，大于1表明该水质因子超标</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C</w:t>
            </w:r>
            <w:r>
              <w:rPr>
                <w:rFonts w:ascii="Times New Roman" w:hAnsi="Times New Roman" w:eastAsia="宋体" w:cs="华文仿宋"/>
                <w:color w:val="auto"/>
                <w:kern w:val="2"/>
                <w:sz w:val="24"/>
                <w:szCs w:val="24"/>
                <w:vertAlign w:val="subscript"/>
                <w:lang w:val="en-US" w:eastAsia="zh-CN" w:bidi="ar-SA"/>
              </w:rPr>
              <w:t>i</w:t>
            </w:r>
            <w:r>
              <w:rPr>
                <w:rFonts w:hint="eastAsia" w:ascii="Times New Roman" w:hAnsi="Times New Roman" w:eastAsia="宋体" w:cs="华文仿宋"/>
                <w:color w:val="auto"/>
                <w:kern w:val="2"/>
                <w:sz w:val="24"/>
                <w:szCs w:val="24"/>
                <w:vertAlign w:val="subscript"/>
                <w:lang w:val="en-US" w:eastAsia="zh-CN" w:bidi="ar-SA"/>
              </w:rPr>
              <w:t>，</w:t>
            </w:r>
            <w:r>
              <w:rPr>
                <w:rFonts w:ascii="Times New Roman" w:hAnsi="Times New Roman" w:eastAsia="宋体" w:cs="华文仿宋"/>
                <w:color w:val="auto"/>
                <w:kern w:val="2"/>
                <w:sz w:val="24"/>
                <w:szCs w:val="24"/>
                <w:vertAlign w:val="subscript"/>
                <w:lang w:val="en-US" w:eastAsia="zh-CN" w:bidi="ar-SA"/>
              </w:rPr>
              <w:t>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评价因子i在j点的实测统计代表值，mg/L</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C</w:t>
            </w:r>
            <w:r>
              <w:rPr>
                <w:rFonts w:ascii="Times New Roman" w:hAnsi="Times New Roman" w:eastAsia="宋体" w:cs="华文仿宋"/>
                <w:color w:val="auto"/>
                <w:kern w:val="2"/>
                <w:sz w:val="24"/>
                <w:szCs w:val="24"/>
                <w:vertAlign w:val="subscript"/>
                <w:lang w:val="en-US" w:eastAsia="zh-CN" w:bidi="ar-SA"/>
              </w:rPr>
              <w:t>si</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评价因子i的水质评价标准限值，mg/L</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480" w:firstLineChars="200"/>
              <w:jc w:val="both"/>
              <w:rPr>
                <w:rFonts w:hint="default"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lang w:val="en-US" w:eastAsia="zh-CN" w:bidi="ar-SA"/>
              </w:rPr>
              <w:t>（2）溶解氧（DO）的标准指数计算公式</w:t>
            </w:r>
          </w:p>
          <w:p>
            <w:pPr>
              <w:widowControl w:val="0"/>
              <w:spacing w:line="360" w:lineRule="auto"/>
              <w:ind w:firstLine="2640" w:firstLineChars="1100"/>
              <w:jc w:val="both"/>
              <w:rPr>
                <w:rFonts w:hint="default" w:ascii="Times New Roman" w:hAnsi="Times New Roman" w:eastAsia="宋体" w:cs="华文仿宋"/>
                <w:color w:val="auto"/>
                <w:kern w:val="2"/>
                <w:sz w:val="24"/>
                <w:szCs w:val="24"/>
                <w:vertAlign w:val="baseline"/>
                <w:lang w:val="en-US" w:eastAsia="zh-CN" w:bidi="ar-SA"/>
              </w:rPr>
            </w:pPr>
            <w:r>
              <w:rPr>
                <w:rFonts w:hint="eastAsia" w:ascii="Times New Roman" w:hAnsi="Times New Roman" w:eastAsia="宋体" w:cs="华文仿宋"/>
                <w:color w:val="auto"/>
                <w:kern w:val="2"/>
                <w:sz w:val="24"/>
                <w:szCs w:val="24"/>
                <w:lang w:val="en-US" w:eastAsia="zh-CN" w:bidi="ar-SA"/>
              </w:rPr>
              <w:t>S</w:t>
            </w:r>
            <w:r>
              <w:rPr>
                <w:rFonts w:hint="eastAsia" w:ascii="Times New Roman" w:hAnsi="Times New Roman" w:eastAsia="宋体" w:cs="华文仿宋"/>
                <w:color w:val="auto"/>
                <w:kern w:val="2"/>
                <w:sz w:val="24"/>
                <w:szCs w:val="24"/>
                <w:vertAlign w:val="subscript"/>
                <w:lang w:val="en-US" w:eastAsia="zh-CN" w:bidi="ar-SA"/>
              </w:rPr>
              <w:t>DO，j</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s</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j</w:t>
            </w:r>
            <w:r>
              <w:rPr>
                <w:rFonts w:hint="eastAsia" w:ascii="Times New Roman" w:hAnsi="Times New Roman" w:eastAsia="宋体" w:cs="华文仿宋"/>
                <w:color w:val="auto"/>
                <w:kern w:val="2"/>
                <w:sz w:val="24"/>
                <w:szCs w:val="24"/>
                <w:vertAlign w:val="baseline"/>
                <w:lang w:val="en-US" w:eastAsia="zh-CN" w:bidi="ar-SA"/>
              </w:rPr>
              <w:t xml:space="preserve">                DO</w:t>
            </w:r>
            <w:r>
              <w:rPr>
                <w:rFonts w:hint="eastAsia" w:ascii="Times New Roman" w:hAnsi="Times New Roman" w:eastAsia="宋体" w:cs="华文仿宋"/>
                <w:color w:val="auto"/>
                <w:kern w:val="2"/>
                <w:sz w:val="24"/>
                <w:szCs w:val="24"/>
                <w:vertAlign w:val="subscript"/>
                <w:lang w:val="en-US" w:eastAsia="zh-CN" w:bidi="ar-SA"/>
              </w:rPr>
              <w:t>j</w:t>
            </w:r>
            <w:r>
              <w:rPr>
                <w:rFonts w:hint="eastAsia" w:ascii="Times New Roman" w:hAnsi="Times New Roman" w:eastAsia="宋体" w:cs="宋体"/>
                <w:color w:val="auto"/>
                <w:kern w:val="2"/>
                <w:sz w:val="24"/>
                <w:szCs w:val="24"/>
                <w:vertAlign w:val="baseline"/>
                <w:lang w:val="en-US" w:eastAsia="zh-CN" w:bidi="ar-SA"/>
              </w:rPr>
              <w:t>≤</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f</w:t>
            </w:r>
          </w:p>
          <w:p>
            <w:pPr>
              <w:widowControl w:val="0"/>
              <w:spacing w:line="360" w:lineRule="auto"/>
              <w:ind w:firstLine="2640" w:firstLineChars="1100"/>
              <w:jc w:val="both"/>
              <w:rPr>
                <w:rFonts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lang w:val="en-US" w:eastAsia="zh-CN" w:bidi="ar-SA"/>
              </w:rPr>
              <w:t>S</w:t>
            </w:r>
            <w:r>
              <w:rPr>
                <w:rFonts w:hint="eastAsia" w:ascii="Times New Roman" w:hAnsi="Times New Roman" w:eastAsia="宋体" w:cs="华文仿宋"/>
                <w:color w:val="auto"/>
                <w:kern w:val="2"/>
                <w:sz w:val="24"/>
                <w:szCs w:val="24"/>
                <w:vertAlign w:val="subscript"/>
                <w:lang w:val="en-US" w:eastAsia="zh-CN" w:bidi="ar-SA"/>
              </w:rPr>
              <w:t>DO，j</w:t>
            </w:r>
            <w:r>
              <w:rPr>
                <w:rFonts w:hint="eastAsia" w:ascii="Times New Roman" w:hAnsi="Times New Roman" w:eastAsia="宋体" w:cs="华文仿宋"/>
                <w:color w:val="auto"/>
                <w:kern w:val="2"/>
                <w:sz w:val="24"/>
                <w:szCs w:val="24"/>
                <w:vertAlign w:val="baseline"/>
                <w:lang w:val="en-US" w:eastAsia="zh-CN" w:bidi="ar-SA"/>
              </w:rPr>
              <w:t>=</w:t>
            </w:r>
            <w:r>
              <w:rPr>
                <w:rFonts w:hint="default" w:ascii="Times New Roman" w:hAnsi="Times New Roman" w:eastAsia="宋体" w:cs="Times New Roman"/>
                <w:color w:val="auto"/>
                <w:kern w:val="2"/>
                <w:sz w:val="24"/>
                <w:szCs w:val="24"/>
                <w:vertAlign w:val="baseline"/>
                <w:lang w:val="en-US" w:eastAsia="zh-CN" w:bidi="ar-SA"/>
              </w:rPr>
              <w:t>|</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f</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j</w:t>
            </w:r>
            <w:r>
              <w:rPr>
                <w:rFonts w:hint="default" w:ascii="Times New Roman" w:hAnsi="Times New Roman" w:eastAsia="宋体" w:cs="Times New Roman"/>
                <w:color w:val="auto"/>
                <w:kern w:val="2"/>
                <w:sz w:val="24"/>
                <w:szCs w:val="24"/>
                <w:vertAlign w:val="baseline"/>
                <w:lang w:val="en-US" w:eastAsia="zh-CN" w:bidi="ar-SA"/>
              </w:rPr>
              <w:t>|</w:t>
            </w:r>
            <w:r>
              <w:rPr>
                <w:rFonts w:hint="eastAsia" w:ascii="Times New Roman" w:hAnsi="Times New Roman" w:eastAsia="宋体" w:cs="Times New Roman"/>
                <w:color w:val="auto"/>
                <w:kern w:val="2"/>
                <w:sz w:val="24"/>
                <w:szCs w:val="24"/>
                <w:vertAlign w:val="baseline"/>
                <w:lang w:val="en-US" w:eastAsia="zh-CN" w:bidi="ar-SA"/>
              </w:rPr>
              <w:t>/DO</w:t>
            </w:r>
            <w:r>
              <w:rPr>
                <w:rFonts w:hint="eastAsia" w:ascii="Times New Roman" w:hAnsi="Times New Roman" w:eastAsia="宋体" w:cs="Times New Roman"/>
                <w:color w:val="auto"/>
                <w:kern w:val="2"/>
                <w:sz w:val="24"/>
                <w:szCs w:val="24"/>
                <w:vertAlign w:val="subscript"/>
                <w:lang w:val="en-US" w:eastAsia="zh-CN" w:bidi="ar-SA"/>
              </w:rPr>
              <w:t>f</w:t>
            </w:r>
            <w:r>
              <w:rPr>
                <w:rFonts w:hint="eastAsia" w:ascii="Times New Roman" w:hAnsi="Times New Roman" w:eastAsia="宋体" w:cs="Times New Roman"/>
                <w:color w:val="auto"/>
                <w:kern w:val="2"/>
                <w:sz w:val="24"/>
                <w:szCs w:val="24"/>
                <w:vertAlign w:val="baseline"/>
                <w:lang w:val="en-US" w:eastAsia="zh-CN" w:bidi="ar-SA"/>
              </w:rPr>
              <w:t>-DO</w:t>
            </w:r>
            <w:r>
              <w:rPr>
                <w:rFonts w:hint="eastAsia" w:ascii="Times New Roman" w:hAnsi="Times New Roman" w:eastAsia="宋体" w:cs="Times New Roman"/>
                <w:color w:val="auto"/>
                <w:kern w:val="2"/>
                <w:sz w:val="24"/>
                <w:szCs w:val="24"/>
                <w:vertAlign w:val="subscript"/>
                <w:lang w:val="en-US" w:eastAsia="zh-CN" w:bidi="ar-SA"/>
              </w:rPr>
              <w:t>s</w:t>
            </w:r>
            <w:r>
              <w:rPr>
                <w:rFonts w:hint="eastAsia" w:ascii="Times New Roman" w:hAnsi="Times New Roman" w:eastAsia="宋体" w:cs="华文仿宋"/>
                <w:color w:val="auto"/>
                <w:kern w:val="2"/>
                <w:sz w:val="24"/>
                <w:szCs w:val="24"/>
                <w:vertAlign w:val="baseline"/>
                <w:lang w:val="en-US" w:eastAsia="zh-CN" w:bidi="ar-SA"/>
              </w:rPr>
              <w:t xml:space="preserve">       DO</w:t>
            </w:r>
            <w:r>
              <w:rPr>
                <w:rFonts w:hint="eastAsia" w:ascii="Times New Roman" w:hAnsi="Times New Roman" w:eastAsia="宋体" w:cs="华文仿宋"/>
                <w:color w:val="auto"/>
                <w:kern w:val="2"/>
                <w:sz w:val="24"/>
                <w:szCs w:val="24"/>
                <w:vertAlign w:val="subscript"/>
                <w:lang w:val="en-US" w:eastAsia="zh-CN" w:bidi="ar-SA"/>
              </w:rPr>
              <w:t>j</w:t>
            </w:r>
            <w:r>
              <w:rPr>
                <w:rFonts w:hint="eastAsia" w:ascii="Times New Roman" w:hAnsi="Times New Roman" w:eastAsia="宋体" w:cs="宋体"/>
                <w:color w:val="auto"/>
                <w:kern w:val="2"/>
                <w:sz w:val="24"/>
                <w:szCs w:val="24"/>
                <w:vertAlign w:val="baseline"/>
                <w:lang w:val="en-US" w:eastAsia="zh-CN" w:bidi="ar-SA"/>
              </w:rPr>
              <w:t>＞</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f</w:t>
            </w:r>
          </w:p>
          <w:p>
            <w:pPr>
              <w:widowControl w:val="0"/>
              <w:spacing w:line="360" w:lineRule="auto"/>
              <w:ind w:firstLine="480" w:firstLineChars="2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式中：</w:t>
            </w:r>
            <w:r>
              <w:rPr>
                <w:rFonts w:hint="eastAsia" w:ascii="Times New Roman" w:hAnsi="Times New Roman" w:eastAsia="宋体" w:cs="华文仿宋"/>
                <w:color w:val="auto"/>
                <w:kern w:val="2"/>
                <w:sz w:val="24"/>
                <w:szCs w:val="24"/>
                <w:lang w:val="en-US" w:eastAsia="zh-CN" w:bidi="ar-SA"/>
              </w:rPr>
              <w:t>S</w:t>
            </w:r>
            <w:r>
              <w:rPr>
                <w:rFonts w:hint="eastAsia" w:ascii="Times New Roman" w:hAnsi="Times New Roman" w:eastAsia="宋体" w:cs="华文仿宋"/>
                <w:color w:val="auto"/>
                <w:kern w:val="2"/>
                <w:sz w:val="24"/>
                <w:szCs w:val="24"/>
                <w:vertAlign w:val="subscript"/>
                <w:lang w:val="en-US" w:eastAsia="zh-CN" w:bidi="ar-SA"/>
              </w:rPr>
              <w:t>DO，j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溶解氧的标准指数，大于1表明该水质因子超标</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溶解氧在j点的实测统计代表值，mg/L</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hint="eastAsia" w:ascii="Times New Roman" w:hAnsi="Times New Roman" w:eastAsia="宋体" w:cs="华文仿宋"/>
                <w:color w:val="auto"/>
                <w:kern w:val="2"/>
                <w:sz w:val="24"/>
                <w:szCs w:val="24"/>
                <w:lang w:val="en-US" w:eastAsia="zh-CN" w:bidi="ar-SA"/>
              </w:rPr>
            </w:pPr>
            <w:r>
              <w:rPr>
                <w:rFonts w:hint="eastAsia" w:ascii="Times New Roman" w:hAnsi="Times New Roman" w:eastAsia="宋体" w:cs="Times New Roman"/>
                <w:color w:val="auto"/>
                <w:kern w:val="2"/>
                <w:sz w:val="24"/>
                <w:szCs w:val="24"/>
                <w:vertAlign w:val="baseline"/>
                <w:lang w:val="en-US" w:eastAsia="zh-CN" w:bidi="ar-SA"/>
              </w:rPr>
              <w:t>DO</w:t>
            </w:r>
            <w:r>
              <w:rPr>
                <w:rFonts w:hint="eastAsia" w:ascii="Times New Roman" w:hAnsi="Times New Roman" w:eastAsia="宋体" w:cs="Times New Roman"/>
                <w:color w:val="auto"/>
                <w:kern w:val="2"/>
                <w:sz w:val="24"/>
                <w:szCs w:val="24"/>
                <w:vertAlign w:val="subscript"/>
                <w:lang w:val="en-US" w:eastAsia="zh-CN" w:bidi="ar-SA"/>
              </w:rPr>
              <w:t>s</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溶解氧的水质评价标准限值，mg/L；</w:t>
            </w:r>
          </w:p>
          <w:p>
            <w:pPr>
              <w:widowControl w:val="0"/>
              <w:spacing w:line="360" w:lineRule="auto"/>
              <w:ind w:firstLine="1200" w:firstLineChars="500"/>
              <w:jc w:val="both"/>
              <w:rPr>
                <w:rFonts w:hint="eastAsia"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f</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饱和溶解氧浓度，mg/L；</w:t>
            </w:r>
          </w:p>
          <w:p>
            <w:pPr>
              <w:widowControl w:val="0"/>
              <w:spacing w:line="360" w:lineRule="auto"/>
              <w:ind w:firstLine="480" w:firstLineChars="200"/>
              <w:jc w:val="both"/>
              <w:rPr>
                <w:rFonts w:hint="eastAsia"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lang w:val="en-US" w:eastAsia="zh-CN" w:bidi="ar-SA"/>
              </w:rPr>
              <w:t>（3）</w:t>
            </w:r>
            <w:r>
              <w:rPr>
                <w:rFonts w:ascii="Times New Roman" w:hAnsi="Times New Roman" w:eastAsia="宋体" w:cs="华文仿宋"/>
                <w:color w:val="auto"/>
                <w:kern w:val="2"/>
                <w:sz w:val="24"/>
                <w:szCs w:val="24"/>
                <w:lang w:val="en-US" w:eastAsia="zh-CN" w:bidi="ar-SA"/>
              </w:rPr>
              <w:t>pH</w:t>
            </w:r>
            <w:r>
              <w:rPr>
                <w:rFonts w:hint="eastAsia" w:ascii="Times New Roman" w:hAnsi="Times New Roman" w:eastAsia="宋体" w:cs="华文仿宋"/>
                <w:color w:val="auto"/>
                <w:kern w:val="2"/>
                <w:sz w:val="24"/>
                <w:szCs w:val="24"/>
                <w:lang w:val="en-US" w:eastAsia="zh-CN" w:bidi="ar-SA"/>
              </w:rPr>
              <w:t>值</w:t>
            </w:r>
            <w:r>
              <w:rPr>
                <w:rFonts w:ascii="Times New Roman" w:hAnsi="Times New Roman" w:eastAsia="宋体" w:cs="华文仿宋"/>
                <w:color w:val="auto"/>
                <w:kern w:val="2"/>
                <w:sz w:val="24"/>
                <w:szCs w:val="24"/>
                <w:lang w:val="en-US" w:eastAsia="zh-CN" w:bidi="ar-SA"/>
              </w:rPr>
              <w:t>的指数</w:t>
            </w:r>
            <w:r>
              <w:rPr>
                <w:rFonts w:hint="eastAsia" w:ascii="Times New Roman" w:hAnsi="Times New Roman" w:eastAsia="宋体" w:cs="华文仿宋"/>
                <w:color w:val="auto"/>
                <w:kern w:val="2"/>
                <w:sz w:val="24"/>
                <w:szCs w:val="24"/>
                <w:lang w:val="en-US" w:eastAsia="zh-CN" w:bidi="ar-SA"/>
              </w:rPr>
              <w:t>计算公式</w:t>
            </w:r>
          </w:p>
          <w:p>
            <w:pPr>
              <w:widowControl w:val="0"/>
              <w:spacing w:line="360" w:lineRule="auto"/>
              <w:ind w:firstLine="2310" w:firstLineChars="1100"/>
              <w:jc w:val="both"/>
              <w:rPr>
                <w:rFonts w:ascii="Times New Roman" w:hAnsi="Times New Roman" w:eastAsia="宋体" w:cs="宋体"/>
                <w:color w:val="auto"/>
                <w:kern w:val="2"/>
                <w:sz w:val="24"/>
                <w:lang w:val="en-US" w:eastAsia="zh-CN" w:bidi="ar-SA"/>
              </w:rPr>
            </w:pPr>
            <w:r>
              <w:rPr>
                <w:rFonts w:ascii="Times New Roman" w:hAnsi="Times New Roman" w:eastAsia="宋体" w:cs="宋体"/>
                <w:color w:val="auto"/>
                <w:kern w:val="2"/>
                <w:sz w:val="21"/>
                <w:szCs w:val="21"/>
                <w:lang w:val="en-US" w:eastAsia="zh-CN" w:bidi="ar-SA"/>
              </w:rPr>
              <w:drawing>
                <wp:inline distT="0" distB="0" distL="0" distR="0">
                  <wp:extent cx="1190625" cy="447675"/>
                  <wp:effectExtent l="0" t="0" r="0" b="889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0625" cy="447675"/>
                          </a:xfrm>
                          <a:prstGeom prst="rect">
                            <a:avLst/>
                          </a:prstGeom>
                          <a:noFill/>
                          <a:ln>
                            <a:noFill/>
                          </a:ln>
                        </pic:spPr>
                      </pic:pic>
                    </a:graphicData>
                  </a:graphic>
                </wp:inline>
              </w:drawing>
            </w:r>
            <w:r>
              <w:rPr>
                <w:rFonts w:ascii="Times New Roman" w:hAnsi="Times New Roman" w:eastAsia="宋体" w:cs="宋体"/>
                <w:color w:val="auto"/>
                <w:kern w:val="2"/>
                <w:sz w:val="24"/>
                <w:lang w:val="en-US" w:eastAsia="zh-CN" w:bidi="ar-SA"/>
              </w:rPr>
              <w:t xml:space="preserve">    </w:t>
            </w:r>
            <w:r>
              <w:rPr>
                <w:rFonts w:ascii="Times New Roman" w:hAnsi="Times New Roman" w:eastAsia="宋体" w:cs="宋体"/>
                <w:color w:val="auto"/>
                <w:kern w:val="2"/>
                <w:sz w:val="21"/>
                <w:szCs w:val="21"/>
                <w:lang w:val="en-US" w:eastAsia="zh-CN" w:bidi="ar-SA"/>
              </w:rPr>
              <w:drawing>
                <wp:inline distT="0" distB="0" distL="0" distR="0">
                  <wp:extent cx="647700" cy="200025"/>
                  <wp:effectExtent l="0" t="0" r="0" b="762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widowControl w:val="0"/>
              <w:spacing w:line="360" w:lineRule="auto"/>
              <w:ind w:firstLine="2310" w:firstLineChars="1100"/>
              <w:jc w:val="both"/>
              <w:rPr>
                <w:rFonts w:ascii="Times New Roman" w:hAnsi="Times New Roman" w:eastAsia="宋体" w:cs="宋体"/>
                <w:color w:val="auto"/>
                <w:kern w:val="2"/>
                <w:sz w:val="24"/>
                <w:lang w:val="en-US" w:eastAsia="zh-CN" w:bidi="ar-SA"/>
              </w:rPr>
            </w:pPr>
            <w:r>
              <w:rPr>
                <w:rFonts w:ascii="Times New Roman" w:hAnsi="Times New Roman" w:eastAsia="宋体" w:cs="宋体"/>
                <w:color w:val="auto"/>
                <w:kern w:val="2"/>
                <w:sz w:val="21"/>
                <w:szCs w:val="21"/>
                <w:lang w:val="en-US" w:eastAsia="zh-CN" w:bidi="ar-SA"/>
              </w:rPr>
              <w:drawing>
                <wp:inline distT="0" distB="0" distL="0" distR="0">
                  <wp:extent cx="1209675" cy="457200"/>
                  <wp:effectExtent l="0" t="0" r="9525" b="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09675" cy="457200"/>
                          </a:xfrm>
                          <a:prstGeom prst="rect">
                            <a:avLst/>
                          </a:prstGeom>
                          <a:noFill/>
                          <a:ln>
                            <a:noFill/>
                          </a:ln>
                        </pic:spPr>
                      </pic:pic>
                    </a:graphicData>
                  </a:graphic>
                </wp:inline>
              </w:drawing>
            </w:r>
            <w:r>
              <w:rPr>
                <w:rFonts w:ascii="Times New Roman" w:hAnsi="Times New Roman" w:eastAsia="宋体" w:cs="宋体"/>
                <w:color w:val="auto"/>
                <w:kern w:val="2"/>
                <w:sz w:val="24"/>
                <w:lang w:val="en-US" w:eastAsia="zh-CN" w:bidi="ar-SA"/>
              </w:rPr>
              <w:t xml:space="preserve">   </w:t>
            </w:r>
            <w:r>
              <w:rPr>
                <w:rFonts w:ascii="Times New Roman" w:hAnsi="Times New Roman" w:eastAsia="宋体" w:cs="宋体"/>
                <w:color w:val="auto"/>
                <w:kern w:val="2"/>
                <w:sz w:val="21"/>
                <w:szCs w:val="21"/>
                <w:lang w:val="en-US" w:eastAsia="zh-CN" w:bidi="ar-SA"/>
              </w:rPr>
              <w:drawing>
                <wp:inline distT="0" distB="0" distL="0" distR="0">
                  <wp:extent cx="685800" cy="238125"/>
                  <wp:effectExtent l="0" t="0" r="0" b="8255"/>
                  <wp:docPr id="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85800" cy="238125"/>
                          </a:xfrm>
                          <a:prstGeom prst="rect">
                            <a:avLst/>
                          </a:prstGeom>
                          <a:noFill/>
                          <a:ln>
                            <a:noFill/>
                          </a:ln>
                        </pic:spPr>
                      </pic:pic>
                    </a:graphicData>
                  </a:graphic>
                </wp:inline>
              </w:drawing>
            </w:r>
          </w:p>
          <w:p>
            <w:pPr>
              <w:widowControl w:val="0"/>
              <w:spacing w:line="360" w:lineRule="auto"/>
              <w:ind w:firstLine="480" w:firstLineChars="200"/>
              <w:jc w:val="both"/>
              <w:rPr>
                <w:rFonts w:hint="eastAsia"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式中：</w:t>
            </w:r>
            <w:r>
              <w:rPr>
                <w:rFonts w:hint="eastAsia" w:ascii="Times New Roman" w:hAnsi="Times New Roman" w:eastAsia="宋体" w:cs="华文仿宋"/>
                <w:color w:val="auto"/>
                <w:kern w:val="2"/>
                <w:sz w:val="24"/>
                <w:szCs w:val="24"/>
                <w:lang w:val="en-US" w:eastAsia="zh-CN" w:bidi="ar-SA"/>
              </w:rPr>
              <w:t>S</w:t>
            </w:r>
            <w:r>
              <w:rPr>
                <w:rFonts w:hint="eastAsia" w:ascii="Times New Roman" w:hAnsi="Times New Roman" w:eastAsia="宋体" w:cs="华文仿宋"/>
                <w:color w:val="auto"/>
                <w:kern w:val="2"/>
                <w:sz w:val="24"/>
                <w:szCs w:val="24"/>
                <w:vertAlign w:val="subscript"/>
                <w:lang w:val="en-US" w:eastAsia="zh-CN" w:bidi="ar-SA"/>
              </w:rPr>
              <w:t>pH，j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pH值的指数，大于1表明该水质因子超标；</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pH</w:t>
            </w:r>
            <w:r>
              <w:rPr>
                <w:rFonts w:ascii="Times New Roman" w:hAnsi="Times New Roman" w:eastAsia="宋体" w:cs="华文仿宋"/>
                <w:color w:val="auto"/>
                <w:kern w:val="2"/>
                <w:sz w:val="24"/>
                <w:szCs w:val="24"/>
                <w:vertAlign w:val="subscript"/>
                <w:lang w:val="en-US" w:eastAsia="zh-CN" w:bidi="ar-SA"/>
              </w:rPr>
              <w:t>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pH值实测统计代表值</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pH</w:t>
            </w:r>
            <w:r>
              <w:rPr>
                <w:rFonts w:ascii="Times New Roman" w:hAnsi="Times New Roman" w:eastAsia="宋体" w:cs="华文仿宋"/>
                <w:color w:val="auto"/>
                <w:kern w:val="2"/>
                <w:sz w:val="24"/>
                <w:szCs w:val="24"/>
                <w:vertAlign w:val="subscript"/>
                <w:lang w:val="en-US" w:eastAsia="zh-CN" w:bidi="ar-SA"/>
              </w:rPr>
              <w:t>sd</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评价标准中pH值的下限值</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pH</w:t>
            </w:r>
            <w:r>
              <w:rPr>
                <w:rFonts w:ascii="Times New Roman" w:hAnsi="Times New Roman" w:eastAsia="宋体" w:cs="华文仿宋"/>
                <w:color w:val="auto"/>
                <w:kern w:val="2"/>
                <w:sz w:val="24"/>
                <w:szCs w:val="24"/>
                <w:vertAlign w:val="subscript"/>
                <w:lang w:val="en-US" w:eastAsia="zh-CN" w:bidi="ar-SA"/>
              </w:rPr>
              <w:t>su</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评价标准中pH值的上限值</w:t>
            </w:r>
            <w:r>
              <w:rPr>
                <w:rFonts w:ascii="Times New Roman" w:hAnsi="Times New Roman" w:eastAsia="宋体" w:cs="华文仿宋"/>
                <w:color w:val="auto"/>
                <w:kern w:val="2"/>
                <w:sz w:val="24"/>
                <w:szCs w:val="24"/>
                <w:lang w:val="en-US" w:eastAsia="zh-CN" w:bidi="ar-SA"/>
              </w:rPr>
              <w:t>。</w:t>
            </w:r>
          </w:p>
          <w:p>
            <w:pPr>
              <w:keepNext/>
              <w:keepLines/>
              <w:widowControl w:val="0"/>
              <w:spacing w:line="360" w:lineRule="auto"/>
              <w:ind w:firstLine="480" w:firstLineChars="200"/>
              <w:jc w:val="both"/>
              <w:outlineLvl w:val="1"/>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②监测结果及评价</w:t>
            </w:r>
          </w:p>
          <w:p>
            <w:pPr>
              <w:keepNext/>
              <w:keepLines/>
              <w:widowControl w:val="0"/>
              <w:spacing w:line="360" w:lineRule="auto"/>
              <w:ind w:firstLine="480" w:firstLineChars="200"/>
              <w:jc w:val="both"/>
              <w:outlineLvl w:val="1"/>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本项目区周边西沟河、东沟河地表水监测结果见表3.2-1。</w:t>
            </w:r>
          </w:p>
          <w:p>
            <w:pPr>
              <w:widowControl w:val="0"/>
              <w:overflowPunct w:val="0"/>
              <w:snapToGrid w:val="0"/>
              <w:spacing w:line="360" w:lineRule="auto"/>
              <w:ind w:firstLine="482" w:firstLineChars="200"/>
              <w:jc w:val="center"/>
              <w:rPr>
                <w:rFonts w:ascii="Times New Roman" w:hAnsi="Times New Roman" w:eastAsia="宋体" w:cs="Times New Roman"/>
                <w:b/>
                <w:color w:val="auto"/>
                <w:kern w:val="2"/>
                <w:sz w:val="24"/>
                <w:szCs w:val="24"/>
                <w:lang w:val="en-US" w:eastAsia="zh-CN" w:bidi="ar-SA"/>
              </w:rPr>
            </w:pPr>
            <w:r>
              <w:rPr>
                <w:rFonts w:ascii="Times New Roman" w:hAnsi="Times New Roman" w:eastAsia="宋体" w:cs="Times New Roman"/>
                <w:b/>
                <w:color w:val="auto"/>
                <w:kern w:val="2"/>
                <w:sz w:val="24"/>
                <w:szCs w:val="24"/>
                <w:lang w:val="en-US" w:eastAsia="zh-CN" w:bidi="ar-SA"/>
              </w:rPr>
              <w:t>表</w:t>
            </w:r>
            <w:r>
              <w:rPr>
                <w:rFonts w:hint="eastAsia" w:ascii="Times New Roman" w:hAnsi="Times New Roman" w:eastAsia="宋体" w:cs="Times New Roman"/>
                <w:b/>
                <w:color w:val="auto"/>
                <w:kern w:val="2"/>
                <w:sz w:val="24"/>
                <w:szCs w:val="24"/>
                <w:lang w:val="en-US" w:eastAsia="zh-CN" w:bidi="ar-SA"/>
              </w:rPr>
              <w:t>3.2-1</w:t>
            </w:r>
            <w:r>
              <w:rPr>
                <w:rFonts w:ascii="Times New Roman" w:hAnsi="Times New Roman" w:eastAsia="宋体" w:cs="Times New Roman"/>
                <w:b/>
                <w:color w:val="auto"/>
                <w:kern w:val="2"/>
                <w:sz w:val="24"/>
                <w:szCs w:val="24"/>
                <w:lang w:val="en-US" w:eastAsia="zh-CN" w:bidi="ar-SA"/>
              </w:rPr>
              <w:t xml:space="preserve">  地</w:t>
            </w:r>
            <w:r>
              <w:rPr>
                <w:rFonts w:hint="eastAsia" w:ascii="Times New Roman" w:hAnsi="Times New Roman" w:eastAsia="宋体" w:cs="Times New Roman"/>
                <w:b/>
                <w:color w:val="auto"/>
                <w:kern w:val="2"/>
                <w:sz w:val="24"/>
                <w:szCs w:val="24"/>
                <w:lang w:val="en-US" w:eastAsia="zh-CN" w:bidi="ar-SA"/>
              </w:rPr>
              <w:t>表</w:t>
            </w:r>
            <w:r>
              <w:rPr>
                <w:rFonts w:ascii="Times New Roman" w:hAnsi="Times New Roman" w:eastAsia="宋体" w:cs="Times New Roman"/>
                <w:b/>
                <w:color w:val="auto"/>
                <w:kern w:val="2"/>
                <w:sz w:val="24"/>
                <w:szCs w:val="24"/>
                <w:lang w:val="en-US" w:eastAsia="zh-CN" w:bidi="ar-SA"/>
              </w:rPr>
              <w:t>水水</w:t>
            </w:r>
            <w:r>
              <w:rPr>
                <w:rFonts w:hint="eastAsia" w:ascii="Times New Roman" w:hAnsi="Times New Roman" w:eastAsia="宋体" w:cs="Times New Roman"/>
                <w:b/>
                <w:color w:val="auto"/>
                <w:kern w:val="2"/>
                <w:sz w:val="24"/>
                <w:szCs w:val="24"/>
                <w:lang w:val="en-US" w:eastAsia="zh-CN" w:bidi="ar-SA"/>
              </w:rPr>
              <w:t>质监测结果</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3"/>
              <w:gridCol w:w="1589"/>
              <w:gridCol w:w="995"/>
              <w:gridCol w:w="2417"/>
              <w:gridCol w:w="1584"/>
              <w:gridCol w:w="10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385" w:type="pct"/>
                  <w:vMerge w:val="restart"/>
                  <w:tcMar>
                    <w:left w:w="0" w:type="dxa"/>
                    <w:right w:w="0" w:type="dxa"/>
                  </w:tcMar>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r>
                    <w:rPr>
                      <w:rFonts w:ascii="Times New Roman" w:hAnsi="Times New Roman" w:cs="Times New Roman"/>
                      <w:b/>
                      <w:bCs w:val="0"/>
                      <w:color w:val="auto"/>
                      <w:kern w:val="2"/>
                      <w:sz w:val="21"/>
                      <w:szCs w:val="21"/>
                    </w:rPr>
                    <w:t>序号</w:t>
                  </w:r>
                </w:p>
              </w:tc>
              <w:tc>
                <w:tcPr>
                  <w:tcW w:w="966" w:type="pct"/>
                  <w:vMerge w:val="restart"/>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r>
                    <w:rPr>
                      <w:rFonts w:ascii="Times New Roman" w:hAnsi="Times New Roman" w:cs="Times New Roman"/>
                      <w:b/>
                      <w:bCs w:val="0"/>
                      <w:color w:val="auto"/>
                      <w:kern w:val="2"/>
                      <w:sz w:val="21"/>
                      <w:szCs w:val="21"/>
                    </w:rPr>
                    <w:t>监测项目</w:t>
                  </w:r>
                </w:p>
              </w:tc>
              <w:tc>
                <w:tcPr>
                  <w:tcW w:w="605" w:type="pct"/>
                  <w:vMerge w:val="restart"/>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r>
                    <w:rPr>
                      <w:rFonts w:hint="eastAsia" w:ascii="Times New Roman" w:hAnsi="Times New Roman" w:cs="Times New Roman"/>
                      <w:b/>
                      <w:bCs w:val="0"/>
                      <w:color w:val="auto"/>
                      <w:kern w:val="2"/>
                      <w:sz w:val="21"/>
                      <w:szCs w:val="21"/>
                    </w:rPr>
                    <w:t>单位</w:t>
                  </w:r>
                </w:p>
              </w:tc>
              <w:tc>
                <w:tcPr>
                  <w:tcW w:w="1469" w:type="pct"/>
                  <w:vAlign w:val="center"/>
                </w:tcPr>
                <w:p>
                  <w:pPr>
                    <w:adjustRightInd w:val="0"/>
                    <w:spacing w:line="360" w:lineRule="auto"/>
                    <w:jc w:val="center"/>
                    <w:textAlignment w:val="center"/>
                    <w:rPr>
                      <w:rFonts w:hint="default" w:ascii="Times New Roman" w:hAnsi="Times New Roman" w:eastAsia="宋体" w:cs="Times New Roman"/>
                      <w:b/>
                      <w:bCs w:val="0"/>
                      <w:color w:val="auto"/>
                      <w:kern w:val="2"/>
                      <w:sz w:val="21"/>
                      <w:szCs w:val="21"/>
                      <w:lang w:val="en-US" w:eastAsia="zh-CN"/>
                    </w:rPr>
                  </w:pPr>
                  <w:r>
                    <w:rPr>
                      <w:rFonts w:hint="eastAsia" w:ascii="Times New Roman" w:hAnsi="Times New Roman" w:cs="Times New Roman"/>
                      <w:b/>
                      <w:bCs w:val="0"/>
                      <w:color w:val="auto"/>
                      <w:kern w:val="2"/>
                      <w:sz w:val="21"/>
                      <w:szCs w:val="21"/>
                      <w:lang w:val="en-US" w:eastAsia="zh-CN"/>
                    </w:rPr>
                    <w:t>监测结果</w:t>
                  </w:r>
                </w:p>
              </w:tc>
              <w:tc>
                <w:tcPr>
                  <w:tcW w:w="963" w:type="pct"/>
                  <w:vMerge w:val="restart"/>
                  <w:vAlign w:val="center"/>
                </w:tcPr>
                <w:p>
                  <w:pPr>
                    <w:widowControl w:val="0"/>
                    <w:spacing w:line="360" w:lineRule="auto"/>
                    <w:jc w:val="center"/>
                    <w:rPr>
                      <w:rFonts w:hint="eastAsia" w:ascii="Times New Roman" w:hAnsi="Times New Roman" w:eastAsia="宋体" w:cs="Times New Roman"/>
                      <w:b/>
                      <w:bCs w:val="0"/>
                      <w:color w:val="auto"/>
                      <w:kern w:val="0"/>
                      <w:sz w:val="21"/>
                      <w:szCs w:val="21"/>
                      <w:lang w:val="en-US" w:eastAsia="zh-CN" w:bidi="ar-SA"/>
                    </w:rPr>
                  </w:pPr>
                  <w:r>
                    <w:rPr>
                      <w:rFonts w:hint="eastAsia" w:ascii="Times New Roman" w:hAnsi="Times New Roman" w:eastAsia="宋体" w:cs="Times New Roman"/>
                      <w:b/>
                      <w:bCs w:val="0"/>
                      <w:color w:val="auto"/>
                      <w:kern w:val="0"/>
                      <w:sz w:val="21"/>
                      <w:szCs w:val="21"/>
                      <w:lang w:val="en-US" w:eastAsia="zh-CN" w:bidi="ar-SA"/>
                    </w:rPr>
                    <w:t>标准限值</w:t>
                  </w:r>
                </w:p>
              </w:tc>
              <w:tc>
                <w:tcPr>
                  <w:tcW w:w="609" w:type="pct"/>
                  <w:vMerge w:val="restart"/>
                  <w:vAlign w:val="center"/>
                </w:tcPr>
                <w:p>
                  <w:pPr>
                    <w:widowControl w:val="0"/>
                    <w:spacing w:line="360" w:lineRule="auto"/>
                    <w:jc w:val="center"/>
                    <w:rPr>
                      <w:rFonts w:hint="eastAsia" w:ascii="Times New Roman" w:hAnsi="Times New Roman" w:eastAsia="宋体" w:cs="Times New Roman"/>
                      <w:b/>
                      <w:bCs w:val="0"/>
                      <w:color w:val="auto"/>
                      <w:kern w:val="0"/>
                      <w:sz w:val="21"/>
                      <w:szCs w:val="21"/>
                      <w:lang w:val="en-US" w:eastAsia="zh-CN" w:bidi="ar-SA"/>
                    </w:rPr>
                  </w:pPr>
                  <w:r>
                    <w:rPr>
                      <w:rFonts w:hint="eastAsia" w:ascii="Times New Roman" w:hAnsi="Times New Roman" w:eastAsia="宋体" w:cs="Times New Roman"/>
                      <w:b/>
                      <w:bCs w:val="0"/>
                      <w:color w:val="auto"/>
                      <w:kern w:val="0"/>
                      <w:sz w:val="21"/>
                      <w:szCs w:val="21"/>
                      <w:lang w:val="en-US" w:eastAsia="zh-CN" w:bidi="ar-SA"/>
                    </w:rPr>
                    <w:t>标准指数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7" w:hRule="atLeast"/>
                <w:jc w:val="center"/>
              </w:trPr>
              <w:tc>
                <w:tcPr>
                  <w:tcW w:w="385" w:type="pct"/>
                  <w:vMerge w:val="continue"/>
                  <w:tcMar>
                    <w:left w:w="0" w:type="dxa"/>
                    <w:right w:w="0" w:type="dxa"/>
                  </w:tcMar>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966" w:type="pct"/>
                  <w:vMerge w:val="continue"/>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605" w:type="pct"/>
                  <w:vMerge w:val="continue"/>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1469" w:type="pct"/>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r>
                    <w:rPr>
                      <w:rFonts w:hint="eastAsia" w:ascii="Times New Roman" w:hAnsi="Times New Roman" w:cs="Times New Roman"/>
                      <w:b/>
                      <w:bCs w:val="0"/>
                      <w:color w:val="000000"/>
                      <w:kern w:val="2"/>
                      <w:sz w:val="21"/>
                      <w:szCs w:val="21"/>
                      <w:lang w:val="en-US" w:eastAsia="zh-CN"/>
                    </w:rPr>
                    <w:t>东沟河与西沟河交汇后河段</w:t>
                  </w:r>
                </w:p>
              </w:tc>
              <w:tc>
                <w:tcPr>
                  <w:tcW w:w="963" w:type="pct"/>
                  <w:vMerge w:val="continue"/>
                  <w:vAlign w:val="center"/>
                </w:tcPr>
                <w:p>
                  <w:pPr>
                    <w:widowControl w:val="0"/>
                    <w:spacing w:line="360" w:lineRule="auto"/>
                    <w:jc w:val="center"/>
                    <w:rPr>
                      <w:rFonts w:hint="eastAsia" w:ascii="Times New Roman" w:hAnsi="Times New Roman" w:eastAsia="宋体" w:cs="Times New Roman"/>
                      <w:color w:val="FF0000"/>
                      <w:kern w:val="0"/>
                      <w:sz w:val="21"/>
                      <w:szCs w:val="21"/>
                      <w:lang w:val="en-US" w:eastAsia="zh-CN" w:bidi="ar-SA"/>
                    </w:rPr>
                  </w:pPr>
                </w:p>
              </w:tc>
              <w:tc>
                <w:tcPr>
                  <w:tcW w:w="609" w:type="pct"/>
                  <w:vMerge w:val="continue"/>
                  <w:vAlign w:val="center"/>
                </w:tcPr>
                <w:p>
                  <w:pPr>
                    <w:widowControl w:val="0"/>
                    <w:spacing w:line="360" w:lineRule="auto"/>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385" w:type="pct"/>
                  <w:vMerge w:val="continue"/>
                  <w:tcMar>
                    <w:left w:w="0" w:type="dxa"/>
                    <w:right w:w="0" w:type="dxa"/>
                  </w:tcMar>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966" w:type="pct"/>
                  <w:vMerge w:val="continue"/>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605" w:type="pct"/>
                  <w:vMerge w:val="continue"/>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1469" w:type="pct"/>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r>
                    <w:rPr>
                      <w:rFonts w:hint="eastAsia" w:ascii="Times New Roman" w:hAnsi="Times New Roman" w:cs="Times New Roman"/>
                      <w:b/>
                      <w:bCs w:val="0"/>
                      <w:color w:val="auto"/>
                      <w:kern w:val="2"/>
                      <w:sz w:val="21"/>
                      <w:szCs w:val="20"/>
                      <w:lang w:val="en-US" w:eastAsia="zh-CN"/>
                    </w:rPr>
                    <w:t>1#</w:t>
                  </w:r>
                </w:p>
              </w:tc>
              <w:tc>
                <w:tcPr>
                  <w:tcW w:w="963" w:type="pct"/>
                  <w:vMerge w:val="continue"/>
                  <w:vAlign w:val="center"/>
                </w:tcPr>
                <w:p>
                  <w:pPr>
                    <w:widowControl w:val="0"/>
                    <w:spacing w:line="360" w:lineRule="auto"/>
                    <w:jc w:val="center"/>
                    <w:rPr>
                      <w:rFonts w:hint="eastAsia" w:ascii="Times New Roman" w:hAnsi="Times New Roman" w:eastAsia="宋体" w:cs="Times New Roman"/>
                      <w:color w:val="FF0000"/>
                      <w:kern w:val="0"/>
                      <w:sz w:val="21"/>
                      <w:szCs w:val="21"/>
                      <w:lang w:val="en-US" w:eastAsia="zh-CN" w:bidi="ar-SA"/>
                    </w:rPr>
                  </w:pPr>
                </w:p>
              </w:tc>
              <w:tc>
                <w:tcPr>
                  <w:tcW w:w="609" w:type="pct"/>
                  <w:vMerge w:val="continue"/>
                  <w:vAlign w:val="center"/>
                </w:tcPr>
                <w:p>
                  <w:pPr>
                    <w:widowControl w:val="0"/>
                    <w:spacing w:line="360" w:lineRule="auto"/>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cs="Times New Roman"/>
                      <w:bCs/>
                      <w:color w:val="auto"/>
                      <w:kern w:val="2"/>
                      <w:sz w:val="21"/>
                      <w:szCs w:val="21"/>
                    </w:rPr>
                  </w:pPr>
                  <w:r>
                    <w:rPr>
                      <w:rFonts w:hint="default" w:ascii="Times New Roman" w:hAnsi="Times New Roman" w:eastAsia="宋体" w:cs="Times New Roman"/>
                      <w:color w:val="000000"/>
                      <w:kern w:val="2"/>
                      <w:sz w:val="21"/>
                      <w:szCs w:val="21"/>
                      <w:lang w:val="en-US" w:eastAsia="zh-CN" w:bidi="ar-SA"/>
                    </w:rPr>
                    <w:t>pH</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无量纲</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7.71</w:t>
                  </w:r>
                </w:p>
              </w:tc>
              <w:tc>
                <w:tcPr>
                  <w:tcW w:w="963" w:type="pct"/>
                  <w:vAlign w:val="center"/>
                </w:tcPr>
                <w:p>
                  <w:pPr>
                    <w:spacing w:line="240" w:lineRule="auto"/>
                    <w:jc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rPr>
                    <w:t>6-9</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2</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eastAsia="zh-CN"/>
                    </w:rPr>
                  </w:pPr>
                  <w:r>
                    <w:rPr>
                      <w:rFonts w:hint="default" w:ascii="Times New Roman" w:hAnsi="Times New Roman" w:eastAsia="宋体" w:cs="Times New Roman"/>
                      <w:color w:val="000000"/>
                      <w:kern w:val="2"/>
                      <w:sz w:val="21"/>
                      <w:szCs w:val="21"/>
                      <w:lang w:val="en-US" w:eastAsia="zh-CN" w:bidi="ar-SA"/>
                    </w:rPr>
                    <w:t>溶解氧</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7.91</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6mg/L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3</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eastAsia="zh-CN"/>
                    </w:rPr>
                  </w:pPr>
                  <w:r>
                    <w:rPr>
                      <w:rFonts w:hint="default" w:ascii="Times New Roman" w:hAnsi="Times New Roman" w:eastAsia="宋体" w:cs="Times New Roman"/>
                      <w:color w:val="000000"/>
                      <w:kern w:val="2"/>
                      <w:sz w:val="21"/>
                      <w:szCs w:val="21"/>
                      <w:lang w:val="en-US" w:eastAsia="zh-CN" w:bidi="ar-SA"/>
                    </w:rPr>
                    <w:t>挥发酚</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&lt;0.0003</w:t>
                  </w:r>
                </w:p>
              </w:tc>
              <w:tc>
                <w:tcPr>
                  <w:tcW w:w="963" w:type="pct"/>
                  <w:vAlign w:val="center"/>
                </w:tcPr>
                <w:p>
                  <w:pPr>
                    <w:spacing w:line="240" w:lineRule="auto"/>
                    <w:jc w:val="center"/>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0.002mg/L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4</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氨氮</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0.052</w:t>
                  </w:r>
                </w:p>
              </w:tc>
              <w:tc>
                <w:tcPr>
                  <w:tcW w:w="963" w:type="pct"/>
                  <w:vAlign w:val="center"/>
                </w:tcPr>
                <w:p>
                  <w:pPr>
                    <w:spacing w:line="240" w:lineRule="auto"/>
                    <w:jc w:val="center"/>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5</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氰化物</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&lt;0.004</w:t>
                  </w:r>
                </w:p>
              </w:tc>
              <w:tc>
                <w:tcPr>
                  <w:tcW w:w="963"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6</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六价铬</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&lt;0.004</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7</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总磷</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0.09</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0.1mg/L</w:t>
                  </w:r>
                </w:p>
              </w:tc>
              <w:tc>
                <w:tcPr>
                  <w:tcW w:w="609" w:type="pct"/>
                  <w:vAlign w:val="center"/>
                </w:tcPr>
                <w:p>
                  <w:pPr>
                    <w:widowControl w:val="0"/>
                    <w:spacing w:line="360" w:lineRule="auto"/>
                    <w:jc w:val="center"/>
                    <w:rPr>
                      <w:rFonts w:hint="default" w:ascii="Times New Roman" w:hAnsi="Times New Roman" w:eastAsia="宋体" w:cs="宋体"/>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8</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总氮</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0.491</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0.982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9</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化学需氧量</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10</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15mg/L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10</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五日生化需氧量</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2.5</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3mg/L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0.833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11</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砷</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cs="Times New Roman"/>
                      <w:color w:val="000000"/>
                      <w:kern w:val="2"/>
                      <w:sz w:val="21"/>
                      <w:szCs w:val="21"/>
                      <w:lang w:eastAsia="zh-CN"/>
                    </w:rPr>
                    <w:t>μ</w:t>
                  </w:r>
                  <w:r>
                    <w:rPr>
                      <w:rFonts w:hint="default" w:ascii="Times New Roman" w:hAnsi="Times New Roman" w:cs="Times New Roman"/>
                      <w:color w:val="000000"/>
                      <w:kern w:val="2"/>
                      <w:sz w:val="21"/>
                      <w:szCs w:val="21"/>
                    </w:rPr>
                    <w:t>g</w:t>
                  </w:r>
                  <w:r>
                    <w:rPr>
                      <w:rFonts w:hint="default"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L</w:t>
                  </w:r>
                </w:p>
              </w:tc>
              <w:tc>
                <w:tcPr>
                  <w:tcW w:w="1469" w:type="pct"/>
                  <w:vAlign w:val="center"/>
                </w:tcPr>
                <w:p>
                  <w:pPr>
                    <w:spacing w:line="240" w:lineRule="auto"/>
                    <w:jc w:val="center"/>
                    <w:rPr>
                      <w:rFonts w:hint="default"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&lt;0.3</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w:t>
                  </w:r>
                  <w:r>
                    <w:rPr>
                      <w:rFonts w:hint="eastAsia" w:ascii="Times New Roman" w:hAnsi="Times New Roman" w:eastAsia="宋体" w:cs="Times New Roman"/>
                      <w:color w:val="auto"/>
                      <w:kern w:val="0"/>
                      <w:sz w:val="21"/>
                      <w:szCs w:val="21"/>
                      <w:lang w:val="en-US" w:eastAsia="zh-CN" w:bidi="ar-SA"/>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12</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汞</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cs="Times New Roman"/>
                      <w:color w:val="000000"/>
                      <w:kern w:val="2"/>
                      <w:sz w:val="21"/>
                      <w:szCs w:val="21"/>
                      <w:lang w:eastAsia="zh-CN"/>
                    </w:rPr>
                    <w:t>μ</w:t>
                  </w:r>
                  <w:r>
                    <w:rPr>
                      <w:rFonts w:hint="default" w:ascii="Times New Roman" w:hAnsi="Times New Roman" w:cs="Times New Roman"/>
                      <w:color w:val="000000"/>
                      <w:kern w:val="2"/>
                      <w:sz w:val="21"/>
                      <w:szCs w:val="21"/>
                    </w:rPr>
                    <w:t>g</w:t>
                  </w:r>
                  <w:r>
                    <w:rPr>
                      <w:rFonts w:hint="default"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L</w:t>
                  </w:r>
                </w:p>
              </w:tc>
              <w:tc>
                <w:tcPr>
                  <w:tcW w:w="1469" w:type="pct"/>
                  <w:vAlign w:val="center"/>
                </w:tcPr>
                <w:p>
                  <w:pPr>
                    <w:spacing w:line="240" w:lineRule="auto"/>
                    <w:jc w:val="center"/>
                    <w:rPr>
                      <w:rFonts w:hint="default"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&lt;0.04</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0.00005mg/L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w:t>
                  </w:r>
                  <w:r>
                    <w:rPr>
                      <w:rFonts w:hint="eastAsia" w:ascii="Times New Roman" w:hAnsi="Times New Roman" w:eastAsia="宋体" w:cs="Times New Roman"/>
                      <w:color w:val="auto"/>
                      <w:kern w:val="0"/>
                      <w:sz w:val="21"/>
                      <w:szCs w:val="21"/>
                      <w:lang w:val="en-US" w:eastAsia="zh-CN" w:bidi="ar-SA"/>
                    </w:rPr>
                    <w:t>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13</w:t>
                  </w:r>
                </w:p>
              </w:tc>
              <w:tc>
                <w:tcPr>
                  <w:tcW w:w="966" w:type="pct"/>
                  <w:vAlign w:val="center"/>
                </w:tcPr>
                <w:p>
                  <w:pPr>
                    <w:spacing w:line="240" w:lineRule="auto"/>
                    <w:jc w:val="center"/>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bCs/>
                      <w:color w:val="000000"/>
                      <w:kern w:val="0"/>
                      <w:sz w:val="21"/>
                      <w:szCs w:val="24"/>
                      <w:lang w:eastAsia="zh-CN"/>
                    </w:rPr>
                    <w:t>硒</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cs="Times New Roman"/>
                      <w:color w:val="000000"/>
                      <w:kern w:val="2"/>
                      <w:sz w:val="21"/>
                      <w:szCs w:val="21"/>
                      <w:lang w:eastAsia="zh-CN"/>
                    </w:rPr>
                    <w:t>μ</w:t>
                  </w:r>
                  <w:r>
                    <w:rPr>
                      <w:rFonts w:hint="default" w:ascii="Times New Roman" w:hAnsi="Times New Roman" w:cs="Times New Roman"/>
                      <w:color w:val="000000"/>
                      <w:kern w:val="2"/>
                      <w:sz w:val="21"/>
                      <w:szCs w:val="21"/>
                    </w:rPr>
                    <w:t>g</w:t>
                  </w:r>
                  <w:r>
                    <w:rPr>
                      <w:rFonts w:hint="default"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L</w:t>
                  </w:r>
                </w:p>
              </w:tc>
              <w:tc>
                <w:tcPr>
                  <w:tcW w:w="1469" w:type="pct"/>
                  <w:vAlign w:val="center"/>
                </w:tcPr>
                <w:p>
                  <w:pPr>
                    <w:spacing w:line="240" w:lineRule="auto"/>
                    <w:jc w:val="center"/>
                    <w:rPr>
                      <w:rFonts w:hint="default"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&lt;0.4</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0.01mg/L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14</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铜</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&lt;0.05</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1.0mg/L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15</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bidi="ar-SA"/>
                    </w:rPr>
                    <w:t>铅</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cs="Times New Roman"/>
                      <w:color w:val="000000"/>
                      <w:kern w:val="2"/>
                      <w:sz w:val="21"/>
                      <w:szCs w:val="21"/>
                      <w:lang w:eastAsia="zh-CN"/>
                    </w:rPr>
                    <w:t>μ</w:t>
                  </w:r>
                  <w:r>
                    <w:rPr>
                      <w:rFonts w:hint="default" w:ascii="Times New Roman" w:hAnsi="Times New Roman" w:cs="Times New Roman"/>
                      <w:color w:val="000000"/>
                      <w:kern w:val="2"/>
                      <w:sz w:val="21"/>
                      <w:szCs w:val="21"/>
                    </w:rPr>
                    <w:t>g</w:t>
                  </w:r>
                  <w:r>
                    <w:rPr>
                      <w:rFonts w:hint="default"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L</w:t>
                  </w:r>
                </w:p>
              </w:tc>
              <w:tc>
                <w:tcPr>
                  <w:tcW w:w="1469" w:type="pct"/>
                  <w:vAlign w:val="center"/>
                </w:tcPr>
                <w:p>
                  <w:pPr>
                    <w:spacing w:line="240" w:lineRule="auto"/>
                    <w:jc w:val="center"/>
                    <w:rPr>
                      <w:rFonts w:hint="default"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&lt;10</w:t>
                  </w:r>
                </w:p>
              </w:tc>
              <w:tc>
                <w:tcPr>
                  <w:tcW w:w="963" w:type="pct"/>
                  <w:vAlign w:val="center"/>
                </w:tcPr>
                <w:p>
                  <w:pPr>
                    <w:spacing w:line="240" w:lineRule="auto"/>
                    <w:jc w:val="center"/>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0.01mg/L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16</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bidi="ar-SA"/>
                    </w:rPr>
                    <w:t>锌</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&lt;0.05</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1.0mg/L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17</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bidi="ar-SA"/>
                    </w:rPr>
                    <w:t>镉</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cs="Times New Roman"/>
                      <w:color w:val="000000"/>
                      <w:kern w:val="2"/>
                      <w:sz w:val="21"/>
                      <w:szCs w:val="21"/>
                      <w:lang w:eastAsia="zh-CN"/>
                    </w:rPr>
                    <w:t>μ</w:t>
                  </w:r>
                  <w:r>
                    <w:rPr>
                      <w:rFonts w:hint="default" w:ascii="Times New Roman" w:hAnsi="Times New Roman" w:cs="Times New Roman"/>
                      <w:color w:val="000000"/>
                      <w:kern w:val="2"/>
                      <w:sz w:val="21"/>
                      <w:szCs w:val="21"/>
                    </w:rPr>
                    <w:t>g</w:t>
                  </w:r>
                  <w:r>
                    <w:rPr>
                      <w:rFonts w:hint="default"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L</w:t>
                  </w:r>
                </w:p>
              </w:tc>
              <w:tc>
                <w:tcPr>
                  <w:tcW w:w="1469" w:type="pct"/>
                  <w:vAlign w:val="center"/>
                </w:tcPr>
                <w:p>
                  <w:pPr>
                    <w:spacing w:line="240" w:lineRule="auto"/>
                    <w:jc w:val="center"/>
                    <w:rPr>
                      <w:rFonts w:hint="default"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&lt;1</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cs="Times New Roman"/>
                      <w:color w:val="000000"/>
                      <w:kern w:val="2"/>
                      <w:sz w:val="21"/>
                      <w:szCs w:val="21"/>
                      <w:lang w:val="en-US" w:eastAsia="zh-CN"/>
                    </w:rPr>
                    <w:t>0.005</w:t>
                  </w:r>
                  <w:r>
                    <w:rPr>
                      <w:rFonts w:hint="eastAsia" w:ascii="Times New Roman" w:hAnsi="Times New Roman" w:eastAsia="宋体" w:cs="Times New Roman"/>
                      <w:color w:val="000000"/>
                      <w:kern w:val="2"/>
                      <w:sz w:val="21"/>
                      <w:szCs w:val="21"/>
                      <w:lang w:val="en-US" w:eastAsia="zh-CN"/>
                    </w:rPr>
                    <w:t>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18</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bidi="ar-SA"/>
                    </w:rPr>
                    <w:t>硫化物</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&lt;0.005</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0.1mg/L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19</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bidi="ar-SA"/>
                    </w:rPr>
                    <w:t>石油类</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0.03</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hint="eastAsia" w:ascii="Times New Roman" w:hAnsi="Times New Roman" w:cs="Times New Roman"/>
                      <w:bCs/>
                      <w:color w:val="auto"/>
                      <w:kern w:val="2"/>
                      <w:sz w:val="21"/>
                      <w:szCs w:val="21"/>
                    </w:rPr>
                    <w:t>20</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氟化物</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0.472</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1.0mg/L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0.472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cs="Times New Roman"/>
                      <w:bCs/>
                      <w:color w:val="auto"/>
                      <w:kern w:val="2"/>
                      <w:sz w:val="21"/>
                      <w:szCs w:val="21"/>
                      <w:lang w:val="en-US" w:eastAsia="zh-CN"/>
                    </w:rPr>
                    <w:t>21</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高锰酸盐指数</w:t>
                  </w:r>
                </w:p>
              </w:tc>
              <w:tc>
                <w:tcPr>
                  <w:tcW w:w="605" w:type="pct"/>
                  <w:vAlign w:val="center"/>
                </w:tcPr>
                <w:p>
                  <w:pPr>
                    <w:spacing w:line="240" w:lineRule="auto"/>
                    <w:jc w:val="center"/>
                    <w:rPr>
                      <w:rFonts w:hint="eastAsia" w:ascii="Times New Roman" w:hAnsi="Times New Roman" w:cs="Times New Roman"/>
                      <w:color w:val="auto"/>
                      <w:kern w:val="2"/>
                      <w:sz w:val="21"/>
                      <w:szCs w:val="20"/>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1.78</w:t>
                  </w:r>
                </w:p>
              </w:tc>
              <w:tc>
                <w:tcPr>
                  <w:tcW w:w="963" w:type="pct"/>
                  <w:vAlign w:val="center"/>
                </w:tcPr>
                <w:p>
                  <w:pPr>
                    <w:spacing w:line="240" w:lineRule="auto"/>
                    <w:jc w:val="center"/>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4mg/L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0.445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cs="Times New Roman"/>
                      <w:bCs/>
                      <w:color w:val="auto"/>
                      <w:kern w:val="2"/>
                      <w:sz w:val="21"/>
                      <w:szCs w:val="21"/>
                      <w:lang w:val="en-US" w:eastAsia="zh-CN"/>
                    </w:rPr>
                    <w:t>22</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阴离子表面活性剂</w:t>
                  </w:r>
                </w:p>
              </w:tc>
              <w:tc>
                <w:tcPr>
                  <w:tcW w:w="605" w:type="pct"/>
                  <w:vAlign w:val="center"/>
                </w:tcPr>
                <w:p>
                  <w:pPr>
                    <w:spacing w:line="240" w:lineRule="auto"/>
                    <w:jc w:val="center"/>
                    <w:rPr>
                      <w:rFonts w:hint="eastAsia" w:ascii="Times New Roman" w:hAnsi="Times New Roman" w:cs="Times New Roman"/>
                      <w:color w:val="auto"/>
                      <w:kern w:val="2"/>
                      <w:sz w:val="21"/>
                      <w:szCs w:val="20"/>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0.08</w:t>
                  </w:r>
                </w:p>
              </w:tc>
              <w:tc>
                <w:tcPr>
                  <w:tcW w:w="963" w:type="pct"/>
                  <w:vAlign w:val="center"/>
                </w:tcPr>
                <w:p>
                  <w:pPr>
                    <w:spacing w:line="240" w:lineRule="auto"/>
                    <w:jc w:val="center"/>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0.2mg/L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cs="Times New Roman"/>
                      <w:bCs/>
                      <w:color w:val="auto"/>
                      <w:kern w:val="2"/>
                      <w:sz w:val="21"/>
                      <w:szCs w:val="21"/>
                      <w:lang w:val="en-US" w:eastAsia="zh-CN"/>
                    </w:rPr>
                    <w:t>23</w:t>
                  </w:r>
                </w:p>
              </w:tc>
              <w:tc>
                <w:tcPr>
                  <w:tcW w:w="966" w:type="pct"/>
                  <w:vAlign w:val="center"/>
                </w:tcPr>
                <w:p>
                  <w:pPr>
                    <w:spacing w:line="240" w:lineRule="exact"/>
                    <w:jc w:val="center"/>
                    <w:rPr>
                      <w:rFonts w:hint="eastAsia" w:ascii="Times New Roman" w:hAnsi="Times New Roman" w:cs="Times New Roman"/>
                      <w:bCs/>
                      <w:color w:val="auto"/>
                      <w:kern w:val="2"/>
                      <w:sz w:val="21"/>
                      <w:szCs w:val="21"/>
                      <w:lang w:val="en-US" w:eastAsia="zh-CN"/>
                    </w:rPr>
                  </w:pPr>
                  <w:r>
                    <w:rPr>
                      <w:rFonts w:hint="eastAsia" w:ascii="Times New Roman" w:hAnsi="Times New Roman" w:cs="Times New Roman"/>
                      <w:color w:val="000000"/>
                      <w:kern w:val="0"/>
                      <w:sz w:val="21"/>
                      <w:szCs w:val="20"/>
                      <w:lang w:val="en-US" w:eastAsia="zh-CN"/>
                    </w:rPr>
                    <w:t>粪大肠菌群</w:t>
                  </w:r>
                </w:p>
              </w:tc>
              <w:tc>
                <w:tcPr>
                  <w:tcW w:w="605" w:type="pct"/>
                  <w:vAlign w:val="center"/>
                </w:tcPr>
                <w:p>
                  <w:pPr>
                    <w:spacing w:line="240" w:lineRule="auto"/>
                    <w:jc w:val="center"/>
                    <w:rPr>
                      <w:rFonts w:hint="eastAsia" w:ascii="Times New Roman" w:hAnsi="Times New Roman" w:cs="Times New Roman"/>
                      <w:color w:val="auto"/>
                      <w:kern w:val="2"/>
                      <w:sz w:val="21"/>
                      <w:szCs w:val="20"/>
                    </w:rPr>
                  </w:pPr>
                  <w:r>
                    <w:rPr>
                      <w:rFonts w:hint="eastAsia" w:ascii="Times New Roman" w:hAnsi="Times New Roman" w:cs="Times New Roman"/>
                      <w:color w:val="000000"/>
                      <w:kern w:val="2"/>
                      <w:sz w:val="21"/>
                      <w:szCs w:val="21"/>
                      <w:lang w:val="en-US" w:eastAsia="zh-CN"/>
                    </w:rPr>
                    <w:t>MPN/L</w:t>
                  </w:r>
                </w:p>
              </w:tc>
              <w:tc>
                <w:tcPr>
                  <w:tcW w:w="1469" w:type="pct"/>
                  <w:vAlign w:val="center"/>
                </w:tcPr>
                <w:p>
                  <w:pPr>
                    <w:spacing w:line="240" w:lineRule="auto"/>
                    <w:jc w:val="center"/>
                    <w:rPr>
                      <w:rFonts w:hint="eastAsia" w:ascii="Times New Roman" w:hAnsi="Times New Roman" w:cs="Times New Roman"/>
                      <w:color w:val="000000"/>
                      <w:kern w:val="2"/>
                      <w:sz w:val="21"/>
                      <w:szCs w:val="21"/>
                      <w:lang w:val="en-US" w:eastAsia="zh-CN"/>
                    </w:rPr>
                  </w:pPr>
                  <w:r>
                    <w:rPr>
                      <w:rFonts w:hint="eastAsia" w:ascii="Times New Roman" w:hAnsi="Times New Roman" w:cs="Times New Roman"/>
                      <w:color w:val="000000"/>
                      <w:kern w:val="2"/>
                      <w:sz w:val="21"/>
                      <w:szCs w:val="21"/>
                      <w:lang w:eastAsia="zh-CN"/>
                    </w:rPr>
                    <w:t>未检出</w:t>
                  </w:r>
                </w:p>
              </w:tc>
              <w:tc>
                <w:tcPr>
                  <w:tcW w:w="963" w:type="pct"/>
                  <w:vAlign w:val="center"/>
                </w:tcPr>
                <w:p>
                  <w:pPr>
                    <w:spacing w:line="240" w:lineRule="auto"/>
                    <w:jc w:val="center"/>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2000个/L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cs="Times New Roman"/>
                      <w:bCs/>
                      <w:color w:val="auto"/>
                      <w:kern w:val="2"/>
                      <w:sz w:val="21"/>
                      <w:szCs w:val="21"/>
                      <w:lang w:val="en-US" w:eastAsia="zh-CN"/>
                    </w:rPr>
                    <w:t>24</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4"/>
                    </w:rPr>
                    <w:t>水温</w:t>
                  </w:r>
                </w:p>
              </w:tc>
              <w:tc>
                <w:tcPr>
                  <w:tcW w:w="605" w:type="pct"/>
                  <w:vAlign w:val="center"/>
                </w:tcPr>
                <w:p>
                  <w:pPr>
                    <w:spacing w:line="240" w:lineRule="auto"/>
                    <w:jc w:val="center"/>
                    <w:rPr>
                      <w:rFonts w:hint="eastAsia" w:ascii="Times New Roman" w:hAnsi="Times New Roman" w:cs="Times New Roman"/>
                      <w:color w:val="auto"/>
                      <w:kern w:val="2"/>
                      <w:sz w:val="21"/>
                      <w:szCs w:val="20"/>
                    </w:rPr>
                  </w:pPr>
                  <w:r>
                    <w:rPr>
                      <w:rFonts w:hint="eastAsia" w:ascii="Times New Roman" w:hAnsi="Times New Roman" w:cs="Times New Roman"/>
                      <w:color w:val="000000"/>
                      <w:kern w:val="2"/>
                      <w:sz w:val="21"/>
                      <w:szCs w:val="21"/>
                      <w:lang w:eastAsia="zh-CN"/>
                    </w:rPr>
                    <w:t>℃</w:t>
                  </w:r>
                </w:p>
              </w:tc>
              <w:tc>
                <w:tcPr>
                  <w:tcW w:w="1469" w:type="pct"/>
                  <w:vAlign w:val="center"/>
                </w:tcPr>
                <w:p>
                  <w:pPr>
                    <w:spacing w:line="240" w:lineRule="auto"/>
                    <w:jc w:val="center"/>
                    <w:rPr>
                      <w:rFonts w:hint="eastAsia"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15.4</w:t>
                  </w:r>
                </w:p>
              </w:tc>
              <w:tc>
                <w:tcPr>
                  <w:tcW w:w="963" w:type="pct"/>
                  <w:vAlign w:val="center"/>
                </w:tcPr>
                <w:p>
                  <w:pPr>
                    <w:spacing w:line="240" w:lineRule="auto"/>
                    <w:jc w:val="center"/>
                    <w:rPr>
                      <w:rFonts w:hint="eastAsia" w:ascii="Times New Roman" w:hAnsi="Times New Roman" w:cs="Times New Roman"/>
                      <w:bCs/>
                      <w:color w:val="auto"/>
                      <w:kern w:val="2"/>
                      <w:sz w:val="21"/>
                      <w:szCs w:val="21"/>
                      <w:lang w:val="en-US" w:eastAsia="zh-CN"/>
                    </w:rPr>
                  </w:pPr>
                  <w:r>
                    <w:rPr>
                      <w:rFonts w:hint="eastAsia" w:ascii="Times New Roman" w:hAnsi="Times New Roman" w:eastAsia="宋体" w:cs="Times New Roman"/>
                      <w:color w:val="000000"/>
                      <w:kern w:val="2"/>
                      <w:sz w:val="21"/>
                      <w:szCs w:val="21"/>
                      <w:lang w:val="en-US" w:eastAsia="zh-CN"/>
                    </w:rPr>
                    <w:t>-</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r>
          </w:tbl>
          <w:p>
            <w:pPr>
              <w:keepNext/>
              <w:keepLines/>
              <w:widowControl w:val="0"/>
              <w:spacing w:line="360" w:lineRule="auto"/>
              <w:ind w:firstLine="480" w:firstLineChars="200"/>
              <w:jc w:val="both"/>
              <w:outlineLvl w:val="1"/>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4"/>
                <w:szCs w:val="24"/>
                <w:lang w:val="en-US" w:eastAsia="zh-CN" w:bidi="ar-SA"/>
              </w:rPr>
              <w:t>根据地表水水质监测结果分析，监测的24项指标中，均满足《地表水环境质量标准》（GB3838-2002）中</w:t>
            </w:r>
            <w:r>
              <w:rPr>
                <w:rFonts w:hint="default" w:ascii="Times New Roman" w:hAnsi="Times New Roman" w:eastAsia="宋体" w:cs="Times New Roman"/>
                <w:b w:val="0"/>
                <w:bCs/>
                <w:color w:val="auto"/>
                <w:kern w:val="2"/>
                <w:sz w:val="24"/>
                <w:szCs w:val="24"/>
                <w:lang w:val="en-US" w:eastAsia="zh-CN" w:bidi="ar-SA"/>
              </w:rPr>
              <w:t>Ⅱ</w:t>
            </w:r>
            <w:r>
              <w:rPr>
                <w:rFonts w:hint="eastAsia" w:ascii="Times New Roman" w:hAnsi="Times New Roman" w:eastAsia="宋体" w:cs="Times New Roman"/>
                <w:b w:val="0"/>
                <w:bCs/>
                <w:color w:val="auto"/>
                <w:kern w:val="2"/>
                <w:sz w:val="24"/>
                <w:szCs w:val="24"/>
                <w:lang w:val="en-US" w:eastAsia="zh-CN" w:bidi="ar-SA"/>
              </w:rPr>
              <w:t>类水体标准限值要求。</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ascii="Times New Roman" w:hAnsi="Times New Roman" w:eastAsia="宋体" w:cs="黑体"/>
                <w:b/>
                <w:sz w:val="28"/>
                <w:szCs w:val="30"/>
                <w:lang w:val="en-US" w:eastAsia="zh-CN" w:bidi="ar-SA"/>
              </w:rPr>
            </w:pPr>
            <w:r>
              <w:rPr>
                <w:rFonts w:hint="default"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3</w:t>
            </w:r>
            <w:r>
              <w:rPr>
                <w:rFonts w:ascii="Times New Roman" w:hAnsi="Times New Roman" w:eastAsia="宋体" w:cs="黑体"/>
                <w:b/>
                <w:sz w:val="28"/>
                <w:szCs w:val="30"/>
                <w:lang w:val="en-US" w:eastAsia="zh-CN" w:bidi="ar-SA"/>
              </w:rPr>
              <w:t>噪声环境质量现状与评价</w:t>
            </w:r>
          </w:p>
          <w:p>
            <w:pPr>
              <w:keepNext/>
              <w:keepLines/>
              <w:widowControl w:val="0"/>
              <w:overflowPunct w:val="0"/>
              <w:autoSpaceDE w:val="0"/>
              <w:autoSpaceDN w:val="0"/>
              <w:bidi w:val="0"/>
              <w:adjustRightInd w:val="0"/>
              <w:snapToGrid w:val="0"/>
              <w:spacing w:before="0" w:beforeLines="0" w:beforeAutospacing="0" w:after="0" w:afterLines="0" w:afterAutospacing="0" w:line="360" w:lineRule="auto"/>
              <w:ind w:left="0" w:right="0" w:firstLine="480" w:firstLineChars="200"/>
              <w:jc w:val="left"/>
              <w:outlineLvl w:val="2"/>
              <w:rPr>
                <w:rFonts w:hint="eastAsia" w:ascii="Times New Roman" w:hAnsi="Times New Roman" w:eastAsia="宋体" w:cs="Times New Roman"/>
                <w:b w:val="0"/>
                <w:bCs/>
                <w:color w:val="000000"/>
                <w:kern w:val="2"/>
                <w:sz w:val="24"/>
                <w:szCs w:val="24"/>
                <w:highlight w:val="none"/>
                <w:lang w:val="en-US" w:eastAsia="zh-CN" w:bidi="ar-SA"/>
              </w:rPr>
            </w:pPr>
            <w:r>
              <w:rPr>
                <w:rFonts w:hint="eastAsia" w:ascii="Times New Roman" w:hAnsi="Times New Roman" w:eastAsia="宋体" w:cs="Times New Roman"/>
                <w:b w:val="0"/>
                <w:bCs/>
                <w:color w:val="000000"/>
                <w:kern w:val="2"/>
                <w:sz w:val="24"/>
                <w:szCs w:val="24"/>
                <w:highlight w:val="none"/>
                <w:lang w:val="en-US" w:eastAsia="zh-CN" w:bidi="ar-SA"/>
              </w:rPr>
              <w:t>本项目属于《声环境质量标准》（GB 3096-2008）中的3类声功能区。根据《建设项目环境影响报告表编制技术指南》（污染影响类）中的“声环境”，本项目周边50m范围内没有声环境保护目标，故无需对环境敏感点进行声环境质量现状监测。</w:t>
            </w:r>
          </w:p>
          <w:p>
            <w:pPr>
              <w:keepNext/>
              <w:keepLines/>
              <w:widowControl w:val="0"/>
              <w:overflowPunct w:val="0"/>
              <w:autoSpaceDE w:val="0"/>
              <w:autoSpaceDN w:val="0"/>
              <w:bidi w:val="0"/>
              <w:adjustRightInd w:val="0"/>
              <w:snapToGrid w:val="0"/>
              <w:spacing w:before="0" w:beforeLines="0" w:beforeAutospacing="0" w:after="0" w:afterLines="0" w:afterAutospacing="0" w:line="360" w:lineRule="auto"/>
              <w:ind w:left="0" w:right="0" w:firstLine="562" w:firstLineChars="200"/>
              <w:jc w:val="left"/>
              <w:outlineLvl w:val="2"/>
              <w:rPr>
                <w:rFonts w:hint="eastAsia" w:ascii="Times New Roman" w:hAnsi="Times New Roman" w:eastAsia="宋体" w:cs="宋体"/>
                <w:b/>
                <w:sz w:val="28"/>
                <w:szCs w:val="22"/>
                <w:lang w:val="en-US" w:eastAsia="zh-CN" w:bidi="ar-SA"/>
              </w:rPr>
            </w:pPr>
            <w:r>
              <w:rPr>
                <w:rFonts w:hint="eastAsia" w:ascii="Times New Roman" w:hAnsi="Times New Roman" w:eastAsia="宋体" w:cs="宋体"/>
                <w:b/>
                <w:sz w:val="28"/>
                <w:szCs w:val="22"/>
                <w:lang w:val="en-US" w:eastAsia="zh-CN" w:bidi="ar-SA"/>
              </w:rPr>
              <w:t>3.4</w:t>
            </w:r>
            <w:r>
              <w:rPr>
                <w:rFonts w:hint="eastAsia" w:cs="宋体"/>
                <w:b/>
                <w:sz w:val="28"/>
                <w:szCs w:val="22"/>
                <w:lang w:val="en-US" w:eastAsia="zh-CN" w:bidi="ar-SA"/>
              </w:rPr>
              <w:t>地下水、</w:t>
            </w:r>
            <w:r>
              <w:rPr>
                <w:rFonts w:hint="eastAsia" w:ascii="Times New Roman" w:hAnsi="Times New Roman" w:eastAsia="宋体" w:cs="宋体"/>
                <w:b/>
                <w:sz w:val="28"/>
                <w:szCs w:val="22"/>
                <w:lang w:val="en-US" w:eastAsia="zh-CN" w:bidi="ar-SA"/>
              </w:rPr>
              <w:t>土壤环境质量现状</w:t>
            </w:r>
          </w:p>
          <w:p>
            <w:pPr>
              <w:overflowPunct w:val="0"/>
              <w:autoSpaceDE w:val="0"/>
              <w:autoSpaceDN w:val="0"/>
              <w:bidi w:val="0"/>
              <w:adjustRightInd w:val="0"/>
              <w:snapToGrid w:val="0"/>
              <w:spacing w:before="0" w:after="0" w:line="360" w:lineRule="auto"/>
              <w:ind w:left="0" w:right="0" w:firstLine="480" w:firstLineChars="200"/>
              <w:jc w:val="both"/>
              <w:rPr>
                <w:rFonts w:hint="eastAsia" w:ascii="宋体" w:hAnsi="Times New Roman" w:eastAsia="宋体" w:cs="宋体"/>
                <w:color w:val="000000"/>
                <w:kern w:val="2"/>
                <w:sz w:val="24"/>
                <w:szCs w:val="24"/>
                <w:lang w:val="en-US" w:eastAsia="zh-CN" w:bidi="ar-SA"/>
              </w:rPr>
            </w:pPr>
            <w:r>
              <w:rPr>
                <w:rFonts w:hint="eastAsia" w:ascii="Times New Roman" w:hAnsi="Times New Roman" w:eastAsia="宋体" w:cs="宋体"/>
                <w:color w:val="auto"/>
                <w:lang w:val="en-US" w:eastAsia="zh-CN"/>
              </w:rPr>
              <w:t>根据《建设项目环境影响报告表编制技术指南（污染影响类）（试行）》，建设项目不存在</w:t>
            </w:r>
            <w:r>
              <w:rPr>
                <w:rFonts w:hint="eastAsia" w:cs="宋体"/>
                <w:color w:val="auto"/>
                <w:lang w:val="en-US" w:eastAsia="zh-CN"/>
              </w:rPr>
              <w:t>地下水、土壤</w:t>
            </w:r>
            <w:r>
              <w:rPr>
                <w:rFonts w:hint="eastAsia" w:ascii="Times New Roman" w:hAnsi="Times New Roman" w:eastAsia="宋体" w:cs="宋体"/>
                <w:color w:val="auto"/>
                <w:lang w:val="en-US" w:eastAsia="zh-CN"/>
              </w:rPr>
              <w:t>环境污染途径，原则上不开展</w:t>
            </w:r>
            <w:r>
              <w:rPr>
                <w:rFonts w:hint="eastAsia" w:cs="宋体"/>
                <w:color w:val="auto"/>
                <w:lang w:val="en-US" w:eastAsia="zh-CN"/>
              </w:rPr>
              <w:t>地下水、土壤</w:t>
            </w:r>
            <w:r>
              <w:rPr>
                <w:rFonts w:hint="eastAsia" w:ascii="Times New Roman" w:hAnsi="Times New Roman" w:eastAsia="宋体" w:cs="宋体"/>
                <w:color w:val="auto"/>
                <w:lang w:val="en-US" w:eastAsia="zh-CN"/>
              </w:rPr>
              <w:t>环境质量现状调查。</w:t>
            </w:r>
            <w:r>
              <w:rPr>
                <w:rFonts w:hint="eastAsia" w:eastAsia="宋体" w:cs="宋体"/>
                <w:color w:val="auto"/>
                <w:lang w:val="en-US" w:eastAsia="zh-CN"/>
              </w:rPr>
              <w:t>本项目</w:t>
            </w:r>
            <w:r>
              <w:rPr>
                <w:rFonts w:hint="eastAsia" w:cs="宋体"/>
                <w:color w:val="auto"/>
                <w:lang w:val="en-US" w:eastAsia="zh-CN"/>
              </w:rPr>
              <w:t>危险废物严格按照</w:t>
            </w:r>
            <w:r>
              <w:rPr>
                <w:rFonts w:hint="default" w:ascii="Times New Roman" w:hAnsi="Times New Roman" w:eastAsia="宋体" w:cs="Times New Roman"/>
                <w:color w:val="auto"/>
                <w:lang w:val="en-US" w:eastAsia="zh-CN"/>
              </w:rPr>
              <w:t>《危险废物贮存污染控制标准》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GB18597-2023</w:t>
            </w:r>
            <w:r>
              <w:rPr>
                <w:rFonts w:hint="eastAsia" w:ascii="Times New Roman" w:hAnsi="Times New Roman" w:eastAsia="宋体" w:cs="Times New Roman"/>
                <w:color w:val="auto"/>
                <w:lang w:val="en-US" w:eastAsia="zh-CN"/>
              </w:rPr>
              <w:t>）贮存，并设置严格的分区防渗，不存在地下水、土壤污染途径，可</w:t>
            </w:r>
            <w:r>
              <w:rPr>
                <w:rFonts w:hint="eastAsia" w:eastAsia="宋体" w:cs="宋体"/>
                <w:color w:val="auto"/>
                <w:lang w:val="en-US" w:eastAsia="zh-CN"/>
              </w:rPr>
              <w:t>不开展</w:t>
            </w:r>
            <w:r>
              <w:rPr>
                <w:rFonts w:hint="eastAsia" w:cs="宋体"/>
                <w:color w:val="auto"/>
                <w:lang w:val="en-US" w:eastAsia="zh-CN"/>
              </w:rPr>
              <w:t>地下水、土壤</w:t>
            </w:r>
            <w:r>
              <w:rPr>
                <w:rFonts w:hint="eastAsia" w:eastAsia="宋体" w:cs="宋体"/>
                <w:color w:val="auto"/>
                <w:lang w:val="en-US" w:eastAsia="zh-CN"/>
              </w:rPr>
              <w:t>环境影响评价。</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cs="Times New Roman" w:eastAsiaTheme="minorEastAsia"/>
                <w:b/>
                <w:sz w:val="24"/>
                <w:szCs w:val="24"/>
                <w:lang w:val="en-US" w:eastAsia="zh-CN" w:bidi="ar-SA"/>
              </w:rPr>
            </w:pPr>
            <w:r>
              <w:rPr>
                <w:rFonts w:hint="eastAsia" w:ascii="Times New Roman" w:hAnsi="Times New Roman" w:eastAsia="宋体" w:cs="黑体"/>
                <w:b/>
                <w:sz w:val="28"/>
                <w:szCs w:val="30"/>
                <w:lang w:val="en-US" w:eastAsia="zh-CN" w:bidi="ar-SA"/>
              </w:rPr>
              <w:t>3.5生态环境</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根据《环境影响评价技术导则</w:t>
            </w:r>
            <w:r>
              <w:rPr>
                <w:rFonts w:hint="eastAsia" w:ascii="Times New Roman" w:hAnsi="Times New Roman" w:eastAsia="宋体"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eastAsia="zh-CN"/>
              </w:rPr>
              <w:t>生态影响》（HJ19-2011）</w:t>
            </w:r>
            <w:r>
              <w:rPr>
                <w:rFonts w:hint="eastAsia" w:ascii="Times New Roman" w:hAnsi="Times New Roman" w:eastAsia="宋体" w:cs="Times New Roman"/>
                <w:color w:val="auto"/>
                <w:kern w:val="2"/>
                <w:sz w:val="24"/>
                <w:szCs w:val="24"/>
                <w:lang w:eastAsia="zh-CN"/>
              </w:rPr>
              <w:t>，符合生态环境分区管控要求且位于原厂界（或永久用地）范围内的污染影响类改扩建项目，位于已批准规划环评的产业园区内且符合规划环评要求、不涉及生态敏感区的污染影响类建设项目，可不确定评价等级，直接进行生态影响简单分析</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rPr>
              <w:t>根据</w:t>
            </w:r>
            <w:r>
              <w:rPr>
                <w:rFonts w:hint="eastAsia" w:ascii="Times New Roman" w:hAnsi="Times New Roman" w:eastAsia="宋体" w:cs="宋体"/>
                <w:color w:val="auto"/>
                <w:lang w:val="en-US" w:eastAsia="zh-CN"/>
              </w:rPr>
              <w:t>《建设项目环境影响报告表编制技术指南（污染影响类）（试行）》产业园区外建设项目新增用地且用地范围内含有生态环境保护目标时</w:t>
            </w:r>
            <w:r>
              <w:rPr>
                <w:rFonts w:hint="default" w:ascii="Times New Roman" w:hAnsi="Times New Roman" w:eastAsia="宋体" w:cs="Times New Roman"/>
                <w:color w:val="auto"/>
                <w:kern w:val="2"/>
                <w:sz w:val="24"/>
                <w:szCs w:val="24"/>
                <w:lang w:val="en-US" w:eastAsia="zh-CN"/>
              </w:rPr>
              <w:t>，</w:t>
            </w:r>
            <w:r>
              <w:rPr>
                <w:rFonts w:hint="eastAsia" w:ascii="Times New Roman" w:hAnsi="Times New Roman" w:eastAsia="宋体" w:cs="Times New Roman"/>
                <w:color w:val="auto"/>
                <w:kern w:val="2"/>
                <w:sz w:val="24"/>
                <w:szCs w:val="24"/>
                <w:lang w:val="en-US" w:eastAsia="zh-CN"/>
              </w:rPr>
              <w:t>应进行生态现状调查</w:t>
            </w:r>
            <w:r>
              <w:rPr>
                <w:rFonts w:hint="default" w:ascii="Times New Roman" w:hAnsi="Times New Roman" w:eastAsia="宋体" w:cs="Times New Roman"/>
                <w:color w:val="auto"/>
                <w:kern w:val="2"/>
                <w:sz w:val="24"/>
                <w:szCs w:val="24"/>
                <w:lang w:eastAsia="zh-CN"/>
              </w:rPr>
              <w:t>。</w:t>
            </w:r>
          </w:p>
          <w:p>
            <w:pPr>
              <w:keepNext w:val="0"/>
              <w:keepLines w:val="0"/>
              <w:pageBreakBefore w:val="0"/>
              <w:wordWrap/>
              <w:overflowPunct w:val="0"/>
              <w:topLinePunct w:val="0"/>
              <w:autoSpaceDE/>
              <w:autoSpaceDN/>
              <w:bidi w:val="0"/>
              <w:adjustRightInd/>
              <w:snapToGrid/>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Times New Roman"/>
                <w:sz w:val="24"/>
                <w:szCs w:val="24"/>
                <w:lang w:val="en-US" w:eastAsia="zh-CN"/>
              </w:rPr>
              <w:t>本项目位于新疆呼图壁县石梯子西沟煤矿</w:t>
            </w:r>
            <w:r>
              <w:rPr>
                <w:rFonts w:hint="eastAsia" w:cs="Times New Roman"/>
                <w:sz w:val="24"/>
                <w:szCs w:val="24"/>
                <w:lang w:val="en-US" w:eastAsia="zh-CN"/>
              </w:rPr>
              <w:t>现有工程</w:t>
            </w:r>
            <w:r>
              <w:rPr>
                <w:rFonts w:hint="eastAsia" w:ascii="Times New Roman" w:hAnsi="Times New Roman" w:eastAsia="宋体" w:cs="Times New Roman"/>
                <w:sz w:val="24"/>
                <w:szCs w:val="24"/>
                <w:lang w:val="en-US" w:eastAsia="zh-CN"/>
              </w:rPr>
              <w:t>内，无新增用地，进行简单分析即可。</w:t>
            </w:r>
            <w:r>
              <w:rPr>
                <w:rFonts w:hint="default" w:ascii="Times New Roman" w:hAnsi="Times New Roman" w:eastAsia="宋体" w:cs="Times New Roman"/>
                <w:sz w:val="24"/>
                <w:szCs w:val="24"/>
              </w:rPr>
              <w:t>评价范围内环境的功能具有一定的稳定性及可持续发展性，具有一定的承受干扰的能力及生态完整性。</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3.6电磁辐射</w:t>
            </w:r>
          </w:p>
          <w:p>
            <w:pPr>
              <w:widowControl w:val="0"/>
              <w:numPr>
                <w:ilvl w:val="0"/>
                <w:numId w:val="0"/>
              </w:numPr>
              <w:overflowPunct w:val="0"/>
              <w:autoSpaceDE w:val="0"/>
              <w:autoSpaceDN w:val="0"/>
              <w:adjustRightInd w:val="0"/>
              <w:snapToGrid w:val="0"/>
              <w:spacing w:before="0" w:after="0" w:line="360" w:lineRule="auto"/>
              <w:ind w:left="480" w:leftChars="200" w:right="0" w:rightChars="0" w:firstLine="480" w:firstLineChars="200"/>
              <w:jc w:val="left"/>
              <w:rPr>
                <w:rFonts w:hint="default" w:ascii="Times New Roman" w:hAnsi="Times New Roman" w:eastAsia="宋体" w:cs="Times New Roman"/>
                <w:snapToGrid/>
                <w:kern w:val="2"/>
                <w:sz w:val="24"/>
                <w:szCs w:val="24"/>
                <w:lang w:val="en-US" w:eastAsia="zh-CN" w:bidi="ar-SA"/>
              </w:rPr>
            </w:pPr>
            <w:r>
              <w:rPr>
                <w:rFonts w:hint="eastAsia" w:ascii="Times New Roman" w:hAnsi="Times New Roman" w:eastAsia="宋体" w:cs="宋体"/>
                <w:sz w:val="24"/>
                <w:szCs w:val="22"/>
                <w:lang w:val="en-US" w:eastAsia="zh-CN" w:bidi="ar-SA"/>
              </w:rPr>
              <w:t>本项目建设不含有电磁辐射内容。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环</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境</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保</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护</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目</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hint="eastAsia" w:ascii="Times New Roman" w:hAnsi="Times New Roman" w:eastAsia="宋体" w:cs="宋体"/>
                <w:lang w:val="en-US" w:eastAsia="zh-Hans"/>
              </w:rPr>
              <w:t>标</w:t>
            </w:r>
          </w:p>
        </w:tc>
        <w:tc>
          <w:tcPr>
            <w:tcW w:w="837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7</w:t>
            </w:r>
            <w:r>
              <w:rPr>
                <w:rFonts w:ascii="Times New Roman" w:hAnsi="Times New Roman" w:eastAsia="宋体" w:cs="黑体"/>
                <w:b/>
                <w:sz w:val="28"/>
                <w:szCs w:val="30"/>
                <w:lang w:val="en-US" w:eastAsia="zh-CN" w:bidi="ar-SA"/>
              </w:rPr>
              <w:t>主要环境敏感目标</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ascii="Times New Roman" w:hAnsi="Times New Roman" w:eastAsia="宋体" w:cs="宋体"/>
              </w:rPr>
              <w:t>根据本项目特点和外环境特征确定环境保护目标如下：</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（1）</w:t>
            </w:r>
            <w:r>
              <w:rPr>
                <w:rFonts w:hint="eastAsia" w:ascii="Times New Roman" w:hAnsi="Times New Roman" w:eastAsia="宋体" w:cs="宋体"/>
              </w:rPr>
              <w:t>空气环境：保护项目区所在的区域环境空气质量，不因本项目实施而降低空气质量级别。</w:t>
            </w:r>
            <w:r>
              <w:rPr>
                <w:rFonts w:hint="eastAsia" w:ascii="Times New Roman" w:hAnsi="Times New Roman" w:eastAsia="宋体" w:cs="宋体"/>
                <w:lang w:val="en-US" w:eastAsia="zh-CN"/>
              </w:rPr>
              <w:t>根据现场调查，厂界外500米范围内不存在大气环境保护目标。</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2</w:t>
            </w:r>
            <w:r>
              <w:rPr>
                <w:rFonts w:hint="eastAsia" w:ascii="Times New Roman" w:hAnsi="Times New Roman" w:eastAsia="宋体" w:cs="宋体"/>
                <w:lang w:eastAsia="zh-CN"/>
              </w:rPr>
              <w:t>）</w:t>
            </w:r>
            <w:r>
              <w:rPr>
                <w:rFonts w:hint="eastAsia" w:ascii="Times New Roman" w:hAnsi="Times New Roman" w:eastAsia="宋体" w:cs="宋体"/>
              </w:rPr>
              <w:t>声环境：</w:t>
            </w:r>
            <w:r>
              <w:rPr>
                <w:rFonts w:hint="eastAsia" w:ascii="Times New Roman" w:hAnsi="Times New Roman" w:eastAsia="宋体" w:cs="宋体"/>
                <w:lang w:val="en-US" w:eastAsia="zh-CN"/>
              </w:rPr>
              <w:t>根据现场调查，厂界50米范围内无声环境保护目标；</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3</w:t>
            </w:r>
            <w:r>
              <w:rPr>
                <w:rFonts w:hint="eastAsia" w:ascii="Times New Roman" w:hAnsi="Times New Roman" w:eastAsia="宋体" w:cs="宋体"/>
                <w:lang w:eastAsia="zh-CN"/>
              </w:rPr>
              <w:t>）</w:t>
            </w:r>
            <w:r>
              <w:rPr>
                <w:rFonts w:hint="eastAsia" w:ascii="Times New Roman" w:hAnsi="Times New Roman" w:eastAsia="宋体" w:cs="宋体"/>
                <w:lang w:val="en-US" w:eastAsia="zh-CN"/>
              </w:rPr>
              <w:t>地下</w:t>
            </w:r>
            <w:r>
              <w:rPr>
                <w:rFonts w:hint="eastAsia" w:ascii="Times New Roman" w:hAnsi="Times New Roman" w:eastAsia="宋体" w:cs="宋体"/>
              </w:rPr>
              <w:t>水环境：</w:t>
            </w:r>
            <w:r>
              <w:rPr>
                <w:rFonts w:hint="eastAsia" w:ascii="Times New Roman" w:hAnsi="Times New Roman" w:eastAsia="宋体" w:cs="宋体"/>
                <w:lang w:val="en-US" w:eastAsia="zh-CN"/>
              </w:rPr>
              <w:t>根据现场调查，厂界外500米范围内无地下水集中式饮用水源和热水、矿泉水、温泉等特殊地下水资源</w:t>
            </w:r>
            <w:r>
              <w:rPr>
                <w:rFonts w:hint="eastAsia" w:ascii="Times New Roman" w:hAnsi="Times New Roman" w:eastAsia="宋体" w:cs="宋体"/>
              </w:rPr>
              <w:t>；</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4</w:t>
            </w:r>
            <w:r>
              <w:rPr>
                <w:rFonts w:hint="eastAsia" w:ascii="Times New Roman" w:hAnsi="Times New Roman" w:eastAsia="宋体" w:cs="宋体"/>
                <w:lang w:eastAsia="zh-CN"/>
              </w:rPr>
              <w:t>）</w:t>
            </w:r>
            <w:r>
              <w:rPr>
                <w:rFonts w:hint="eastAsia" w:ascii="Times New Roman" w:hAnsi="Times New Roman" w:eastAsia="宋体" w:cs="宋体"/>
                <w:lang w:val="en-US" w:eastAsia="zh-CN"/>
              </w:rPr>
              <w:t>生态环境：本项目建设所在地属于工业用地，项目用地范围内无生态环境保护目标。</w:t>
            </w:r>
          </w:p>
          <w:p>
            <w:pPr>
              <w:widowControl w:val="0"/>
              <w:overflowPunct w:val="0"/>
              <w:autoSpaceDE w:val="0"/>
              <w:autoSpaceDN w:val="0"/>
              <w:adjustRightInd w:val="0"/>
              <w:snapToGrid w:val="0"/>
              <w:spacing w:before="0" w:after="0" w:line="560" w:lineRule="exact"/>
              <w:ind w:left="0" w:leftChars="0" w:right="0" w:rightChars="0" w:firstLine="562" w:firstLineChars="200"/>
              <w:jc w:val="left"/>
              <w:outlineLvl w:val="9"/>
              <w:rPr>
                <w:rFonts w:ascii="Times New Roman" w:hAnsi="Times New Roman" w:eastAsia="宋体" w:cs="黑体"/>
                <w:b/>
                <w:sz w:val="28"/>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rPr>
            </w:pPr>
            <w:r>
              <w:rPr>
                <w:rFonts w:ascii="Times New Roman" w:hAnsi="Times New Roman" w:eastAsia="宋体" w:cs="宋体"/>
              </w:rPr>
              <w:t>污</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rPr>
            </w:pPr>
            <w:r>
              <w:rPr>
                <w:rFonts w:ascii="Times New Roman" w:hAnsi="Times New Roman" w:eastAsia="宋体" w:cs="宋体"/>
              </w:rPr>
              <w:t>染</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物</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排</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放</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控</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制</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标</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hint="eastAsia" w:ascii="Times New Roman" w:hAnsi="Times New Roman" w:eastAsia="宋体" w:cs="宋体"/>
                <w:lang w:val="en-US" w:eastAsia="zh-Hans"/>
              </w:rPr>
              <w:t>准</w:t>
            </w:r>
          </w:p>
        </w:tc>
        <w:tc>
          <w:tcPr>
            <w:tcW w:w="8375" w:type="dxa"/>
            <w:vAlign w:val="top"/>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color w:val="000000" w:themeColor="text1"/>
                <w:sz w:val="28"/>
                <w:szCs w:val="30"/>
                <w:lang w:val="en-US" w:eastAsia="zh-CN" w:bidi="ar-SA"/>
                <w14:textFill>
                  <w14:solidFill>
                    <w14:schemeClr w14:val="tx1"/>
                  </w14:solidFill>
                </w14:textFill>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8污染物排放控制标准</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left"/>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1</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大气污染物排放标准</w:t>
            </w:r>
          </w:p>
          <w:p>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宋体"/>
                <w:color w:val="000000" w:themeColor="text1"/>
                <w:lang w:val="en-US" w:eastAsia="zh-CN"/>
                <w14:textFill>
                  <w14:solidFill>
                    <w14:schemeClr w14:val="tx1"/>
                  </w14:solidFill>
                </w14:textFill>
              </w:rPr>
            </w:pPr>
            <w:r>
              <w:rPr>
                <w:rFonts w:hint="eastAsia" w:cs="Times New Roman"/>
                <w:kern w:val="2"/>
                <w:sz w:val="24"/>
                <w:szCs w:val="24"/>
                <w:lang w:val="en-US" w:eastAsia="zh-CN" w:bidi="ar-SA"/>
              </w:rPr>
              <w:t>本项目瓦斯执行《煤层气（煤矿瓦斯）排放标准（暂行）》（GB21522-2008）表1 煤层气（煤矿瓦斯）排放限值</w:t>
            </w:r>
            <w:r>
              <w:rPr>
                <w:rFonts w:hint="eastAsia" w:ascii="Times New Roman" w:hAnsi="Times New Roman" w:eastAsia="宋体" w:cs="Times New Roman"/>
                <w:kern w:val="2"/>
                <w:sz w:val="24"/>
                <w:szCs w:val="24"/>
                <w:lang w:val="en-US" w:eastAsia="zh-CN" w:bidi="ar-SA"/>
              </w:rPr>
              <w:t>。</w:t>
            </w:r>
          </w:p>
          <w:p>
            <w:pPr>
              <w:widowControl w:val="0"/>
              <w:overflowPunct w:val="0"/>
              <w:autoSpaceDE w:val="0"/>
              <w:autoSpaceDN w:val="0"/>
              <w:bidi w:val="0"/>
              <w:adjustRightInd w:val="0"/>
              <w:snapToGrid w:val="0"/>
              <w:spacing w:line="400" w:lineRule="exact"/>
              <w:ind w:firstLine="0" w:firstLineChars="0"/>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表</w:t>
            </w:r>
            <w:r>
              <w:rPr>
                <w:rFonts w:hint="eastAsia" w:ascii="Times New Roman" w:hAnsi="Times New Roman" w:eastAsia="宋体" w:cs="Times New Roman"/>
                <w:b/>
                <w:kern w:val="2"/>
                <w:sz w:val="24"/>
                <w:szCs w:val="24"/>
                <w:lang w:val="en-US" w:eastAsia="zh-CN" w:bidi="ar-SA"/>
              </w:rPr>
              <w:t>3.8-1</w:t>
            </w:r>
            <w:r>
              <w:rPr>
                <w:rFonts w:hint="eastAsia" w:cs="Times New Roman"/>
                <w:b/>
                <w:kern w:val="2"/>
                <w:sz w:val="24"/>
                <w:szCs w:val="24"/>
                <w:lang w:val="en-US" w:eastAsia="zh-CN" w:bidi="ar-SA"/>
              </w:rPr>
              <w:t xml:space="preserve">  </w:t>
            </w:r>
            <w:r>
              <w:rPr>
                <w:rFonts w:hint="default" w:ascii="Times New Roman" w:hAnsi="Times New Roman" w:eastAsia="宋体" w:cs="Times New Roman"/>
                <w:b/>
                <w:kern w:val="2"/>
                <w:sz w:val="24"/>
                <w:szCs w:val="24"/>
                <w:lang w:val="en-US" w:eastAsia="zh-CN" w:bidi="ar-SA"/>
              </w:rPr>
              <w:t>大气污染物排放所执行的标准</w:t>
            </w:r>
          </w:p>
          <w:tbl>
            <w:tblPr>
              <w:tblStyle w:val="19"/>
              <w:tblW w:w="82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67"/>
              <w:gridCol w:w="1166"/>
              <w:gridCol w:w="1089"/>
              <w:gridCol w:w="28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污染源</w:t>
                  </w:r>
                </w:p>
              </w:tc>
              <w:tc>
                <w:tcPr>
                  <w:tcW w:w="1567"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污染物</w:t>
                  </w:r>
                </w:p>
              </w:tc>
              <w:tc>
                <w:tcPr>
                  <w:tcW w:w="1166"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eastAsia"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排放浓度mg/</w:t>
                  </w:r>
                  <w:r>
                    <w:rPr>
                      <w:rFonts w:hint="eastAsia" w:ascii="Times New Roman" w:hAnsi="Times New Roman" w:eastAsia="宋体" w:cs="Times New Roman"/>
                      <w:b/>
                      <w:bCs/>
                      <w:kern w:val="2"/>
                      <w:sz w:val="21"/>
                      <w:szCs w:val="21"/>
                      <w:lang w:val="en-US" w:eastAsia="zh-CN" w:bidi="ar-SA"/>
                    </w:rPr>
                    <w:t>m</w:t>
                  </w:r>
                  <w:r>
                    <w:rPr>
                      <w:rFonts w:hint="eastAsia" w:ascii="Times New Roman" w:hAnsi="Times New Roman" w:eastAsia="宋体" w:cs="Times New Roman"/>
                      <w:b/>
                      <w:bCs/>
                      <w:kern w:val="2"/>
                      <w:sz w:val="21"/>
                      <w:szCs w:val="21"/>
                      <w:vertAlign w:val="superscript"/>
                      <w:lang w:val="en-US" w:eastAsia="zh-CN" w:bidi="ar-SA"/>
                    </w:rPr>
                    <w:t>3</w:t>
                  </w:r>
                </w:p>
              </w:tc>
              <w:tc>
                <w:tcPr>
                  <w:tcW w:w="1089"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排放速率kg/h</w:t>
                  </w:r>
                </w:p>
              </w:tc>
              <w:tc>
                <w:tcPr>
                  <w:tcW w:w="2884"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煤矿瓦斯抽放系统</w:t>
                  </w:r>
                </w:p>
              </w:tc>
              <w:tc>
                <w:tcPr>
                  <w:tcW w:w="1567"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高浓度瓦斯（甲烷浓度≥30%）</w:t>
                  </w:r>
                </w:p>
              </w:tc>
              <w:tc>
                <w:tcPr>
                  <w:tcW w:w="1166"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禁止排放</w:t>
                  </w:r>
                </w:p>
              </w:tc>
              <w:tc>
                <w:tcPr>
                  <w:tcW w:w="1089"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2884" w:type="dxa"/>
                  <w:vMerge w:val="restart"/>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《煤层气（煤矿瓦斯）排放标准（暂行）》（GB21522-2008）表1 煤层气（煤矿瓦斯）排放限值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p>
              </w:tc>
              <w:tc>
                <w:tcPr>
                  <w:tcW w:w="1567"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kern w:val="2"/>
                      <w:sz w:val="21"/>
                      <w:szCs w:val="21"/>
                      <w:lang w:val="en-US" w:eastAsia="zh-CN" w:bidi="ar-SA"/>
                    </w:rPr>
                    <w:t>低</w:t>
                  </w:r>
                  <w:r>
                    <w:rPr>
                      <w:rFonts w:hint="default" w:ascii="Times New Roman" w:hAnsi="Times New Roman" w:eastAsia="宋体" w:cs="Times New Roman"/>
                      <w:kern w:val="2"/>
                      <w:sz w:val="21"/>
                      <w:szCs w:val="21"/>
                      <w:lang w:val="en-US" w:eastAsia="zh-CN" w:bidi="ar-SA"/>
                    </w:rPr>
                    <w:t>浓度瓦斯（甲烷浓度＜30%）</w:t>
                  </w:r>
                </w:p>
              </w:tc>
              <w:tc>
                <w:tcPr>
                  <w:tcW w:w="1166"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089"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884" w:type="dxa"/>
                  <w:vMerge w:val="continue"/>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eastAsia" w:ascii="Times New Roman" w:hAnsi="Times New Roman" w:eastAsia="宋体" w:cs="Times New Roman"/>
                      <w:kern w:val="2"/>
                      <w:sz w:val="21"/>
                      <w:szCs w:val="21"/>
                      <w:lang w:val="en-US" w:eastAsia="zh-CN" w:bidi="ar-SA"/>
                    </w:rPr>
                  </w:pPr>
                </w:p>
              </w:tc>
            </w:tr>
          </w:tbl>
          <w:p>
            <w:pPr>
              <w:keepNext w:val="0"/>
              <w:keepLines w:val="0"/>
              <w:pageBreakBefore w:val="0"/>
              <w:widowControl w:val="0"/>
              <w:numPr>
                <w:ilvl w:val="0"/>
                <w:numId w:val="4"/>
              </w:numPr>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废水排放标准</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cs="Times New Roman"/>
                <w:kern w:val="2"/>
                <w:sz w:val="24"/>
                <w:szCs w:val="24"/>
                <w:lang w:val="en-US" w:eastAsia="zh-CN" w:bidi="ar-SA"/>
              </w:rPr>
            </w:pPr>
            <w:r>
              <w:rPr>
                <w:rFonts w:hint="eastAsia" w:cs="Times New Roman"/>
                <w:kern w:val="2"/>
                <w:sz w:val="24"/>
                <w:szCs w:val="24"/>
                <w:lang w:val="en-US" w:eastAsia="zh-CN" w:bidi="ar-SA"/>
              </w:rPr>
              <w:t>生产废水</w:t>
            </w:r>
            <w:r>
              <w:rPr>
                <w:rFonts w:hint="eastAsia" w:ascii="Times New Roman" w:hAnsi="Times New Roman" w:cs="Times New Roman"/>
                <w:kern w:val="2"/>
                <w:sz w:val="24"/>
                <w:szCs w:val="24"/>
                <w:lang w:val="en-US" w:eastAsia="zh-CN" w:bidi="ar-SA"/>
              </w:rPr>
              <w:t>执行《煤炭工业污染物排放标准》（GB20426-2006）</w:t>
            </w:r>
            <w:r>
              <w:rPr>
                <w:rFonts w:hint="default" w:ascii="Times New Roman" w:hAnsi="Times New Roman" w:cs="Times New Roman"/>
                <w:kern w:val="2"/>
                <w:sz w:val="24"/>
                <w:szCs w:val="24"/>
                <w:lang w:val="en-US" w:eastAsia="zh-CN" w:bidi="ar-SA"/>
              </w:rPr>
              <w:t>以及《污水综合排放标准》（GB8978-1996）一级标准</w:t>
            </w:r>
            <w:r>
              <w:rPr>
                <w:rFonts w:hint="eastAsia" w:ascii="Times New Roman" w:hAnsi="Times New Roman" w:cs="Times New Roman"/>
                <w:kern w:val="2"/>
                <w:sz w:val="24"/>
                <w:szCs w:val="24"/>
                <w:lang w:val="en-US" w:eastAsia="zh-CN" w:bidi="ar-SA"/>
              </w:rPr>
              <w:t>。</w:t>
            </w:r>
          </w:p>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b/>
                <w:color w:val="auto"/>
                <w:sz w:val="24"/>
                <w:szCs w:val="24"/>
                <w:highlight w:val="none"/>
                <w:lang w:val="en-US" w:eastAsia="zh-CN" w:bidi="ar-SA"/>
              </w:rPr>
            </w:pPr>
            <w:r>
              <w:rPr>
                <w:rFonts w:hint="eastAsia" w:ascii="Times New Roman" w:hAnsi="Times New Roman" w:eastAsia="宋体" w:cs="宋体"/>
                <w:b/>
                <w:color w:val="auto"/>
                <w:sz w:val="24"/>
                <w:szCs w:val="24"/>
                <w:highlight w:val="none"/>
                <w:lang w:val="en-US" w:eastAsia="zh-CN" w:bidi="ar-SA"/>
              </w:rPr>
              <w:t>表3.8-</w:t>
            </w:r>
            <w:r>
              <w:rPr>
                <w:rFonts w:hint="eastAsia" w:cs="宋体"/>
                <w:b/>
                <w:color w:val="auto"/>
                <w:sz w:val="24"/>
                <w:szCs w:val="24"/>
                <w:highlight w:val="none"/>
                <w:lang w:val="en-US" w:eastAsia="zh-CN" w:bidi="ar-SA"/>
              </w:rPr>
              <w:t>2  生活污水</w:t>
            </w:r>
            <w:r>
              <w:rPr>
                <w:rFonts w:hint="eastAsia" w:ascii="Times New Roman" w:hAnsi="Times New Roman" w:eastAsia="宋体" w:cs="宋体"/>
                <w:b/>
                <w:color w:val="auto"/>
                <w:sz w:val="24"/>
                <w:szCs w:val="24"/>
                <w:highlight w:val="none"/>
                <w:lang w:val="en-US" w:eastAsia="zh-CN" w:bidi="ar-SA"/>
              </w:rPr>
              <w:t xml:space="preserve">排放标准限值 单位：mg/L </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98"/>
              <w:gridCol w:w="2428"/>
              <w:gridCol w:w="1216"/>
              <w:gridCol w:w="14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0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标准号</w:t>
                  </w:r>
                </w:p>
              </w:tc>
              <w:tc>
                <w:tcPr>
                  <w:tcW w:w="24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污染因子</w:t>
                  </w:r>
                </w:p>
              </w:tc>
              <w:tc>
                <w:tcPr>
                  <w:tcW w:w="12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单位</w:t>
                  </w: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atLeast"/>
                <w:jc w:val="center"/>
              </w:trPr>
              <w:tc>
                <w:tcPr>
                  <w:tcW w:w="30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4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12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企业生活污水总排放口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0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《污水综合排放标准》（GB8978-1996）</w:t>
                  </w:r>
                </w:p>
              </w:tc>
              <w:tc>
                <w:tcPr>
                  <w:tcW w:w="242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pH</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atLeast"/>
                <w:jc w:val="center"/>
              </w:trPr>
              <w:tc>
                <w:tcPr>
                  <w:tcW w:w="30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42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溶解性总固体</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mg/L</w:t>
                  </w: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09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《煤炭工业污染物排放标准》（GB20426-2006）</w:t>
                  </w:r>
                </w:p>
              </w:tc>
              <w:tc>
                <w:tcPr>
                  <w:tcW w:w="242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COD</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mg/L</w:t>
                  </w: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50</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3</w:t>
            </w:r>
            <w:r>
              <w:rPr>
                <w:rFonts w:hint="eastAsia"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噪声排放标准</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施工期执行</w:t>
            </w:r>
            <w:r>
              <w:rPr>
                <w:rFonts w:hint="eastAsia" w:ascii="Times New Roman" w:hAnsi="Times New Roman" w:eastAsia="宋体" w:cs="宋体"/>
                <w:color w:val="000000" w:themeColor="text1"/>
                <w14:textFill>
                  <w14:solidFill>
                    <w14:schemeClr w14:val="tx1"/>
                  </w14:solidFill>
                </w14:textFill>
              </w:rPr>
              <w:t>《建筑施工场界环境噪声排放标准》(GB12523-2011)</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昼间：70dB（A）、夜间：55dB（A）</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运营期执行《工业企业厂界环境噪声排放标准》（GB12348-2008）</w:t>
            </w:r>
            <w:r>
              <w:rPr>
                <w:rFonts w:hint="eastAsia" w:ascii="Times New Roman" w:hAnsi="Times New Roman" w:eastAsia="宋体" w:cs="宋体"/>
                <w:color w:val="000000" w:themeColor="text1"/>
                <w:lang w:val="en-US" w:eastAsia="zh-CN"/>
                <w14:textFill>
                  <w14:solidFill>
                    <w14:schemeClr w14:val="tx1"/>
                  </w14:solidFill>
                </w14:textFill>
              </w:rPr>
              <w:t>3</w:t>
            </w:r>
            <w:r>
              <w:rPr>
                <w:rFonts w:hint="eastAsia" w:ascii="Times New Roman" w:hAnsi="Times New Roman" w:eastAsia="宋体" w:cs="宋体"/>
                <w:color w:val="000000" w:themeColor="text1"/>
                <w14:textFill>
                  <w14:solidFill>
                    <w14:schemeClr w14:val="tx1"/>
                  </w14:solidFill>
                </w14:textFill>
              </w:rPr>
              <w:t>类的标准限值</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昼间：65dB（A）、夜间：55dB（A）</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rPr>
            </w:pPr>
            <w:r>
              <w:rPr>
                <w:rFonts w:hint="eastAsia" w:ascii="Times New Roman" w:hAnsi="Times New Roman" w:eastAsia="宋体" w:cs="宋体"/>
                <w:lang w:val="en-US" w:eastAsia="zh-CN"/>
              </w:rPr>
              <w:t>（3）</w:t>
            </w:r>
            <w:r>
              <w:rPr>
                <w:rFonts w:hint="eastAsia" w:ascii="Times New Roman" w:hAnsi="Times New Roman" w:eastAsia="宋体" w:cs="宋体"/>
              </w:rPr>
              <w:t>固体废物</w:t>
            </w:r>
            <w:r>
              <w:rPr>
                <w:rFonts w:hint="eastAsia" w:ascii="Times New Roman" w:hAnsi="Times New Roman" w:eastAsia="宋体" w:cs="宋体"/>
                <w:lang w:eastAsia="zh-CN"/>
              </w:rPr>
              <w:t>排放执行标准</w:t>
            </w:r>
          </w:p>
          <w:p>
            <w:pPr>
              <w:overflowPunct w:val="0"/>
              <w:autoSpaceDE w:val="0"/>
              <w:autoSpaceDN w:val="0"/>
              <w:bidi w:val="0"/>
              <w:adjustRightInd w:val="0"/>
              <w:snapToGrid w:val="0"/>
              <w:spacing w:before="0" w:after="0" w:line="360" w:lineRule="auto"/>
              <w:ind w:left="0" w:leftChars="0" w:right="0" w:rightChars="0" w:firstLine="480" w:firstLineChars="200"/>
              <w:jc w:val="left"/>
              <w:rPr>
                <w:rFonts w:ascii="Times New Roman" w:hAnsi="Times New Roman" w:eastAsia="宋体" w:cs="宋体"/>
                <w:vertAlign w:val="baseline"/>
              </w:rPr>
            </w:pPr>
            <w:r>
              <w:rPr>
                <w:rFonts w:hint="default" w:ascii="Times New Roman" w:hAnsi="Times New Roman" w:eastAsia="宋体" w:cs="Times New Roman"/>
              </w:rPr>
              <w:t>一般固体废物执行</w:t>
            </w:r>
            <w:r>
              <w:rPr>
                <w:rFonts w:hint="default" w:ascii="Times New Roman" w:hAnsi="Times New Roman" w:eastAsia="宋体" w:cs="Times New Roman"/>
                <w:lang w:eastAsia="zh-CN"/>
              </w:rPr>
              <w:t>《一般工业固体废物贮存和填埋场污染控制标准》（GB18599-2020）；</w:t>
            </w:r>
            <w:r>
              <w:rPr>
                <w:rFonts w:hint="default" w:ascii="Times New Roman" w:hAnsi="Times New Roman" w:eastAsia="宋体" w:cs="Times New Roman"/>
                <w:color w:val="auto"/>
              </w:rPr>
              <w:t>危险废物在厂区内的贮存执行</w:t>
            </w:r>
            <w:r>
              <w:rPr>
                <w:rFonts w:hint="default" w:ascii="Times New Roman" w:hAnsi="Times New Roman" w:eastAsia="宋体" w:cs="Times New Roman"/>
                <w:color w:val="auto"/>
                <w:lang w:val="en-US" w:eastAsia="zh-CN"/>
              </w:rPr>
              <w:t>《危险废物贮存污染控制标准》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GB18597-2023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rPr>
            </w:pPr>
            <w:r>
              <w:rPr>
                <w:rFonts w:hint="eastAsia" w:ascii="Times New Roman" w:hAnsi="Times New Roman" w:eastAsia="宋体" w:cs="宋体"/>
              </w:rPr>
              <w:t>总</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rPr>
            </w:pPr>
            <w:r>
              <w:rPr>
                <w:rFonts w:hint="eastAsia" w:ascii="Times New Roman" w:hAnsi="Times New Roman" w:eastAsia="宋体" w:cs="宋体"/>
              </w:rPr>
              <w:t>量</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rPr>
            </w:pPr>
            <w:r>
              <w:rPr>
                <w:rFonts w:hint="eastAsia" w:ascii="Times New Roman" w:hAnsi="Times New Roman" w:eastAsia="宋体" w:cs="宋体"/>
              </w:rPr>
              <w:t>控</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rPr>
            </w:pPr>
            <w:r>
              <w:rPr>
                <w:rFonts w:hint="eastAsia" w:ascii="Times New Roman" w:hAnsi="Times New Roman" w:eastAsia="宋体" w:cs="宋体"/>
              </w:rPr>
              <w:t>制</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rPr>
            </w:pPr>
            <w:r>
              <w:rPr>
                <w:rFonts w:hint="eastAsia" w:ascii="Times New Roman" w:hAnsi="Times New Roman" w:eastAsia="宋体" w:cs="宋体"/>
              </w:rPr>
              <w:t>标</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hint="eastAsia" w:ascii="Times New Roman" w:hAnsi="Times New Roman" w:eastAsia="宋体" w:cs="宋体"/>
              </w:rPr>
              <w:t>准</w:t>
            </w:r>
          </w:p>
        </w:tc>
        <w:tc>
          <w:tcPr>
            <w:tcW w:w="837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hint="default" w:ascii="Times New Roman" w:hAnsi="Times New Roman" w:eastAsia="宋体" w:cs="黑体"/>
                <w:b/>
                <w:color w:val="000000" w:themeColor="text1"/>
                <w:sz w:val="28"/>
                <w:szCs w:val="30"/>
                <w:lang w:val="en-US" w:eastAsia="zh-CN" w:bidi="ar-SA"/>
                <w14:textFill>
                  <w14:solidFill>
                    <w14:schemeClr w14:val="tx1"/>
                  </w14:solidFill>
                </w14:textFill>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9总量控制标准</w:t>
            </w:r>
          </w:p>
          <w:p>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根据自治区党委自治区人民政府印发的</w:t>
            </w:r>
            <w:r>
              <w:rPr>
                <w:rFonts w:hint="eastAsia" w:ascii="Times New Roman" w:hAnsi="Times New Roman" w:eastAsia="宋体" w:cs="Times New Roman"/>
                <w:lang w:val="en-US" w:eastAsia="zh-CN"/>
              </w:rPr>
              <w:t>《新疆生态环境保护“十四五”规划》</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新疆“</w:t>
            </w:r>
            <w:r>
              <w:rPr>
                <w:rFonts w:hint="default" w:ascii="Times New Roman" w:hAnsi="Times New Roman" w:eastAsia="宋体" w:cs="Times New Roman"/>
                <w:lang w:val="en-US" w:eastAsia="zh-CN"/>
              </w:rPr>
              <w:t>十四五</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生态环境保护规划</w:t>
            </w:r>
            <w:r>
              <w:rPr>
                <w:rFonts w:hint="eastAsia" w:ascii="Times New Roman" w:hAnsi="Times New Roman" w:eastAsia="宋体" w:cs="Times New Roman"/>
                <w:lang w:val="en-US" w:eastAsia="zh-CN"/>
              </w:rPr>
              <w:t>总量控制指标为</w:t>
            </w:r>
            <w:r>
              <w:rPr>
                <w:rFonts w:hint="default" w:ascii="Times New Roman" w:hAnsi="Times New Roman" w:eastAsia="宋体" w:cs="Times New Roman"/>
                <w:lang w:val="en-US" w:eastAsia="zh-CN"/>
              </w:rPr>
              <w:t>COD、氨氮、氮氧化物和VOCs。</w:t>
            </w: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lang w:val="en-US" w:eastAsia="zh-CN"/>
              </w:rPr>
              <w:t>根据本项目总量因子排放特点，</w:t>
            </w:r>
            <w:r>
              <w:rPr>
                <w:rFonts w:hint="eastAsia" w:ascii="Times New Roman" w:hAnsi="Times New Roman" w:eastAsia="宋体" w:cs="Times New Roman"/>
                <w:color w:val="auto"/>
                <w:lang w:val="en-US" w:eastAsia="zh-CN"/>
              </w:rPr>
              <w:t>本项目可不申请污染物总量指标</w:t>
            </w:r>
            <w:r>
              <w:rPr>
                <w:rFonts w:hint="eastAsia" w:ascii="Times New Roman" w:hAnsi="Times New Roman" w:eastAsia="宋体" w:cs="Times New Roman"/>
                <w:color w:val="auto"/>
                <w:kern w:val="2"/>
                <w:sz w:val="24"/>
                <w:szCs w:val="24"/>
                <w:highlight w:val="none"/>
                <w:lang w:val="en-US" w:eastAsia="zh-CN" w:bidi="ar-SA"/>
              </w:rPr>
              <w:t>。</w:t>
            </w: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auto"/>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auto"/>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auto"/>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cs="Times New Roman"/>
                <w:color w:val="000000"/>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cs="Times New Roman"/>
                <w:color w:val="000000"/>
                <w:kern w:val="2"/>
                <w:sz w:val="24"/>
                <w:szCs w:val="24"/>
                <w:highlight w:val="none"/>
                <w:lang w:val="en-US" w:eastAsia="zh-CN" w:bidi="ar-SA"/>
              </w:rPr>
            </w:pPr>
          </w:p>
          <w:p>
            <w:pPr>
              <w:pStyle w:val="26"/>
              <w:jc w:val="both"/>
              <w:rPr>
                <w:rFonts w:hint="eastAsia"/>
                <w:lang w:val="en-US" w:eastAsia="zh-CN"/>
              </w:rPr>
            </w:pPr>
          </w:p>
          <w:p>
            <w:pPr>
              <w:overflowPunct w:val="0"/>
              <w:autoSpaceDE w:val="0"/>
              <w:autoSpaceDN w:val="0"/>
              <w:adjustRightInd w:val="0"/>
              <w:snapToGrid w:val="0"/>
              <w:spacing w:before="0" w:after="0" w:line="500" w:lineRule="exact"/>
              <w:ind w:right="0"/>
              <w:jc w:val="left"/>
              <w:rPr>
                <w:rFonts w:hint="eastAsia" w:ascii="Times New Roman" w:hAnsi="Times New Roman" w:cs="Times New Roman"/>
                <w:color w:val="000000"/>
                <w:kern w:val="2"/>
                <w:sz w:val="24"/>
                <w:szCs w:val="24"/>
                <w:highlight w:val="none"/>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ascii="Times New Roman" w:hAnsi="Times New Roman" w:eastAsia="宋体" w:cs="宋体"/>
                <w:snapToGrid w:val="0"/>
                <w:sz w:val="24"/>
                <w:szCs w:val="21"/>
                <w:vertAlign w:val="baseline"/>
                <w:lang w:val="en-US" w:eastAsia="zh-CN" w:bidi="ar-SA"/>
              </w:rPr>
            </w:pPr>
          </w:p>
        </w:tc>
      </w:tr>
    </w:tbl>
    <w:p>
      <w:p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numPr>
          <w:ilvl w:val="0"/>
          <w:numId w:val="3"/>
        </w:numPr>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9" w:name="_Toc25648"/>
      <w:bookmarkStart w:id="10" w:name="_Toc16786"/>
      <w:bookmarkStart w:id="11" w:name="_Toc4573"/>
      <w:bookmarkStart w:id="12" w:name="_Toc733"/>
      <w:r>
        <w:rPr>
          <w:rFonts w:hint="eastAsia" w:ascii="Times New Roman" w:hAnsi="Times New Roman" w:eastAsia="宋体" w:cs="宋体"/>
          <w:b/>
          <w:kern w:val="44"/>
          <w:sz w:val="28"/>
          <w:szCs w:val="22"/>
          <w:lang w:val="en-US" w:eastAsia="zh-CN" w:bidi="ar-SA"/>
        </w:rPr>
        <w:t>主要环境影响和保护措施</w:t>
      </w:r>
      <w:bookmarkEnd w:id="9"/>
      <w:bookmarkEnd w:id="10"/>
      <w:bookmarkEnd w:id="11"/>
      <w:bookmarkEnd w:id="12"/>
    </w:p>
    <w:tbl>
      <w:tblPr>
        <w:tblStyle w:val="19"/>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696" w:type="dxa"/>
            <w:noWrap w:val="0"/>
            <w:tcMar>
              <w:left w:w="28" w:type="dxa"/>
              <w:right w:w="28" w:type="dxa"/>
            </w:tcMar>
            <w:vAlign w:val="center"/>
          </w:tcPr>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施</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工</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期</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环</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保</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措</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bCs/>
                <w:color w:val="000000"/>
                <w:kern w:val="2"/>
                <w:sz w:val="21"/>
                <w:szCs w:val="21"/>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施</w:t>
            </w:r>
          </w:p>
        </w:tc>
        <w:tc>
          <w:tcPr>
            <w:tcW w:w="8375" w:type="dxa"/>
            <w:noWrap w:val="0"/>
            <w:vAlign w:val="center"/>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ascii="Times New Roman" w:hAnsi="Times New Roman" w:eastAsia="宋体" w:cs="黑体"/>
                <w:b/>
                <w:sz w:val="28"/>
                <w:szCs w:val="30"/>
                <w:lang w:val="en-US" w:eastAsia="zh-CN" w:bidi="ar-SA"/>
              </w:rPr>
            </w:pPr>
            <w:bookmarkStart w:id="13" w:name="_Toc231294631"/>
            <w:bookmarkStart w:id="14" w:name="_Toc384740754"/>
            <w:bookmarkStart w:id="15" w:name="_Toc271467869"/>
            <w:bookmarkStart w:id="16" w:name="_Toc384391623"/>
            <w:bookmarkStart w:id="17" w:name="_Toc231294733"/>
            <w:bookmarkStart w:id="18" w:name="_Toc385251976"/>
            <w:r>
              <w:rPr>
                <w:rFonts w:hint="eastAsia" w:ascii="Times New Roman" w:hAnsi="Times New Roman" w:eastAsia="宋体" w:cs="黑体"/>
                <w:b/>
                <w:sz w:val="28"/>
                <w:szCs w:val="30"/>
                <w:lang w:val="en-US" w:eastAsia="zh-CN" w:bidi="ar-SA"/>
              </w:rPr>
              <w:t>4.1</w:t>
            </w:r>
            <w:r>
              <w:rPr>
                <w:rFonts w:ascii="Times New Roman" w:hAnsi="Times New Roman" w:eastAsia="宋体" w:cs="黑体"/>
                <w:b/>
                <w:sz w:val="28"/>
                <w:szCs w:val="30"/>
                <w:lang w:val="en-US" w:eastAsia="zh-CN" w:bidi="ar-SA"/>
              </w:rPr>
              <w:t>施工期大气环境</w:t>
            </w:r>
            <w:bookmarkEnd w:id="13"/>
            <w:bookmarkEnd w:id="14"/>
            <w:bookmarkEnd w:id="15"/>
            <w:bookmarkEnd w:id="16"/>
            <w:bookmarkEnd w:id="17"/>
            <w:bookmarkEnd w:id="18"/>
            <w:r>
              <w:rPr>
                <w:rFonts w:hint="eastAsia" w:ascii="Times New Roman" w:hAnsi="Times New Roman" w:eastAsia="宋体" w:cs="黑体"/>
                <w:b/>
                <w:sz w:val="28"/>
                <w:szCs w:val="30"/>
                <w:lang w:val="en-US" w:eastAsia="zh-CN" w:bidi="ar-SA"/>
              </w:rPr>
              <w:t>保护措施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施工期间对环境空气影响最主要的是粉尘和施工机械、运输车辆的尾气排放。施工过程中场地平整、清除杂物、挖穴等过程会产生粉尘污染，车辆运输会引起二次扬尘。</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具体环境保护措施如下：</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（1）对施工现场实行合理化管理，使砂石料统一堆放，水泥应在专门库房堆放，并尽量减少搬运环节，搬运时做到轻举轻放，防止包装袋破裂；</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（2）对作业面和土堆适当喷水，使其保持一定湿度，以减少扬尘量，而且开挖的泥土和建筑垃圾要及时运走，以防长期堆放表面干燥而起尘或被雨水冲刷；</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3）运输车辆应完好，不应装载过满，并尽量采取遮盖、密闭措施，减少沿途抛洒，并及时清扫散落在路面上的泥土和建筑材料，施工道路和场地应定时洒水压尘，运输车辆上路前应喷水冲洗轮胎，以减少运输过程中的扬尘；</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（4）应首选使用商品混凝土，因需要必须进行现场搅拌砂浆、混凝土时，应尽量做到不洒、不漏、不剩、不倒；混凝土搅拌应设置在棚内，搅拌时要有喷雾降尘措施；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（5）施工现场要设围栏或部分围栏，缩小施工扬尘扩散范围；</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（6）当风速过大时，应停止施工作业，并对堆存的砂粉等建筑材料采取遮盖措施。</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（7）施工期做到工地周边围挡、物料堆放覆盖、土方开挖湿法作业、路面硬化、出入车辆清洗、渣土车辆密闭运输“六个百分百”。</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根据本项目备案：本项目建设内容为矿井瓦斯工程抽采工程设计范围内的瓦斯抽采泵站建设和井下投产时所需的瓦斯管路敷设及配套工程（不含钻孔工程、井下管路），因此本项目不涉及钻孔工程以及井下管路敷设工程，仍在施工期废气措施进行补充，作为后期施工时参考要求</w:t>
            </w:r>
            <w:r>
              <w:rPr>
                <w:rFonts w:hint="eastAsia" w:cs="宋体"/>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在井下施工抽采钻孔时，应采取湿式作业。在煤(岩)与瓦斯突出煤层或软煤层中难以采取湿式钻孔时，可采取干式钻孔，但必须采取捕尘、降尘措施。</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采取适当措施，严格控制施工期间产生的扬尘，确保能够满足《大气污染物综合排放标准》（GB16297-1996）表2中无组织排放监控浓度限值标准，措施可行。</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4.2施工期水环境保护措施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（1）生产废水</w:t>
            </w:r>
          </w:p>
          <w:p>
            <w:pPr>
              <w:pageBreakBefore w:val="0"/>
              <w:widowControl/>
              <w:kinsoku/>
              <w:wordWrap/>
              <w:overflowPunct/>
              <w:topLinePunct w:val="0"/>
              <w:autoSpaceDE/>
              <w:autoSpaceDN/>
              <w:bidi w:val="0"/>
              <w:adjustRightInd/>
              <w:snapToGrid/>
              <w:spacing w:before="0" w:after="0" w:line="360" w:lineRule="auto"/>
              <w:ind w:left="0" w:right="-113" w:firstLine="480" w:firstLineChars="200"/>
              <w:jc w:val="both"/>
              <w:textAlignment w:val="auto"/>
              <w:rPr>
                <w:rFonts w:ascii="Times New Roman" w:hAnsi="Times New Roman" w:eastAsia="宋体" w:cs="Times New Roman"/>
                <w:snapToGrid w:val="0"/>
                <w:color w:val="000000"/>
                <w:kern w:val="2"/>
                <w:sz w:val="24"/>
                <w:szCs w:val="22"/>
                <w:highlight w:val="none"/>
                <w:lang w:val="en-US" w:eastAsia="zh-CN" w:bidi="ar-SA"/>
              </w:rPr>
            </w:pPr>
            <w:r>
              <w:rPr>
                <w:rFonts w:ascii="Times New Roman" w:hAnsi="Times New Roman" w:eastAsia="宋体" w:cs="Times New Roman"/>
                <w:snapToGrid w:val="0"/>
                <w:color w:val="000000"/>
                <w:kern w:val="2"/>
                <w:sz w:val="24"/>
                <w:szCs w:val="22"/>
                <w:highlight w:val="none"/>
                <w:lang w:val="en-US" w:eastAsia="zh-CN" w:bidi="ar-SA"/>
              </w:rPr>
              <w:t>本项目施工废水主要来自施工材料养护排水，主要污染物是SS，水量较少。此类废水经沉淀池沉淀后循环使用，不排放。</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（2）生活废水</w:t>
            </w:r>
          </w:p>
          <w:p>
            <w:pPr>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ascii="Times New Roman" w:hAnsi="Times New Roman" w:eastAsia="宋体" w:cs="Times New Roman"/>
                <w:color w:val="000000"/>
                <w:kern w:val="2"/>
                <w:sz w:val="21"/>
                <w:szCs w:val="20"/>
                <w:highlight w:val="none"/>
              </w:rPr>
            </w:pPr>
            <w:r>
              <w:rPr>
                <w:rFonts w:ascii="Times New Roman" w:hAnsi="Times New Roman" w:eastAsia="宋体" w:cs="Times New Roman"/>
                <w:color w:val="000000"/>
                <w:kern w:val="2"/>
                <w:sz w:val="24"/>
                <w:szCs w:val="24"/>
                <w:highlight w:val="none"/>
              </w:rPr>
              <w:t>施工期间</w:t>
            </w:r>
            <w:r>
              <w:rPr>
                <w:rFonts w:hint="eastAsia" w:ascii="Times New Roman" w:hAnsi="Times New Roman" w:eastAsia="宋体" w:cs="Times New Roman"/>
                <w:color w:val="000000"/>
                <w:kern w:val="2"/>
                <w:sz w:val="24"/>
                <w:szCs w:val="24"/>
                <w:highlight w:val="none"/>
                <w:lang w:val="en-US" w:eastAsia="zh-CN"/>
              </w:rPr>
              <w:t>不</w:t>
            </w:r>
            <w:r>
              <w:rPr>
                <w:rFonts w:ascii="Times New Roman" w:hAnsi="Times New Roman" w:eastAsia="宋体" w:cs="Times New Roman"/>
                <w:color w:val="000000"/>
                <w:kern w:val="2"/>
                <w:sz w:val="24"/>
                <w:szCs w:val="24"/>
                <w:highlight w:val="none"/>
              </w:rPr>
              <w:t>设立生活营地</w:t>
            </w:r>
            <w:r>
              <w:rPr>
                <w:rFonts w:hint="eastAsia" w:ascii="Times New Roman" w:hAnsi="Times New Roman" w:eastAsia="宋体" w:cs="Times New Roman"/>
                <w:color w:val="000000"/>
                <w:kern w:val="2"/>
                <w:sz w:val="24"/>
                <w:szCs w:val="24"/>
                <w:highlight w:val="none"/>
                <w:lang w:eastAsia="zh-CN"/>
              </w:rPr>
              <w:t>，</w:t>
            </w:r>
            <w:r>
              <w:rPr>
                <w:rFonts w:hint="eastAsia" w:ascii="Times New Roman" w:hAnsi="Times New Roman" w:eastAsia="宋体" w:cs="Times New Roman"/>
                <w:color w:val="000000"/>
                <w:kern w:val="2"/>
                <w:sz w:val="24"/>
                <w:szCs w:val="24"/>
                <w:highlight w:val="none"/>
                <w:lang w:val="en-US" w:eastAsia="zh-CN"/>
              </w:rPr>
              <w:t>依托</w:t>
            </w:r>
            <w:r>
              <w:rPr>
                <w:rFonts w:hint="eastAsia" w:cs="Times New Roman"/>
                <w:color w:val="000000"/>
                <w:kern w:val="2"/>
                <w:sz w:val="24"/>
                <w:szCs w:val="24"/>
                <w:highlight w:val="none"/>
                <w:lang w:val="en-US" w:eastAsia="zh-CN"/>
              </w:rPr>
              <w:t>现有工程生活区</w:t>
            </w:r>
            <w:r>
              <w:rPr>
                <w:rFonts w:hint="eastAsia" w:ascii="Times New Roman" w:hAnsi="Times New Roman" w:eastAsia="宋体" w:cs="Times New Roman"/>
                <w:color w:val="000000"/>
                <w:kern w:val="2"/>
                <w:sz w:val="24"/>
                <w:szCs w:val="24"/>
                <w:highlight w:val="none"/>
              </w:rPr>
              <w:t>，</w:t>
            </w:r>
            <w:r>
              <w:rPr>
                <w:rFonts w:ascii="Times New Roman" w:hAnsi="Times New Roman" w:eastAsia="宋体" w:cs="Times New Roman"/>
                <w:color w:val="000000"/>
                <w:kern w:val="2"/>
                <w:sz w:val="24"/>
                <w:szCs w:val="24"/>
                <w:highlight w:val="none"/>
              </w:rPr>
              <w:t>施工期生活污水主要污染物为COD、BOD、SS、氨氮，施工期生活污水</w:t>
            </w:r>
            <w:r>
              <w:rPr>
                <w:rFonts w:hint="eastAsia" w:ascii="Times New Roman" w:hAnsi="Times New Roman" w:eastAsia="宋体" w:cs="Times New Roman"/>
                <w:color w:val="000000"/>
                <w:kern w:val="2"/>
                <w:sz w:val="24"/>
                <w:szCs w:val="24"/>
                <w:highlight w:val="none"/>
                <w:lang w:val="en-US" w:eastAsia="zh-CN"/>
              </w:rPr>
              <w:t>排入</w:t>
            </w:r>
            <w:r>
              <w:rPr>
                <w:rFonts w:hint="eastAsia" w:cs="Times New Roman"/>
                <w:color w:val="000000"/>
                <w:kern w:val="2"/>
                <w:sz w:val="24"/>
                <w:szCs w:val="24"/>
                <w:highlight w:val="none"/>
                <w:lang w:val="en-US" w:eastAsia="zh-CN"/>
              </w:rPr>
              <w:t>现有工程</w:t>
            </w:r>
            <w:r>
              <w:rPr>
                <w:rFonts w:hint="eastAsia" w:ascii="Times New Roman" w:hAnsi="Times New Roman" w:eastAsia="宋体" w:cs="Times New Roman"/>
                <w:color w:val="000000"/>
                <w:kern w:val="2"/>
                <w:sz w:val="24"/>
                <w:szCs w:val="24"/>
                <w:highlight w:val="none"/>
                <w:lang w:val="en-US" w:eastAsia="zh-CN"/>
              </w:rPr>
              <w:t>生活污水</w:t>
            </w:r>
            <w:r>
              <w:rPr>
                <w:rFonts w:hint="eastAsia" w:cs="Times New Roman"/>
                <w:color w:val="000000"/>
                <w:kern w:val="2"/>
                <w:sz w:val="24"/>
                <w:szCs w:val="24"/>
                <w:highlight w:val="none"/>
                <w:lang w:val="en-US" w:eastAsia="zh-CN"/>
              </w:rPr>
              <w:t>处理站</w:t>
            </w:r>
            <w:r>
              <w:rPr>
                <w:rFonts w:ascii="Times New Roman" w:hAnsi="Times New Roman" w:eastAsia="宋体" w:cs="Times New Roman"/>
                <w:color w:val="000000"/>
                <w:kern w:val="2"/>
                <w:sz w:val="24"/>
                <w:szCs w:val="24"/>
                <w:highlight w:val="none"/>
              </w:rPr>
              <w:t>。</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4.3施工期声环境保护措施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bookmarkStart w:id="19" w:name="_Toc231294740"/>
            <w:bookmarkStart w:id="20" w:name="_Toc231294638"/>
            <w:r>
              <w:rPr>
                <w:rFonts w:hint="eastAsia" w:ascii="Times New Roman" w:hAnsi="Times New Roman" w:eastAsia="宋体" w:cs="宋体"/>
                <w:color w:val="000000"/>
                <w:kern w:val="0"/>
                <w:sz w:val="24"/>
                <w:szCs w:val="24"/>
                <w:highlight w:val="none"/>
                <w:lang w:val="en-US" w:eastAsia="zh-CN" w:bidi="ar"/>
              </w:rPr>
              <w:t>施工期设备安装过程产生的噪声，主要来源于包括施工现场的各类机械设备、设备装卸碰撞噪声和机械设备调试噪声。</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1</w:t>
            </w:r>
            <w:r>
              <w:rPr>
                <w:rFonts w:hint="eastAsia" w:ascii="Times New Roman" w:hAnsi="Times New Roman" w:eastAsia="宋体" w:cs="宋体"/>
                <w:color w:val="000000"/>
                <w:kern w:val="0"/>
                <w:sz w:val="24"/>
                <w:szCs w:val="24"/>
                <w:highlight w:val="none"/>
                <w:lang w:val="en-US" w:eastAsia="zh-CN" w:bidi="ar"/>
              </w:rPr>
              <w:t>）加强施工管理，合理安排作业时间，严格按照施工噪声管理的有关规定，夜间不得进行打桩作业；</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2</w:t>
            </w:r>
            <w:r>
              <w:rPr>
                <w:rFonts w:hint="eastAsia" w:ascii="Times New Roman" w:hAnsi="Times New Roman" w:eastAsia="宋体" w:cs="宋体"/>
                <w:color w:val="000000"/>
                <w:kern w:val="0"/>
                <w:sz w:val="24"/>
                <w:szCs w:val="24"/>
                <w:highlight w:val="none"/>
                <w:lang w:val="en-US" w:eastAsia="zh-CN" w:bidi="ar"/>
              </w:rPr>
              <w:t>）尽量采用低噪声施工设备和噪声低的施工方法；</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3</w:t>
            </w:r>
            <w:r>
              <w:rPr>
                <w:rFonts w:hint="eastAsia" w:ascii="Times New Roman" w:hAnsi="Times New Roman" w:eastAsia="宋体" w:cs="宋体"/>
                <w:color w:val="000000"/>
                <w:kern w:val="0"/>
                <w:sz w:val="24"/>
                <w:szCs w:val="24"/>
                <w:highlight w:val="none"/>
                <w:lang w:val="en-US" w:eastAsia="zh-CN" w:bidi="ar"/>
              </w:rPr>
              <w:t>）作业时在高噪声设备周围设置屏蔽；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4</w:t>
            </w:r>
            <w:r>
              <w:rPr>
                <w:rFonts w:hint="eastAsia" w:ascii="Times New Roman" w:hAnsi="Times New Roman" w:eastAsia="宋体" w:cs="宋体"/>
                <w:color w:val="000000"/>
                <w:kern w:val="0"/>
                <w:sz w:val="24"/>
                <w:szCs w:val="24"/>
                <w:highlight w:val="none"/>
                <w:lang w:val="en-US" w:eastAsia="zh-CN" w:bidi="ar"/>
              </w:rPr>
              <w:t>）尽量采用商品混凝土；</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5</w:t>
            </w:r>
            <w:r>
              <w:rPr>
                <w:rFonts w:hint="eastAsia" w:ascii="Times New Roman" w:hAnsi="Times New Roman" w:eastAsia="宋体" w:cs="宋体"/>
                <w:color w:val="000000"/>
                <w:kern w:val="0"/>
                <w:sz w:val="24"/>
                <w:szCs w:val="24"/>
                <w:highlight w:val="none"/>
                <w:lang w:val="en-US" w:eastAsia="zh-CN" w:bidi="ar"/>
              </w:rPr>
              <w:t>）加强运输车辆的管理，运输尽量在白天进行，并控制车辆鸣笛。</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通过上述措施，施工场界噪声可以达到《建筑施工场界环境噪声排放标准》 （GB12523-2011），对环境影响较小。</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4.4施工期固体废物</w:t>
            </w:r>
            <w:bookmarkEnd w:id="19"/>
            <w:bookmarkEnd w:id="20"/>
            <w:r>
              <w:rPr>
                <w:rFonts w:hint="eastAsia" w:ascii="Times New Roman" w:hAnsi="Times New Roman" w:eastAsia="宋体" w:cs="黑体"/>
                <w:b/>
                <w:sz w:val="28"/>
                <w:szCs w:val="30"/>
                <w:lang w:val="en-US" w:eastAsia="zh-CN" w:bidi="ar-SA"/>
              </w:rPr>
              <w:t>污染防治措施</w:t>
            </w:r>
          </w:p>
          <w:p>
            <w:pPr>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rPr>
            </w:pPr>
            <w:r>
              <w:rPr>
                <w:rFonts w:hint="eastAsia" w:ascii="Times New Roman" w:hAnsi="Times New Roman" w:eastAsia="宋体" w:cs="Times New Roman"/>
                <w:color w:val="000000"/>
                <w:kern w:val="2"/>
                <w:sz w:val="24"/>
                <w:szCs w:val="20"/>
                <w:highlight w:val="none"/>
              </w:rPr>
              <w:t>施工期固废主要是施工建筑垃圾、废弃的包装材料、工人产生的生活垃圾等。</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（1）建筑垃圾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rPr>
            </w:pPr>
            <w:r>
              <w:rPr>
                <w:rFonts w:ascii="Times New Roman" w:hAnsi="Times New Roman" w:eastAsia="宋体" w:cs="Times New Roman"/>
                <w:color w:val="000000"/>
                <w:kern w:val="2"/>
                <w:sz w:val="24"/>
                <w:szCs w:val="24"/>
                <w:highlight w:val="none"/>
              </w:rPr>
              <w:t>项目施工过程中可能会产生</w:t>
            </w:r>
            <w:r>
              <w:rPr>
                <w:rFonts w:hint="eastAsia" w:ascii="Times New Roman" w:hAnsi="Times New Roman" w:eastAsia="宋体" w:cs="Times New Roman"/>
                <w:color w:val="000000"/>
                <w:kern w:val="2"/>
                <w:sz w:val="24"/>
                <w:szCs w:val="24"/>
                <w:highlight w:val="none"/>
                <w:lang w:val="en-US" w:eastAsia="zh-CN"/>
              </w:rPr>
              <w:t>少</w:t>
            </w:r>
            <w:r>
              <w:rPr>
                <w:rFonts w:ascii="Times New Roman" w:hAnsi="Times New Roman" w:eastAsia="宋体" w:cs="Times New Roman"/>
                <w:color w:val="000000"/>
                <w:kern w:val="2"/>
                <w:sz w:val="24"/>
                <w:szCs w:val="24"/>
                <w:highlight w:val="none"/>
              </w:rPr>
              <w:t>量的</w:t>
            </w:r>
            <w:r>
              <w:rPr>
                <w:rFonts w:hint="eastAsia" w:ascii="Times New Roman" w:hAnsi="Times New Roman" w:eastAsia="宋体" w:cs="Times New Roman"/>
                <w:color w:val="000000"/>
                <w:kern w:val="2"/>
                <w:sz w:val="24"/>
                <w:szCs w:val="24"/>
                <w:highlight w:val="none"/>
              </w:rPr>
              <w:t>建筑垃圾。</w:t>
            </w:r>
            <w:r>
              <w:rPr>
                <w:rFonts w:hint="eastAsia" w:ascii="Times New Roman" w:hAnsi="Times New Roman" w:eastAsia="宋体" w:cs="Times New Roman"/>
                <w:color w:val="000000"/>
                <w:kern w:val="2"/>
                <w:sz w:val="24"/>
                <w:szCs w:val="20"/>
                <w:highlight w:val="none"/>
              </w:rPr>
              <w:t>施工建筑垃圾可作为筑路材料</w:t>
            </w:r>
            <w:r>
              <w:rPr>
                <w:rFonts w:hint="eastAsia" w:ascii="Times New Roman" w:hAnsi="Times New Roman" w:eastAsia="宋体" w:cs="Times New Roman"/>
                <w:color w:val="000000"/>
                <w:kern w:val="2"/>
                <w:sz w:val="24"/>
                <w:szCs w:val="20"/>
                <w:highlight w:val="none"/>
                <w:lang w:eastAsia="zh-CN"/>
              </w:rPr>
              <w:t>，</w:t>
            </w:r>
            <w:r>
              <w:rPr>
                <w:rFonts w:hint="eastAsia" w:ascii="Times New Roman" w:hAnsi="Times New Roman" w:eastAsia="宋体" w:cs="Times New Roman"/>
                <w:color w:val="000000"/>
                <w:kern w:val="2"/>
                <w:sz w:val="24"/>
                <w:szCs w:val="20"/>
                <w:highlight w:val="none"/>
                <w:lang w:val="en-US" w:eastAsia="zh-CN"/>
              </w:rPr>
              <w:t>定期</w:t>
            </w:r>
            <w:r>
              <w:rPr>
                <w:rFonts w:hint="eastAsia" w:ascii="Times New Roman" w:hAnsi="Times New Roman" w:eastAsia="宋体" w:cs="Times New Roman"/>
                <w:color w:val="000000"/>
                <w:kern w:val="2"/>
                <w:sz w:val="24"/>
                <w:szCs w:val="20"/>
                <w:highlight w:val="none"/>
              </w:rPr>
              <w:t>用封闭式废土运输车及时清运，并送到指定倾倒点处置，不得随意抛弃、转移和扩散</w:t>
            </w:r>
            <w:r>
              <w:rPr>
                <w:rFonts w:hint="eastAsia" w:ascii="Times New Roman" w:hAnsi="Times New Roman" w:eastAsia="宋体" w:cs="Times New Roman"/>
                <w:color w:val="000000"/>
                <w:kern w:val="2"/>
                <w:sz w:val="24"/>
                <w:szCs w:val="20"/>
                <w:highlight w:val="none"/>
                <w:lang w:eastAsia="zh-CN"/>
              </w:rPr>
              <w:t>；</w:t>
            </w:r>
            <w:r>
              <w:rPr>
                <w:rFonts w:hint="eastAsia" w:ascii="Times New Roman" w:hAnsi="Times New Roman" w:eastAsia="宋体" w:cs="Times New Roman"/>
                <w:color w:val="000000"/>
                <w:kern w:val="2"/>
                <w:sz w:val="24"/>
                <w:szCs w:val="20"/>
                <w:highlight w:val="none"/>
                <w:lang w:val="en-US" w:eastAsia="zh-CN"/>
              </w:rPr>
              <w:t>部分废弃钢筋、钢板等可回收固废，集中收集后进行回用；</w:t>
            </w:r>
            <w:r>
              <w:rPr>
                <w:rFonts w:hint="eastAsia" w:ascii="Times New Roman" w:hAnsi="Times New Roman" w:eastAsia="宋体" w:cs="Times New Roman"/>
                <w:color w:val="000000"/>
                <w:kern w:val="2"/>
                <w:sz w:val="24"/>
                <w:szCs w:val="20"/>
                <w:highlight w:val="none"/>
              </w:rPr>
              <w:t>少量施工废料（包装废弃物等）可与生活垃圾一同处置，对环境影响</w:t>
            </w:r>
            <w:r>
              <w:rPr>
                <w:rFonts w:hint="eastAsia" w:cs="Times New Roman"/>
                <w:color w:val="000000"/>
                <w:kern w:val="2"/>
                <w:sz w:val="24"/>
                <w:szCs w:val="20"/>
                <w:highlight w:val="none"/>
                <w:lang w:val="en-US" w:eastAsia="zh-CN"/>
              </w:rPr>
              <w:t>较小</w:t>
            </w:r>
            <w:r>
              <w:rPr>
                <w:rFonts w:hint="eastAsia" w:ascii="Times New Roman" w:hAnsi="Times New Roman" w:eastAsia="宋体" w:cs="Times New Roman"/>
                <w:color w:val="000000"/>
                <w:kern w:val="2"/>
                <w:sz w:val="24"/>
                <w:szCs w:val="20"/>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（2）生活垃圾</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ascii="Times New Roman" w:hAnsi="Times New Roman" w:eastAsia="宋体" w:cs="Times New Roman"/>
                <w:color w:val="000000"/>
                <w:kern w:val="2"/>
                <w:sz w:val="24"/>
                <w:szCs w:val="20"/>
                <w:highlight w:val="none"/>
              </w:rPr>
            </w:pPr>
            <w:r>
              <w:rPr>
                <w:rFonts w:hint="eastAsia" w:ascii="Times New Roman" w:hAnsi="Times New Roman" w:eastAsia="宋体" w:cs="Times New Roman"/>
                <w:color w:val="000000"/>
                <w:kern w:val="2"/>
                <w:sz w:val="24"/>
                <w:szCs w:val="20"/>
                <w:highlight w:val="none"/>
              </w:rPr>
              <w:t>生活垃圾</w:t>
            </w:r>
            <w:r>
              <w:rPr>
                <w:rFonts w:hint="eastAsia" w:cs="Times New Roman"/>
                <w:color w:val="000000"/>
                <w:kern w:val="2"/>
                <w:sz w:val="24"/>
                <w:szCs w:val="20"/>
                <w:highlight w:val="none"/>
                <w:lang w:val="en-US" w:eastAsia="zh-CN"/>
              </w:rPr>
              <w:t>主要为</w:t>
            </w:r>
            <w:r>
              <w:rPr>
                <w:rFonts w:hint="eastAsia" w:ascii="Times New Roman" w:hAnsi="Times New Roman" w:eastAsia="宋体" w:cs="Times New Roman"/>
                <w:color w:val="000000"/>
                <w:kern w:val="2"/>
                <w:sz w:val="24"/>
                <w:szCs w:val="20"/>
                <w:highlight w:val="none"/>
              </w:rPr>
              <w:t>易拉罐、矿泉水瓶、塑料袋等</w:t>
            </w:r>
            <w:r>
              <w:rPr>
                <w:rFonts w:hint="eastAsia" w:cs="Times New Roman"/>
                <w:color w:val="000000"/>
                <w:kern w:val="2"/>
                <w:sz w:val="24"/>
                <w:szCs w:val="20"/>
                <w:highlight w:val="none"/>
                <w:lang w:eastAsia="zh-CN"/>
              </w:rPr>
              <w:t>，</w:t>
            </w:r>
            <w:r>
              <w:rPr>
                <w:rFonts w:hint="eastAsia" w:cs="Times New Roman"/>
                <w:color w:val="000000"/>
                <w:kern w:val="2"/>
                <w:sz w:val="24"/>
                <w:szCs w:val="20"/>
                <w:highlight w:val="none"/>
                <w:lang w:val="en-US" w:eastAsia="zh-CN"/>
              </w:rPr>
              <w:t>集中收集后与现有工程生活垃圾一同</w:t>
            </w:r>
            <w:r>
              <w:rPr>
                <w:rFonts w:hint="eastAsia" w:ascii="Times New Roman" w:hAnsi="Times New Roman" w:eastAsia="宋体" w:cs="Times New Roman"/>
                <w:color w:val="000000"/>
                <w:kern w:val="2"/>
                <w:sz w:val="24"/>
                <w:szCs w:val="20"/>
                <w:highlight w:val="none"/>
              </w:rPr>
              <w:t>，统一</w:t>
            </w:r>
            <w:r>
              <w:rPr>
                <w:rFonts w:hint="eastAsia" w:cs="Times New Roman"/>
                <w:color w:val="000000"/>
                <w:kern w:val="2"/>
                <w:sz w:val="24"/>
                <w:szCs w:val="20"/>
                <w:highlight w:val="none"/>
                <w:lang w:val="en-US" w:eastAsia="zh-CN"/>
              </w:rPr>
              <w:t>委托环卫部门清运</w:t>
            </w:r>
            <w:r>
              <w:rPr>
                <w:rFonts w:hint="eastAsia" w:ascii="Times New Roman" w:hAnsi="Times New Roman" w:eastAsia="宋体" w:cs="Times New Roman"/>
                <w:color w:val="000000"/>
                <w:kern w:val="2"/>
                <w:sz w:val="24"/>
                <w:szCs w:val="20"/>
                <w:highlight w:val="none"/>
              </w:rPr>
              <w:t>。</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Times New Roman"/>
                <w:color w:val="000000"/>
                <w:kern w:val="2"/>
                <w:sz w:val="24"/>
                <w:szCs w:val="20"/>
                <w:highlight w:val="none"/>
              </w:rPr>
              <w:t>经以上分析可知，根据各类固体废物的不同特点，分别采取不同的、行之有效的处理措施，项目建设过程中产生的各类固体废物均可得到妥善的、合理可行的处理处置，并将其对周围环境带来的影响降低到最低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0" w:hRule="atLeast"/>
          <w:jc w:val="center"/>
        </w:trPr>
        <w:tc>
          <w:tcPr>
            <w:tcW w:w="696" w:type="dxa"/>
            <w:noWrap w:val="0"/>
            <w:tcMar>
              <w:left w:w="28" w:type="dxa"/>
              <w:right w:w="28" w:type="dxa"/>
            </w:tcMar>
            <w:vAlign w:val="center"/>
          </w:tcPr>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运</w:t>
            </w:r>
          </w:p>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营</w:t>
            </w:r>
          </w:p>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期</w:t>
            </w:r>
          </w:p>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环</w:t>
            </w:r>
          </w:p>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保</w:t>
            </w:r>
          </w:p>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措</w:t>
            </w:r>
          </w:p>
          <w:p>
            <w:pPr>
              <w:bidi w:val="0"/>
              <w:spacing w:line="360" w:lineRule="auto"/>
              <w:jc w:val="center"/>
              <w:rPr>
                <w:rFonts w:hint="default" w:ascii="Times New Roman" w:hAnsi="Times New Roman" w:eastAsia="宋体" w:cs="宋体"/>
                <w:lang w:val="en-US" w:eastAsia="zh-CN"/>
              </w:rPr>
            </w:pPr>
            <w:r>
              <w:rPr>
                <w:rFonts w:hint="eastAsia" w:ascii="Times New Roman" w:hAnsi="Times New Roman" w:eastAsia="宋体" w:cs="宋体"/>
                <w:color w:val="000000"/>
                <w:kern w:val="2"/>
                <w:sz w:val="24"/>
                <w:szCs w:val="24"/>
                <w:highlight w:val="none"/>
                <w:lang w:val="en-US" w:eastAsia="zh-CN" w:bidi="ar-SA"/>
              </w:rPr>
              <w:t>施</w:t>
            </w:r>
          </w:p>
        </w:tc>
        <w:tc>
          <w:tcPr>
            <w:tcW w:w="8375" w:type="dxa"/>
            <w:noWrap w:val="0"/>
            <w:vAlign w:val="center"/>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color w:val="auto"/>
                <w:sz w:val="28"/>
                <w:szCs w:val="30"/>
                <w:lang w:val="en-US" w:eastAsia="zh-CN" w:bidi="ar-SA"/>
              </w:rPr>
            </w:pPr>
            <w:r>
              <w:rPr>
                <w:rFonts w:hint="default" w:ascii="Times New Roman" w:hAnsi="Times New Roman" w:eastAsia="宋体" w:cs="黑体"/>
                <w:b/>
                <w:color w:val="auto"/>
                <w:sz w:val="28"/>
                <w:szCs w:val="30"/>
                <w:lang w:val="en-US" w:eastAsia="zh-CN" w:bidi="ar-SA"/>
              </w:rPr>
              <w:t>4</w:t>
            </w:r>
            <w:r>
              <w:rPr>
                <w:rFonts w:hint="eastAsia" w:ascii="Times New Roman" w:hAnsi="Times New Roman" w:eastAsia="宋体" w:cs="黑体"/>
                <w:b/>
                <w:color w:val="auto"/>
                <w:sz w:val="28"/>
                <w:szCs w:val="30"/>
                <w:lang w:val="en-US" w:eastAsia="zh-CN" w:bidi="ar-SA"/>
              </w:rPr>
              <w:t>.5废气</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auto"/>
                <w:kern w:val="0"/>
                <w:sz w:val="24"/>
                <w:szCs w:val="24"/>
                <w:highlight w:val="none"/>
                <w:lang w:val="en-US" w:eastAsia="zh-CN" w:bidi="ar"/>
              </w:rPr>
            </w:pPr>
            <w:r>
              <w:rPr>
                <w:rFonts w:hint="eastAsia" w:ascii="Times New Roman" w:hAnsi="Times New Roman" w:eastAsia="宋体" w:cs="宋体"/>
                <w:color w:val="auto"/>
                <w:kern w:val="0"/>
                <w:sz w:val="24"/>
                <w:szCs w:val="24"/>
                <w:highlight w:val="none"/>
                <w:lang w:val="en-US" w:eastAsia="zh-CN" w:bidi="ar"/>
              </w:rPr>
              <w:t>（1）废气产排情况</w:t>
            </w:r>
          </w:p>
          <w:p>
            <w:pPr>
              <w:widowControl w:val="0"/>
              <w:overflowPunct/>
              <w:autoSpaceDE/>
              <w:autoSpaceDN/>
              <w:adjustRightInd/>
              <w:snapToGrid/>
              <w:spacing w:before="0" w:after="0" w:line="360" w:lineRule="auto"/>
              <w:ind w:left="0" w:right="0" w:firstLine="480" w:firstLineChars="200"/>
              <w:jc w:val="both"/>
              <w:rPr>
                <w:rFonts w:hint="eastAsia" w:ascii="Times New Roman" w:hAnsi="Times New Roman" w:eastAsia="宋体" w:cs="Times New Roman"/>
                <w:snapToGrid w:val="0"/>
                <w:color w:val="auto"/>
                <w:sz w:val="24"/>
                <w:szCs w:val="24"/>
                <w:highlight w:val="none"/>
                <w:lang w:val="en-US" w:eastAsia="zh-CN" w:bidi="ar-SA"/>
              </w:rPr>
            </w:pPr>
            <w:r>
              <w:rPr>
                <w:rFonts w:hint="eastAsia" w:ascii="Times New Roman" w:hAnsi="Times New Roman" w:eastAsia="宋体" w:cs="Times New Roman"/>
                <w:snapToGrid w:val="0"/>
                <w:color w:val="auto"/>
                <w:sz w:val="24"/>
                <w:szCs w:val="24"/>
                <w:highlight w:val="none"/>
                <w:lang w:val="en-US" w:eastAsia="zh-CN" w:bidi="ar-SA"/>
              </w:rPr>
              <w:t>根据工程产污分析，项目废气主要为：</w:t>
            </w:r>
            <w:r>
              <w:rPr>
                <w:rFonts w:hint="eastAsia" w:cs="Times New Roman"/>
                <w:snapToGrid w:val="0"/>
                <w:color w:val="auto"/>
                <w:sz w:val="24"/>
                <w:szCs w:val="24"/>
                <w:highlight w:val="none"/>
                <w:lang w:val="en-US" w:eastAsia="zh-CN" w:bidi="ar-SA"/>
              </w:rPr>
              <w:t>低浓度瓦斯放散废气</w:t>
            </w:r>
            <w:r>
              <w:rPr>
                <w:rFonts w:hint="eastAsia" w:ascii="Times New Roman" w:hAnsi="Times New Roman" w:eastAsia="宋体" w:cs="Times New Roman"/>
                <w:snapToGrid w:val="0"/>
                <w:color w:val="auto"/>
                <w:sz w:val="24"/>
                <w:szCs w:val="24"/>
                <w:highlight w:val="none"/>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eastAsia"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抽采的瓦斯通过甲烷浓度传感器时，当瓦斯气体中的甲烷浓度甲烷体积浓度小于</w:t>
            </w:r>
            <w:r>
              <w:rPr>
                <w:rFonts w:hint="default" w:ascii="Times New Roman" w:hAnsi="Times New Roman" w:eastAsia="宋体" w:cs="Times New Roman"/>
                <w:snapToGrid w:val="0"/>
                <w:color w:val="000000"/>
                <w:kern w:val="2"/>
                <w:sz w:val="24"/>
                <w:szCs w:val="24"/>
                <w:lang w:val="en-US" w:eastAsia="zh-CN" w:bidi="ar-SA"/>
              </w:rPr>
              <w:t>30</w:t>
            </w:r>
            <w:r>
              <w:rPr>
                <w:rFonts w:hint="eastAsia" w:ascii="Times New Roman" w:hAnsi="Times New Roman"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，根据《煤层气（煤矿瓦斯）排放标准（暂行）》（GB21522-2008）表1 煤层气（煤矿瓦斯）排放限值中“煤矿瓦斯抽放系统”的相关要求，低浓度瓦斯（甲烷体积分数&lt;30%无排放限值要求），</w:t>
            </w:r>
            <w:r>
              <w:rPr>
                <w:rFonts w:hint="eastAsia" w:cs="Times New Roman"/>
                <w:snapToGrid w:val="0"/>
                <w:color w:val="000000"/>
                <w:kern w:val="2"/>
                <w:sz w:val="24"/>
                <w:szCs w:val="24"/>
                <w:lang w:val="en-US" w:eastAsia="zh-CN" w:bidi="ar-SA"/>
              </w:rPr>
              <w:t>本项目低浓度</w:t>
            </w:r>
            <w:r>
              <w:rPr>
                <w:rFonts w:hint="eastAsia" w:ascii="Times New Roman" w:hAnsi="Times New Roman" w:eastAsia="宋体" w:cs="Times New Roman"/>
                <w:snapToGrid w:val="0"/>
                <w:color w:val="000000"/>
                <w:kern w:val="2"/>
                <w:sz w:val="24"/>
                <w:szCs w:val="24"/>
                <w:lang w:val="en-US" w:eastAsia="zh-CN" w:bidi="ar-SA"/>
              </w:rPr>
              <w:t>瓦斯经自动抑爆装置、水封阻火泄爆装置处理后经</w:t>
            </w:r>
            <w:r>
              <w:rPr>
                <w:rFonts w:hint="eastAsia" w:cs="Times New Roman"/>
                <w:snapToGrid w:val="0"/>
                <w:color w:val="000000"/>
                <w:kern w:val="2"/>
                <w:sz w:val="24"/>
                <w:szCs w:val="24"/>
                <w:lang w:val="en-US" w:eastAsia="zh-CN" w:bidi="ar-SA"/>
              </w:rPr>
              <w:t>2根18</w:t>
            </w:r>
            <w:r>
              <w:rPr>
                <w:rFonts w:hint="eastAsia" w:ascii="Times New Roman" w:hAnsi="Times New Roman" w:eastAsia="宋体" w:cs="Times New Roman"/>
                <w:snapToGrid w:val="0"/>
                <w:color w:val="000000"/>
                <w:kern w:val="2"/>
                <w:sz w:val="24"/>
                <w:szCs w:val="24"/>
                <w:lang w:val="en-US" w:eastAsia="zh-CN" w:bidi="ar-SA"/>
              </w:rPr>
              <w:t>m</w:t>
            </w:r>
            <w:r>
              <w:rPr>
                <w:rFonts w:hint="eastAsia" w:cs="Times New Roman"/>
                <w:snapToGrid w:val="0"/>
                <w:color w:val="000000"/>
                <w:kern w:val="2"/>
                <w:sz w:val="24"/>
                <w:szCs w:val="24"/>
                <w:lang w:val="en-US" w:eastAsia="zh-CN" w:bidi="ar-SA"/>
              </w:rPr>
              <w:t>放空管</w:t>
            </w:r>
            <w:r>
              <w:rPr>
                <w:rFonts w:hint="eastAsia" w:ascii="Times New Roman" w:hAnsi="Times New Roman" w:eastAsia="宋体" w:cs="Times New Roman"/>
                <w:snapToGrid w:val="0"/>
                <w:color w:val="000000"/>
                <w:kern w:val="2"/>
                <w:sz w:val="24"/>
                <w:szCs w:val="24"/>
                <w:lang w:val="en-US" w:eastAsia="zh-CN" w:bidi="ar-SA"/>
              </w:rPr>
              <w:t>放散。新建</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改建、扩建矿井瓦斯抽放系统和煤层气地面开发系统应按照根据《污染源自动监控管理办法》</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总部令第28号</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的规定，安装煤层气</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煤矿瓦斯</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排放自动监控设备</w:t>
            </w:r>
            <w:r>
              <w:rPr>
                <w:rFonts w:hint="eastAsia" w:cs="Times New Roman"/>
                <w:snapToGrid w:val="0"/>
                <w:color w:val="000000"/>
                <w:kern w:val="2"/>
                <w:sz w:val="24"/>
                <w:szCs w:val="24"/>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default" w:cs="Times New Roman"/>
                <w:color w:val="auto"/>
                <w:kern w:val="2"/>
                <w:sz w:val="24"/>
                <w:szCs w:val="24"/>
                <w:lang w:val="en-US" w:eastAsia="zh-CN"/>
              </w:rPr>
            </w:pPr>
            <w:r>
              <w:rPr>
                <w:rFonts w:hint="eastAsia" w:ascii="Times New Roman" w:hAnsi="Times New Roman" w:eastAsia="宋体" w:cs="Times New Roman"/>
                <w:snapToGrid w:val="0"/>
                <w:color w:val="000000"/>
                <w:kern w:val="2"/>
                <w:sz w:val="24"/>
                <w:szCs w:val="24"/>
                <w:lang w:val="en-US" w:eastAsia="zh-CN" w:bidi="ar-SA"/>
              </w:rPr>
              <w:t>瓦斯排放对环境的影响主要表现为温室效应</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瓦斯排空时间以及排空量由实际抽采现场确定，根据瓦斯成分分析，本项目低浓度瓦斯通过高空放散，对周边环境影响不大。</w:t>
            </w:r>
            <w:r>
              <w:rPr>
                <w:rFonts w:hint="eastAsia" w:cs="Times New Roman"/>
                <w:snapToGrid w:val="0"/>
                <w:color w:val="000000"/>
                <w:kern w:val="2"/>
                <w:sz w:val="24"/>
                <w:szCs w:val="24"/>
                <w:lang w:val="en-US" w:eastAsia="zh-CN" w:bidi="ar-SA"/>
              </w:rPr>
              <w:t>如后期开采过程中，</w:t>
            </w:r>
            <w:r>
              <w:rPr>
                <w:rFonts w:hint="eastAsia" w:ascii="Times New Roman" w:hAnsi="Times New Roman" w:eastAsia="宋体" w:cs="Times New Roman"/>
                <w:snapToGrid w:val="0"/>
                <w:color w:val="000000"/>
                <w:kern w:val="2"/>
                <w:sz w:val="24"/>
                <w:szCs w:val="24"/>
                <w:lang w:val="en-US" w:eastAsia="zh-CN" w:bidi="ar-SA"/>
              </w:rPr>
              <w:t>甲烷浓度传感器监测到甲烷体积分数≥30%情况，应停止开采，</w:t>
            </w:r>
            <w:r>
              <w:rPr>
                <w:rFonts w:hint="eastAsia" w:ascii="Times New Roman" w:hAnsi="Times New Roman" w:eastAsia="宋体" w:cs="宋体"/>
                <w:lang w:val="en-US" w:eastAsia="zh-CN"/>
              </w:rPr>
              <w:t>委托有资质的单位进行瓦斯利用专项工程设计</w:t>
            </w:r>
            <w:r>
              <w:rPr>
                <w:rFonts w:hint="eastAsia" w:ascii="Times New Roman" w:hAnsi="Times New Roman" w:eastAsia="宋体" w:cs="Times New Roman"/>
                <w:snapToGrid w:val="0"/>
                <w:color w:val="000000"/>
                <w:kern w:val="2"/>
                <w:sz w:val="24"/>
                <w:szCs w:val="24"/>
                <w:lang w:val="en-US" w:eastAsia="zh-CN" w:bidi="ar-SA"/>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rPr>
              <w:t>废气产生和排放情况见表</w:t>
            </w:r>
            <w:r>
              <w:rPr>
                <w:rFonts w:hint="eastAsia" w:ascii="Times New Roman" w:hAnsi="Times New Roman" w:eastAsia="宋体" w:cs="Times New Roman"/>
                <w:color w:val="auto"/>
                <w:kern w:val="2"/>
                <w:sz w:val="24"/>
                <w:szCs w:val="24"/>
                <w:lang w:val="en-US" w:eastAsia="zh-CN"/>
              </w:rPr>
              <w:t>4.5-</w:t>
            </w:r>
            <w:r>
              <w:rPr>
                <w:rFonts w:hint="eastAsia" w:cs="Times New Roman"/>
                <w:color w:val="auto"/>
                <w:kern w:val="2"/>
                <w:sz w:val="24"/>
                <w:szCs w:val="24"/>
                <w:lang w:val="en-US" w:eastAsia="zh-CN"/>
              </w:rPr>
              <w:t>1</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 xml:space="preserve">1  </w:t>
            </w:r>
            <w:r>
              <w:rPr>
                <w:rFonts w:hint="eastAsia" w:ascii="Times New Roman" w:hAnsi="Times New Roman" w:eastAsia="宋体" w:cs="Times New Roman"/>
                <w:b/>
                <w:color w:val="auto"/>
                <w:kern w:val="0"/>
                <w:sz w:val="24"/>
                <w:szCs w:val="24"/>
                <w:lang w:val="en-US" w:eastAsia="zh-CN" w:bidi="ar-SA"/>
              </w:rPr>
              <w:t>废气</w:t>
            </w:r>
            <w:r>
              <w:rPr>
                <w:rFonts w:hint="default" w:ascii="Times New Roman" w:hAnsi="Times New Roman" w:eastAsia="宋体" w:cs="Times New Roman"/>
                <w:b/>
                <w:color w:val="auto"/>
                <w:kern w:val="0"/>
                <w:sz w:val="24"/>
                <w:szCs w:val="24"/>
                <w:lang w:val="en-US" w:eastAsia="zh-CN" w:bidi="ar-SA"/>
              </w:rPr>
              <w:t>产生及排放情况表</w:t>
            </w:r>
          </w:p>
          <w:tbl>
            <w:tblPr>
              <w:tblStyle w:val="19"/>
              <w:tblW w:w="8220" w:type="dxa"/>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
              <w:gridCol w:w="742"/>
              <w:gridCol w:w="670"/>
              <w:gridCol w:w="785"/>
              <w:gridCol w:w="1002"/>
              <w:gridCol w:w="1717"/>
              <w:gridCol w:w="1274"/>
              <w:gridCol w:w="11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bCs/>
                      <w:color w:val="auto"/>
                      <w:kern w:val="2"/>
                      <w:sz w:val="21"/>
                      <w:szCs w:val="22"/>
                      <w:lang w:eastAsia="zh-CN"/>
                    </w:rPr>
                  </w:pPr>
                  <w:r>
                    <w:rPr>
                      <w:rFonts w:hint="eastAsia" w:ascii="Times New Roman" w:hAnsi="Times New Roman" w:eastAsia="宋体" w:cs="Times New Roman"/>
                      <w:b/>
                      <w:bCs/>
                      <w:color w:val="auto"/>
                      <w:kern w:val="2"/>
                      <w:sz w:val="21"/>
                      <w:szCs w:val="22"/>
                      <w:lang w:val="en-US" w:eastAsia="zh-CN"/>
                    </w:rPr>
                    <w:t>产污环节</w:t>
                  </w:r>
                </w:p>
              </w:tc>
              <w:tc>
                <w:tcPr>
                  <w:tcW w:w="74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lang w:val="en-US" w:eastAsia="zh-CN"/>
                    </w:rPr>
                  </w:pPr>
                  <w:r>
                    <w:rPr>
                      <w:rFonts w:hint="eastAsia" w:ascii="Times New Roman" w:hAnsi="Times New Roman" w:eastAsia="宋体" w:cs="Times New Roman"/>
                      <w:b/>
                      <w:bCs/>
                      <w:color w:val="auto"/>
                      <w:kern w:val="2"/>
                      <w:sz w:val="21"/>
                      <w:szCs w:val="22"/>
                      <w:lang w:val="en-US" w:eastAsia="zh-CN"/>
                    </w:rPr>
                    <w:t>污染物</w:t>
                  </w:r>
                </w:p>
              </w:tc>
              <w:tc>
                <w:tcPr>
                  <w:tcW w:w="67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产生量</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eastAsia" w:cs="Times New Roman"/>
                      <w:b/>
                      <w:bCs/>
                      <w:color w:val="auto"/>
                      <w:kern w:val="2"/>
                      <w:sz w:val="21"/>
                      <w:szCs w:val="22"/>
                      <w:lang w:val="en-US" w:eastAsia="zh-CN"/>
                    </w:rPr>
                    <w:t>t</w:t>
                  </w:r>
                  <w:r>
                    <w:rPr>
                      <w:rFonts w:hint="default" w:ascii="Times New Roman" w:hAnsi="Times New Roman" w:eastAsia="宋体" w:cs="Times New Roman"/>
                      <w:b/>
                      <w:bCs/>
                      <w:color w:val="auto"/>
                      <w:kern w:val="2"/>
                      <w:sz w:val="21"/>
                      <w:szCs w:val="22"/>
                    </w:rPr>
                    <w:t>/a</w:t>
                  </w:r>
                </w:p>
              </w:tc>
              <w:tc>
                <w:tcPr>
                  <w:tcW w:w="7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bCs/>
                      <w:color w:val="auto"/>
                      <w:kern w:val="2"/>
                      <w:sz w:val="21"/>
                      <w:szCs w:val="22"/>
                      <w:lang w:val="en-US" w:eastAsia="zh-CN"/>
                    </w:rPr>
                  </w:pPr>
                  <w:r>
                    <w:rPr>
                      <w:rFonts w:hint="eastAsia" w:ascii="Times New Roman" w:hAnsi="Times New Roman" w:eastAsia="宋体" w:cs="Times New Roman"/>
                      <w:b/>
                      <w:bCs/>
                      <w:color w:val="auto"/>
                      <w:kern w:val="2"/>
                      <w:sz w:val="21"/>
                      <w:szCs w:val="22"/>
                      <w:lang w:val="en-US" w:eastAsia="zh-CN"/>
                    </w:rPr>
                    <w:t>净化效率</w:t>
                  </w:r>
                </w:p>
              </w:tc>
              <w:tc>
                <w:tcPr>
                  <w:tcW w:w="5116"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p>
              </w:tc>
              <w:tc>
                <w:tcPr>
                  <w:tcW w:w="74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p>
              </w:tc>
              <w:tc>
                <w:tcPr>
                  <w:tcW w:w="6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p>
              </w:tc>
              <w:tc>
                <w:tcPr>
                  <w:tcW w:w="7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p>
              </w:tc>
              <w:tc>
                <w:tcPr>
                  <w:tcW w:w="10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排放量（</w:t>
                  </w:r>
                  <w:r>
                    <w:rPr>
                      <w:rFonts w:hint="eastAsia" w:cs="Times New Roman"/>
                      <w:b/>
                      <w:bCs/>
                      <w:color w:val="auto"/>
                      <w:kern w:val="2"/>
                      <w:sz w:val="21"/>
                      <w:szCs w:val="22"/>
                      <w:lang w:val="en-US" w:eastAsia="zh-CN"/>
                    </w:rPr>
                    <w:t>t</w:t>
                  </w:r>
                  <w:r>
                    <w:rPr>
                      <w:rFonts w:hint="default" w:ascii="Times New Roman" w:hAnsi="Times New Roman" w:eastAsia="宋体" w:cs="Times New Roman"/>
                      <w:b/>
                      <w:bCs/>
                      <w:color w:val="auto"/>
                      <w:kern w:val="2"/>
                      <w:sz w:val="21"/>
                      <w:szCs w:val="22"/>
                    </w:rPr>
                    <w:t>/a）</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排放浓度（mg/m</w:t>
                  </w:r>
                  <w:r>
                    <w:rPr>
                      <w:rFonts w:hint="default" w:ascii="Times New Roman" w:hAnsi="Times New Roman" w:eastAsia="宋体" w:cs="Times New Roman"/>
                      <w:b/>
                      <w:bCs/>
                      <w:color w:val="auto"/>
                      <w:kern w:val="2"/>
                      <w:sz w:val="21"/>
                      <w:szCs w:val="22"/>
                      <w:vertAlign w:val="superscript"/>
                      <w:lang w:val="en-US" w:eastAsia="zh-CN"/>
                    </w:rPr>
                    <w:t>3</w:t>
                  </w:r>
                  <w:r>
                    <w:rPr>
                      <w:rFonts w:hint="default" w:ascii="Times New Roman" w:hAnsi="Times New Roman" w:eastAsia="宋体" w:cs="Times New Roman"/>
                      <w:b/>
                      <w:bCs/>
                      <w:color w:val="auto"/>
                      <w:kern w:val="2"/>
                      <w:sz w:val="21"/>
                      <w:szCs w:val="22"/>
                    </w:rPr>
                    <w:t>）</w:t>
                  </w:r>
                </w:p>
              </w:tc>
              <w:tc>
                <w:tcPr>
                  <w:tcW w:w="12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eastAsia" w:ascii="Times New Roman" w:hAnsi="Times New Roman" w:eastAsia="宋体" w:cs="Times New Roman"/>
                      <w:b/>
                      <w:bCs/>
                      <w:color w:val="auto"/>
                      <w:kern w:val="2"/>
                      <w:sz w:val="21"/>
                      <w:szCs w:val="22"/>
                      <w:lang w:val="en-US" w:eastAsia="zh-CN"/>
                    </w:rPr>
                    <w:t>排气筒高度</w:t>
                  </w:r>
                </w:p>
              </w:tc>
              <w:tc>
                <w:tcPr>
                  <w:tcW w:w="1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高负压</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CH</w:t>
                  </w:r>
                  <w:r>
                    <w:rPr>
                      <w:rFonts w:hint="eastAsia" w:cs="Times New Roman"/>
                      <w:color w:val="auto"/>
                      <w:kern w:val="2"/>
                      <w:sz w:val="21"/>
                      <w:szCs w:val="22"/>
                      <w:vertAlign w:val="subscript"/>
                      <w:lang w:val="en-US" w:eastAsia="zh-CN"/>
                    </w:rPr>
                    <w:t>4</w:t>
                  </w:r>
                </w:p>
              </w:tc>
              <w:tc>
                <w:tcPr>
                  <w:tcW w:w="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13.34</w:t>
                  </w:r>
                </w:p>
              </w:tc>
              <w:tc>
                <w:tcPr>
                  <w:tcW w:w="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w:t>
                  </w:r>
                </w:p>
              </w:tc>
              <w:tc>
                <w:tcPr>
                  <w:tcW w:w="10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13.34</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72.73</w:t>
                  </w:r>
                </w:p>
              </w:tc>
              <w:tc>
                <w:tcPr>
                  <w:tcW w:w="12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18</w:t>
                  </w:r>
                </w:p>
              </w:tc>
              <w:tc>
                <w:tcPr>
                  <w:tcW w:w="1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1.6843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低负压</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CH</w:t>
                  </w:r>
                  <w:r>
                    <w:rPr>
                      <w:rFonts w:hint="eastAsia" w:cs="Times New Roman"/>
                      <w:color w:val="auto"/>
                      <w:kern w:val="2"/>
                      <w:sz w:val="21"/>
                      <w:szCs w:val="22"/>
                      <w:vertAlign w:val="subscript"/>
                      <w:lang w:val="en-US" w:eastAsia="zh-CN"/>
                    </w:rPr>
                    <w:t>4</w:t>
                  </w:r>
                </w:p>
              </w:tc>
              <w:tc>
                <w:tcPr>
                  <w:tcW w:w="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3.98</w:t>
                  </w:r>
                </w:p>
              </w:tc>
              <w:tc>
                <w:tcPr>
                  <w:tcW w:w="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w:t>
                  </w:r>
                </w:p>
              </w:tc>
              <w:tc>
                <w:tcPr>
                  <w:tcW w:w="10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3.98</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72.83</w:t>
                  </w:r>
                </w:p>
              </w:tc>
              <w:tc>
                <w:tcPr>
                  <w:tcW w:w="12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18</w:t>
                  </w:r>
                </w:p>
              </w:tc>
              <w:tc>
                <w:tcPr>
                  <w:tcW w:w="1123" w:type="dxa"/>
                  <w:tcBorders>
                    <w:tl2br w:val="nil"/>
                    <w:tr2bl w:val="nil"/>
                  </w:tcBorders>
                  <w:noWrap w:val="0"/>
                  <w:vAlign w:val="center"/>
                </w:tcPr>
                <w:p>
                  <w:pPr>
                    <w:keepNext w:val="0"/>
                    <w:keepLines w:val="0"/>
                    <w:pageBreakBefore w:val="0"/>
                    <w:widowControl w:val="0"/>
                    <w:tabs>
                      <w:tab w:val="left" w:pos="231"/>
                    </w:tabs>
                    <w:kinsoku/>
                    <w:wordWrap/>
                    <w:overflowPunct/>
                    <w:topLinePunct w:val="0"/>
                    <w:autoSpaceDE/>
                    <w:autoSpaceDN/>
                    <w:bidi w:val="0"/>
                    <w:adjustRightInd/>
                    <w:snapToGrid/>
                    <w:spacing w:before="0" w:after="0" w:line="320" w:lineRule="exact"/>
                    <w:ind w:left="0" w:right="0" w:firstLine="0" w:firstLineChars="0"/>
                    <w:jc w:val="left"/>
                    <w:textAlignment w:val="auto"/>
                    <w:rPr>
                      <w:rFonts w:hint="default" w:cs="Times New Roman"/>
                      <w:sz w:val="21"/>
                      <w:szCs w:val="21"/>
                      <w:lang w:val="en-US" w:eastAsia="zh-CN"/>
                    </w:rPr>
                  </w:pPr>
                  <w:r>
                    <w:rPr>
                      <w:rFonts w:hint="eastAsia" w:cs="Times New Roman"/>
                      <w:sz w:val="21"/>
                      <w:szCs w:val="21"/>
                      <w:lang w:val="en-US" w:eastAsia="zh-CN"/>
                    </w:rPr>
                    <w:tab/>
                  </w:r>
                  <w:r>
                    <w:rPr>
                      <w:rFonts w:hint="eastAsia" w:cs="Times New Roman"/>
                      <w:sz w:val="21"/>
                      <w:szCs w:val="21"/>
                      <w:lang w:val="en-US" w:eastAsia="zh-CN"/>
                    </w:rPr>
                    <w:t>0.5025</w:t>
                  </w:r>
                </w:p>
              </w:tc>
            </w:tr>
          </w:tbl>
          <w:p>
            <w:pPr>
              <w:keepNext w:val="0"/>
              <w:keepLines w:val="0"/>
              <w:pageBreakBefore w:val="0"/>
              <w:widowControl w:val="0"/>
              <w:kinsoku/>
              <w:wordWrap/>
              <w:overflowPunct/>
              <w:topLinePunct w:val="0"/>
              <w:autoSpaceDE/>
              <w:autoSpaceDN/>
              <w:bidi w:val="0"/>
              <w:adjustRightInd/>
              <w:snapToGrid/>
              <w:spacing w:before="0" w:line="520" w:lineRule="exact"/>
              <w:jc w:val="center"/>
              <w:textAlignment w:val="auto"/>
              <w:rPr>
                <w:rFonts w:hint="default" w:ascii="Times New Roman" w:hAnsi="Times New Roman" w:eastAsia="宋体" w:cs="Times New Roman"/>
                <w:b/>
                <w:bCs/>
                <w:color w:val="000000"/>
                <w:kern w:val="0"/>
                <w:sz w:val="24"/>
                <w:szCs w:val="24"/>
                <w:lang w:val="en-US" w:eastAsia="zh-CN" w:bidi="ar-SA"/>
              </w:rPr>
            </w:pPr>
            <w:r>
              <w:rPr>
                <w:rFonts w:hint="default" w:ascii="Times New Roman" w:hAnsi="Times New Roman" w:eastAsia="宋体" w:cs="Times New Roman"/>
                <w:b/>
                <w:bCs/>
                <w:color w:val="000000"/>
                <w:kern w:val="0"/>
                <w:sz w:val="24"/>
                <w:szCs w:val="24"/>
                <w:lang w:val="en-US" w:eastAsia="zh-CN" w:bidi="ar-SA"/>
              </w:rPr>
              <w:t>表</w:t>
            </w:r>
            <w:r>
              <w:rPr>
                <w:rFonts w:hint="eastAsia" w:ascii="Times New Roman" w:hAnsi="Times New Roman" w:eastAsia="宋体" w:cs="Times New Roman"/>
                <w:b/>
                <w:bCs/>
                <w:color w:val="000000"/>
                <w:kern w:val="0"/>
                <w:sz w:val="24"/>
                <w:szCs w:val="24"/>
                <w:lang w:val="en-US" w:eastAsia="zh-CN" w:bidi="ar-SA"/>
              </w:rPr>
              <w:t>4.5-</w:t>
            </w:r>
            <w:r>
              <w:rPr>
                <w:rFonts w:hint="eastAsia" w:cs="Times New Roman"/>
                <w:b/>
                <w:bCs/>
                <w:color w:val="000000"/>
                <w:kern w:val="0"/>
                <w:sz w:val="24"/>
                <w:szCs w:val="24"/>
                <w:lang w:val="en-US" w:eastAsia="zh-CN" w:bidi="ar-SA"/>
              </w:rPr>
              <w:t xml:space="preserve">2  </w:t>
            </w:r>
            <w:r>
              <w:rPr>
                <w:rFonts w:hint="eastAsia" w:ascii="Times New Roman" w:hAnsi="Times New Roman" w:eastAsia="宋体" w:cs="Times New Roman"/>
                <w:b/>
                <w:bCs/>
                <w:color w:val="000000"/>
                <w:kern w:val="0"/>
                <w:sz w:val="24"/>
                <w:szCs w:val="24"/>
                <w:lang w:val="en-US" w:eastAsia="zh-CN" w:bidi="ar-SA"/>
              </w:rPr>
              <w:t>本</w:t>
            </w:r>
            <w:r>
              <w:rPr>
                <w:rFonts w:hint="default" w:ascii="Times New Roman" w:hAnsi="Times New Roman" w:eastAsia="宋体" w:cs="Times New Roman"/>
                <w:b/>
                <w:bCs/>
                <w:color w:val="000000"/>
                <w:kern w:val="0"/>
                <w:sz w:val="24"/>
                <w:szCs w:val="24"/>
                <w:lang w:val="en-US" w:eastAsia="zh-CN" w:bidi="ar-SA"/>
              </w:rPr>
              <w:t>项目</w:t>
            </w:r>
            <w:r>
              <w:rPr>
                <w:rFonts w:hint="eastAsia" w:ascii="Times New Roman" w:hAnsi="Times New Roman" w:eastAsia="宋体" w:cs="Times New Roman"/>
                <w:b/>
                <w:bCs/>
                <w:color w:val="000000"/>
                <w:kern w:val="0"/>
                <w:sz w:val="24"/>
                <w:szCs w:val="24"/>
                <w:lang w:val="en-US" w:eastAsia="zh-CN" w:bidi="ar-SA"/>
              </w:rPr>
              <w:t>有组织点源正常工况下排放口参数</w:t>
            </w:r>
            <w:r>
              <w:rPr>
                <w:rFonts w:hint="default" w:ascii="Times New Roman" w:hAnsi="Times New Roman" w:eastAsia="宋体" w:cs="Times New Roman"/>
                <w:b/>
                <w:bCs/>
                <w:color w:val="000000"/>
                <w:kern w:val="0"/>
                <w:sz w:val="24"/>
                <w:szCs w:val="24"/>
                <w:lang w:val="en-US" w:eastAsia="zh-CN" w:bidi="ar-SA"/>
              </w:rPr>
              <w:t>一览表</w:t>
            </w:r>
          </w:p>
          <w:tbl>
            <w:tblPr>
              <w:tblStyle w:val="19"/>
              <w:tblW w:w="82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452"/>
              <w:gridCol w:w="779"/>
              <w:gridCol w:w="682"/>
              <w:gridCol w:w="974"/>
              <w:gridCol w:w="1226"/>
              <w:gridCol w:w="1012"/>
              <w:gridCol w:w="974"/>
              <w:gridCol w:w="11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14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排放口编号以及排放口类型</w:t>
                  </w:r>
                </w:p>
              </w:tc>
              <w:tc>
                <w:tcPr>
                  <w:tcW w:w="146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排气筒底部中心坐标</w:t>
                  </w:r>
                </w:p>
              </w:tc>
              <w:tc>
                <w:tcPr>
                  <w:tcW w:w="9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排气筒底部海拔m</w:t>
                  </w:r>
                </w:p>
              </w:tc>
              <w:tc>
                <w:tcPr>
                  <w:tcW w:w="223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排气筒参数</w:t>
                  </w:r>
                </w:p>
              </w:tc>
              <w:tc>
                <w:tcPr>
                  <w:tcW w:w="9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烟气出口温度℃</w:t>
                  </w:r>
                </w:p>
              </w:tc>
              <w:tc>
                <w:tcPr>
                  <w:tcW w:w="112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bidi="ar-SA"/>
                    </w:rPr>
                  </w:pPr>
                  <w:r>
                    <w:rPr>
                      <w:rFonts w:hint="eastAsia" w:ascii="Times New Roman" w:hAnsi="Times New Roman" w:eastAsia="宋体" w:cs="Times New Roman"/>
                      <w:b/>
                      <w:bCs/>
                      <w:color w:val="000000"/>
                      <w:spacing w:val="0"/>
                      <w:kern w:val="2"/>
                      <w:sz w:val="21"/>
                      <w:szCs w:val="21"/>
                      <w:lang w:val="en-US" w:eastAsia="zh-CN" w:bidi="ar-SA"/>
                    </w:rPr>
                    <w:t>年排放小时数h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14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ascii="Times New Roman" w:hAnsi="Times New Roman" w:eastAsia="宋体" w:cs="Times New Roman"/>
                      <w:b/>
                      <w:bCs/>
                      <w:color w:val="000000"/>
                      <w:spacing w:val="0"/>
                      <w:kern w:val="2"/>
                      <w:sz w:val="21"/>
                      <w:szCs w:val="21"/>
                    </w:rPr>
                  </w:pPr>
                </w:p>
              </w:tc>
              <w:tc>
                <w:tcPr>
                  <w:tcW w:w="77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经度</w:t>
                  </w:r>
                </w:p>
              </w:tc>
              <w:tc>
                <w:tcPr>
                  <w:tcW w:w="682"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bidi="ar-SA"/>
                    </w:rPr>
                  </w:pPr>
                  <w:r>
                    <w:rPr>
                      <w:rFonts w:hint="eastAsia" w:ascii="Times New Roman" w:hAnsi="Times New Roman" w:eastAsia="宋体" w:cs="Times New Roman"/>
                      <w:b/>
                      <w:bCs/>
                      <w:color w:val="000000"/>
                      <w:spacing w:val="0"/>
                      <w:kern w:val="2"/>
                      <w:sz w:val="21"/>
                      <w:szCs w:val="21"/>
                      <w:lang w:val="en-US" w:eastAsia="zh-CN" w:bidi="ar-SA"/>
                    </w:rPr>
                    <w:t>纬度</w:t>
                  </w:r>
                </w:p>
              </w:tc>
              <w:tc>
                <w:tcPr>
                  <w:tcW w:w="9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ascii="Times New Roman" w:hAnsi="Times New Roman" w:eastAsia="宋体" w:cs="Times New Roman"/>
                      <w:b/>
                      <w:bCs/>
                      <w:color w:val="000000"/>
                      <w:spacing w:val="0"/>
                      <w:kern w:val="2"/>
                      <w:sz w:val="21"/>
                      <w:szCs w:val="21"/>
                    </w:rPr>
                  </w:pPr>
                </w:p>
              </w:tc>
              <w:tc>
                <w:tcPr>
                  <w:tcW w:w="12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eastAsia"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高度（m）</w:t>
                  </w:r>
                </w:p>
              </w:tc>
              <w:tc>
                <w:tcPr>
                  <w:tcW w:w="10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eastAsia"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内径（m）</w:t>
                  </w:r>
                </w:p>
              </w:tc>
              <w:tc>
                <w:tcPr>
                  <w:tcW w:w="9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c>
                <w:tcPr>
                  <w:tcW w:w="11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1</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高负压</w:t>
                  </w:r>
                  <w:r>
                    <w:rPr>
                      <w:rFonts w:hint="eastAsia" w:ascii="Times New Roman" w:hAnsi="Times New Roman" w:eastAsia="宋体" w:cs="Times New Roman"/>
                      <w:color w:val="000000"/>
                      <w:kern w:val="2"/>
                      <w:sz w:val="21"/>
                      <w:szCs w:val="21"/>
                      <w:lang w:val="en-US" w:eastAsia="zh-CN" w:bidi="ar-SA"/>
                    </w:rPr>
                    <w:t>排放口）</w:t>
                  </w:r>
                </w:p>
              </w:tc>
              <w:tc>
                <w:tcPr>
                  <w:tcW w:w="77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 w:val="0"/>
                      <w:bCs w:val="0"/>
                      <w:color w:val="000000"/>
                      <w:spacing w:val="0"/>
                      <w:kern w:val="2"/>
                      <w:sz w:val="21"/>
                      <w:szCs w:val="21"/>
                      <w:lang w:val="en-US" w:eastAsia="zh-CN" w:bidi="ar-SA"/>
                    </w:rPr>
                  </w:pPr>
                  <w:r>
                    <w:rPr>
                      <w:rFonts w:hint="default" w:ascii="Times New Roman" w:hAnsi="Times New Roman" w:eastAsia="宋体" w:cs="Times New Roman"/>
                      <w:b w:val="0"/>
                      <w:bCs w:val="0"/>
                      <w:color w:val="000000"/>
                      <w:spacing w:val="0"/>
                      <w:kern w:val="2"/>
                      <w:sz w:val="21"/>
                      <w:szCs w:val="21"/>
                      <w:lang w:val="en-US" w:eastAsia="zh-CN" w:bidi="ar-SA"/>
                    </w:rPr>
                    <w:t>86°40′15.00</w:t>
                  </w:r>
                  <w:r>
                    <w:rPr>
                      <w:rFonts w:hint="eastAsia" w:cs="Times New Roman"/>
                      <w:b w:val="0"/>
                      <w:bCs w:val="0"/>
                      <w:color w:val="000000"/>
                      <w:spacing w:val="0"/>
                      <w:kern w:val="2"/>
                      <w:sz w:val="21"/>
                      <w:szCs w:val="21"/>
                      <w:lang w:val="en-US" w:eastAsia="zh-CN" w:bidi="ar-SA"/>
                    </w:rPr>
                    <w:t>4</w:t>
                  </w:r>
                  <w:r>
                    <w:rPr>
                      <w:rFonts w:hint="default" w:ascii="Times New Roman" w:hAnsi="Times New Roman" w:eastAsia="宋体" w:cs="Times New Roman"/>
                      <w:b w:val="0"/>
                      <w:bCs w:val="0"/>
                      <w:color w:val="000000"/>
                      <w:spacing w:val="0"/>
                      <w:kern w:val="2"/>
                      <w:sz w:val="21"/>
                      <w:szCs w:val="21"/>
                      <w:lang w:val="en-US" w:eastAsia="zh-CN" w:bidi="ar-SA"/>
                    </w:rPr>
                    <w:t>″</w:t>
                  </w:r>
                </w:p>
              </w:tc>
              <w:tc>
                <w:tcPr>
                  <w:tcW w:w="682"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 w:val="0"/>
                      <w:bCs w:val="0"/>
                      <w:color w:val="000000"/>
                      <w:spacing w:val="0"/>
                      <w:kern w:val="2"/>
                      <w:sz w:val="21"/>
                      <w:szCs w:val="21"/>
                      <w:lang w:val="en-US" w:eastAsia="zh-CN" w:bidi="ar-SA"/>
                    </w:rPr>
                  </w:pPr>
                  <w:r>
                    <w:rPr>
                      <w:rFonts w:hint="default" w:ascii="Times New Roman" w:hAnsi="Times New Roman" w:eastAsia="宋体" w:cs="Times New Roman"/>
                      <w:b w:val="0"/>
                      <w:bCs w:val="0"/>
                      <w:color w:val="000000"/>
                      <w:spacing w:val="0"/>
                      <w:kern w:val="2"/>
                      <w:sz w:val="21"/>
                      <w:szCs w:val="21"/>
                      <w:lang w:val="en-US" w:eastAsia="zh-CN" w:bidi="ar-SA"/>
                    </w:rPr>
                    <w:t>43°44′31.739″</w:t>
                  </w:r>
                </w:p>
              </w:tc>
              <w:tc>
                <w:tcPr>
                  <w:tcW w:w="9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1626</w:t>
                  </w:r>
                </w:p>
              </w:tc>
              <w:tc>
                <w:tcPr>
                  <w:tcW w:w="1226"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18</w:t>
                  </w:r>
                </w:p>
              </w:tc>
              <w:tc>
                <w:tcPr>
                  <w:tcW w:w="1012"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0.2</w:t>
                  </w:r>
                </w:p>
              </w:tc>
              <w:tc>
                <w:tcPr>
                  <w:tcW w:w="9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20</w:t>
                  </w:r>
                </w:p>
              </w:tc>
              <w:tc>
                <w:tcPr>
                  <w:tcW w:w="1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7920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2</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低负压</w:t>
                  </w:r>
                  <w:r>
                    <w:rPr>
                      <w:rFonts w:hint="eastAsia" w:ascii="Times New Roman" w:hAnsi="Times New Roman" w:eastAsia="宋体" w:cs="Times New Roman"/>
                      <w:color w:val="000000"/>
                      <w:kern w:val="2"/>
                      <w:sz w:val="21"/>
                      <w:szCs w:val="21"/>
                      <w:lang w:val="en-US" w:eastAsia="zh-CN" w:bidi="ar-SA"/>
                    </w:rPr>
                    <w:t>排放口）</w:t>
                  </w:r>
                </w:p>
              </w:tc>
              <w:tc>
                <w:tcPr>
                  <w:tcW w:w="77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cs="Times New Roman"/>
                      <w:b w:val="0"/>
                      <w:bCs w:val="0"/>
                      <w:color w:val="000000"/>
                      <w:spacing w:val="0"/>
                      <w:kern w:val="2"/>
                      <w:sz w:val="21"/>
                      <w:szCs w:val="21"/>
                      <w:lang w:val="en-US" w:eastAsia="zh-CN" w:bidi="ar-SA"/>
                    </w:rPr>
                  </w:pPr>
                  <w:r>
                    <w:rPr>
                      <w:rFonts w:hint="default" w:ascii="Times New Roman" w:hAnsi="Times New Roman" w:cs="Times New Roman"/>
                      <w:b w:val="0"/>
                      <w:bCs w:val="0"/>
                      <w:color w:val="000000"/>
                      <w:spacing w:val="0"/>
                      <w:kern w:val="2"/>
                      <w:sz w:val="21"/>
                      <w:szCs w:val="21"/>
                      <w:lang w:val="en-US" w:eastAsia="zh-CN" w:bidi="ar-SA"/>
                    </w:rPr>
                    <w:t>86°40′15.158″</w:t>
                  </w:r>
                </w:p>
              </w:tc>
              <w:tc>
                <w:tcPr>
                  <w:tcW w:w="682"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cs="Times New Roman"/>
                      <w:b w:val="0"/>
                      <w:bCs w:val="0"/>
                      <w:color w:val="000000"/>
                      <w:spacing w:val="0"/>
                      <w:kern w:val="2"/>
                      <w:sz w:val="21"/>
                      <w:szCs w:val="21"/>
                      <w:lang w:val="en-US" w:eastAsia="zh-CN" w:bidi="ar-SA"/>
                    </w:rPr>
                  </w:pPr>
                  <w:r>
                    <w:rPr>
                      <w:rFonts w:hint="default" w:ascii="Times New Roman" w:hAnsi="Times New Roman" w:cs="Times New Roman"/>
                      <w:b w:val="0"/>
                      <w:bCs w:val="0"/>
                      <w:color w:val="000000"/>
                      <w:spacing w:val="0"/>
                      <w:kern w:val="2"/>
                      <w:sz w:val="21"/>
                      <w:szCs w:val="21"/>
                      <w:lang w:val="en-US" w:eastAsia="zh-CN" w:bidi="ar-SA"/>
                    </w:rPr>
                    <w:t>43°44′31.50</w:t>
                  </w:r>
                  <w:r>
                    <w:rPr>
                      <w:rFonts w:hint="eastAsia" w:ascii="Times New Roman" w:hAnsi="Times New Roman" w:cs="Times New Roman"/>
                      <w:b w:val="0"/>
                      <w:bCs w:val="0"/>
                      <w:color w:val="000000"/>
                      <w:spacing w:val="0"/>
                      <w:kern w:val="2"/>
                      <w:sz w:val="21"/>
                      <w:szCs w:val="21"/>
                      <w:lang w:val="en-US" w:eastAsia="zh-CN" w:bidi="ar-SA"/>
                    </w:rPr>
                    <w:t>8</w:t>
                  </w:r>
                  <w:r>
                    <w:rPr>
                      <w:rFonts w:hint="default" w:ascii="Times New Roman" w:hAnsi="Times New Roman" w:cs="Times New Roman"/>
                      <w:b w:val="0"/>
                      <w:bCs w:val="0"/>
                      <w:color w:val="000000"/>
                      <w:spacing w:val="0"/>
                      <w:kern w:val="2"/>
                      <w:sz w:val="21"/>
                      <w:szCs w:val="21"/>
                      <w:lang w:val="en-US" w:eastAsia="zh-CN" w:bidi="ar-SA"/>
                    </w:rPr>
                    <w:t>″</w:t>
                  </w:r>
                </w:p>
              </w:tc>
              <w:tc>
                <w:tcPr>
                  <w:tcW w:w="9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eastAsia"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1626</w:t>
                  </w:r>
                </w:p>
              </w:tc>
              <w:tc>
                <w:tcPr>
                  <w:tcW w:w="1226"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18</w:t>
                  </w:r>
                </w:p>
              </w:tc>
              <w:tc>
                <w:tcPr>
                  <w:tcW w:w="1012"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0.2</w:t>
                  </w:r>
                </w:p>
              </w:tc>
              <w:tc>
                <w:tcPr>
                  <w:tcW w:w="9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20</w:t>
                  </w:r>
                </w:p>
              </w:tc>
              <w:tc>
                <w:tcPr>
                  <w:tcW w:w="1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7920</w:t>
                  </w:r>
                </w:p>
              </w:tc>
            </w:tr>
          </w:tbl>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宋体"/>
                <w:color w:val="000000"/>
                <w:kern w:val="0"/>
                <w:sz w:val="24"/>
                <w:szCs w:val="24"/>
                <w:highlight w:val="none"/>
                <w:lang w:val="en-US" w:eastAsia="zh-CN" w:bidi="ar"/>
              </w:rPr>
              <w:t>（</w:t>
            </w:r>
            <w:r>
              <w:rPr>
                <w:rFonts w:hint="eastAsia" w:cs="宋体"/>
                <w:color w:val="000000"/>
                <w:kern w:val="0"/>
                <w:sz w:val="24"/>
                <w:szCs w:val="24"/>
                <w:highlight w:val="none"/>
                <w:lang w:val="en-US" w:eastAsia="zh-CN" w:bidi="ar"/>
              </w:rPr>
              <w:t>2</w:t>
            </w:r>
            <w:r>
              <w:rPr>
                <w:rFonts w:hint="eastAsia" w:ascii="Times New Roman" w:hAnsi="Times New Roman" w:eastAsia="宋体" w:cs="宋体"/>
                <w:color w:val="000000"/>
                <w:kern w:val="0"/>
                <w:sz w:val="24"/>
                <w:szCs w:val="24"/>
                <w:highlight w:val="none"/>
                <w:lang w:val="en-US" w:eastAsia="zh-CN" w:bidi="ar"/>
              </w:rPr>
              <w:t>）</w:t>
            </w:r>
            <w:r>
              <w:rPr>
                <w:rFonts w:hint="eastAsia" w:ascii="Times New Roman" w:hAnsi="Times New Roman" w:eastAsia="宋体" w:cs="Times New Roman"/>
                <w:color w:val="000000"/>
                <w:kern w:val="2"/>
                <w:sz w:val="24"/>
                <w:szCs w:val="24"/>
                <w:highlight w:val="none"/>
                <w:lang w:val="en-US" w:eastAsia="zh-CN" w:bidi="ar-SA"/>
              </w:rPr>
              <w:t>环境影响分析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建设项目环境影响报告表编制技术指南（污染影响类）（试行）》要求“结合建设项目所在区域环境质量现状、环境保护目标、项目采取的污染治理措施及污染物排放强度、排放方式，定性分析废气排放的环境影响”。因此本次环评环境影响分析进行定性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b w:val="0"/>
                <w:bCs w:val="0"/>
                <w:color w:val="000000"/>
                <w:kern w:val="2"/>
                <w:sz w:val="24"/>
                <w:szCs w:val="20"/>
                <w:highlight w:val="none"/>
                <w:lang w:val="en-US" w:eastAsia="zh-CN"/>
              </w:rPr>
              <w:t>本项目</w:t>
            </w:r>
            <w:r>
              <w:rPr>
                <w:rFonts w:hint="default" w:ascii="Times New Roman" w:hAnsi="Times New Roman" w:eastAsia="宋体" w:cs="Times New Roman"/>
                <w:b w:val="0"/>
                <w:bCs w:val="0"/>
                <w:color w:val="000000"/>
                <w:kern w:val="2"/>
                <w:sz w:val="24"/>
                <w:szCs w:val="24"/>
                <w:highlight w:val="none"/>
                <w:lang w:val="en-US" w:eastAsia="zh-CN"/>
              </w:rPr>
              <w:t>区</w:t>
            </w:r>
            <w:r>
              <w:rPr>
                <w:rFonts w:hint="default" w:ascii="Times New Roman" w:hAnsi="Times New Roman" w:eastAsia="宋体" w:cs="Times New Roman"/>
                <w:b w:val="0"/>
                <w:bCs w:val="0"/>
                <w:color w:val="000000"/>
                <w:kern w:val="2"/>
                <w:sz w:val="24"/>
                <w:szCs w:val="24"/>
                <w:highlight w:val="none"/>
              </w:rPr>
              <w:t>所在区域</w:t>
            </w:r>
            <w:r>
              <w:rPr>
                <w:rFonts w:hint="eastAsia" w:ascii="Times New Roman" w:hAnsi="Times New Roman" w:eastAsia="宋体" w:cs="Times New Roman"/>
                <w:b w:val="0"/>
                <w:bCs w:val="0"/>
                <w:color w:val="000000"/>
                <w:kern w:val="2"/>
                <w:sz w:val="24"/>
                <w:szCs w:val="24"/>
                <w:highlight w:val="none"/>
                <w:lang w:val="en-US" w:eastAsia="zh-CN"/>
              </w:rPr>
              <w:t>属于</w:t>
            </w:r>
            <w:r>
              <w:rPr>
                <w:rFonts w:hint="eastAsia" w:eastAsia="宋体" w:cs="Times New Roman"/>
                <w:b w:val="0"/>
                <w:bCs w:val="0"/>
                <w:color w:val="000000"/>
                <w:kern w:val="2"/>
                <w:sz w:val="24"/>
                <w:szCs w:val="24"/>
                <w:highlight w:val="none"/>
                <w:lang w:val="en-US" w:eastAsia="zh-CN"/>
              </w:rPr>
              <w:t>非</w:t>
            </w:r>
            <w:r>
              <w:rPr>
                <w:rFonts w:hint="eastAsia" w:ascii="Times New Roman" w:hAnsi="Times New Roman" w:eastAsia="宋体" w:cs="Times New Roman"/>
                <w:b w:val="0"/>
                <w:bCs w:val="0"/>
                <w:color w:val="000000"/>
                <w:kern w:val="2"/>
                <w:sz w:val="24"/>
                <w:szCs w:val="24"/>
                <w:highlight w:val="none"/>
                <w:lang w:val="en-US" w:eastAsia="zh-CN"/>
              </w:rPr>
              <w:t>达标区。</w:t>
            </w:r>
            <w:r>
              <w:rPr>
                <w:rFonts w:hint="eastAsia" w:ascii="Times New Roman" w:hAnsi="Times New Roman" w:eastAsia="宋体" w:cs="Times New Roman"/>
                <w:color w:val="000000"/>
                <w:kern w:val="2"/>
                <w:sz w:val="24"/>
                <w:szCs w:val="24"/>
                <w:highlight w:val="none"/>
                <w:lang w:val="en-US" w:eastAsia="zh-CN"/>
              </w:rPr>
              <w:t>本项目</w:t>
            </w:r>
            <w:r>
              <w:rPr>
                <w:rFonts w:hint="eastAsia" w:ascii="Times New Roman" w:hAnsi="Times New Roman" w:eastAsia="宋体" w:cs="Times New Roman"/>
                <w:color w:val="000000"/>
                <w:kern w:val="2"/>
                <w:sz w:val="24"/>
                <w:szCs w:val="20"/>
                <w:highlight w:val="none"/>
                <w:lang w:val="en-US" w:eastAsia="zh-CN"/>
              </w:rPr>
              <w:t>厂界外500米范围内无自然保护区、风景名胜区、文化区，不存在环境空气保护目标。</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宋体"/>
                <w:color w:val="000000" w:themeColor="text1"/>
                <w:vertAlign w:val="baseline"/>
                <w:lang w:val="en-US" w:eastAsia="zh-CN"/>
                <w14:textFill>
                  <w14:solidFill>
                    <w14:schemeClr w14:val="tx1"/>
                  </w14:solidFill>
                </w14:textFill>
              </w:rPr>
              <w:t>本项目</w:t>
            </w:r>
            <w:r>
              <w:rPr>
                <w:rFonts w:hint="eastAsia" w:ascii="Times New Roman" w:hAnsi="Times New Roman" w:eastAsia="宋体" w:cs="Times New Roman"/>
                <w:snapToGrid w:val="0"/>
                <w:color w:val="000000"/>
                <w:kern w:val="2"/>
                <w:sz w:val="24"/>
                <w:szCs w:val="24"/>
                <w:lang w:val="en-US" w:eastAsia="zh-CN" w:bidi="ar-SA"/>
              </w:rPr>
              <w:t>瓦斯经自动抑爆装置、水封阻火泄爆装置处理后经1</w:t>
            </w:r>
            <w:r>
              <w:rPr>
                <w:rFonts w:hint="eastAsia" w:cs="Times New Roman"/>
                <w:snapToGrid w:val="0"/>
                <w:color w:val="000000"/>
                <w:kern w:val="2"/>
                <w:sz w:val="24"/>
                <w:szCs w:val="24"/>
                <w:lang w:val="en-US" w:eastAsia="zh-CN" w:bidi="ar-SA"/>
              </w:rPr>
              <w:t>8</w:t>
            </w:r>
            <w:r>
              <w:rPr>
                <w:rFonts w:hint="eastAsia" w:ascii="Times New Roman" w:hAnsi="Times New Roman" w:eastAsia="宋体" w:cs="Times New Roman"/>
                <w:snapToGrid w:val="0"/>
                <w:color w:val="000000"/>
                <w:kern w:val="2"/>
                <w:sz w:val="24"/>
                <w:szCs w:val="24"/>
                <w:lang w:val="en-US" w:eastAsia="zh-CN" w:bidi="ar-SA"/>
              </w:rPr>
              <w:t>m</w:t>
            </w:r>
            <w:r>
              <w:rPr>
                <w:rFonts w:hint="eastAsia" w:cs="Times New Roman"/>
                <w:snapToGrid w:val="0"/>
                <w:color w:val="000000"/>
                <w:kern w:val="2"/>
                <w:sz w:val="24"/>
                <w:szCs w:val="24"/>
                <w:lang w:val="en-US" w:eastAsia="zh-CN" w:bidi="ar-SA"/>
              </w:rPr>
              <w:t>放空管</w:t>
            </w:r>
            <w:r>
              <w:rPr>
                <w:rFonts w:hint="eastAsia" w:ascii="Times New Roman" w:hAnsi="Times New Roman" w:eastAsia="宋体" w:cs="Times New Roman"/>
                <w:snapToGrid w:val="0"/>
                <w:color w:val="000000"/>
                <w:kern w:val="2"/>
                <w:sz w:val="24"/>
                <w:szCs w:val="24"/>
                <w:lang w:val="en-US" w:eastAsia="zh-CN" w:bidi="ar-SA"/>
              </w:rPr>
              <w:t>放散</w:t>
            </w:r>
            <w:r>
              <w:rPr>
                <w:rFonts w:hint="eastAsia"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满足</w:t>
            </w:r>
            <w:r>
              <w:rPr>
                <w:rFonts w:hint="eastAsia" w:ascii="Times New Roman" w:hAnsi="Times New Roman" w:eastAsia="宋体" w:cs="Times New Roman"/>
                <w:snapToGrid w:val="0"/>
                <w:color w:val="000000"/>
                <w:kern w:val="2"/>
                <w:sz w:val="24"/>
                <w:szCs w:val="24"/>
                <w:lang w:val="en-US" w:eastAsia="zh-CN" w:bidi="ar-SA"/>
              </w:rPr>
              <w:t>《煤层气（煤矿瓦斯）排放标准（暂行）》（GB21522-2008）表1 煤层气（煤矿瓦斯）排放限值</w:t>
            </w:r>
            <w:r>
              <w:rPr>
                <w:rFonts w:hint="eastAsia" w:ascii="Times New Roman" w:hAnsi="Times New Roman" w:eastAsia="宋体" w:cs="宋体"/>
                <w:color w:val="000000" w:themeColor="text1"/>
                <w:vertAlign w:val="baseli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r>
              <w:rPr>
                <w:rFonts w:hint="eastAsia" w:cs="Times New Roman"/>
                <w:color w:val="000000"/>
                <w:kern w:val="2"/>
                <w:sz w:val="24"/>
                <w:szCs w:val="24"/>
                <w:highlight w:val="none"/>
                <w:lang w:val="en-US" w:eastAsia="zh-CN" w:bidi="ar-SA"/>
              </w:rPr>
              <w:t>3</w:t>
            </w:r>
            <w:r>
              <w:rPr>
                <w:rFonts w:hint="eastAsia" w:ascii="Times New Roman" w:hAnsi="Times New Roman" w:eastAsia="宋体" w:cs="Times New Roman"/>
                <w:color w:val="000000"/>
                <w:kern w:val="2"/>
                <w:sz w:val="24"/>
                <w:szCs w:val="24"/>
                <w:highlight w:val="none"/>
                <w:lang w:val="en-US" w:eastAsia="zh-CN" w:bidi="ar-SA"/>
              </w:rPr>
              <w:t>）废气监测制度</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根据项目生产特点和主要污染物的排放情况，按照</w:t>
            </w:r>
            <w:r>
              <w:rPr>
                <w:rFonts w:hint="eastAsia" w:ascii="Times New Roman" w:hAnsi="Times New Roman" w:eastAsia="宋体" w:cs="Times New Roman"/>
                <w:snapToGrid w:val="0"/>
                <w:color w:val="000000"/>
                <w:kern w:val="2"/>
                <w:sz w:val="24"/>
                <w:szCs w:val="24"/>
                <w:lang w:val="en-US" w:eastAsia="zh-CN" w:bidi="ar-SA"/>
              </w:rPr>
              <w:t>《煤层气（煤矿瓦斯）排放标准（暂行）》（GB21522-2008）</w:t>
            </w:r>
            <w:r>
              <w:rPr>
                <w:rFonts w:hint="eastAsia" w:ascii="Times New Roman" w:hAnsi="Times New Roman" w:eastAsia="宋体" w:cs="Times New Roman"/>
                <w:color w:val="000000"/>
                <w:kern w:val="2"/>
                <w:sz w:val="24"/>
                <w:szCs w:val="20"/>
                <w:highlight w:val="none"/>
                <w:lang w:val="en-US" w:eastAsia="zh-CN"/>
              </w:rPr>
              <w:t>制定监测计划，见下表。</w:t>
            </w:r>
          </w:p>
          <w:p>
            <w:pPr>
              <w:pageBreakBefore w:val="0"/>
              <w:widowControl w:val="0"/>
              <w:kinsoku/>
              <w:wordWrap/>
              <w:overflowPunct/>
              <w:topLinePunct w:val="0"/>
              <w:autoSpaceDE/>
              <w:autoSpaceDN/>
              <w:bidi w:val="0"/>
              <w:adjustRightInd/>
              <w:snapToGrid/>
              <w:spacing w:before="0" w:after="0" w:line="360" w:lineRule="auto"/>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表4.5-</w:t>
            </w:r>
            <w:r>
              <w:rPr>
                <w:rFonts w:hint="eastAsia" w:cs="Times New Roman"/>
                <w:b/>
                <w:bCs/>
                <w:color w:val="000000"/>
                <w:kern w:val="2"/>
                <w:sz w:val="24"/>
                <w:szCs w:val="20"/>
                <w:highlight w:val="none"/>
                <w:vertAlign w:val="baseline"/>
                <w:lang w:val="en-US" w:eastAsia="zh-CN"/>
              </w:rPr>
              <w:t xml:space="preserve">3  </w:t>
            </w:r>
            <w:r>
              <w:rPr>
                <w:rFonts w:hint="eastAsia" w:ascii="Times New Roman" w:hAnsi="Times New Roman" w:eastAsia="宋体" w:cs="Times New Roman"/>
                <w:b/>
                <w:bCs/>
                <w:color w:val="000000"/>
                <w:kern w:val="2"/>
                <w:sz w:val="24"/>
                <w:szCs w:val="20"/>
                <w:highlight w:val="none"/>
                <w:vertAlign w:val="baseline"/>
                <w:lang w:val="en-US" w:eastAsia="zh-CN"/>
              </w:rPr>
              <w:t>废气监测制度一览表</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74"/>
              <w:gridCol w:w="975"/>
              <w:gridCol w:w="1511"/>
              <w:gridCol w:w="47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949"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bCs/>
                      <w:color w:val="000000"/>
                      <w:kern w:val="2"/>
                      <w:sz w:val="21"/>
                      <w:szCs w:val="21"/>
                      <w:highlight w:val="none"/>
                      <w:lang w:val="en-US" w:eastAsia="zh-CN"/>
                    </w:rPr>
                  </w:pPr>
                  <w:r>
                    <w:rPr>
                      <w:rFonts w:hint="eastAsia" w:ascii="Times New Roman" w:hAnsi="Times New Roman" w:eastAsia="宋体" w:cs="Times New Roman"/>
                      <w:b/>
                      <w:bCs/>
                      <w:color w:val="000000"/>
                      <w:kern w:val="2"/>
                      <w:sz w:val="21"/>
                      <w:szCs w:val="21"/>
                      <w:highlight w:val="none"/>
                      <w:lang w:val="en-US" w:eastAsia="zh-CN"/>
                    </w:rPr>
                    <w:t>项目</w:t>
                  </w:r>
                </w:p>
              </w:tc>
              <w:tc>
                <w:tcPr>
                  <w:tcW w:w="6271"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宋体"/>
                      <w:b/>
                      <w:bCs/>
                      <w:color w:val="000000"/>
                      <w:kern w:val="2"/>
                      <w:sz w:val="21"/>
                      <w:szCs w:val="21"/>
                      <w:highlight w:val="none"/>
                      <w:lang w:val="en-US" w:eastAsia="zh-CN" w:bidi="ar"/>
                    </w:rPr>
                  </w:pPr>
                  <w:r>
                    <w:rPr>
                      <w:rFonts w:hint="eastAsia" w:ascii="Times New Roman" w:hAnsi="Times New Roman" w:eastAsia="宋体" w:cs="宋体"/>
                      <w:b/>
                      <w:bCs/>
                      <w:color w:val="000000"/>
                      <w:kern w:val="2"/>
                      <w:sz w:val="21"/>
                      <w:szCs w:val="21"/>
                      <w:highlight w:val="none"/>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74" w:type="dxa"/>
                  <w:vMerge w:val="restart"/>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有组织排放</w:t>
                  </w:r>
                </w:p>
              </w:tc>
              <w:tc>
                <w:tcPr>
                  <w:tcW w:w="975" w:type="dxa"/>
                  <w:vMerge w:val="restart"/>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bidi="ar"/>
                    </w:rPr>
                    <w:t>瓦斯</w:t>
                  </w:r>
                </w:p>
              </w:tc>
              <w:tc>
                <w:tcPr>
                  <w:tcW w:w="1511"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监测点位</w:t>
                  </w:r>
                </w:p>
              </w:tc>
              <w:tc>
                <w:tcPr>
                  <w:tcW w:w="4760"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矿井瓦斯抽放泵站输入管路</w:t>
                  </w:r>
                  <w:r>
                    <w:rPr>
                      <w:rFonts w:hint="eastAsia" w:cs="Times New Roman"/>
                      <w:color w:val="000000"/>
                      <w:kern w:val="2"/>
                      <w:sz w:val="21"/>
                      <w:szCs w:val="21"/>
                      <w:highlight w:val="none"/>
                      <w:lang w:val="en-US" w:eastAsia="zh-CN" w:bidi="ar-SA"/>
                    </w:rPr>
                    <w:t>、抽放泵站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74"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ascii="Times New Roman" w:hAnsi="Times New Roman" w:eastAsia="宋体" w:cs="宋体"/>
                    </w:rPr>
                  </w:pPr>
                </w:p>
              </w:tc>
              <w:tc>
                <w:tcPr>
                  <w:tcW w:w="975"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ascii="Times New Roman" w:hAnsi="Times New Roman" w:eastAsia="宋体" w:cs="宋体"/>
                    </w:rPr>
                  </w:pPr>
                </w:p>
              </w:tc>
              <w:tc>
                <w:tcPr>
                  <w:tcW w:w="1511"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监测频次</w:t>
                  </w:r>
                </w:p>
              </w:tc>
              <w:tc>
                <w:tcPr>
                  <w:tcW w:w="4760"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cs="宋体"/>
                      <w:color w:val="000000"/>
                      <w:kern w:val="2"/>
                      <w:sz w:val="21"/>
                      <w:szCs w:val="21"/>
                      <w:highlight w:val="none"/>
                      <w:lang w:val="en-US" w:eastAsia="zh-CN" w:bidi="ar"/>
                    </w:rPr>
                    <w:t>自动监测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949"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采样分析数据处理</w:t>
                  </w:r>
                </w:p>
              </w:tc>
              <w:tc>
                <w:tcPr>
                  <w:tcW w:w="6271"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color w:val="000000"/>
                      <w:kern w:val="2"/>
                      <w:sz w:val="21"/>
                      <w:szCs w:val="21"/>
                      <w:highlight w:val="none"/>
                      <w:lang w:val="en-US" w:eastAsia="zh-CN" w:bidi="ar"/>
                    </w:rPr>
                    <w:t>按照《环境空气质量标准》(GB3095-2012)、《污染源自动监控管理办法》、《环境监测技术规范》的有关规定进行</w:t>
                  </w:r>
                </w:p>
              </w:tc>
            </w:tr>
          </w:tbl>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宋体"/>
                <w:lang w:val="en-US" w:eastAsia="zh-CN"/>
              </w:rPr>
            </w:pPr>
            <w:r>
              <w:rPr>
                <w:rFonts w:hint="eastAsia" w:ascii="Times New Roman" w:hAnsi="Times New Roman" w:eastAsia="宋体" w:cs="Times New Roman"/>
                <w:color w:val="000000"/>
                <w:kern w:val="2"/>
                <w:sz w:val="24"/>
                <w:szCs w:val="24"/>
                <w:highlight w:val="none"/>
                <w:lang w:val="en-US" w:eastAsia="zh-CN" w:bidi="ar-SA"/>
              </w:rPr>
              <w:t>（</w:t>
            </w:r>
            <w:r>
              <w:rPr>
                <w:rFonts w:hint="eastAsia" w:cs="Times New Roman"/>
                <w:color w:val="000000"/>
                <w:kern w:val="2"/>
                <w:sz w:val="24"/>
                <w:szCs w:val="24"/>
                <w:highlight w:val="none"/>
                <w:lang w:val="en-US" w:eastAsia="zh-CN" w:bidi="ar-SA"/>
              </w:rPr>
              <w:t>4</w:t>
            </w:r>
            <w:r>
              <w:rPr>
                <w:rFonts w:hint="eastAsia" w:ascii="Times New Roman" w:hAnsi="Times New Roman" w:eastAsia="宋体" w:cs="Times New Roman"/>
                <w:color w:val="000000"/>
                <w:kern w:val="2"/>
                <w:sz w:val="24"/>
                <w:szCs w:val="24"/>
                <w:highlight w:val="none"/>
                <w:lang w:val="en-US" w:eastAsia="zh-CN" w:bidi="ar-SA"/>
              </w:rPr>
              <w:t>）废气污染防治措施</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有组织排放污染防治措施：</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a）污染防治设施应与其对应的生产工艺设备同步运转，保证在生产工艺设备运行波动情况下仍能正常运转，实现达标排放。</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宋体"/>
                <w:lang w:val="en-US" w:eastAsia="zh-CN"/>
              </w:rPr>
              <w:t>b）加强设备巡检，消除设备隐患，保证设备正常运行，废气处理装置定期维护检查，保证设备完整无破损。</w:t>
            </w:r>
          </w:p>
          <w:p>
            <w:pPr>
              <w:widowControl w:val="0"/>
              <w:overflowPunct w:val="0"/>
              <w:autoSpaceDE w:val="0"/>
              <w:autoSpaceDN w:val="0"/>
              <w:adjustRightInd w:val="0"/>
              <w:snapToGrid w:val="0"/>
              <w:spacing w:before="0" w:after="0" w:line="360" w:lineRule="auto"/>
              <w:ind w:left="0" w:right="0" w:firstLine="480" w:firstLineChars="200"/>
              <w:jc w:val="both"/>
              <w:rPr>
                <w:rFonts w:hint="eastAsia" w:ascii="Times New Roman" w:hAnsi="Times New Roman" w:eastAsia="宋体" w:cs="Times New Roman"/>
                <w:bCs/>
                <w:color w:val="auto"/>
                <w:kern w:val="2"/>
                <w:sz w:val="24"/>
                <w:szCs w:val="24"/>
                <w:lang w:eastAsia="zh-CN"/>
              </w:rPr>
            </w:pPr>
            <w:r>
              <w:rPr>
                <w:rFonts w:hint="eastAsia" w:cs="Times New Roman"/>
                <w:bCs/>
                <w:color w:val="auto"/>
                <w:kern w:val="2"/>
                <w:sz w:val="24"/>
                <w:szCs w:val="24"/>
                <w:lang w:val="en-US" w:eastAsia="zh-CN"/>
              </w:rPr>
              <w:t>c</w:t>
            </w:r>
            <w:r>
              <w:rPr>
                <w:rFonts w:hint="eastAsia" w:cs="Times New Roman"/>
                <w:bCs/>
                <w:color w:val="auto"/>
                <w:kern w:val="2"/>
                <w:sz w:val="24"/>
                <w:szCs w:val="24"/>
                <w:lang w:eastAsia="zh-CN"/>
              </w:rPr>
              <w:t>）抽采的瓦斯甲烷浓度在30%及以上时，禁止对空直接排放。</w:t>
            </w:r>
          </w:p>
          <w:p>
            <w:pPr>
              <w:widowControl w:val="0"/>
              <w:overflowPunct w:val="0"/>
              <w:autoSpaceDE w:val="0"/>
              <w:autoSpaceDN w:val="0"/>
              <w:adjustRightInd w:val="0"/>
              <w:snapToGrid w:val="0"/>
              <w:spacing w:before="0" w:after="0" w:line="360" w:lineRule="auto"/>
              <w:ind w:left="0" w:right="0" w:firstLine="480" w:firstLineChars="200"/>
              <w:jc w:val="both"/>
              <w:rPr>
                <w:rFonts w:hint="eastAsia" w:ascii="Times New Roman" w:hAnsi="Times New Roman" w:eastAsia="宋体" w:cs="黑体"/>
                <w:b/>
                <w:sz w:val="28"/>
                <w:szCs w:val="30"/>
                <w:lang w:val="en-US" w:eastAsia="zh-CN" w:bidi="ar-SA"/>
              </w:rPr>
            </w:pPr>
            <w:r>
              <w:rPr>
                <w:rFonts w:hint="default" w:ascii="Times New Roman" w:hAnsi="Times New Roman" w:eastAsia="宋体" w:cs="Times New Roman"/>
                <w:bCs/>
                <w:color w:val="auto"/>
                <w:kern w:val="2"/>
                <w:sz w:val="24"/>
                <w:szCs w:val="24"/>
              </w:rPr>
              <w:t>综上所述，项目大气污染物治理措施</w:t>
            </w:r>
            <w:r>
              <w:rPr>
                <w:rFonts w:hint="default" w:ascii="Times New Roman" w:hAnsi="Times New Roman" w:eastAsia="宋体" w:cs="Times New Roman"/>
                <w:color w:val="auto"/>
                <w:kern w:val="2"/>
                <w:sz w:val="24"/>
                <w:szCs w:val="24"/>
              </w:rPr>
              <w:t>从经济、技术角度可行，项目大气污染物排放不会对周围</w:t>
            </w:r>
            <w:r>
              <w:rPr>
                <w:rFonts w:hint="eastAsia" w:ascii="Times New Roman" w:hAnsi="Times New Roman" w:eastAsia="宋体" w:cs="Times New Roman"/>
                <w:color w:val="auto"/>
                <w:kern w:val="2"/>
                <w:sz w:val="24"/>
                <w:szCs w:val="24"/>
                <w:lang w:val="en-US" w:eastAsia="zh-CN"/>
              </w:rPr>
              <w:t>环境</w:t>
            </w:r>
            <w:r>
              <w:rPr>
                <w:rFonts w:hint="default" w:ascii="Times New Roman" w:hAnsi="Times New Roman" w:eastAsia="宋体" w:cs="Times New Roman"/>
                <w:color w:val="auto"/>
                <w:kern w:val="2"/>
                <w:sz w:val="24"/>
                <w:szCs w:val="24"/>
              </w:rPr>
              <w:t>造成影响。</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4.6废水</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（1）生活污水产排情况</w:t>
            </w:r>
          </w:p>
          <w:p>
            <w:pPr>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本项目无新增劳动定员，因此无新增生活污水；</w:t>
            </w:r>
          </w:p>
          <w:p>
            <w:pPr>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（2）生产废水产排情况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kern w:val="2"/>
                <w:sz w:val="24"/>
                <w:szCs w:val="24"/>
                <w:lang w:val="en-US" w:eastAsia="zh-CN" w:bidi="ar-SA"/>
              </w:rPr>
            </w:pPr>
            <w:r>
              <w:rPr>
                <w:rFonts w:hint="eastAsia" w:ascii="Calibri" w:hAnsi="Calibri" w:cs="Times New Roman"/>
                <w:kern w:val="2"/>
                <w:sz w:val="24"/>
                <w:szCs w:val="24"/>
                <w:lang w:val="en-US" w:eastAsia="zh-CN" w:bidi="ar-SA"/>
              </w:rPr>
              <w:t>本项目无新增生活污水，生产废水主要为循环系统排水以及软水系统排水</w:t>
            </w:r>
            <w:r>
              <w:rPr>
                <w:rFonts w:hint="default" w:ascii="Times New Roman" w:hAnsi="Times New Roman" w:eastAsia="宋体" w:cs="Times New Roman"/>
                <w:color w:val="000000"/>
                <w:kern w:val="2"/>
                <w:sz w:val="24"/>
                <w:szCs w:val="24"/>
                <w:lang w:val="en-US" w:eastAsia="zh-CN" w:bidi="ar-SA"/>
              </w:rPr>
              <w:t>。</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①</w:t>
            </w:r>
            <w:r>
              <w:rPr>
                <w:rFonts w:hint="eastAsia" w:cs="Times New Roman"/>
                <w:kern w:val="2"/>
                <w:sz w:val="24"/>
                <w:szCs w:val="24"/>
                <w:lang w:val="en-US" w:eastAsia="zh-CN" w:bidi="ar-SA"/>
              </w:rPr>
              <w:t>软水系统排水</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ascii="Times New Roman" w:hAnsi="Times New Roman" w:cs="Times New Roman"/>
                <w:b w:val="0"/>
                <w:bCs w:val="0"/>
                <w:color w:val="auto"/>
                <w:kern w:val="2"/>
                <w:sz w:val="24"/>
                <w:szCs w:val="22"/>
                <w:lang w:val="en-US" w:eastAsia="zh-CN"/>
              </w:rPr>
            </w:pPr>
            <w:r>
              <w:rPr>
                <w:rFonts w:hint="default" w:ascii="Times New Roman" w:hAnsi="Times New Roman" w:cs="Times New Roman"/>
                <w:kern w:val="2"/>
                <w:sz w:val="24"/>
                <w:szCs w:val="24"/>
                <w:lang w:val="en-US" w:eastAsia="zh-CN" w:bidi="ar-SA"/>
              </w:rPr>
              <w:t>本项目软水系统排水为新鲜水30%，因此软水系统排水为</w:t>
            </w:r>
            <w:r>
              <w:rPr>
                <w:rFonts w:hint="default" w:ascii="Times New Roman" w:hAnsi="Times New Roman" w:cs="Times New Roman"/>
                <w:b w:val="0"/>
                <w:bCs w:val="0"/>
                <w:color w:val="auto"/>
                <w:kern w:val="2"/>
                <w:sz w:val="24"/>
                <w:szCs w:val="22"/>
                <w:lang w:val="en-US" w:eastAsia="zh-CN"/>
              </w:rPr>
              <w:t>17947m</w:t>
            </w:r>
            <w:r>
              <w:rPr>
                <w:rFonts w:hint="default" w:ascii="Times New Roman" w:hAnsi="Times New Roman" w:cs="Times New Roman"/>
                <w:b w:val="0"/>
                <w:bCs w:val="0"/>
                <w:color w:val="auto"/>
                <w:kern w:val="2"/>
                <w:sz w:val="24"/>
                <w:szCs w:val="22"/>
                <w:vertAlign w:val="superscript"/>
                <w:lang w:val="en-US" w:eastAsia="zh-CN"/>
              </w:rPr>
              <w:t>3</w:t>
            </w:r>
            <w:r>
              <w:rPr>
                <w:rFonts w:hint="default" w:ascii="Times New Roman" w:hAnsi="Times New Roman" w:cs="Times New Roman"/>
                <w:b w:val="0"/>
                <w:bCs w:val="0"/>
                <w:color w:val="auto"/>
                <w:kern w:val="2"/>
                <w:sz w:val="24"/>
                <w:szCs w:val="22"/>
                <w:lang w:val="en-US" w:eastAsia="zh-CN"/>
              </w:rPr>
              <w:t>/a。</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lang w:val="en-US" w:eastAsia="zh-CN"/>
              </w:rPr>
            </w:pPr>
            <w:r>
              <w:rPr>
                <w:rFonts w:hint="eastAsia" w:ascii="Times New Roman" w:hAnsi="Times New Roman" w:cs="Times New Roman"/>
                <w:kern w:val="2"/>
                <w:sz w:val="24"/>
                <w:szCs w:val="24"/>
                <w:lang w:val="en-US" w:eastAsia="zh-CN" w:bidi="ar-SA"/>
              </w:rPr>
              <w:t>②</w:t>
            </w:r>
            <w:r>
              <w:rPr>
                <w:rFonts w:hint="eastAsia" w:cs="Times New Roman"/>
                <w:kern w:val="2"/>
                <w:sz w:val="24"/>
                <w:szCs w:val="24"/>
                <w:lang w:val="en-US" w:eastAsia="zh-CN" w:bidi="ar-SA"/>
              </w:rPr>
              <w:t>循环系统</w:t>
            </w:r>
            <w:r>
              <w:rPr>
                <w:rFonts w:hint="eastAsia" w:ascii="Times New Roman" w:hAnsi="Times New Roman" w:cs="Times New Roman"/>
                <w:kern w:val="2"/>
                <w:sz w:val="24"/>
                <w:szCs w:val="24"/>
                <w:lang w:val="en-US" w:eastAsia="zh-CN" w:bidi="ar-SA"/>
              </w:rPr>
              <w:t>排水</w:t>
            </w:r>
          </w:p>
          <w:p>
            <w:pPr>
              <w:widowControl w:val="0"/>
              <w:autoSpaceDE w:val="0"/>
              <w:autoSpaceDN w:val="0"/>
              <w:adjustRightInd w:val="0"/>
              <w:spacing w:line="360" w:lineRule="auto"/>
              <w:ind w:firstLine="480"/>
              <w:jc w:val="both"/>
              <w:rPr>
                <w:rFonts w:hint="default" w:ascii="Times New Roman" w:hAnsi="Times New Roman" w:eastAsia="宋体" w:cs="Times New Roman"/>
                <w:color w:val="000000"/>
                <w:kern w:val="2"/>
                <w:sz w:val="24"/>
                <w:szCs w:val="22"/>
                <w:lang w:val="zh-CN" w:eastAsia="zh-CN"/>
              </w:rPr>
            </w:pPr>
            <w:r>
              <w:rPr>
                <w:rFonts w:hint="eastAsia" w:ascii="Times New Roman" w:hAnsi="Times New Roman" w:cs="Times New Roman"/>
                <w:color w:val="000000"/>
                <w:kern w:val="2"/>
                <w:sz w:val="24"/>
                <w:szCs w:val="22"/>
                <w:lang w:val="en-US" w:eastAsia="zh-CN"/>
              </w:rPr>
              <w:t>进入</w:t>
            </w:r>
            <w:r>
              <w:rPr>
                <w:rFonts w:hint="default" w:ascii="Times New Roman" w:hAnsi="Times New Roman" w:eastAsia="宋体" w:cs="Times New Roman"/>
                <w:kern w:val="2"/>
                <w:sz w:val="24"/>
                <w:szCs w:val="24"/>
                <w:lang w:val="en-US" w:eastAsia="zh-CN" w:bidi="ar-SA"/>
              </w:rPr>
              <w:t>现有工程</w:t>
            </w:r>
            <w:r>
              <w:rPr>
                <w:rFonts w:hint="eastAsia" w:cs="Times New Roman"/>
                <w:kern w:val="2"/>
                <w:sz w:val="24"/>
                <w:szCs w:val="24"/>
                <w:lang w:val="en-US" w:eastAsia="zh-CN" w:bidi="ar-SA"/>
              </w:rPr>
              <w:t>矿井水</w:t>
            </w:r>
            <w:r>
              <w:rPr>
                <w:rFonts w:hint="default" w:ascii="Times New Roman" w:hAnsi="Times New Roman" w:eastAsia="宋体" w:cs="Times New Roman"/>
                <w:kern w:val="2"/>
                <w:sz w:val="24"/>
                <w:szCs w:val="24"/>
                <w:lang w:val="en-US" w:eastAsia="zh-CN" w:bidi="ar-SA"/>
              </w:rPr>
              <w:t>处理站内</w:t>
            </w:r>
            <w:r>
              <w:rPr>
                <w:rFonts w:hint="eastAsia" w:ascii="Times New Roman" w:hAnsi="Times New Roman" w:eastAsia="宋体" w:cs="Times New Roman"/>
                <w:kern w:val="2"/>
                <w:sz w:val="24"/>
                <w:szCs w:val="24"/>
                <w:lang w:val="en-US" w:eastAsia="zh-CN" w:bidi="ar-SA"/>
              </w:rPr>
              <w:t>经处理后达到《煤炭工业污染物排放标准》（GB20426</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2006）以及《污水综合排放标准》（GB8978-1996）一级标准后用于井上、井下降尘和矿区绿化</w:t>
            </w:r>
            <w:r>
              <w:rPr>
                <w:rFonts w:hint="default" w:ascii="Times New Roman" w:hAnsi="Times New Roman" w:eastAsia="宋体" w:cs="Times New Roman"/>
                <w:color w:val="000000"/>
                <w:kern w:val="2"/>
                <w:sz w:val="24"/>
                <w:szCs w:val="22"/>
                <w:lang w:val="zh-CN" w:eastAsia="zh-CN"/>
              </w:rPr>
              <w:t>。</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kern w:val="2"/>
                <w:sz w:val="24"/>
                <w:szCs w:val="28"/>
                <w:lang w:val="en-US" w:eastAsia="zh-CN" w:bidi="ar-SA"/>
              </w:rPr>
            </w:pPr>
            <w:r>
              <w:rPr>
                <w:rFonts w:hint="eastAsia" w:ascii="Times New Roman" w:hAnsi="Times New Roman" w:eastAsia="宋体" w:cs="Times New Roman"/>
                <w:b w:val="0"/>
                <w:bCs w:val="0"/>
                <w:color w:val="000000"/>
                <w:kern w:val="2"/>
                <w:sz w:val="24"/>
                <w:szCs w:val="20"/>
                <w:highlight w:val="none"/>
                <w:lang w:val="en-US" w:eastAsia="zh-CN"/>
              </w:rPr>
              <w:t>本项目生产废水污染物产生及排放情况见表4.6-1。</w:t>
            </w:r>
          </w:p>
          <w:p>
            <w:pPr>
              <w:widowControl w:val="0"/>
              <w:overflowPunct/>
              <w:autoSpaceDE/>
              <w:autoSpaceDN/>
              <w:adjustRightInd w:val="0"/>
              <w:snapToGrid w:val="0"/>
              <w:spacing w:before="0" w:after="0" w:line="360" w:lineRule="auto"/>
              <w:ind w:right="0"/>
              <w:jc w:val="center"/>
              <w:rPr>
                <w:rFonts w:hint="default" w:ascii="Times New Roman" w:hAnsi="Times New Roman" w:eastAsia="宋体" w:cs="Times New Roman"/>
                <w:b/>
                <w:kern w:val="2"/>
                <w:sz w:val="24"/>
                <w:szCs w:val="28"/>
                <w:lang w:val="en-US" w:eastAsia="zh-CN" w:bidi="ar-SA"/>
              </w:rPr>
            </w:pPr>
            <w:r>
              <w:rPr>
                <w:rFonts w:hint="default" w:ascii="Times New Roman" w:hAnsi="Times New Roman" w:eastAsia="宋体" w:cs="Times New Roman"/>
                <w:b/>
                <w:kern w:val="2"/>
                <w:sz w:val="24"/>
                <w:szCs w:val="28"/>
                <w:lang w:val="en-US" w:eastAsia="zh-CN" w:bidi="ar-SA"/>
              </w:rPr>
              <w:t>表</w:t>
            </w:r>
            <w:r>
              <w:rPr>
                <w:rFonts w:hint="eastAsia" w:ascii="Times New Roman" w:hAnsi="Times New Roman" w:eastAsia="宋体" w:cs="Times New Roman"/>
                <w:b/>
                <w:kern w:val="2"/>
                <w:sz w:val="24"/>
                <w:szCs w:val="28"/>
                <w:lang w:val="en-US" w:eastAsia="zh-CN" w:bidi="ar-SA"/>
              </w:rPr>
              <w:t>4.6-1</w:t>
            </w:r>
            <w:r>
              <w:rPr>
                <w:rFonts w:hint="eastAsia" w:cs="Times New Roman"/>
                <w:b/>
                <w:kern w:val="2"/>
                <w:sz w:val="24"/>
                <w:szCs w:val="28"/>
                <w:lang w:val="en-US" w:eastAsia="zh-CN" w:bidi="ar-SA"/>
              </w:rPr>
              <w:t xml:space="preserve">  </w:t>
            </w:r>
            <w:r>
              <w:rPr>
                <w:rFonts w:hint="default" w:ascii="Times New Roman" w:hAnsi="Times New Roman" w:eastAsia="宋体" w:cs="Times New Roman"/>
                <w:b/>
                <w:kern w:val="2"/>
                <w:sz w:val="24"/>
                <w:szCs w:val="28"/>
                <w:lang w:val="en-US" w:eastAsia="zh-CN" w:bidi="ar-SA"/>
              </w:rPr>
              <w:t>本项目</w:t>
            </w:r>
            <w:r>
              <w:rPr>
                <w:rFonts w:hint="eastAsia" w:ascii="Times New Roman" w:hAnsi="Times New Roman" w:eastAsia="宋体" w:cs="Times New Roman"/>
                <w:b/>
                <w:kern w:val="2"/>
                <w:sz w:val="24"/>
                <w:szCs w:val="28"/>
                <w:lang w:val="en-US" w:eastAsia="zh-CN" w:bidi="ar-SA"/>
              </w:rPr>
              <w:t>生产废水</w:t>
            </w:r>
            <w:r>
              <w:rPr>
                <w:rFonts w:hint="default" w:ascii="Times New Roman" w:hAnsi="Times New Roman" w:eastAsia="宋体" w:cs="Times New Roman"/>
                <w:b/>
                <w:kern w:val="2"/>
                <w:sz w:val="24"/>
                <w:szCs w:val="28"/>
                <w:lang w:val="en-US" w:eastAsia="zh-CN" w:bidi="ar-SA"/>
              </w:rPr>
              <w:t>污染物产生及排放情况汇总</w:t>
            </w:r>
          </w:p>
          <w:tbl>
            <w:tblPr>
              <w:tblStyle w:val="19"/>
              <w:tblW w:w="505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61"/>
              <w:gridCol w:w="784"/>
              <w:gridCol w:w="901"/>
              <w:gridCol w:w="901"/>
              <w:gridCol w:w="888"/>
              <w:gridCol w:w="816"/>
              <w:gridCol w:w="714"/>
              <w:gridCol w:w="1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废水种类</w:t>
                  </w:r>
                </w:p>
              </w:tc>
              <w:tc>
                <w:tcPr>
                  <w:tcW w:w="3445" w:type="pct"/>
                  <w:gridSpan w:val="7"/>
                  <w:tcBorders>
                    <w:tl2br w:val="nil"/>
                    <w:tr2bl w:val="nil"/>
                  </w:tcBorders>
                  <w:shd w:val="clear" w:color="auto" w:fill="auto"/>
                  <w:noWrap/>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kern w:val="2"/>
                      <w:sz w:val="24"/>
                      <w:szCs w:val="28"/>
                      <w:lang w:val="en-US" w:eastAsia="zh-CN" w:bidi="ar-SA"/>
                    </w:rPr>
                    <w:t>污染物</w:t>
                  </w:r>
                </w:p>
              </w:tc>
              <w:tc>
                <w:tcPr>
                  <w:tcW w:w="1097"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left"/>
                    <w:rPr>
                      <w:rFonts w:hint="default" w:ascii="Times New Roman" w:hAnsi="Times New Roman" w:eastAsia="宋体" w:cs="Times New Roman"/>
                      <w:b/>
                      <w:bCs/>
                      <w:color w:val="000000"/>
                      <w:kern w:val="0"/>
                      <w:sz w:val="21"/>
                      <w:szCs w:val="21"/>
                    </w:rPr>
                  </w:pPr>
                </w:p>
              </w:tc>
              <w:tc>
                <w:tcPr>
                  <w:tcW w:w="402" w:type="pc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产生量(t/a)</w:t>
                  </w:r>
                </w:p>
              </w:tc>
              <w:tc>
                <w:tcPr>
                  <w:tcW w:w="476" w:type="pc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污染物</w:t>
                  </w:r>
                </w:p>
              </w:tc>
              <w:tc>
                <w:tcPr>
                  <w:tcW w:w="548" w:type="pc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b/>
                      <w:bCs/>
                      <w:color w:val="000000"/>
                      <w:kern w:val="0"/>
                      <w:sz w:val="21"/>
                      <w:szCs w:val="21"/>
                      <w:lang w:eastAsia="zh-CN"/>
                    </w:rPr>
                  </w:pPr>
                  <w:r>
                    <w:rPr>
                      <w:rFonts w:hint="eastAsia" w:ascii="Times New Roman" w:hAnsi="Times New Roman" w:eastAsia="宋体" w:cs="Times New Roman"/>
                      <w:b/>
                      <w:bCs/>
                      <w:color w:val="000000"/>
                      <w:kern w:val="0"/>
                      <w:sz w:val="21"/>
                      <w:szCs w:val="21"/>
                      <w:lang w:val="en-US" w:eastAsia="zh-CN"/>
                    </w:rPr>
                    <w:t>产污系数</w:t>
                  </w:r>
                </w:p>
              </w:tc>
              <w:tc>
                <w:tcPr>
                  <w:tcW w:w="548" w:type="pc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b/>
                      <w:bCs/>
                      <w:color w:val="000000"/>
                      <w:kern w:val="0"/>
                      <w:sz w:val="21"/>
                      <w:szCs w:val="21"/>
                    </w:rPr>
                  </w:pPr>
                  <w:r>
                    <w:rPr>
                      <w:rFonts w:hint="eastAsia" w:ascii="Times New Roman" w:hAnsi="Times New Roman" w:eastAsia="宋体" w:cs="Times New Roman"/>
                      <w:b/>
                      <w:bCs/>
                      <w:color w:val="000000"/>
                      <w:kern w:val="0"/>
                      <w:sz w:val="21"/>
                      <w:szCs w:val="21"/>
                      <w:lang w:val="en-US" w:eastAsia="zh-CN"/>
                    </w:rPr>
                    <w:t>产生</w:t>
                  </w:r>
                  <w:r>
                    <w:rPr>
                      <w:rFonts w:hint="default" w:ascii="Times New Roman" w:hAnsi="Times New Roman" w:eastAsia="宋体" w:cs="Times New Roman"/>
                      <w:b/>
                      <w:bCs/>
                      <w:color w:val="000000"/>
                      <w:kern w:val="0"/>
                      <w:sz w:val="21"/>
                      <w:szCs w:val="21"/>
                    </w:rPr>
                    <w:t>量t/a</w:t>
                  </w:r>
                </w:p>
              </w:tc>
              <w:tc>
                <w:tcPr>
                  <w:tcW w:w="540" w:type="pc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bCs/>
                      <w:color w:val="000000"/>
                      <w:kern w:val="0"/>
                      <w:sz w:val="21"/>
                      <w:szCs w:val="21"/>
                      <w:lang w:val="en-US"/>
                    </w:rPr>
                  </w:pPr>
                  <w:r>
                    <w:rPr>
                      <w:rFonts w:hint="eastAsia" w:ascii="Times New Roman" w:hAnsi="Times New Roman" w:eastAsia="宋体" w:cs="Times New Roman"/>
                      <w:b/>
                      <w:bCs/>
                      <w:color w:val="000000"/>
                      <w:kern w:val="0"/>
                      <w:sz w:val="21"/>
                      <w:szCs w:val="21"/>
                      <w:lang w:val="en-US" w:eastAsia="zh-CN"/>
                    </w:rPr>
                    <w:t>处理效率%</w:t>
                  </w:r>
                </w:p>
              </w:tc>
              <w:tc>
                <w:tcPr>
                  <w:tcW w:w="496" w:type="pct"/>
                  <w:tcBorders>
                    <w:tl2br w:val="nil"/>
                    <w:tr2bl w:val="nil"/>
                  </w:tcBorders>
                  <w:shd w:val="clear" w:color="auto" w:fill="auto"/>
                  <w:noWrap/>
                  <w:vAlign w:val="center"/>
                </w:tcPr>
                <w:p>
                  <w:pPr>
                    <w:widowControl/>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rPr>
                    <w:t>排放浓度mg/L</w:t>
                  </w:r>
                </w:p>
              </w:tc>
              <w:tc>
                <w:tcPr>
                  <w:tcW w:w="434" w:type="pct"/>
                  <w:tcBorders>
                    <w:tl2br w:val="nil"/>
                    <w:tr2bl w:val="nil"/>
                  </w:tcBorders>
                  <w:shd w:val="clear" w:color="auto" w:fill="auto"/>
                  <w:noWrap/>
                  <w:vAlign w:val="center"/>
                </w:tcPr>
                <w:p>
                  <w:pPr>
                    <w:widowControl/>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rPr>
                    <w:t>排放</w:t>
                  </w:r>
                  <w:r>
                    <w:rPr>
                      <w:rFonts w:hint="default" w:ascii="Times New Roman" w:hAnsi="Times New Roman" w:eastAsia="宋体" w:cs="Times New Roman"/>
                      <w:b/>
                      <w:bCs/>
                      <w:color w:val="000000"/>
                      <w:kern w:val="0"/>
                      <w:sz w:val="21"/>
                      <w:szCs w:val="21"/>
                    </w:rPr>
                    <w:t>量t/a</w:t>
                  </w:r>
                </w:p>
              </w:tc>
              <w:tc>
                <w:tcPr>
                  <w:tcW w:w="1097" w:type="pct"/>
                  <w:vMerge w:val="continue"/>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left"/>
                    <w:rPr>
                      <w:rFonts w:hint="default" w:ascii="Times New Roman" w:hAnsi="Times New Roman" w:eastAsia="宋体" w:cs="Times New Roman"/>
                      <w:b/>
                      <w:bCs/>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软水系统排水</w:t>
                  </w:r>
                </w:p>
              </w:tc>
              <w:tc>
                <w:tcPr>
                  <w:tcW w:w="402"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17947</w:t>
                  </w:r>
                </w:p>
              </w:tc>
              <w:tc>
                <w:tcPr>
                  <w:tcW w:w="476"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napToGrid w:val="0"/>
                      <w:color w:val="auto"/>
                      <w:sz w:val="21"/>
                      <w:szCs w:val="21"/>
                      <w:highlight w:val="none"/>
                      <w:lang w:val="en-US" w:eastAsia="zh-CN"/>
                    </w:rPr>
                    <w:t>pH</w:t>
                  </w:r>
                </w:p>
              </w:tc>
              <w:tc>
                <w:tcPr>
                  <w:tcW w:w="548" w:type="pct"/>
                  <w:tcBorders>
                    <w:tl2br w:val="nil"/>
                    <w:tr2bl w:val="nil"/>
                  </w:tcBorders>
                  <w:shd w:val="clear" w:color="auto" w:fill="auto"/>
                  <w:noWrap w:val="0"/>
                  <w:vAlign w:val="center"/>
                </w:tcPr>
                <w:p>
                  <w:pPr>
                    <w:widowControl/>
                    <w:adjustRightInd/>
                    <w:snapToGrid/>
                    <w:spacing w:line="240" w:lineRule="auto"/>
                    <w:jc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6-</w:t>
                  </w:r>
                  <w:r>
                    <w:rPr>
                      <w:rFonts w:hint="eastAsia" w:ascii="Times New Roman" w:hAnsi="Times New Roman" w:eastAsia="宋体" w:cs="Times New Roman"/>
                      <w:color w:val="auto"/>
                      <w:kern w:val="0"/>
                      <w:sz w:val="21"/>
                      <w:szCs w:val="21"/>
                      <w:highlight w:val="none"/>
                      <w:lang w:val="en-US" w:eastAsia="zh-CN"/>
                    </w:rPr>
                    <w:t>9</w:t>
                  </w:r>
                </w:p>
              </w:tc>
              <w:tc>
                <w:tcPr>
                  <w:tcW w:w="548" w:type="pct"/>
                  <w:tcBorders>
                    <w:tl2br w:val="nil"/>
                    <w:tr2bl w:val="nil"/>
                  </w:tcBorders>
                  <w:shd w:val="clear" w:color="auto" w:fill="auto"/>
                  <w:noWrap w:val="0"/>
                  <w:vAlign w:val="center"/>
                </w:tcPr>
                <w:p>
                  <w:pPr>
                    <w:adjustRightInd w:val="0"/>
                    <w:snapToGrid w:val="0"/>
                    <w:spacing w:line="240" w:lineRule="auto"/>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w:t>
                  </w:r>
                </w:p>
              </w:tc>
              <w:tc>
                <w:tcPr>
                  <w:tcW w:w="54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kern w:val="0"/>
                      <w:sz w:val="21"/>
                      <w:szCs w:val="21"/>
                      <w:lang w:val="en-US" w:eastAsia="zh-CN"/>
                    </w:rPr>
                    <w:t>-</w:t>
                  </w:r>
                </w:p>
              </w:tc>
              <w:tc>
                <w:tcPr>
                  <w:tcW w:w="43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kern w:val="0"/>
                      <w:sz w:val="21"/>
                      <w:szCs w:val="21"/>
                      <w:lang w:val="en-US" w:eastAsia="zh-CN"/>
                    </w:rPr>
                    <w:t>0</w:t>
                  </w:r>
                </w:p>
              </w:tc>
              <w:tc>
                <w:tcPr>
                  <w:tcW w:w="1097" w:type="pct"/>
                  <w:vMerge w:val="restart"/>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经</w:t>
                  </w:r>
                  <w:r>
                    <w:rPr>
                      <w:rFonts w:hint="default" w:ascii="Times New Roman" w:hAnsi="Times New Roman" w:eastAsia="宋体" w:cs="Times New Roman"/>
                      <w:color w:val="000000"/>
                      <w:kern w:val="0"/>
                      <w:sz w:val="21"/>
                      <w:szCs w:val="21"/>
                      <w:lang w:val="en-US" w:eastAsia="zh-CN"/>
                    </w:rPr>
                    <w:t>现有工程</w:t>
                  </w:r>
                  <w:r>
                    <w:rPr>
                      <w:rFonts w:hint="eastAsia" w:cs="Times New Roman"/>
                      <w:color w:val="000000"/>
                      <w:kern w:val="0"/>
                      <w:sz w:val="21"/>
                      <w:szCs w:val="21"/>
                      <w:lang w:val="en-US" w:eastAsia="zh-CN"/>
                    </w:rPr>
                    <w:t>矿井水</w:t>
                  </w:r>
                  <w:r>
                    <w:rPr>
                      <w:rFonts w:hint="default" w:ascii="Times New Roman" w:hAnsi="Times New Roman" w:eastAsia="宋体" w:cs="Times New Roman"/>
                      <w:color w:val="000000"/>
                      <w:kern w:val="0"/>
                      <w:sz w:val="21"/>
                      <w:szCs w:val="21"/>
                      <w:lang w:val="en-US" w:eastAsia="zh-CN"/>
                    </w:rPr>
                    <w:t>处理站内经处理后达到《煤炭工业污染物排放标准》（GB20426-2006）以及《污水综合排放标准》（GB8978-1996）一级标准后用于井上、井下降尘和矿区绿化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02"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76" w:type="pct"/>
                  <w:tcBorders>
                    <w:tl2br w:val="nil"/>
                    <w:tr2bl w:val="nil"/>
                  </w:tcBorders>
                  <w:shd w:val="clear" w:color="auto" w:fill="auto"/>
                  <w:noWrap w:val="0"/>
                  <w:vAlign w:val="center"/>
                </w:tcPr>
                <w:p>
                  <w:pPr>
                    <w:widowControl/>
                    <w:adjustRightInd/>
                    <w:snapToGrid/>
                    <w:spacing w:line="240" w:lineRule="auto"/>
                    <w:jc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COD</w:t>
                  </w:r>
                </w:p>
              </w:tc>
              <w:tc>
                <w:tcPr>
                  <w:tcW w:w="548" w:type="pct"/>
                  <w:tcBorders>
                    <w:tl2br w:val="nil"/>
                    <w:tr2bl w:val="nil"/>
                  </w:tcBorders>
                  <w:shd w:val="clear" w:color="auto" w:fill="auto"/>
                  <w:noWrap w:val="0"/>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150</w:t>
                  </w:r>
                  <w:r>
                    <w:rPr>
                      <w:rFonts w:hint="default" w:ascii="Times New Roman" w:hAnsi="Times New Roman" w:eastAsia="宋体" w:cs="Times New Roman"/>
                      <w:snapToGrid w:val="0"/>
                      <w:color w:val="auto"/>
                      <w:sz w:val="21"/>
                      <w:szCs w:val="21"/>
                      <w:highlight w:val="none"/>
                      <w:lang w:val="en-US" w:eastAsia="zh-CN"/>
                    </w:rPr>
                    <w:t>mg/L</w:t>
                  </w:r>
                </w:p>
              </w:tc>
              <w:tc>
                <w:tcPr>
                  <w:tcW w:w="548" w:type="pct"/>
                  <w:tcBorders>
                    <w:tl2br w:val="nil"/>
                    <w:tr2bl w:val="nil"/>
                  </w:tcBorders>
                  <w:shd w:val="clear" w:color="auto" w:fill="auto"/>
                  <w:noWrap w:val="0"/>
                  <w:vAlign w:val="center"/>
                </w:tcPr>
                <w:p>
                  <w:pPr>
                    <w:adjustRightInd w:val="0"/>
                    <w:snapToGrid w:val="0"/>
                    <w:spacing w:line="240" w:lineRule="auto"/>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2.69</w:t>
                  </w:r>
                </w:p>
              </w:tc>
              <w:tc>
                <w:tcPr>
                  <w:tcW w:w="540"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9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1097" w:type="pct"/>
                  <w:vMerge w:val="continue"/>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02"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76"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cs="Times New Roman"/>
                      <w:color w:val="auto"/>
                      <w:kern w:val="0"/>
                      <w:sz w:val="21"/>
                      <w:szCs w:val="21"/>
                      <w:highlight w:val="none"/>
                      <w:lang w:val="en-US" w:eastAsia="zh-CN" w:bidi="ar"/>
                    </w:rPr>
                    <w:t>溶解性总固体</w:t>
                  </w:r>
                </w:p>
              </w:tc>
              <w:tc>
                <w:tcPr>
                  <w:tcW w:w="548"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snapToGrid w:val="0"/>
                      <w:color w:val="auto"/>
                      <w:sz w:val="21"/>
                      <w:szCs w:val="21"/>
                      <w:highlight w:val="none"/>
                      <w:lang w:val="en-US" w:eastAsia="zh-CN"/>
                    </w:rPr>
                    <w:t>10</w:t>
                  </w:r>
                  <w:r>
                    <w:rPr>
                      <w:rFonts w:hint="default" w:ascii="Times New Roman" w:hAnsi="Times New Roman" w:eastAsia="宋体" w:cs="Times New Roman"/>
                      <w:snapToGrid w:val="0"/>
                      <w:color w:val="auto"/>
                      <w:sz w:val="21"/>
                      <w:szCs w:val="21"/>
                      <w:highlight w:val="none"/>
                      <w:lang w:val="en-US" w:eastAsia="zh-CN"/>
                    </w:rPr>
                    <w:t>00mg/L</w:t>
                  </w:r>
                </w:p>
              </w:tc>
              <w:tc>
                <w:tcPr>
                  <w:tcW w:w="548" w:type="pct"/>
                  <w:tcBorders>
                    <w:tl2br w:val="nil"/>
                    <w:tr2bl w:val="nil"/>
                  </w:tcBorders>
                  <w:shd w:val="clear" w:color="auto" w:fill="auto"/>
                  <w:noWrap w:val="0"/>
                  <w:vAlign w:val="center"/>
                </w:tcPr>
                <w:p>
                  <w:pPr>
                    <w:adjustRightInd w:val="0"/>
                    <w:snapToGrid w:val="0"/>
                    <w:spacing w:line="240" w:lineRule="auto"/>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17.95</w:t>
                  </w:r>
                </w:p>
              </w:tc>
              <w:tc>
                <w:tcPr>
                  <w:tcW w:w="54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kern w:val="0"/>
                      <w:sz w:val="21"/>
                      <w:szCs w:val="21"/>
                      <w:lang w:val="en-US" w:eastAsia="zh-CN"/>
                    </w:rPr>
                    <w:t>-</w:t>
                  </w:r>
                </w:p>
              </w:tc>
              <w:tc>
                <w:tcPr>
                  <w:tcW w:w="43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kern w:val="0"/>
                      <w:sz w:val="21"/>
                      <w:szCs w:val="21"/>
                      <w:lang w:val="en-US" w:eastAsia="zh-CN"/>
                    </w:rPr>
                    <w:t>0</w:t>
                  </w:r>
                </w:p>
              </w:tc>
              <w:tc>
                <w:tcPr>
                  <w:tcW w:w="1097" w:type="pct"/>
                  <w:vMerge w:val="continue"/>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循环系统</w:t>
                  </w:r>
                  <w:r>
                    <w:rPr>
                      <w:rFonts w:hint="eastAsia" w:ascii="Times New Roman" w:hAnsi="Times New Roman" w:eastAsia="宋体" w:cs="Times New Roman"/>
                      <w:color w:val="000000"/>
                      <w:kern w:val="0"/>
                      <w:sz w:val="21"/>
                      <w:szCs w:val="21"/>
                      <w:lang w:val="en-US" w:eastAsia="zh-CN"/>
                    </w:rPr>
                    <w:t>排水</w:t>
                  </w:r>
                </w:p>
              </w:tc>
              <w:tc>
                <w:tcPr>
                  <w:tcW w:w="402"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660</w:t>
                  </w:r>
                </w:p>
              </w:tc>
              <w:tc>
                <w:tcPr>
                  <w:tcW w:w="476"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pH</w:t>
                  </w:r>
                </w:p>
              </w:tc>
              <w:tc>
                <w:tcPr>
                  <w:tcW w:w="548" w:type="pct"/>
                  <w:tcBorders>
                    <w:tl2br w:val="nil"/>
                    <w:tr2bl w:val="nil"/>
                  </w:tcBorders>
                  <w:shd w:val="clear" w:color="auto" w:fill="auto"/>
                  <w:noWrap w:val="0"/>
                  <w:vAlign w:val="center"/>
                </w:tcPr>
                <w:p>
                  <w:pPr>
                    <w:widowControl/>
                    <w:adjustRightInd/>
                    <w:snapToGrid/>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w:t>
                  </w:r>
                  <w:r>
                    <w:rPr>
                      <w:rFonts w:hint="eastAsia" w:cs="Times New Roman"/>
                      <w:color w:val="auto"/>
                      <w:kern w:val="0"/>
                      <w:sz w:val="21"/>
                      <w:szCs w:val="21"/>
                      <w:highlight w:val="none"/>
                      <w:lang w:val="en-US" w:eastAsia="zh-CN"/>
                    </w:rPr>
                    <w:t>-9</w:t>
                  </w:r>
                </w:p>
              </w:tc>
              <w:tc>
                <w:tcPr>
                  <w:tcW w:w="548" w:type="pct"/>
                  <w:tcBorders>
                    <w:tl2br w:val="nil"/>
                    <w:tr2bl w:val="nil"/>
                  </w:tcBorders>
                  <w:shd w:val="clear" w:color="auto" w:fill="auto"/>
                  <w:noWrap w:val="0"/>
                  <w:vAlign w:val="center"/>
                </w:tcPr>
                <w:p>
                  <w:pPr>
                    <w:adjustRightInd w:val="0"/>
                    <w:snapToGrid w:val="0"/>
                    <w:spacing w:line="240" w:lineRule="auto"/>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w:t>
                  </w:r>
                </w:p>
              </w:tc>
              <w:tc>
                <w:tcPr>
                  <w:tcW w:w="54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3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w:t>
                  </w:r>
                </w:p>
              </w:tc>
              <w:tc>
                <w:tcPr>
                  <w:tcW w:w="1097" w:type="pct"/>
                  <w:vMerge w:val="continue"/>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02"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76"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napToGrid w:val="0"/>
                      <w:color w:val="auto"/>
                      <w:kern w:val="2"/>
                      <w:sz w:val="21"/>
                      <w:szCs w:val="21"/>
                      <w:highlight w:val="none"/>
                      <w:lang w:val="en-US" w:eastAsia="zh-CN" w:bidi="ar-SA"/>
                    </w:rPr>
                    <w:t>COD</w:t>
                  </w:r>
                </w:p>
              </w:tc>
              <w:tc>
                <w:tcPr>
                  <w:tcW w:w="548"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1</w:t>
                  </w:r>
                  <w:r>
                    <w:rPr>
                      <w:rFonts w:hint="eastAsia" w:cs="Times New Roman"/>
                      <w:snapToGrid w:val="0"/>
                      <w:color w:val="auto"/>
                      <w:sz w:val="21"/>
                      <w:szCs w:val="21"/>
                      <w:highlight w:val="none"/>
                      <w:lang w:val="en-US" w:eastAsia="zh-CN"/>
                    </w:rPr>
                    <w:t>5</w:t>
                  </w:r>
                  <w:r>
                    <w:rPr>
                      <w:rFonts w:hint="default" w:ascii="Times New Roman" w:hAnsi="Times New Roman" w:eastAsia="宋体" w:cs="Times New Roman"/>
                      <w:snapToGrid w:val="0"/>
                      <w:color w:val="auto"/>
                      <w:sz w:val="21"/>
                      <w:szCs w:val="21"/>
                      <w:highlight w:val="none"/>
                      <w:lang w:val="en-US" w:eastAsia="zh-CN"/>
                    </w:rPr>
                    <w:t>0mg/L</w:t>
                  </w:r>
                </w:p>
              </w:tc>
              <w:tc>
                <w:tcPr>
                  <w:tcW w:w="548" w:type="pct"/>
                  <w:tcBorders>
                    <w:tl2br w:val="nil"/>
                    <w:tr2bl w:val="nil"/>
                  </w:tcBorders>
                  <w:shd w:val="clear" w:color="auto" w:fill="auto"/>
                  <w:noWrap w:val="0"/>
                  <w:vAlign w:val="center"/>
                </w:tcPr>
                <w:p>
                  <w:pPr>
                    <w:adjustRightInd w:val="0"/>
                    <w:snapToGrid w:val="0"/>
                    <w:spacing w:line="240" w:lineRule="auto"/>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0.10</w:t>
                  </w:r>
                </w:p>
              </w:tc>
              <w:tc>
                <w:tcPr>
                  <w:tcW w:w="54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3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w:t>
                  </w:r>
                </w:p>
              </w:tc>
              <w:tc>
                <w:tcPr>
                  <w:tcW w:w="1097" w:type="pct"/>
                  <w:vMerge w:val="continue"/>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r>
          </w:tbl>
          <w:p>
            <w:pPr>
              <w:widowControl w:val="0"/>
              <w:numPr>
                <w:ilvl w:val="0"/>
                <w:numId w:val="0"/>
              </w:numPr>
              <w:overflowPunct w:val="0"/>
              <w:autoSpaceDE w:val="0"/>
              <w:autoSpaceDN w:val="0"/>
              <w:adjustRightInd w:val="0"/>
              <w:snapToGrid w:val="0"/>
              <w:spacing w:line="360" w:lineRule="auto"/>
              <w:ind w:left="0" w:leftChars="0" w:firstLine="480" w:firstLineChars="200"/>
              <w:jc w:val="both"/>
              <w:rPr>
                <w:rFonts w:hint="default"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废水监测制度</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根据现有工程监测制度以及《排污单位自行监测技术指南 总则》（HJ819-2017）监测要求，本项目</w:t>
            </w:r>
            <w:r>
              <w:rPr>
                <w:rFonts w:hint="eastAsia" w:cs="Times New Roman"/>
                <w:color w:val="000000"/>
                <w:kern w:val="2"/>
                <w:sz w:val="24"/>
                <w:szCs w:val="20"/>
                <w:highlight w:val="none"/>
                <w:lang w:val="en-US" w:eastAsia="zh-CN"/>
              </w:rPr>
              <w:t>新增后现有工程矿井水处理站</w:t>
            </w:r>
            <w:r>
              <w:rPr>
                <w:rFonts w:hint="eastAsia" w:ascii="Times New Roman" w:hAnsi="Times New Roman" w:eastAsia="宋体" w:cs="Times New Roman"/>
                <w:color w:val="000000"/>
                <w:kern w:val="2"/>
                <w:sz w:val="24"/>
                <w:szCs w:val="20"/>
                <w:highlight w:val="none"/>
                <w:lang w:val="en-US" w:eastAsia="zh-CN"/>
              </w:rPr>
              <w:t>监测计划</w:t>
            </w:r>
            <w:r>
              <w:rPr>
                <w:rFonts w:hint="eastAsia" w:cs="Times New Roman"/>
                <w:color w:val="000000"/>
                <w:kern w:val="2"/>
                <w:sz w:val="24"/>
                <w:szCs w:val="20"/>
                <w:highlight w:val="none"/>
                <w:lang w:val="en-US" w:eastAsia="zh-CN"/>
              </w:rPr>
              <w:t>如下</w:t>
            </w:r>
            <w:r>
              <w:rPr>
                <w:rFonts w:hint="eastAsia" w:ascii="Times New Roman" w:hAnsi="Times New Roman" w:eastAsia="宋体"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360" w:lineRule="auto"/>
              <w:ind w:right="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表4.6-2废水监测制度一览表</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50"/>
              <w:gridCol w:w="4447"/>
              <w:gridCol w:w="18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78" w:type="dxa"/>
                  <w:vMerge w:val="restart"/>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bCs/>
                      <w:color w:val="000000"/>
                      <w:kern w:val="2"/>
                      <w:sz w:val="21"/>
                      <w:szCs w:val="21"/>
                      <w:highlight w:val="none"/>
                      <w:lang w:val="en-US" w:eastAsia="zh-CN"/>
                    </w:rPr>
                  </w:pPr>
                  <w:r>
                    <w:rPr>
                      <w:rFonts w:hint="eastAsia" w:ascii="Times New Roman" w:hAnsi="Times New Roman" w:eastAsia="宋体" w:cs="Times New Roman"/>
                      <w:b/>
                      <w:bCs/>
                      <w:color w:val="000000"/>
                      <w:kern w:val="2"/>
                      <w:sz w:val="21"/>
                      <w:szCs w:val="21"/>
                      <w:highlight w:val="none"/>
                      <w:lang w:val="en-US" w:eastAsia="zh-CN"/>
                    </w:rPr>
                    <w:t>监测点位</w:t>
                  </w:r>
                </w:p>
              </w:tc>
              <w:tc>
                <w:tcPr>
                  <w:tcW w:w="6040"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eastAsia" w:ascii="Times New Roman" w:hAnsi="Times New Roman" w:eastAsia="宋体" w:cs="宋体"/>
                      <w:b/>
                      <w:bCs/>
                      <w:color w:val="000000"/>
                      <w:kern w:val="2"/>
                      <w:sz w:val="21"/>
                      <w:szCs w:val="21"/>
                      <w:highlight w:val="none"/>
                      <w:lang w:val="en-US" w:eastAsia="zh-CN" w:bidi="ar"/>
                    </w:rPr>
                  </w:pPr>
                  <w:r>
                    <w:rPr>
                      <w:rFonts w:hint="eastAsia" w:ascii="Times New Roman" w:hAnsi="Times New Roman" w:eastAsia="宋体" w:cs="宋体"/>
                      <w:b/>
                      <w:bCs/>
                      <w:color w:val="000000"/>
                      <w:kern w:val="2"/>
                      <w:sz w:val="21"/>
                      <w:szCs w:val="21"/>
                      <w:highlight w:val="none"/>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1878"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bCs/>
                      <w:color w:val="000000"/>
                      <w:kern w:val="2"/>
                      <w:sz w:val="21"/>
                      <w:szCs w:val="21"/>
                      <w:highlight w:val="none"/>
                      <w:lang w:val="en-US" w:eastAsia="zh-CN"/>
                    </w:rPr>
                  </w:pPr>
                </w:p>
              </w:tc>
              <w:tc>
                <w:tcPr>
                  <w:tcW w:w="4284"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宋体"/>
                      <w:b/>
                      <w:bCs/>
                      <w:color w:val="000000"/>
                      <w:kern w:val="2"/>
                      <w:sz w:val="21"/>
                      <w:szCs w:val="21"/>
                      <w:highlight w:val="none"/>
                      <w:lang w:val="en-US" w:eastAsia="zh-CN" w:bidi="ar"/>
                    </w:rPr>
                  </w:pPr>
                  <w:r>
                    <w:rPr>
                      <w:rFonts w:hint="eastAsia" w:ascii="Times New Roman" w:hAnsi="Times New Roman" w:eastAsia="宋体" w:cs="宋体"/>
                      <w:b/>
                      <w:bCs/>
                      <w:color w:val="000000"/>
                      <w:kern w:val="2"/>
                      <w:sz w:val="21"/>
                      <w:szCs w:val="21"/>
                      <w:highlight w:val="none"/>
                      <w:lang w:val="en-US" w:eastAsia="zh-CN" w:bidi="ar"/>
                    </w:rPr>
                    <w:t>监测指标</w:t>
                  </w:r>
                </w:p>
              </w:tc>
              <w:tc>
                <w:tcPr>
                  <w:tcW w:w="1756"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宋体"/>
                      <w:b/>
                      <w:bCs/>
                      <w:color w:val="000000"/>
                      <w:kern w:val="2"/>
                      <w:sz w:val="21"/>
                      <w:szCs w:val="21"/>
                      <w:highlight w:val="none"/>
                      <w:lang w:val="en-US" w:eastAsia="zh-CN" w:bidi="ar"/>
                    </w:rPr>
                  </w:pPr>
                  <w:r>
                    <w:rPr>
                      <w:rFonts w:hint="eastAsia" w:ascii="Times New Roman" w:hAnsi="Times New Roman" w:eastAsia="宋体" w:cs="宋体"/>
                      <w:b/>
                      <w:bCs/>
                      <w:color w:val="000000"/>
                      <w:kern w:val="2"/>
                      <w:sz w:val="21"/>
                      <w:szCs w:val="21"/>
                      <w:highlight w:val="none"/>
                      <w:lang w:val="en-US" w:eastAsia="zh-CN" w:bidi="ar"/>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1878"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废水总排放口</w:t>
                  </w:r>
                </w:p>
              </w:tc>
              <w:tc>
                <w:tcPr>
                  <w:tcW w:w="4284"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宋体" w:eastAsia="宋体" w:cs="宋体"/>
                      <w:color w:val="auto"/>
                      <w:kern w:val="0"/>
                      <w:sz w:val="21"/>
                      <w:szCs w:val="21"/>
                      <w:lang w:val="en-US" w:eastAsia="zh-CN" w:bidi="ar-SA"/>
                    </w:rPr>
                  </w:pPr>
                  <w:r>
                    <w:rPr>
                      <w:rFonts w:hint="eastAsia" w:hAnsi="宋体" w:cs="宋体"/>
                      <w:color w:val="auto"/>
                      <w:kern w:val="0"/>
                      <w:sz w:val="21"/>
                      <w:szCs w:val="21"/>
                      <w:lang w:val="en-US" w:eastAsia="zh-CN" w:bidi="ar-SA"/>
                    </w:rPr>
                    <w:t>pH、</w:t>
                  </w:r>
                  <w:r>
                    <w:rPr>
                      <w:rFonts w:hint="default" w:ascii="Times New Roman" w:hAnsi="宋体" w:eastAsia="宋体" w:cs="宋体"/>
                      <w:color w:val="auto"/>
                      <w:kern w:val="0"/>
                      <w:sz w:val="21"/>
                      <w:szCs w:val="21"/>
                      <w:lang w:val="en-US" w:eastAsia="zh-CN" w:bidi="ar-SA"/>
                    </w:rPr>
                    <w:t>化学需氧量、五日生化需氧量、氨氮、总磷、总氮、悬浮物、</w:t>
                  </w:r>
                  <w:r>
                    <w:rPr>
                      <w:rFonts w:hint="eastAsia" w:hAnsi="宋体" w:cs="宋体"/>
                      <w:color w:val="auto"/>
                      <w:kern w:val="0"/>
                      <w:sz w:val="21"/>
                      <w:szCs w:val="21"/>
                      <w:lang w:val="en-US" w:eastAsia="zh-CN" w:bidi="ar-SA"/>
                    </w:rPr>
                    <w:t>溶解性总固体（全盐量）</w:t>
                  </w:r>
                </w:p>
              </w:tc>
              <w:tc>
                <w:tcPr>
                  <w:tcW w:w="175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sz w:val="21"/>
                      <w:szCs w:val="24"/>
                      <w:highlight w:val="none"/>
                      <w:lang w:val="en-US" w:eastAsia="zh-CN" w:bidi="ar-SA"/>
                    </w:rPr>
                  </w:pPr>
                  <w:r>
                    <w:rPr>
                      <w:rFonts w:hint="eastAsia" w:ascii="Times New Roman" w:hAnsi="宋体" w:eastAsia="宋体" w:cs="宋体"/>
                      <w:color w:val="auto"/>
                      <w:kern w:val="0"/>
                      <w:sz w:val="21"/>
                      <w:szCs w:val="21"/>
                      <w:lang w:val="en-US" w:eastAsia="zh-CN" w:bidi="ar-SA"/>
                    </w:rPr>
                    <w:t>次/年</w:t>
                  </w:r>
                </w:p>
              </w:tc>
            </w:tr>
          </w:tbl>
          <w:p>
            <w:pPr>
              <w:widowControl w:val="0"/>
              <w:overflowPunct w:val="0"/>
              <w:autoSpaceDE w:val="0"/>
              <w:autoSpaceDN w:val="0"/>
              <w:bidi w:val="0"/>
              <w:adjustRightInd w:val="0"/>
              <w:snapToGrid w:val="0"/>
              <w:spacing w:before="0" w:after="0" w:line="360" w:lineRule="auto"/>
              <w:ind w:left="0" w:right="0" w:firstLine="562" w:firstLineChars="200"/>
              <w:jc w:val="both"/>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4.7噪声</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（1）噪声源强分析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rPr>
              <w:t>项目营运期主要噪声源有</w:t>
            </w:r>
            <w:r>
              <w:rPr>
                <w:rFonts w:hint="eastAsia" w:cs="Times New Roman"/>
                <w:color w:val="000000"/>
                <w:kern w:val="2"/>
                <w:sz w:val="24"/>
                <w:szCs w:val="20"/>
                <w:highlight w:val="none"/>
                <w:lang w:val="en-US" w:eastAsia="zh-CN"/>
              </w:rPr>
              <w:t>泵类</w:t>
            </w:r>
            <w:r>
              <w:rPr>
                <w:rFonts w:hint="eastAsia" w:ascii="Times New Roman" w:hAnsi="Times New Roman" w:eastAsia="宋体" w:cs="Times New Roman"/>
                <w:color w:val="000000"/>
                <w:kern w:val="2"/>
                <w:sz w:val="24"/>
                <w:szCs w:val="20"/>
                <w:highlight w:val="none"/>
                <w:lang w:val="en-US" w:eastAsia="zh-CN"/>
              </w:rPr>
              <w:t>等设备运行过程中产生噪声，源强在</w:t>
            </w:r>
            <w:r>
              <w:rPr>
                <w:rFonts w:hint="eastAsia" w:cs="Times New Roman"/>
                <w:color w:val="000000"/>
                <w:kern w:val="2"/>
                <w:sz w:val="24"/>
                <w:szCs w:val="20"/>
                <w:highlight w:val="none"/>
                <w:lang w:val="en-US" w:eastAsia="zh-CN"/>
              </w:rPr>
              <w:t>80</w:t>
            </w:r>
            <w:r>
              <w:rPr>
                <w:rFonts w:hint="eastAsia" w:ascii="Times New Roman" w:hAnsi="Times New Roman" w:eastAsia="宋体" w:cs="Times New Roman"/>
                <w:color w:val="000000"/>
                <w:kern w:val="2"/>
                <w:sz w:val="24"/>
                <w:szCs w:val="20"/>
                <w:highlight w:val="none"/>
                <w:lang w:val="en-US" w:eastAsia="zh-CN"/>
              </w:rPr>
              <w:t>~90dB（A）之间。</w:t>
            </w:r>
            <w:r>
              <w:rPr>
                <w:rFonts w:hint="eastAsia" w:ascii="Times New Roman" w:hAnsi="Times New Roman" w:eastAsia="宋体" w:cs="Times New Roman"/>
                <w:color w:val="000000"/>
                <w:kern w:val="2"/>
                <w:sz w:val="24"/>
                <w:szCs w:val="24"/>
                <w:highlight w:val="none"/>
                <w:lang w:val="en-US" w:eastAsia="zh-CN" w:bidi="ar-SA"/>
              </w:rPr>
              <w:t>针对以上噪声源产生情况，项目将采取了以下防噪、降噪措施：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a.在满足生产要求的前提下，选用低噪声设备，从根本上降低噪声源强；</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b.</w:t>
            </w:r>
            <w:r>
              <w:rPr>
                <w:rFonts w:hint="eastAsia" w:eastAsia="宋体" w:cs="Times New Roman"/>
                <w:color w:val="auto"/>
                <w:kern w:val="2"/>
                <w:sz w:val="24"/>
                <w:szCs w:val="24"/>
                <w:highlight w:val="none"/>
                <w:lang w:val="en-US" w:eastAsia="zh-CN" w:bidi="ar-SA"/>
              </w:rPr>
              <w:t>泵类</w:t>
            </w:r>
            <w:r>
              <w:rPr>
                <w:rFonts w:hint="eastAsia" w:ascii="Times New Roman" w:hAnsi="Times New Roman" w:eastAsia="宋体" w:cs="Times New Roman"/>
                <w:color w:val="auto"/>
                <w:kern w:val="2"/>
                <w:sz w:val="24"/>
                <w:szCs w:val="24"/>
                <w:highlight w:val="none"/>
                <w:lang w:val="en-US" w:eastAsia="zh-CN" w:bidi="ar-SA"/>
              </w:rPr>
              <w:t>等强噪声设备设置罩壳，利用隔声且考虑减振等措施，有效地控制噪声对环境的影响；</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c.提高零部件的装配精度，加强运转部件的润滑，降低磨擦力，对各连接部位安装弹性钢垫或橡胶衬垫，以减少传动装置间的振动；</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d.为了减小噪声和振动对环境的影响，在设备安装时采用下垫减振橡胶减振；</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e.种植绿化带起到一定的隔声降噪作用；</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eastAsia" w:ascii="Times New Roman" w:hAnsi="Times New Roman" w:eastAsia="宋体" w:cs="Times New Roman"/>
                <w:color w:val="auto"/>
                <w:kern w:val="2"/>
                <w:sz w:val="24"/>
                <w:szCs w:val="20"/>
                <w:highlight w:val="none"/>
                <w:lang w:val="en-US" w:eastAsia="zh-CN"/>
              </w:rPr>
              <w:t>经采取上述措施后，本项目噪声源强可降低20dB（A）左右。本项目主要噪声源见表4.7-1。</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表4.7-1</w:t>
            </w:r>
            <w:r>
              <w:rPr>
                <w:rFonts w:hint="eastAsia" w:cs="Times New Roman"/>
                <w:b/>
                <w:bCs/>
                <w:color w:val="000000"/>
                <w:kern w:val="2"/>
                <w:sz w:val="24"/>
                <w:szCs w:val="20"/>
                <w:highlight w:val="none"/>
                <w:vertAlign w:val="baseline"/>
                <w:lang w:val="en-US" w:eastAsia="zh-CN"/>
              </w:rPr>
              <w:t xml:space="preserve">  </w:t>
            </w:r>
            <w:r>
              <w:rPr>
                <w:rFonts w:hint="eastAsia" w:ascii="Times New Roman" w:hAnsi="Times New Roman" w:eastAsia="宋体" w:cs="Times New Roman"/>
                <w:b/>
                <w:bCs/>
                <w:color w:val="000000"/>
                <w:kern w:val="2"/>
                <w:sz w:val="24"/>
                <w:szCs w:val="20"/>
                <w:highlight w:val="none"/>
                <w:vertAlign w:val="baseline"/>
                <w:lang w:val="en-US" w:eastAsia="zh-CN"/>
              </w:rPr>
              <w:t>本项目噪声源一览表</w:t>
            </w:r>
          </w:p>
          <w:tbl>
            <w:tblPr>
              <w:tblStyle w:val="19"/>
              <w:tblW w:w="505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992"/>
              <w:gridCol w:w="739"/>
              <w:gridCol w:w="957"/>
              <w:gridCol w:w="768"/>
              <w:gridCol w:w="943"/>
              <w:gridCol w:w="781"/>
              <w:gridCol w:w="781"/>
              <w:gridCol w:w="781"/>
              <w:gridCol w:w="7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22"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b/>
                      <w:bCs/>
                      <w:color w:val="auto"/>
                      <w:kern w:val="2"/>
                      <w:sz w:val="21"/>
                      <w:szCs w:val="21"/>
                      <w:highlight w:val="none"/>
                      <w:lang w:val="en-US" w:eastAsia="zh-CN" w:bidi="ar-SA"/>
                    </w:rPr>
                  </w:pPr>
                  <w:r>
                    <w:rPr>
                      <w:rFonts w:ascii="Times New Roman" w:hAnsi="Times New Roman" w:eastAsia="宋体" w:cs="宋体"/>
                      <w:b/>
                      <w:bCs/>
                      <w:color w:val="auto"/>
                      <w:kern w:val="2"/>
                      <w:sz w:val="21"/>
                      <w:szCs w:val="21"/>
                      <w:highlight w:val="none"/>
                      <w:lang w:val="en-US" w:eastAsia="zh-CN" w:bidi="ar-SA"/>
                    </w:rPr>
                    <w:t>序号</w:t>
                  </w:r>
                </w:p>
              </w:tc>
              <w:tc>
                <w:tcPr>
                  <w:tcW w:w="603"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b/>
                      <w:bCs/>
                      <w:color w:val="auto"/>
                      <w:kern w:val="2"/>
                      <w:sz w:val="21"/>
                      <w:szCs w:val="21"/>
                      <w:highlight w:val="none"/>
                      <w:lang w:val="en-US" w:eastAsia="zh-CN" w:bidi="ar-SA"/>
                    </w:rPr>
                  </w:pPr>
                  <w:r>
                    <w:rPr>
                      <w:rFonts w:ascii="Times New Roman" w:hAnsi="Times New Roman" w:eastAsia="宋体" w:cs="宋体"/>
                      <w:b/>
                      <w:bCs/>
                      <w:color w:val="auto"/>
                      <w:kern w:val="2"/>
                      <w:sz w:val="21"/>
                      <w:szCs w:val="21"/>
                      <w:highlight w:val="none"/>
                      <w:lang w:val="en-US" w:eastAsia="zh-CN" w:bidi="ar-SA"/>
                    </w:rPr>
                    <w:t>设备名称</w:t>
                  </w:r>
                </w:p>
              </w:tc>
              <w:tc>
                <w:tcPr>
                  <w:tcW w:w="449"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宋体"/>
                      <w:b/>
                      <w:bCs/>
                      <w:color w:val="auto"/>
                      <w:kern w:val="2"/>
                      <w:sz w:val="21"/>
                      <w:szCs w:val="21"/>
                      <w:highlight w:val="none"/>
                      <w:lang w:val="en-US" w:eastAsia="zh-CN" w:bidi="ar-SA"/>
                    </w:rPr>
                  </w:pPr>
                  <w:r>
                    <w:rPr>
                      <w:rFonts w:ascii="Times New Roman" w:hAnsi="Times New Roman" w:eastAsia="宋体" w:cs="宋体"/>
                      <w:b/>
                      <w:bCs/>
                      <w:color w:val="auto"/>
                      <w:kern w:val="2"/>
                      <w:sz w:val="21"/>
                      <w:szCs w:val="21"/>
                      <w:highlight w:val="none"/>
                      <w:lang w:val="en-US" w:eastAsia="zh-CN" w:bidi="ar-SA"/>
                    </w:rPr>
                    <w:t>数量</w:t>
                  </w:r>
                  <w:r>
                    <w:rPr>
                      <w:rFonts w:hint="eastAsia" w:ascii="Times New Roman" w:hAnsi="Times New Roman" w:eastAsia="宋体" w:cs="宋体"/>
                      <w:b/>
                      <w:bCs/>
                      <w:color w:val="auto"/>
                      <w:kern w:val="2"/>
                      <w:sz w:val="21"/>
                      <w:szCs w:val="21"/>
                      <w:highlight w:val="none"/>
                      <w:lang w:val="en-US" w:eastAsia="zh-CN" w:bidi="ar-SA"/>
                    </w:rPr>
                    <w:t>（台）</w:t>
                  </w:r>
                </w:p>
              </w:tc>
              <w:tc>
                <w:tcPr>
                  <w:tcW w:w="582"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产生强度</w:t>
                  </w:r>
                  <w:r>
                    <w:rPr>
                      <w:rFonts w:ascii="Times New Roman" w:hAnsi="Times New Roman" w:eastAsia="宋体" w:cs="宋体"/>
                      <w:b/>
                      <w:bCs/>
                      <w:color w:val="auto"/>
                      <w:kern w:val="2"/>
                      <w:sz w:val="21"/>
                      <w:szCs w:val="21"/>
                      <w:highlight w:val="none"/>
                      <w:lang w:val="en-US" w:eastAsia="zh-CN" w:bidi="ar-SA"/>
                    </w:rPr>
                    <w:t>dB(A)</w:t>
                  </w:r>
                </w:p>
              </w:tc>
              <w:tc>
                <w:tcPr>
                  <w:tcW w:w="467"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治理措施</w:t>
                  </w:r>
                </w:p>
              </w:tc>
              <w:tc>
                <w:tcPr>
                  <w:tcW w:w="573"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削减</w:t>
                  </w:r>
                </w:p>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dB（A）</w:t>
                  </w:r>
                </w:p>
              </w:tc>
              <w:tc>
                <w:tcPr>
                  <w:tcW w:w="1902" w:type="pct"/>
                  <w:gridSpan w:val="4"/>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eastAsia="宋体" w:cs="宋体"/>
                      <w:b/>
                      <w:bCs/>
                      <w:color w:val="auto"/>
                      <w:kern w:val="2"/>
                      <w:sz w:val="21"/>
                      <w:szCs w:val="21"/>
                      <w:highlight w:val="none"/>
                      <w:lang w:val="en-US" w:eastAsia="zh-CN" w:bidi="ar-SA"/>
                    </w:rPr>
                  </w:pPr>
                  <w:r>
                    <w:rPr>
                      <w:rFonts w:hint="eastAsia" w:eastAsia="宋体" w:cs="宋体"/>
                      <w:b/>
                      <w:bCs/>
                      <w:color w:val="auto"/>
                      <w:kern w:val="2"/>
                      <w:sz w:val="21"/>
                      <w:szCs w:val="21"/>
                      <w:highlight w:val="none"/>
                      <w:lang w:val="en-US" w:eastAsia="zh-CN" w:bidi="ar-SA"/>
                    </w:rPr>
                    <w:t>距厂界相对位置（m）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22"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603"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449"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582"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4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573"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eastAsia="宋体" w:cs="宋体"/>
                      <w:b/>
                      <w:bCs/>
                      <w:color w:val="auto"/>
                      <w:highlight w:val="none"/>
                    </w:rPr>
                  </w:pPr>
                  <w:r>
                    <w:rPr>
                      <w:rFonts w:hint="eastAsia" w:eastAsia="宋体" w:cs="Times New Roman"/>
                      <w:b/>
                      <w:bCs/>
                      <w:color w:val="auto"/>
                      <w:kern w:val="2"/>
                      <w:sz w:val="21"/>
                      <w:szCs w:val="20"/>
                      <w:highlight w:val="none"/>
                      <w:lang w:val="en-US" w:eastAsia="zh-CN" w:bidi="ar-SA"/>
                    </w:rPr>
                    <w:t>东</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eastAsia="宋体" w:cs="宋体"/>
                      <w:b/>
                      <w:bCs/>
                      <w:color w:val="auto"/>
                      <w:highlight w:val="none"/>
                    </w:rPr>
                  </w:pPr>
                  <w:r>
                    <w:rPr>
                      <w:rFonts w:hint="eastAsia" w:eastAsia="宋体" w:cs="Times New Roman"/>
                      <w:b/>
                      <w:bCs/>
                      <w:color w:val="auto"/>
                      <w:kern w:val="2"/>
                      <w:sz w:val="21"/>
                      <w:szCs w:val="20"/>
                      <w:highlight w:val="none"/>
                      <w:lang w:val="en-US" w:eastAsia="zh-CN" w:bidi="ar-SA"/>
                    </w:rPr>
                    <w:t>西</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eastAsia="宋体" w:cs="宋体"/>
                      <w:b/>
                      <w:bCs/>
                      <w:color w:val="auto"/>
                      <w:highlight w:val="none"/>
                    </w:rPr>
                  </w:pPr>
                  <w:r>
                    <w:rPr>
                      <w:rFonts w:hint="eastAsia" w:eastAsia="宋体" w:cs="Times New Roman"/>
                      <w:b/>
                      <w:bCs/>
                      <w:color w:val="auto"/>
                      <w:kern w:val="2"/>
                      <w:sz w:val="21"/>
                      <w:szCs w:val="20"/>
                      <w:highlight w:val="none"/>
                      <w:lang w:val="en-US" w:eastAsia="zh-CN" w:bidi="ar-SA"/>
                    </w:rPr>
                    <w:t>南</w:t>
                  </w:r>
                </w:p>
              </w:tc>
              <w:tc>
                <w:tcPr>
                  <w:tcW w:w="4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eastAsia="宋体" w:cs="宋体"/>
                      <w:b/>
                      <w:bCs/>
                      <w:color w:val="auto"/>
                      <w:highlight w:val="none"/>
                    </w:rPr>
                  </w:pPr>
                  <w:r>
                    <w:rPr>
                      <w:rFonts w:hint="eastAsia" w:eastAsia="宋体" w:cs="Times New Roman"/>
                      <w:b/>
                      <w:bCs/>
                      <w:color w:val="auto"/>
                      <w:kern w:val="2"/>
                      <w:sz w:val="21"/>
                      <w:szCs w:val="20"/>
                      <w:highlight w:val="none"/>
                      <w:lang w:val="en-US" w:eastAsia="zh-CN" w:bidi="ar-SA"/>
                    </w:rPr>
                    <w:t>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2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w:t>
                  </w:r>
                </w:p>
              </w:tc>
              <w:tc>
                <w:tcPr>
                  <w:tcW w:w="60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宋体"/>
                      <w:color w:val="auto"/>
                      <w:kern w:val="2"/>
                      <w:sz w:val="21"/>
                      <w:szCs w:val="21"/>
                      <w:highlight w:val="none"/>
                      <w:lang w:val="en-US" w:eastAsia="zh-CN" w:bidi="ar-SA"/>
                    </w:rPr>
                  </w:pPr>
                  <w:r>
                    <w:rPr>
                      <w:rFonts w:hint="default" w:ascii="Times New Roman" w:hAnsi="Times New Roman" w:eastAsia="宋体" w:cs="宋体"/>
                      <w:color w:val="auto"/>
                      <w:kern w:val="2"/>
                      <w:sz w:val="21"/>
                      <w:szCs w:val="21"/>
                      <w:highlight w:val="none"/>
                      <w:lang w:val="en-US" w:eastAsia="zh-CN" w:bidi="ar-SA"/>
                    </w:rPr>
                    <w:t>水环式真空泵</w:t>
                  </w:r>
                </w:p>
              </w:tc>
              <w:tc>
                <w:tcPr>
                  <w:tcW w:w="44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5</w:t>
                  </w:r>
                </w:p>
              </w:tc>
              <w:tc>
                <w:tcPr>
                  <w:tcW w:w="58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eastAsia="宋体" w:cs="Times New Roman"/>
                      <w:color w:val="auto"/>
                      <w:kern w:val="2"/>
                      <w:sz w:val="21"/>
                      <w:szCs w:val="20"/>
                      <w:highlight w:val="none"/>
                      <w:lang w:val="en-US" w:eastAsia="zh-CN" w:bidi="ar-SA"/>
                    </w:rPr>
                    <w:t>80</w:t>
                  </w:r>
                </w:p>
              </w:tc>
              <w:tc>
                <w:tcPr>
                  <w:tcW w:w="467"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隔音、减振、加减管理</w:t>
                  </w:r>
                </w:p>
              </w:tc>
              <w:tc>
                <w:tcPr>
                  <w:tcW w:w="57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20</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10</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10</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35</w:t>
                  </w:r>
                </w:p>
              </w:tc>
              <w:tc>
                <w:tcPr>
                  <w:tcW w:w="4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eastAsia="宋体" w:cs="Times New Roman"/>
                      <w:color w:val="auto"/>
                      <w:kern w:val="2"/>
                      <w:sz w:val="21"/>
                      <w:szCs w:val="20"/>
                      <w:highlight w:val="none"/>
                      <w:lang w:val="en-US" w:eastAsia="zh-CN" w:bidi="ar-SA"/>
                    </w:rPr>
                    <w:t>2</w:t>
                  </w:r>
                </w:p>
              </w:tc>
              <w:tc>
                <w:tcPr>
                  <w:tcW w:w="60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循环水泵</w:t>
                  </w:r>
                </w:p>
              </w:tc>
              <w:tc>
                <w:tcPr>
                  <w:tcW w:w="44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2</w:t>
                  </w:r>
                </w:p>
              </w:tc>
              <w:tc>
                <w:tcPr>
                  <w:tcW w:w="58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80~90</w:t>
                  </w:r>
                </w:p>
              </w:tc>
              <w:tc>
                <w:tcPr>
                  <w:tcW w:w="4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57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20</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15</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5</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20</w:t>
                  </w:r>
                </w:p>
              </w:tc>
              <w:tc>
                <w:tcPr>
                  <w:tcW w:w="4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eastAsia="宋体" w:cs="Times New Roman"/>
                      <w:color w:val="auto"/>
                      <w:kern w:val="2"/>
                      <w:sz w:val="21"/>
                      <w:szCs w:val="20"/>
                      <w:highlight w:val="none"/>
                      <w:lang w:val="en-US" w:eastAsia="zh-CN" w:bidi="ar-SA"/>
                    </w:rPr>
                    <w:t>3</w:t>
                  </w:r>
                </w:p>
              </w:tc>
              <w:tc>
                <w:tcPr>
                  <w:tcW w:w="60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排污泵</w:t>
                  </w:r>
                </w:p>
              </w:tc>
              <w:tc>
                <w:tcPr>
                  <w:tcW w:w="44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2</w:t>
                  </w:r>
                </w:p>
              </w:tc>
              <w:tc>
                <w:tcPr>
                  <w:tcW w:w="58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80~90</w:t>
                  </w:r>
                </w:p>
              </w:tc>
              <w:tc>
                <w:tcPr>
                  <w:tcW w:w="4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57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20</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13</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7</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65</w:t>
                  </w:r>
                </w:p>
              </w:tc>
              <w:tc>
                <w:tcPr>
                  <w:tcW w:w="4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10</w:t>
                  </w:r>
                </w:p>
              </w:tc>
            </w:tr>
          </w:tbl>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auto"/>
                <w:kern w:val="2"/>
                <w:sz w:val="24"/>
                <w:szCs w:val="20"/>
                <w:highlight w:val="none"/>
                <w:lang w:val="en-US" w:eastAsia="zh-CN"/>
              </w:rPr>
            </w:pPr>
            <w:r>
              <w:rPr>
                <w:rFonts w:hint="eastAsia" w:ascii="Times New Roman" w:hAnsi="Times New Roman" w:eastAsia="宋体" w:cs="Times New Roman"/>
                <w:b w:val="0"/>
                <w:bCs w:val="0"/>
                <w:color w:val="auto"/>
                <w:kern w:val="2"/>
                <w:sz w:val="24"/>
                <w:szCs w:val="20"/>
                <w:highlight w:val="none"/>
                <w:lang w:val="en-US" w:eastAsia="zh-CN"/>
              </w:rPr>
              <w:t>（2）达标分析</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采用《</w:t>
            </w:r>
            <w:r>
              <w:rPr>
                <w:rFonts w:hint="eastAsia" w:ascii="Times New Roman" w:hAnsi="Times New Roman" w:eastAsia="宋体" w:cs="Times New Roman"/>
                <w:color w:val="auto"/>
                <w:kern w:val="2"/>
                <w:sz w:val="24"/>
                <w:szCs w:val="24"/>
                <w:highlight w:val="none"/>
                <w:lang w:val="en-US" w:eastAsia="zh-CN" w:bidi="ar-SA"/>
              </w:rPr>
              <w:t>环境影响评价技术导则 声环境</w:t>
            </w:r>
            <w:r>
              <w:rPr>
                <w:rFonts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HJ2.4－20</w:t>
            </w:r>
            <w:r>
              <w:rPr>
                <w:rFonts w:hint="eastAsia" w:ascii="Times New Roman" w:hAnsi="Times New Roman" w:eastAsia="宋体" w:cs="Times New Roman"/>
                <w:color w:val="auto"/>
                <w:kern w:val="2"/>
                <w:sz w:val="24"/>
                <w:szCs w:val="24"/>
                <w:highlight w:val="none"/>
                <w:lang w:val="en-US" w:eastAsia="zh-CN" w:bidi="ar-SA"/>
              </w:rPr>
              <w:t>21）</w:t>
            </w:r>
            <w:r>
              <w:rPr>
                <w:rFonts w:ascii="Times New Roman" w:hAnsi="Times New Roman" w:eastAsia="宋体" w:cs="Times New Roman"/>
                <w:color w:val="auto"/>
                <w:kern w:val="2"/>
                <w:sz w:val="24"/>
                <w:szCs w:val="24"/>
                <w:highlight w:val="none"/>
                <w:lang w:val="en-US" w:eastAsia="zh-CN" w:bidi="ar-SA"/>
              </w:rPr>
              <w:t>中推荐模式形式进行</w:t>
            </w:r>
            <w:r>
              <w:rPr>
                <w:rFonts w:hint="eastAsia" w:ascii="Times New Roman" w:hAnsi="Times New Roman" w:eastAsia="宋体" w:cs="Times New Roman"/>
                <w:color w:val="auto"/>
                <w:kern w:val="2"/>
                <w:sz w:val="24"/>
                <w:szCs w:val="24"/>
                <w:highlight w:val="none"/>
                <w:lang w:val="en-US" w:eastAsia="zh-CN" w:bidi="ar-SA"/>
              </w:rPr>
              <w:t>分析</w:t>
            </w:r>
            <w:r>
              <w:rPr>
                <w:rFonts w:ascii="Times New Roman" w:hAnsi="Times New Roman" w:eastAsia="宋体" w:cs="Times New Roman"/>
                <w:color w:val="auto"/>
                <w:kern w:val="2"/>
                <w:sz w:val="24"/>
                <w:szCs w:val="24"/>
                <w:highlight w:val="none"/>
                <w:lang w:val="en-US" w:eastAsia="zh-CN" w:bidi="ar-SA"/>
              </w:rPr>
              <w:t>：</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①</w:t>
            </w:r>
            <w:r>
              <w:rPr>
                <w:rFonts w:ascii="Times New Roman" w:hAnsi="Times New Roman" w:eastAsia="宋体" w:cs="Times New Roman"/>
                <w:color w:val="auto"/>
                <w:kern w:val="2"/>
                <w:sz w:val="24"/>
                <w:szCs w:val="24"/>
                <w:highlight w:val="none"/>
                <w:lang w:val="en-US" w:eastAsia="zh-CN" w:bidi="ar-SA"/>
              </w:rPr>
              <w:t>室外声源</w:t>
            </w:r>
          </w:p>
          <w:p>
            <w:pPr>
              <w:widowControl w:val="0"/>
              <w:overflowPunct w:val="0"/>
              <w:autoSpaceDE w:val="0"/>
              <w:autoSpaceDN w:val="0"/>
              <w:adjustRightInd w:val="0"/>
              <w:snapToGrid w:val="0"/>
              <w:spacing w:before="0" w:after="0" w:line="500" w:lineRule="exact"/>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设室外声源为I个</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预测点为j个,采用倍频带声压级法</w:t>
            </w:r>
            <w:r>
              <w:rPr>
                <w:rFonts w:hint="eastAsia" w:ascii="Times New Roman" w:hAnsi="Times New Roman" w:eastAsia="宋体" w:cs="Times New Roman"/>
                <w:color w:val="auto"/>
                <w:kern w:val="2"/>
                <w:sz w:val="24"/>
                <w:szCs w:val="24"/>
                <w:highlight w:val="none"/>
                <w:lang w:val="en-US" w:eastAsia="zh-CN" w:bidi="ar-SA"/>
              </w:rPr>
              <w:t>：</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1）计算第I个噪声源在第j个预测点的倍频带声压级Loctij（r0）</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Loctij=Locti（r0）-（Aoctdir+Aoctbar+Aoctatm+Aoctexc）</w:t>
            </w:r>
          </w:p>
          <w:p>
            <w:pPr>
              <w:overflowPunct/>
              <w:autoSpaceDE/>
              <w:autoSpaceDN/>
              <w:adjustRightInd/>
              <w:snapToGrid w:val="0"/>
              <w:spacing w:before="0" w:after="0" w:line="520" w:lineRule="exact"/>
              <w:ind w:left="0" w:right="0" w:firstLine="480" w:firstLineChars="200"/>
              <w:jc w:val="both"/>
              <w:rPr>
                <w:rFonts w:hint="eastAsia"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式中</w:t>
            </w:r>
            <w:r>
              <w:rPr>
                <w:rFonts w:hint="eastAsia" w:ascii="Times New Roman" w:hAnsi="Times New Roman" w:eastAsia="宋体" w:cs="Times New Roman"/>
                <w:color w:val="auto"/>
                <w:kern w:val="2"/>
                <w:sz w:val="24"/>
                <w:szCs w:val="24"/>
                <w:highlight w:val="none"/>
              </w:rPr>
              <w:t>：</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Loctij（r0）</w:t>
            </w:r>
            <w:r>
              <w:rPr>
                <w:rFonts w:ascii="Times New Roman" w:hAnsi="Times New Roman" w:eastAsia="宋体" w:cs="Times New Roman"/>
                <w:color w:val="auto"/>
                <w:kern w:val="2"/>
                <w:sz w:val="24"/>
                <w:szCs w:val="24"/>
                <w:highlight w:val="none"/>
              </w:rPr>
              <w:softHyphen/>
            </w:r>
            <w:r>
              <w:rPr>
                <w:rFonts w:ascii="Times New Roman" w:hAnsi="Times New Roman" w:eastAsia="宋体" w:cs="Times New Roman"/>
                <w:color w:val="auto"/>
                <w:kern w:val="2"/>
                <w:sz w:val="24"/>
                <w:szCs w:val="24"/>
                <w:highlight w:val="none"/>
              </w:rPr>
              <w:t>—第I个噪声源在参考位置r0处的倍频带声压级,dB；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Aoctdir—发散衰减量,dB；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Aoctbar—屏障衰减量,dB；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Aoctatm—空气吸收衰减量,dB；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Aoctexc—附加衰减量,dB；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假设已知噪声源的倍频带声功率级为Lwiact，并假设声源位于地面上（半自由场），则：</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Locti（r0）=Lwiact-20lgr0-8</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2）由上式计算的倍频带声压级合成为A声级</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Laij=Lwai-20lgr0-8</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lang w:val="en-US" w:eastAsia="zh-CN"/>
              </w:rPr>
              <w:t>②</w:t>
            </w:r>
            <w:r>
              <w:rPr>
                <w:rFonts w:ascii="Times New Roman" w:hAnsi="Times New Roman" w:eastAsia="宋体" w:cs="Times New Roman"/>
                <w:color w:val="auto"/>
                <w:kern w:val="2"/>
                <w:sz w:val="24"/>
                <w:szCs w:val="24"/>
                <w:highlight w:val="none"/>
              </w:rPr>
              <w:t>室内声源</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假如某厂房内有K个噪声源，对预测点的影响相当于若干个等效室外声源，其计算如下：</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1）计算厂房内第I个声源在室内靠近围护结构处的声级Lpil：</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Lpil=Lwi+10lg（Qπri/4+4/R）</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式中：</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Lwi—该厂房内第i个声源的声功率级；</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Q—声源的方向性因素；</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ri—室内点距声源的距离；</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R—房间常数。</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2）计算厂房内K个声源在靠近围护结构处的声级Lp1：</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Lp1=10lgΣ100.1Lpi1</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3）计算厂房外靠近围护结构处的声级Lp2: Lp2=Lp1-（TL+6）</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式中:TL—围护结构的传声损失。</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4）把围护结构当作等效室外声源，再根据声级Lp2和围护结构（一般为门、窗）的面积，计算等效室外的声功率级。</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5）按照上述室外声源的计算方法，计算该等效室外声源在第i个预测点的声级Lakj（in）。</w:t>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③噪声预测值</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预测点的贡献值和背景值按能量叠加方法计算得到的声级</w:t>
            </w:r>
            <w:r>
              <w:rPr>
                <w:rFonts w:ascii="Times New Roman" w:hAnsi="Times New Roman" w:eastAsia="宋体" w:cs="Times New Roman"/>
                <w:color w:val="auto"/>
                <w:kern w:val="2"/>
                <w:sz w:val="24"/>
                <w:szCs w:val="24"/>
                <w:highlight w:val="none"/>
                <w:lang w:val="en-US" w:eastAsia="zh-CN" w:bidi="ar-SA"/>
              </w:rPr>
              <w:t>。</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④</w:t>
            </w:r>
            <w:r>
              <w:rPr>
                <w:rFonts w:ascii="Times New Roman" w:hAnsi="Times New Roman" w:eastAsia="宋体" w:cs="Times New Roman"/>
                <w:color w:val="auto"/>
                <w:kern w:val="2"/>
                <w:sz w:val="24"/>
                <w:szCs w:val="24"/>
                <w:highlight w:val="none"/>
                <w:lang w:val="en-US" w:eastAsia="zh-CN" w:bidi="ar-SA"/>
              </w:rPr>
              <w:t>计算受声点的布设</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根据工程规模及建设地点环境噪声特点，参照</w:t>
            </w:r>
            <w:r>
              <w:rPr>
                <w:rFonts w:hint="eastAsia" w:ascii="Times New Roman" w:hAnsi="Times New Roman" w:eastAsia="宋体" w:cs="Times New Roman"/>
                <w:color w:val="auto"/>
                <w:kern w:val="2"/>
                <w:sz w:val="24"/>
                <w:szCs w:val="24"/>
                <w:highlight w:val="none"/>
                <w:lang w:val="en-US" w:eastAsia="zh-CN" w:bidi="ar-SA"/>
              </w:rPr>
              <w:t>《环境影响评价技术导则 声环境》（HJ2.4-2021）</w:t>
            </w:r>
            <w:r>
              <w:rPr>
                <w:rFonts w:ascii="Times New Roman" w:hAnsi="Times New Roman" w:eastAsia="宋体" w:cs="Times New Roman"/>
                <w:color w:val="auto"/>
                <w:kern w:val="2"/>
                <w:sz w:val="24"/>
                <w:szCs w:val="24"/>
                <w:highlight w:val="none"/>
                <w:lang w:val="en-US" w:eastAsia="zh-CN" w:bidi="ar-SA"/>
              </w:rPr>
              <w:t>的有关规定，预测计算影响到厂界范围的的声场分布状况，根据</w:t>
            </w:r>
            <w:r>
              <w:rPr>
                <w:rFonts w:hint="eastAsia" w:ascii="Times New Roman" w:hAnsi="Times New Roman" w:eastAsia="宋体" w:cs="Times New Roman"/>
                <w:color w:val="auto"/>
                <w:kern w:val="2"/>
                <w:sz w:val="24"/>
                <w:szCs w:val="24"/>
                <w:highlight w:val="none"/>
                <w:lang w:val="en-US" w:eastAsia="zh-CN" w:bidi="ar-SA"/>
              </w:rPr>
              <w:t>计算</w:t>
            </w:r>
            <w:r>
              <w:rPr>
                <w:rFonts w:ascii="Times New Roman" w:hAnsi="Times New Roman" w:eastAsia="宋体" w:cs="Times New Roman"/>
                <w:color w:val="auto"/>
                <w:kern w:val="2"/>
                <w:sz w:val="24"/>
                <w:szCs w:val="24"/>
                <w:highlight w:val="none"/>
                <w:lang w:val="en-US" w:eastAsia="zh-CN" w:bidi="ar-SA"/>
              </w:rPr>
              <w:t>结果说明项目建成后，对周围环境的噪声影响情况。</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⑤计算结果</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在本次声环境影响</w:t>
            </w:r>
            <w:r>
              <w:rPr>
                <w:rFonts w:hint="eastAsia" w:ascii="Times New Roman" w:hAnsi="Times New Roman" w:eastAsia="宋体" w:cs="Times New Roman"/>
                <w:color w:val="auto"/>
                <w:kern w:val="2"/>
                <w:sz w:val="24"/>
                <w:szCs w:val="24"/>
                <w:highlight w:val="none"/>
                <w:lang w:val="en-US" w:eastAsia="zh-CN" w:bidi="ar-SA"/>
              </w:rPr>
              <w:t>达标分析预测</w:t>
            </w:r>
            <w:r>
              <w:rPr>
                <w:rFonts w:ascii="Times New Roman" w:hAnsi="Times New Roman" w:eastAsia="宋体" w:cs="Times New Roman"/>
                <w:color w:val="auto"/>
                <w:kern w:val="2"/>
                <w:sz w:val="24"/>
                <w:szCs w:val="24"/>
                <w:highlight w:val="none"/>
                <w:lang w:val="en-US" w:eastAsia="zh-CN" w:bidi="ar-SA"/>
              </w:rPr>
              <w:t>结果见表</w:t>
            </w:r>
            <w:r>
              <w:rPr>
                <w:rFonts w:hint="eastAsia" w:ascii="Times New Roman" w:hAnsi="Times New Roman" w:eastAsia="宋体" w:cs="Times New Roman"/>
                <w:color w:val="auto"/>
                <w:kern w:val="2"/>
                <w:sz w:val="24"/>
                <w:szCs w:val="24"/>
                <w:highlight w:val="none"/>
                <w:lang w:val="en-US" w:eastAsia="zh-CN" w:bidi="ar-SA"/>
              </w:rPr>
              <w:t>4.7-2</w:t>
            </w:r>
            <w:r>
              <w:rPr>
                <w:rFonts w:ascii="Times New Roman" w:hAnsi="Times New Roman" w:eastAsia="宋体" w:cs="Times New Roman"/>
                <w:color w:val="auto"/>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before="0" w:after="0" w:line="480" w:lineRule="exact"/>
              <w:ind w:left="0" w:right="0" w:firstLine="482" w:firstLineChars="200"/>
              <w:jc w:val="center"/>
              <w:textAlignment w:val="auto"/>
              <w:rPr>
                <w:rFonts w:hint="eastAsia" w:ascii="Times New Roman" w:hAnsi="Times New Roman" w:eastAsia="宋体" w:cs="Times New Roman"/>
                <w:b/>
                <w:bCs/>
                <w:color w:val="auto"/>
                <w:kern w:val="2"/>
                <w:sz w:val="24"/>
                <w:szCs w:val="20"/>
                <w:highlight w:val="none"/>
                <w:vertAlign w:val="baseline"/>
                <w:lang w:val="en-US" w:eastAsia="zh-CN"/>
              </w:rPr>
            </w:pPr>
            <w:r>
              <w:rPr>
                <w:rFonts w:hint="eastAsia" w:ascii="Times New Roman" w:hAnsi="Times New Roman" w:eastAsia="宋体" w:cs="Times New Roman"/>
                <w:b/>
                <w:bCs/>
                <w:color w:val="auto"/>
                <w:kern w:val="2"/>
                <w:sz w:val="24"/>
                <w:szCs w:val="20"/>
                <w:highlight w:val="none"/>
                <w:vertAlign w:val="baseline"/>
                <w:lang w:val="en-US" w:eastAsia="zh-CN"/>
              </w:rPr>
              <w:t>表4.7-2厂界噪声预测结果一览表   单位：dB（A）</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829"/>
              <w:gridCol w:w="829"/>
              <w:gridCol w:w="830"/>
              <w:gridCol w:w="830"/>
              <w:gridCol w:w="830"/>
              <w:gridCol w:w="830"/>
              <w:gridCol w:w="831"/>
              <w:gridCol w:w="8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厂界噪声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dB（A）</w:t>
                  </w:r>
                </w:p>
              </w:tc>
              <w:tc>
                <w:tcPr>
                  <w:tcW w:w="17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东厂界</w:t>
                  </w:r>
                </w:p>
              </w:tc>
              <w:tc>
                <w:tcPr>
                  <w:tcW w:w="17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南厂界</w:t>
                  </w:r>
                </w:p>
              </w:tc>
              <w:tc>
                <w:tcPr>
                  <w:tcW w:w="17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西厂界</w:t>
                  </w:r>
                </w:p>
              </w:tc>
              <w:tc>
                <w:tcPr>
                  <w:tcW w:w="17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北厂界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昼</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昼</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昼</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64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贡献值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38.4</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38.4</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30.9</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30.9</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49.0</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49.0</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38.1</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标准值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65</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65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65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65</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55</w:t>
                  </w:r>
                </w:p>
              </w:tc>
            </w:tr>
          </w:tbl>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auto"/>
                <w:kern w:val="2"/>
                <w:sz w:val="24"/>
                <w:szCs w:val="20"/>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本项目噪声计算结果显示：本项目建成运行后厂界</w:t>
            </w:r>
            <w:r>
              <w:rPr>
                <w:rFonts w:hint="eastAsia" w:eastAsia="宋体" w:cs="Times New Roman"/>
                <w:color w:val="auto"/>
                <w:kern w:val="2"/>
                <w:sz w:val="24"/>
                <w:szCs w:val="24"/>
                <w:highlight w:val="none"/>
                <w:lang w:val="en-US" w:eastAsia="zh-CN" w:bidi="ar-SA"/>
              </w:rPr>
              <w:t>贡献</w:t>
            </w:r>
            <w:r>
              <w:rPr>
                <w:rFonts w:hint="eastAsia" w:ascii="Times New Roman" w:hAnsi="Times New Roman" w:eastAsia="宋体" w:cs="Times New Roman"/>
                <w:color w:val="auto"/>
                <w:kern w:val="2"/>
                <w:sz w:val="24"/>
                <w:szCs w:val="24"/>
                <w:highlight w:val="none"/>
                <w:lang w:val="en-US" w:eastAsia="zh-CN" w:bidi="ar-SA"/>
              </w:rPr>
              <w:t>值噪声满足《工业企业厂界环境噪声排放标准（GB12348-2008）》中</w:t>
            </w:r>
            <w:r>
              <w:rPr>
                <w:rFonts w:hint="eastAsia" w:eastAsia="宋体"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类标准（昼间</w:t>
            </w:r>
            <w:r>
              <w:rPr>
                <w:rFonts w:hint="eastAsia" w:eastAsia="宋体" w:cs="Times New Roman"/>
                <w:color w:val="auto"/>
                <w:kern w:val="2"/>
                <w:sz w:val="24"/>
                <w:szCs w:val="24"/>
                <w:highlight w:val="none"/>
                <w:lang w:val="en-US" w:eastAsia="zh-CN" w:bidi="ar-SA"/>
              </w:rPr>
              <w:t>65</w:t>
            </w:r>
            <w:r>
              <w:rPr>
                <w:rFonts w:hint="eastAsia" w:ascii="Times New Roman" w:hAnsi="Times New Roman" w:eastAsia="宋体" w:cs="Times New Roman"/>
                <w:color w:val="auto"/>
                <w:kern w:val="2"/>
                <w:sz w:val="24"/>
                <w:szCs w:val="24"/>
                <w:highlight w:val="none"/>
                <w:lang w:val="en-US" w:eastAsia="zh-CN" w:bidi="ar-SA"/>
              </w:rPr>
              <w:t>dB，夜间</w:t>
            </w:r>
            <w:r>
              <w:rPr>
                <w:rFonts w:hint="eastAsia" w:eastAsia="宋体" w:cs="Times New Roman"/>
                <w:color w:val="auto"/>
                <w:kern w:val="2"/>
                <w:sz w:val="24"/>
                <w:szCs w:val="24"/>
                <w:highlight w:val="none"/>
                <w:lang w:val="en-US" w:eastAsia="zh-CN" w:bidi="ar-SA"/>
              </w:rPr>
              <w:t>55</w:t>
            </w:r>
            <w:r>
              <w:rPr>
                <w:rFonts w:hint="eastAsia" w:ascii="Times New Roman" w:hAnsi="Times New Roman" w:eastAsia="宋体" w:cs="Times New Roman"/>
                <w:color w:val="auto"/>
                <w:kern w:val="2"/>
                <w:sz w:val="24"/>
                <w:szCs w:val="24"/>
                <w:highlight w:val="none"/>
                <w:lang w:val="en-US" w:eastAsia="zh-CN" w:bidi="ar-SA"/>
              </w:rPr>
              <w:t>dB），实现厂界噪声稳定达标。</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（3）噪声监测制度</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项目生产特点和主要污染物的排放情况，本项目</w:t>
            </w:r>
            <w:r>
              <w:rPr>
                <w:rFonts w:hint="eastAsia" w:ascii="Times New Roman" w:hAnsi="Times New Roman" w:cs="Times New Roman"/>
                <w:color w:val="000000"/>
                <w:kern w:val="2"/>
                <w:sz w:val="24"/>
                <w:szCs w:val="20"/>
                <w:highlight w:val="none"/>
                <w:lang w:val="en-US" w:eastAsia="zh-CN"/>
              </w:rPr>
              <w:t>噪声</w:t>
            </w:r>
            <w:r>
              <w:rPr>
                <w:rFonts w:hint="eastAsia" w:ascii="Times New Roman" w:hAnsi="Times New Roman" w:eastAsia="宋体" w:cs="Times New Roman"/>
                <w:color w:val="000000"/>
                <w:kern w:val="2"/>
                <w:sz w:val="24"/>
                <w:szCs w:val="20"/>
                <w:highlight w:val="none"/>
                <w:lang w:val="en-US" w:eastAsia="zh-CN"/>
              </w:rPr>
              <w:t>监测计划仍按现有工程监测制度执行</w:t>
            </w:r>
            <w:r>
              <w:rPr>
                <w:rFonts w:hint="eastAsia" w:ascii="Times New Roman" w:hAnsi="Times New Roman" w:cs="Times New Roman"/>
                <w:color w:val="000000"/>
                <w:kern w:val="2"/>
                <w:sz w:val="24"/>
                <w:szCs w:val="20"/>
                <w:highlight w:val="none"/>
                <w:lang w:val="en-US" w:eastAsia="zh-CN"/>
              </w:rPr>
              <w:t>，</w:t>
            </w:r>
            <w:r>
              <w:rPr>
                <w:rFonts w:hint="eastAsia" w:ascii="Times New Roman" w:hAnsi="Times New Roman" w:eastAsia="宋体" w:cs="Times New Roman"/>
                <w:color w:val="000000"/>
                <w:kern w:val="2"/>
                <w:sz w:val="24"/>
                <w:szCs w:val="20"/>
                <w:highlight w:val="none"/>
                <w:lang w:val="en-US" w:eastAsia="zh-CN"/>
              </w:rPr>
              <w:t>见下表。</w:t>
            </w:r>
          </w:p>
          <w:p>
            <w:pPr>
              <w:pageBreakBefore w:val="0"/>
              <w:widowControl w:val="0"/>
              <w:kinsoku/>
              <w:wordWrap/>
              <w:overflowPunct/>
              <w:topLinePunct w:val="0"/>
              <w:autoSpaceDE/>
              <w:autoSpaceDN/>
              <w:bidi w:val="0"/>
              <w:adjustRightInd/>
              <w:snapToGrid/>
              <w:spacing w:before="0" w:after="0" w:line="360" w:lineRule="auto"/>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表4.7-3</w:t>
            </w:r>
            <w:r>
              <w:rPr>
                <w:rFonts w:hint="eastAsia" w:cs="Times New Roman"/>
                <w:b/>
                <w:bCs/>
                <w:color w:val="000000"/>
                <w:kern w:val="2"/>
                <w:sz w:val="24"/>
                <w:szCs w:val="20"/>
                <w:highlight w:val="none"/>
                <w:vertAlign w:val="baseline"/>
                <w:lang w:val="en-US" w:eastAsia="zh-CN"/>
              </w:rPr>
              <w:t xml:space="preserve">  </w:t>
            </w:r>
            <w:r>
              <w:rPr>
                <w:rFonts w:hint="eastAsia" w:ascii="Times New Roman" w:hAnsi="Times New Roman" w:eastAsia="宋体" w:cs="Times New Roman"/>
                <w:b/>
                <w:bCs/>
                <w:color w:val="000000"/>
                <w:kern w:val="2"/>
                <w:sz w:val="24"/>
                <w:szCs w:val="20"/>
                <w:highlight w:val="none"/>
                <w:vertAlign w:val="baseline"/>
                <w:lang w:val="en-US" w:eastAsia="zh-CN"/>
              </w:rPr>
              <w:t>噪声监测制度一览表</w:t>
            </w:r>
          </w:p>
          <w:tbl>
            <w:tblPr>
              <w:tblStyle w:val="19"/>
              <w:tblW w:w="822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26"/>
              <w:gridCol w:w="2180"/>
              <w:gridCol w:w="50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26"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bCs/>
                      <w:color w:val="000000"/>
                      <w:kern w:val="2"/>
                      <w:sz w:val="21"/>
                      <w:szCs w:val="21"/>
                      <w:highlight w:val="none"/>
                      <w:lang w:val="en-US" w:eastAsia="zh-CN"/>
                    </w:rPr>
                  </w:pPr>
                  <w:r>
                    <w:rPr>
                      <w:rFonts w:hint="eastAsia" w:ascii="Times New Roman" w:hAnsi="Times New Roman" w:eastAsia="宋体" w:cs="Times New Roman"/>
                      <w:b/>
                      <w:bCs/>
                      <w:color w:val="000000"/>
                      <w:kern w:val="2"/>
                      <w:sz w:val="21"/>
                      <w:szCs w:val="21"/>
                      <w:highlight w:val="none"/>
                      <w:lang w:val="en-US" w:eastAsia="zh-CN"/>
                    </w:rPr>
                    <w:t>项目</w:t>
                  </w:r>
                </w:p>
              </w:tc>
              <w:tc>
                <w:tcPr>
                  <w:tcW w:w="7194"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宋体"/>
                      <w:b/>
                      <w:bCs/>
                      <w:color w:val="000000"/>
                      <w:kern w:val="2"/>
                      <w:sz w:val="21"/>
                      <w:szCs w:val="21"/>
                      <w:highlight w:val="none"/>
                      <w:lang w:val="en-US" w:eastAsia="zh-CN" w:bidi="ar"/>
                    </w:rPr>
                  </w:pPr>
                  <w:r>
                    <w:rPr>
                      <w:rFonts w:hint="eastAsia" w:ascii="Times New Roman" w:hAnsi="Times New Roman" w:eastAsia="宋体" w:cs="宋体"/>
                      <w:b/>
                      <w:bCs/>
                      <w:color w:val="000000"/>
                      <w:kern w:val="2"/>
                      <w:sz w:val="21"/>
                      <w:szCs w:val="21"/>
                      <w:highlight w:val="none"/>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26" w:type="dxa"/>
                  <w:vMerge w:val="restart"/>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噪声</w:t>
                  </w:r>
                </w:p>
              </w:tc>
              <w:tc>
                <w:tcPr>
                  <w:tcW w:w="218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监测项目</w:t>
                  </w:r>
                </w:p>
              </w:tc>
              <w:tc>
                <w:tcPr>
                  <w:tcW w:w="5014"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Lep（A）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26"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8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监测点位</w:t>
                  </w:r>
                </w:p>
              </w:tc>
              <w:tc>
                <w:tcPr>
                  <w:tcW w:w="5014"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东、南、西、北厂界外1m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26"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8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监测频次</w:t>
                  </w:r>
                </w:p>
              </w:tc>
              <w:tc>
                <w:tcPr>
                  <w:tcW w:w="5014"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每</w:t>
                  </w:r>
                  <w:r>
                    <w:rPr>
                      <w:rFonts w:hint="eastAsia" w:cs="Times New Roman"/>
                      <w:color w:val="000000"/>
                      <w:kern w:val="2"/>
                      <w:sz w:val="21"/>
                      <w:szCs w:val="21"/>
                      <w:highlight w:val="none"/>
                      <w:lang w:val="en-US" w:eastAsia="zh-CN" w:bidi="ar"/>
                    </w:rPr>
                    <w:t>半年</w:t>
                  </w:r>
                  <w:r>
                    <w:rPr>
                      <w:rFonts w:hint="eastAsia" w:ascii="Times New Roman" w:hAnsi="Times New Roman" w:eastAsia="宋体" w:cs="Times New Roman"/>
                      <w:color w:val="000000"/>
                      <w:kern w:val="2"/>
                      <w:sz w:val="21"/>
                      <w:szCs w:val="21"/>
                      <w:highlight w:val="none"/>
                      <w:lang w:val="en-US" w:eastAsia="zh-CN" w:bidi="ar"/>
                    </w:rPr>
                    <w:t>监测一次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26"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8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rPr>
                    <w:t>监测方法</w:t>
                  </w:r>
                </w:p>
              </w:tc>
              <w:tc>
                <w:tcPr>
                  <w:tcW w:w="5014"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color w:val="000000"/>
                      <w:kern w:val="2"/>
                      <w:sz w:val="21"/>
                      <w:szCs w:val="21"/>
                      <w:highlight w:val="none"/>
                      <w:lang w:val="en-US" w:eastAsia="zh-CN" w:bidi="ar"/>
                    </w:rPr>
                    <w:t>按照《工业企业厂界环境噪声排放标准》(GB12348-2008)的有关规定进行</w:t>
                  </w:r>
                </w:p>
              </w:tc>
            </w:tr>
          </w:tbl>
          <w:p>
            <w:pPr>
              <w:pageBreakBefore w:val="0"/>
              <w:widowControl w:val="0"/>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4.8固废</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（1）固体废物产生情况</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本项目软水</w:t>
            </w:r>
            <w:r>
              <w:rPr>
                <w:rFonts w:hint="eastAsia" w:cs="Times New Roman"/>
                <w:color w:val="000000"/>
                <w:kern w:val="2"/>
                <w:sz w:val="24"/>
                <w:szCs w:val="24"/>
                <w:highlight w:val="none"/>
                <w:lang w:val="en-US" w:eastAsia="zh-CN" w:bidi="ar-SA"/>
              </w:rPr>
              <w:t>系统使用离子交换树脂制备软水</w:t>
            </w:r>
            <w:r>
              <w:rPr>
                <w:rFonts w:hint="eastAsia" w:ascii="Times New Roman" w:hAnsi="Times New Roman" w:eastAsia="宋体" w:cs="Times New Roman"/>
                <w:color w:val="000000"/>
                <w:kern w:val="2"/>
                <w:sz w:val="24"/>
                <w:szCs w:val="24"/>
                <w:highlight w:val="none"/>
                <w:lang w:val="en-US" w:eastAsia="zh-CN" w:bidi="ar-SA"/>
              </w:rPr>
              <w:t>，</w:t>
            </w:r>
            <w:r>
              <w:rPr>
                <w:rFonts w:hint="eastAsia" w:cs="Times New Roman"/>
                <w:color w:val="000000"/>
                <w:kern w:val="2"/>
                <w:sz w:val="24"/>
                <w:szCs w:val="24"/>
                <w:highlight w:val="none"/>
                <w:lang w:val="en-US" w:eastAsia="zh-CN" w:bidi="ar-SA"/>
              </w:rPr>
              <w:t>离子交换树脂需</w:t>
            </w:r>
            <w:r>
              <w:rPr>
                <w:rFonts w:hint="eastAsia" w:ascii="Times New Roman" w:hAnsi="Times New Roman" w:eastAsia="宋体" w:cs="Times New Roman"/>
                <w:color w:val="000000"/>
                <w:kern w:val="2"/>
                <w:sz w:val="24"/>
                <w:szCs w:val="24"/>
                <w:highlight w:val="none"/>
                <w:lang w:val="en-US" w:eastAsia="zh-CN" w:bidi="ar-SA"/>
              </w:rPr>
              <w:t>2年更换一次</w:t>
            </w:r>
            <w:r>
              <w:rPr>
                <w:rFonts w:hint="eastAsia" w:cs="Times New Roman"/>
                <w:color w:val="000000"/>
                <w:kern w:val="2"/>
                <w:sz w:val="24"/>
                <w:szCs w:val="24"/>
                <w:highlight w:val="none"/>
                <w:lang w:val="en-US" w:eastAsia="zh-CN" w:bidi="ar-SA"/>
              </w:rPr>
              <w:t>，每次更换量约为0.4t</w:t>
            </w:r>
            <w:r>
              <w:rPr>
                <w:rFonts w:hint="eastAsia" w:ascii="Times New Roman" w:hAnsi="Times New Roman" w:eastAsia="宋体" w:cs="Times New Roman"/>
                <w:color w:val="000000"/>
                <w:kern w:val="2"/>
                <w:sz w:val="24"/>
                <w:szCs w:val="24"/>
                <w:highlight w:val="none"/>
                <w:lang w:val="en-US" w:eastAsia="zh-CN" w:bidi="ar-SA"/>
              </w:rPr>
              <w:t>。根据《国家危险废物名录》（2021年版），</w:t>
            </w:r>
            <w:r>
              <w:rPr>
                <w:rFonts w:hint="eastAsia" w:cs="Times New Roman"/>
                <w:color w:val="000000"/>
                <w:kern w:val="2"/>
                <w:sz w:val="24"/>
                <w:szCs w:val="24"/>
                <w:highlight w:val="none"/>
                <w:lang w:val="en-US" w:eastAsia="zh-CN" w:bidi="ar-SA"/>
              </w:rPr>
              <w:t>本项目软水制备产生的废弃离子交换树脂不属于</w:t>
            </w:r>
            <w:r>
              <w:rPr>
                <w:rFonts w:hint="eastAsia" w:ascii="Times New Roman" w:hAnsi="Times New Roman" w:eastAsia="宋体" w:cs="Times New Roman"/>
                <w:color w:val="000000"/>
                <w:kern w:val="2"/>
                <w:sz w:val="24"/>
                <w:szCs w:val="24"/>
                <w:highlight w:val="none"/>
                <w:lang w:val="en-US" w:eastAsia="zh-CN" w:bidi="ar-SA"/>
              </w:rPr>
              <w:t>工业废水处理过程产生的废弃离子交换树脂</w:t>
            </w:r>
            <w:r>
              <w:rPr>
                <w:rFonts w:hint="eastAsia" w:cs="Times New Roman"/>
                <w:color w:val="000000"/>
                <w:kern w:val="2"/>
                <w:sz w:val="24"/>
                <w:szCs w:val="24"/>
                <w:highlight w:val="none"/>
                <w:lang w:val="en-US" w:eastAsia="zh-CN" w:bidi="ar-SA"/>
              </w:rPr>
              <w:t>，因此不为危险废物，为一般固体废物，由原厂回收综合利用。</w:t>
            </w:r>
          </w:p>
          <w:p>
            <w:pPr>
              <w:spacing w:line="360" w:lineRule="auto"/>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eastAsia" w:eastAsia="宋体" w:cs="Times New Roman"/>
                <w:color w:val="000000"/>
                <w:kern w:val="2"/>
                <w:szCs w:val="24"/>
              </w:rPr>
              <w:t>本项目设备在检修或维护过程中会产生少量的废</w:t>
            </w:r>
            <w:r>
              <w:rPr>
                <w:rFonts w:hint="eastAsia" w:cs="Times New Roman"/>
                <w:color w:val="000000"/>
                <w:kern w:val="2"/>
                <w:szCs w:val="24"/>
                <w:lang w:val="en-US" w:eastAsia="zh-CN"/>
              </w:rPr>
              <w:t>润滑油</w:t>
            </w:r>
            <w:r>
              <w:rPr>
                <w:rFonts w:hint="eastAsia" w:eastAsia="宋体" w:cs="Times New Roman"/>
                <w:color w:val="000000"/>
                <w:kern w:val="2"/>
                <w:szCs w:val="24"/>
              </w:rPr>
              <w:t>，产生量约为</w:t>
            </w:r>
            <w:r>
              <w:rPr>
                <w:rFonts w:hint="eastAsia" w:eastAsia="宋体" w:cs="Times New Roman"/>
                <w:color w:val="000000"/>
                <w:kern w:val="2"/>
                <w:szCs w:val="24"/>
                <w:lang w:val="en-US" w:eastAsia="zh-CN"/>
              </w:rPr>
              <w:t>0.5</w:t>
            </w:r>
            <w:r>
              <w:rPr>
                <w:rFonts w:hint="eastAsia" w:eastAsia="宋体" w:cs="Times New Roman"/>
                <w:color w:val="000000"/>
                <w:kern w:val="2"/>
                <w:szCs w:val="24"/>
              </w:rPr>
              <w:t>t/a。根据《国家危险废物名录》，属名录中HW08废矿物油与含矿物油废物，行业来源为非特定行业，废物代码分别为900-214-08，属车辆、机械维修和拆解过程中产生的废发动机油、制动器油、自动变速器油、齿轮油等废润滑油，危险特性为T，I。</w:t>
            </w:r>
          </w:p>
          <w:p>
            <w:pPr>
              <w:pageBreakBefore w:val="0"/>
              <w:widowControl w:val="0"/>
              <w:kinsoku/>
              <w:wordWrap/>
              <w:overflowPunct/>
              <w:topLinePunct w:val="0"/>
              <w:autoSpaceDE/>
              <w:autoSpaceDN/>
              <w:bidi w:val="0"/>
              <w:adjustRightInd/>
              <w:snapToGrid/>
              <w:spacing w:before="0" w:after="0" w:line="360" w:lineRule="auto"/>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表4.8-1</w:t>
            </w:r>
            <w:r>
              <w:rPr>
                <w:rFonts w:hint="eastAsia" w:cs="Times New Roman"/>
                <w:b/>
                <w:bCs/>
                <w:color w:val="000000"/>
                <w:kern w:val="2"/>
                <w:sz w:val="24"/>
                <w:szCs w:val="20"/>
                <w:highlight w:val="none"/>
                <w:vertAlign w:val="baseline"/>
                <w:lang w:val="en-US" w:eastAsia="zh-CN"/>
              </w:rPr>
              <w:t xml:space="preserve">  </w:t>
            </w:r>
            <w:r>
              <w:rPr>
                <w:rFonts w:hint="eastAsia" w:ascii="Times New Roman" w:hAnsi="Times New Roman" w:eastAsia="宋体" w:cs="Times New Roman"/>
                <w:b/>
                <w:bCs/>
                <w:color w:val="000000"/>
                <w:kern w:val="2"/>
                <w:sz w:val="24"/>
                <w:szCs w:val="20"/>
                <w:highlight w:val="none"/>
                <w:vertAlign w:val="baseline"/>
                <w:lang w:val="en-US" w:eastAsia="zh-CN"/>
              </w:rPr>
              <w:t>本项目固体废物产生情况一览表</w:t>
            </w:r>
          </w:p>
          <w:tbl>
            <w:tblPr>
              <w:tblStyle w:val="19"/>
              <w:tblW w:w="505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05"/>
              <w:gridCol w:w="821"/>
              <w:gridCol w:w="607"/>
              <w:gridCol w:w="986"/>
              <w:gridCol w:w="821"/>
              <w:gridCol w:w="795"/>
              <w:gridCol w:w="701"/>
              <w:gridCol w:w="405"/>
              <w:gridCol w:w="685"/>
              <w:gridCol w:w="670"/>
              <w:gridCol w:w="576"/>
              <w:gridCol w:w="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ascii="Times New Roman" w:hAnsi="Times New Roman" w:eastAsia="宋体" w:cs="Times New Roman"/>
                      <w:b/>
                      <w:bCs/>
                      <w:color w:val="000000"/>
                      <w:kern w:val="0"/>
                      <w:sz w:val="21"/>
                      <w:szCs w:val="21"/>
                      <w:highlight w:val="none"/>
                      <w:lang w:bidi="ar"/>
                    </w:rPr>
                  </w:pPr>
                  <w:r>
                    <w:rPr>
                      <w:rFonts w:hint="eastAsia" w:ascii="Times New Roman" w:hAnsi="Times New Roman" w:eastAsia="宋体" w:cs="Times New Roman"/>
                      <w:b/>
                      <w:bCs/>
                      <w:color w:val="000000"/>
                      <w:kern w:val="0"/>
                      <w:sz w:val="21"/>
                      <w:szCs w:val="21"/>
                      <w:highlight w:val="none"/>
                      <w:lang w:bidi="ar"/>
                    </w:rPr>
                    <w:t>序号</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产生环节</w:t>
                  </w:r>
                </w:p>
              </w:tc>
              <w:tc>
                <w:tcPr>
                  <w:tcW w:w="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名称</w:t>
                  </w:r>
                </w:p>
              </w:tc>
              <w:tc>
                <w:tcPr>
                  <w:tcW w:w="5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属性</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危废/固废代码</w:t>
                  </w:r>
                </w:p>
              </w:tc>
              <w:tc>
                <w:tcPr>
                  <w:tcW w:w="4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产生量（t/a）</w:t>
                  </w:r>
                </w:p>
              </w:tc>
              <w:tc>
                <w:tcPr>
                  <w:tcW w:w="42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最大储存量（t）</w:t>
                  </w:r>
                </w:p>
              </w:tc>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形态</w:t>
                  </w:r>
                </w:p>
              </w:tc>
              <w:tc>
                <w:tcPr>
                  <w:tcW w:w="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有害成分</w:t>
                  </w:r>
                </w:p>
              </w:tc>
              <w:tc>
                <w:tcPr>
                  <w:tcW w:w="4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危险特性</w:t>
                  </w:r>
                </w:p>
              </w:tc>
              <w:tc>
                <w:tcPr>
                  <w:tcW w:w="3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包装方式</w:t>
                  </w:r>
                </w:p>
              </w:tc>
              <w:tc>
                <w:tcPr>
                  <w:tcW w:w="4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处置方式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设备维修</w:t>
                  </w:r>
                </w:p>
              </w:tc>
              <w:tc>
                <w:tcPr>
                  <w:tcW w:w="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废润滑油</w:t>
                  </w:r>
                </w:p>
              </w:tc>
              <w:tc>
                <w:tcPr>
                  <w:tcW w:w="5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危险废物/HW</w:t>
                  </w:r>
                  <w:r>
                    <w:rPr>
                      <w:rFonts w:hint="eastAsia" w:cs="Times New Roman"/>
                      <w:color w:val="000000"/>
                      <w:kern w:val="0"/>
                      <w:sz w:val="21"/>
                      <w:szCs w:val="21"/>
                      <w:highlight w:val="none"/>
                      <w:lang w:val="en-US" w:eastAsia="zh-CN" w:bidi="ar"/>
                    </w:rPr>
                    <w:t>08</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900-214-08</w:t>
                  </w:r>
                </w:p>
              </w:tc>
              <w:tc>
                <w:tcPr>
                  <w:tcW w:w="4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0.5</w:t>
                  </w:r>
                </w:p>
              </w:tc>
              <w:tc>
                <w:tcPr>
                  <w:tcW w:w="42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5</w:t>
                  </w:r>
                </w:p>
              </w:tc>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固</w:t>
                  </w:r>
                </w:p>
              </w:tc>
              <w:tc>
                <w:tcPr>
                  <w:tcW w:w="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废润滑油</w:t>
                  </w:r>
                </w:p>
              </w:tc>
              <w:tc>
                <w:tcPr>
                  <w:tcW w:w="4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T，I</w:t>
                  </w:r>
                </w:p>
              </w:tc>
              <w:tc>
                <w:tcPr>
                  <w:tcW w:w="3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桶装</w:t>
                  </w:r>
                </w:p>
              </w:tc>
              <w:tc>
                <w:tcPr>
                  <w:tcW w:w="4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暂存于危废</w:t>
                  </w:r>
                  <w:r>
                    <w:rPr>
                      <w:rFonts w:hint="eastAsia" w:cs="Times New Roman"/>
                      <w:color w:val="000000"/>
                      <w:kern w:val="0"/>
                      <w:sz w:val="21"/>
                      <w:szCs w:val="21"/>
                      <w:highlight w:val="none"/>
                      <w:lang w:val="en-US" w:eastAsia="zh-CN" w:bidi="ar"/>
                    </w:rPr>
                    <w:t>间</w:t>
                  </w:r>
                  <w:r>
                    <w:rPr>
                      <w:rFonts w:hint="eastAsia" w:ascii="Times New Roman" w:hAnsi="Times New Roman" w:eastAsia="宋体" w:cs="Times New Roman"/>
                      <w:color w:val="000000"/>
                      <w:kern w:val="0"/>
                      <w:sz w:val="21"/>
                      <w:szCs w:val="21"/>
                      <w:highlight w:val="none"/>
                      <w:lang w:val="en-US" w:eastAsia="zh-CN" w:bidi="ar"/>
                    </w:rPr>
                    <w:t>委托，委托新疆鸿裕翔能源环保科技有限公司收集并运至新疆海克新能源科技有限公司处置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2</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软水制备</w:t>
                  </w:r>
                </w:p>
              </w:tc>
              <w:tc>
                <w:tcPr>
                  <w:tcW w:w="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废离子交换树脂</w:t>
                  </w:r>
                </w:p>
              </w:tc>
              <w:tc>
                <w:tcPr>
                  <w:tcW w:w="5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废包装袋</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441-009-99</w:t>
                  </w:r>
                </w:p>
              </w:tc>
              <w:tc>
                <w:tcPr>
                  <w:tcW w:w="4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0.2</w:t>
                  </w:r>
                </w:p>
              </w:tc>
              <w:tc>
                <w:tcPr>
                  <w:tcW w:w="42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w:t>
                  </w:r>
                </w:p>
              </w:tc>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固</w:t>
                  </w:r>
                </w:p>
              </w:tc>
              <w:tc>
                <w:tcPr>
                  <w:tcW w:w="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w:t>
                  </w:r>
                </w:p>
              </w:tc>
              <w:tc>
                <w:tcPr>
                  <w:tcW w:w="4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w:t>
                  </w:r>
                </w:p>
              </w:tc>
              <w:tc>
                <w:tcPr>
                  <w:tcW w:w="3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w:t>
                  </w:r>
                </w:p>
              </w:tc>
              <w:tc>
                <w:tcPr>
                  <w:tcW w:w="4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原厂回收综合利用</w:t>
                  </w:r>
                </w:p>
              </w:tc>
            </w:tr>
          </w:tbl>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（2）环境管理要求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1）一般要求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根据《排污许可证申请与核发技术规范 工业固体废物和危险废物治理》（HJ1033-2019），</w:t>
            </w:r>
            <w:r>
              <w:rPr>
                <w:rFonts w:hint="default" w:ascii="Times New Roman" w:hAnsi="Times New Roman" w:eastAsia="宋体" w:cs="Times New Roman"/>
                <w:color w:val="000000"/>
                <w:kern w:val="2"/>
                <w:sz w:val="24"/>
                <w:szCs w:val="24"/>
                <w:lang w:val="en-US" w:eastAsia="zh-CN" w:bidi="ar-SA"/>
              </w:rPr>
              <w:t xml:space="preserve">有危险废物贮存设施的排污单位应依据《中华人民共和国固体废物污染环境防治法》等法律法规及GB 18597、GB 15562.2、HJ 2025和HJ 2042等标准规范，在危险废物接收、贮存、污染控制等过程中严格落实相关要求，防止危险废物贮存过程造成的环境污染，加强危险废物贮存过程的监督管理。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固体废物污染防治法规定</w:t>
            </w:r>
            <w:r>
              <w:rPr>
                <w:rFonts w:hint="eastAsia"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r>
              <w:rPr>
                <w:rFonts w:hint="eastAsia"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。根据这些规定，本项目固体废物污染环境防治设施必须做到</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三同时</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为了进一步降低固体废物的影响，建议建设单位在实践中逐步确定新的废物管理模式，对所有固体废物进行监控管理。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①</w:t>
            </w:r>
            <w:r>
              <w:rPr>
                <w:rFonts w:hint="default" w:ascii="Times New Roman" w:hAnsi="Times New Roman" w:eastAsia="宋体" w:cs="Times New Roman"/>
                <w:color w:val="000000"/>
                <w:kern w:val="2"/>
                <w:sz w:val="24"/>
                <w:szCs w:val="24"/>
                <w:lang w:val="en-US" w:eastAsia="zh-CN" w:bidi="ar-SA"/>
              </w:rPr>
              <w:t>全过程管理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即对废物从</w:t>
            </w:r>
            <w:r>
              <w:rPr>
                <w:rFonts w:hint="eastAsia" w:cs="Times New Roman"/>
                <w:color w:val="000000"/>
                <w:kern w:val="2"/>
                <w:sz w:val="24"/>
                <w:szCs w:val="24"/>
                <w:lang w:val="en-US" w:eastAsia="zh-CN" w:bidi="ar-SA"/>
              </w:rPr>
              <w:t>“出生”</w:t>
            </w:r>
            <w:r>
              <w:rPr>
                <w:rFonts w:hint="default" w:ascii="Times New Roman" w:hAnsi="Times New Roman" w:eastAsia="宋体" w:cs="Times New Roman"/>
                <w:color w:val="000000"/>
                <w:kern w:val="2"/>
                <w:sz w:val="24"/>
                <w:szCs w:val="24"/>
                <w:lang w:val="en-US" w:eastAsia="zh-CN" w:bidi="ar-SA"/>
              </w:rPr>
              <w:t>那一时刻起对废物的产生、收集、运输、贮存、再循环、再利用、加工处理直至最终处置实行全过程管理，以实现废物减量化、资源化和无害化。</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②</w:t>
            </w:r>
            <w:r>
              <w:rPr>
                <w:rFonts w:hint="default" w:ascii="Times New Roman" w:hAnsi="Times New Roman" w:eastAsia="宋体" w:cs="Times New Roman"/>
                <w:color w:val="000000"/>
                <w:kern w:val="2"/>
                <w:sz w:val="24"/>
                <w:szCs w:val="24"/>
                <w:lang w:val="en-US" w:eastAsia="zh-CN" w:bidi="ar-SA"/>
              </w:rPr>
              <w:t>对排放废物进行审计</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废物审计制度是对废物从产生、处理到处置排放实行全过程监督的有效手段。其主要内容有：废物合理的产生量；废物流向和分配及监测记录；废物处理和转化；废物有效排放和废物总量衡算；废物从产生到处理的全过程评估</w:t>
            </w:r>
            <w:r>
              <w:rPr>
                <w:rFonts w:hint="eastAsia" w:ascii="Times New Roman" w:hAnsi="Times New Roman" w:eastAsia="宋体" w:cs="Times New Roman"/>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2）危险废物管理要求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lang w:val="en-US" w:eastAsia="zh-CN" w:bidi="ar-SA"/>
              </w:rPr>
              <w:t>根据《排污许可证申请与核发技术规范 工业固体废物和危险废物治理》（HJ1033-2019），</w:t>
            </w:r>
            <w:r>
              <w:rPr>
                <w:rFonts w:hint="eastAsia" w:ascii="Times New Roman" w:hAnsi="Times New Roman" w:eastAsia="宋体" w:cs="Times New Roman"/>
                <w:color w:val="000000"/>
                <w:kern w:val="2"/>
                <w:sz w:val="24"/>
                <w:szCs w:val="24"/>
                <w:highlight w:val="none"/>
                <w:lang w:val="en-US" w:eastAsia="zh-CN" w:bidi="ar-SA"/>
              </w:rPr>
              <w:t xml:space="preserve">工业固体废物和危险废物治理排污单位应当按照相关法律法规、标准和技术规范等要求运行大气污染防治设施并进行维护和管理，保证设施运行正常，处理、排放大气污染物符合国家或地方污染物排放标准的规定。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环保设施应与其对应的生产工艺设备同步运转，并保证在生产工艺设备运行波动情况下仍能正常运转，实现达标排放。由于事故或设备维修等原因造成污染防治设施停止运行时，应立即报告当地生态环境主管部门。</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危险废物管理包括危险废物贮存措施、危险废物转运措施、危险废物安全处置措施等环节。本次环评要求严格按照《危险废物贮存污染控制标准》（GB18597-2023）及修改单、《危险废物收集 贮存 运输技术规范》（HJ2025-2012）和《危险废物转移管理办法》（生态环境部 公安部 交通运输部 部令第23号）相关要求对其进行贮存、转移及制度性管理。根据国家产生危险废物的单位应当以控制危险废物的环境风险为目标，企业应制定危险废物管理计划和应急预案并报所在地县级以上地方环保部门备案。</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危废</w:t>
            </w:r>
            <w:r>
              <w:rPr>
                <w:rFonts w:hint="eastAsia" w:cs="Times New Roman"/>
                <w:color w:val="000000"/>
                <w:kern w:val="2"/>
                <w:sz w:val="24"/>
                <w:szCs w:val="24"/>
                <w:highlight w:val="none"/>
                <w:lang w:val="en-US" w:eastAsia="zh-CN" w:bidi="ar-SA"/>
              </w:rPr>
              <w:t>暂存间</w:t>
            </w:r>
            <w:r>
              <w:rPr>
                <w:rFonts w:hint="eastAsia" w:ascii="Times New Roman" w:hAnsi="Times New Roman" w:eastAsia="宋体" w:cs="Times New Roman"/>
                <w:color w:val="000000"/>
                <w:kern w:val="2"/>
                <w:sz w:val="24"/>
                <w:szCs w:val="24"/>
                <w:highlight w:val="none"/>
                <w:lang w:val="en-US" w:eastAsia="zh-CN" w:bidi="ar-SA"/>
              </w:rPr>
              <w:t>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w:t>
            </w:r>
            <w:r>
              <w:rPr>
                <w:rFonts w:hint="eastAsia" w:eastAsia="宋体" w:cs="Times New Roman"/>
                <w:color w:val="000000"/>
                <w:kern w:val="2"/>
                <w:sz w:val="24"/>
                <w:szCs w:val="24"/>
                <w:highlight w:val="none"/>
                <w:lang w:val="en-US" w:eastAsia="zh-CN" w:bidi="ar-SA"/>
              </w:rPr>
              <w:t>新建</w:t>
            </w:r>
            <w:r>
              <w:rPr>
                <w:rFonts w:hint="eastAsia" w:cs="Times New Roman"/>
                <w:color w:val="000000"/>
                <w:kern w:val="2"/>
                <w:sz w:val="24"/>
                <w:szCs w:val="24"/>
                <w:highlight w:val="none"/>
                <w:lang w:val="en-US" w:eastAsia="zh-CN" w:bidi="ar-SA"/>
              </w:rPr>
              <w:t>1</w:t>
            </w:r>
            <w:r>
              <w:rPr>
                <w:rFonts w:hint="eastAsia" w:ascii="Times New Roman" w:hAnsi="Times New Roman" w:eastAsia="宋体" w:cs="Times New Roman"/>
                <w:color w:val="000000"/>
                <w:kern w:val="2"/>
                <w:sz w:val="24"/>
                <w:szCs w:val="24"/>
                <w:highlight w:val="none"/>
                <w:lang w:val="en-US" w:eastAsia="zh-CN" w:bidi="ar-SA"/>
              </w:rPr>
              <w:t>0m</w:t>
            </w:r>
            <w:r>
              <w:rPr>
                <w:rFonts w:hint="eastAsia" w:ascii="Times New Roman" w:hAnsi="Times New Roman" w:eastAsia="宋体" w:cs="Times New Roman"/>
                <w:color w:val="000000"/>
                <w:kern w:val="2"/>
                <w:sz w:val="24"/>
                <w:szCs w:val="24"/>
                <w:highlight w:val="none"/>
                <w:vertAlign w:val="superscript"/>
                <w:lang w:val="en-US" w:eastAsia="zh-CN" w:bidi="ar-SA"/>
              </w:rPr>
              <w:t>2</w:t>
            </w:r>
            <w:r>
              <w:rPr>
                <w:rFonts w:hint="eastAsia" w:ascii="Times New Roman" w:hAnsi="Times New Roman" w:eastAsia="宋体" w:cs="Times New Roman"/>
                <w:color w:val="000000"/>
                <w:kern w:val="2"/>
                <w:sz w:val="24"/>
                <w:szCs w:val="24"/>
                <w:highlight w:val="none"/>
                <w:lang w:val="en-US" w:eastAsia="zh-CN" w:bidi="ar-SA"/>
              </w:rPr>
              <w:t>危废暂存间一座</w:t>
            </w:r>
            <w:r>
              <w:rPr>
                <w:rFonts w:hint="eastAsia" w:eastAsia="宋体"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主要用于</w:t>
            </w:r>
            <w:r>
              <w:rPr>
                <w:rFonts w:hint="eastAsia" w:eastAsia="宋体" w:cs="Times New Roman"/>
                <w:color w:val="000000"/>
                <w:kern w:val="2"/>
                <w:sz w:val="24"/>
                <w:szCs w:val="24"/>
                <w:highlight w:val="none"/>
                <w:lang w:val="en-US" w:eastAsia="zh-CN" w:bidi="ar-SA"/>
              </w:rPr>
              <w:t>暂存</w:t>
            </w:r>
            <w:r>
              <w:rPr>
                <w:rFonts w:hint="eastAsia" w:ascii="Times New Roman" w:hAnsi="Times New Roman" w:eastAsia="宋体" w:cs="Times New Roman"/>
                <w:color w:val="000000"/>
                <w:kern w:val="2"/>
                <w:sz w:val="24"/>
                <w:szCs w:val="24"/>
                <w:highlight w:val="none"/>
                <w:lang w:val="en-US" w:eastAsia="zh-CN" w:bidi="ar-SA"/>
              </w:rPr>
              <w:t>本项目</w:t>
            </w:r>
            <w:r>
              <w:rPr>
                <w:rFonts w:hint="eastAsia" w:eastAsia="宋体" w:cs="Times New Roman"/>
                <w:color w:val="000000"/>
                <w:kern w:val="2"/>
                <w:sz w:val="24"/>
                <w:szCs w:val="24"/>
                <w:highlight w:val="none"/>
                <w:lang w:val="en-US" w:eastAsia="zh-CN" w:bidi="ar-SA"/>
              </w:rPr>
              <w:t>及现有工程</w:t>
            </w:r>
            <w:r>
              <w:rPr>
                <w:rFonts w:hint="eastAsia" w:ascii="Times New Roman" w:hAnsi="Times New Roman" w:eastAsia="宋体" w:cs="Times New Roman"/>
                <w:color w:val="000000"/>
                <w:kern w:val="2"/>
                <w:sz w:val="24"/>
                <w:szCs w:val="24"/>
                <w:highlight w:val="none"/>
                <w:lang w:val="en-US" w:eastAsia="zh-CN" w:bidi="ar-SA"/>
              </w:rPr>
              <w:t>产生的危险废物，</w:t>
            </w:r>
            <w:r>
              <w:rPr>
                <w:rFonts w:hint="eastAsia" w:eastAsia="宋体" w:cs="Times New Roman"/>
                <w:color w:val="000000"/>
                <w:kern w:val="2"/>
                <w:sz w:val="24"/>
                <w:szCs w:val="24"/>
                <w:highlight w:val="none"/>
                <w:lang w:val="en-US" w:eastAsia="zh-CN" w:bidi="ar-SA"/>
              </w:rPr>
              <w:t>贮存设计满足</w:t>
            </w:r>
            <w:r>
              <w:rPr>
                <w:rFonts w:hint="default" w:ascii="Times New Roman" w:hAnsi="Times New Roman" w:eastAsia="宋体" w:cs="Times New Roman"/>
                <w:color w:val="auto"/>
                <w:lang w:val="en-US" w:eastAsia="zh-CN"/>
              </w:rPr>
              <w:t>《危险废物贮存污染控制标准》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GB18597-2023</w:t>
            </w:r>
            <w:r>
              <w:rPr>
                <w:rFonts w:hint="eastAsia" w:ascii="Times New Roman" w:hAnsi="Times New Roman" w:eastAsia="宋体" w:cs="Times New Roman"/>
                <w:color w:val="auto"/>
                <w:lang w:val="en-US" w:eastAsia="zh-CN"/>
              </w:rPr>
              <w:t>）</w:t>
            </w:r>
            <w:r>
              <w:rPr>
                <w:rFonts w:hint="eastAsia" w:eastAsia="宋体" w:cs="Times New Roman"/>
                <w:color w:val="000000"/>
                <w:kern w:val="2"/>
                <w:sz w:val="24"/>
                <w:szCs w:val="24"/>
                <w:highlight w:val="none"/>
                <w:lang w:val="en-US" w:eastAsia="zh-CN" w:bidi="ar-SA"/>
              </w:rPr>
              <w:t>以及</w:t>
            </w:r>
            <w:r>
              <w:rPr>
                <w:rFonts w:hint="eastAsia" w:ascii="Times New Roman" w:hAnsi="Times New Roman" w:eastAsia="宋体" w:cs="Times New Roman"/>
                <w:color w:val="000000"/>
                <w:kern w:val="2"/>
                <w:sz w:val="24"/>
                <w:szCs w:val="24"/>
                <w:highlight w:val="none"/>
                <w:lang w:val="en-US" w:eastAsia="zh-CN" w:bidi="ar-SA"/>
              </w:rPr>
              <w:t>《危险废物收集 贮存 运输技术规范》（HJ2025-2012）</w:t>
            </w:r>
            <w:r>
              <w:rPr>
                <w:rFonts w:hint="eastAsia" w:eastAsia="宋体" w:cs="Times New Roman"/>
                <w:color w:val="000000"/>
                <w:kern w:val="2"/>
                <w:sz w:val="24"/>
                <w:szCs w:val="24"/>
                <w:highlight w:val="none"/>
                <w:lang w:val="en-US" w:eastAsia="zh-CN" w:bidi="ar-SA"/>
              </w:rPr>
              <w:t>要求，</w:t>
            </w:r>
            <w:r>
              <w:rPr>
                <w:rFonts w:hint="eastAsia" w:ascii="Times New Roman" w:hAnsi="Times New Roman" w:eastAsia="宋体" w:cs="Times New Roman"/>
                <w:color w:val="000000"/>
                <w:kern w:val="2"/>
                <w:sz w:val="24"/>
                <w:szCs w:val="24"/>
                <w:highlight w:val="none"/>
                <w:lang w:val="en-US" w:eastAsia="zh-CN" w:bidi="ar-SA"/>
              </w:rPr>
              <w:t>委托有资质的单位进行处置。本项目危险废物在收集、转运时需满足以下要求：</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①危险废物的收集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a.危险废物产生单位进行的危险废物收集包括两个方面，一是在危险废物产生节点将危险废物集中到适当的包装容器中或运输车辆上的活动；二是将已包装或装到运输车辆上的危险废物集中到危险废物产生单位内部临时贮存设施的内部转运。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b.危险废物的收集应根据危险废物产生的工艺特征、排放周期、危险废物特性、废物管理计划等因素制定收集计划。收集计划应包括收集任务概述、收集目标及原则、危险废物特性评估、危险废物收集量估算、收集作业范围和方法、收集设备与包装容器、安全生产与个人防护、工程防护与事故应急、进度安排与组织管理等。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c.危险废物的收集应制定详细的操作规程，内容至少应包括适用范围、操作程序和方法、专用设备和工具、转移和交接、安全保障和应急防护等。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d.危险废物收集和转运作业人员应根据工作需要配备必要的个人防护装备，如手套、防护镜、防护服、防毒面具或口罩等。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e.在危险废物的收集和转运过程中，应采取相应的安全防护和污染防治措施，包括防爆、防火、防中毒、防感染、防泄露、防飞扬、防雨或其它防止污染环境的措施。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f.危险废物收集时应根据危险废物的种类、数量、危险特性、物理形态、运输要求等因素确定包装形式，具体包装应符合如下要求：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1)包装材质要与危险废物相容，可根据废物特性选择钢、铝、塑料等材质。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2)性质类似的废物可收集到同一容器中，性质不相容的危险废物不应混合包装。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3)危险废物包装应能有效隔断危险废物迁移扩散途径，并达到防渗、防漏要求。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4)包装好的危险废物应设置相应的标签，标签信息应填写完整翔实。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5)盛装过危险废物的包装袋或包装容器破损后应按危险废物进行管理和处置。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6)危险废物还应根据GB12463的有关要求进行运输包装。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g.危险废物的收集作业应满足如下要求：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1)应根据收集设备、转运车辆以及现场人员等实际情况确定相应作业区域，同时要设置作业界限标志和警示牌。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2)作业区域内应设置危险废物收集专用通道和人员避险通道。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3)收集时应配备必要的收集工具和包装物，以及必要的应急监测设备及应急装备。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4)危险废物收集应参照本标准附录A填写记录表，并将记录表作为危险废物管理的重要档案妥善保存。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5)收集结束后应清理和恢复收集作业区域，确保作业区域环境整洁安全。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6)收集过危险废物的容器、设备、设施、场所及其它物品转作它用时，应消除污染，确保其使用安全。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h.危险废物内部转运作业应满足如下要求：</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1)危险废物内部转运应综合考虑厂区的实际情况确定转运路线，尽量避开办公区和生活区。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2)危险废物内部转运作业应采用专用的工具，危险废物内部转运应填写《危险废物厂内转运记录表》。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3)危险废物内部转运结束后，应对转运路线进行检查和清理，确保无危险废物遗失在转运路线上，并对转运工具进行清洗。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i.收集不具备运输包装条件的危险废物时，且危险特性不会对环境和操作人员造成重大危害，可在临时包装后进行暂时贮存，但正式运输前应按本标准要求进行包装。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②危险废物的转运</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危险废物应按照国家有关规定向当地环境保护行政主管部门申报登记，接受当地环境保护行政主管部门监督管理。同时，根据国务院令第344号《危险化学品安全管理条例》、《危险废物收集 贮存 运输技术规范》（HJ2025-2012）和《危险废物转移联单管理办法》的有关规定，在危险废物外运至处置单位时必须严格遵守以下要求：</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a.危险废物运输应由持有危险废物经营许可证的单位按照其许可证的经营范围组织实施，承担危险废物运输的单位应获得交通运输部门颁发的危险货物运输资质；危险废物公路运输应按照《道路危险货物运输管理规定》(交通部令[2005 年]第 9 号)、JT617 以及 JT618 执行；废弃危险化学品的运输应执行《危险化学品安全管理条例》有关运输的规定；运输单位承运危险废物时，应在危险废物包装上按照 GB18597 附录A设置标志；危险废物公路运输时，运输车辆应按GB13392设置车辆标志；危险废物运输时的中转、装卸过程应遵守如下技术要求： </w:t>
            </w:r>
          </w:p>
          <w:p>
            <w:pPr>
              <w:widowControl w:val="0"/>
              <w:wordWrap/>
              <w:overflowPunct w:val="0"/>
              <w:autoSpaceDE w:val="0"/>
              <w:autoSpaceDN w:val="0"/>
              <w:adjustRightInd w:val="0"/>
              <w:snapToGrid w:val="0"/>
              <w:spacing w:line="360" w:lineRule="auto"/>
              <w:ind w:left="0" w:leftChars="0"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1)卸载区的工作人员应熟悉废物的危险特性，并配备适当的个人防护装备，装卸剧毒废物应配备特殊的防护装备。 </w:t>
            </w:r>
          </w:p>
          <w:p>
            <w:pPr>
              <w:widowControl w:val="0"/>
              <w:wordWrap/>
              <w:overflowPunct w:val="0"/>
              <w:autoSpaceDE w:val="0"/>
              <w:autoSpaceDN w:val="0"/>
              <w:adjustRightInd w:val="0"/>
              <w:snapToGrid w:val="0"/>
              <w:spacing w:line="360" w:lineRule="auto"/>
              <w:ind w:left="0" w:leftChars="0"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2)卸载区应配备必要的消防设备和设施，并设置明显的指示标志。 </w:t>
            </w:r>
          </w:p>
          <w:p>
            <w:pPr>
              <w:widowControl w:val="0"/>
              <w:wordWrap/>
              <w:overflowPunct w:val="0"/>
              <w:autoSpaceDE w:val="0"/>
              <w:autoSpaceDN w:val="0"/>
              <w:adjustRightInd w:val="0"/>
              <w:snapToGrid w:val="0"/>
              <w:spacing w:line="360" w:lineRule="auto"/>
              <w:ind w:left="0" w:leftChars="0"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3)危险废物装卸区应设置隔离设施，液态废物卸载区应设置收集槽和缓冲罐。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b.做好每次外运处置废弃物的运输登记，认真填写危险废物转移联单（每种废物填写一份联单），并加盖公司公章，经运输单位核实验收签字后，将联单第一联副联自留存档，将联单第二联交移出地环境保护行政主管部门，第三联及其余各联交付运输单位，随危险废物转移运行。第四联交接收单位，第五联交接收地环保局。</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c.废弃物处置单位的运输人员必须掌握危险化学品运输的安全知识，化学品的性质、危害特性、包装容器的使用特性和发生意外时的应急措施了解所运载的危险。运输车辆必须具有车辆危险货物运输许可证。驾驶人员必须由取得驾驶执照的熟练人员担任。</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d.处置单位在运输危险废物时必须配备押运人员，并随时处于押运人员的监管之下，不得超装、超载，严格按照所在城市规定的行车时间和行车路线行驶，不得进入危险化学品运输车辆禁止通行的区域。</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e.危险废物在运输途中若发生被盗、丢失、流散、泄漏等情况时，公司及押运人员必须立即向当地公安部门报告，并采取一切可能的警示措施。</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一旦发生废弃物泄漏事故，公司和废弃物处置单位都应积极协助有关部门采取必要的安全措施，减少事故损失，防止事故蔓延、扩大；针对事故对人体、动植物、土壤、水源、空气造成的现实危害和可能产生的危害，应迅速采取封闭、隔离、洗消等措施，并对事故造成的危害进行监测、处置，直至符合国家环境保护标准。</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③危险废物贮存</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a.所有危险废物产生者和危险废物经营者应建造专用的危险废物贮存设施，也可利用原有构筑物改建成危险废物贮存设施。</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b.在常温常压下易爆、易燃及排出有毒气体的危险废物必须进行预处理，使之稳定后贮存，否则，按易爆、易燃危险品贮存。</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c.在常温常压下不水解、不挥发的固体危险废物可在贮存设施内分别堆放。</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d.必须将危险废物装入容器内。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e.禁止将不相容（相互反应）的危险废物在同一容器内混装。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f.无法装入常用容器的危险废物可用防漏胶袋等盛装。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g.装载液体、半固体危险废物的容器内须留足够空间，容器顶部与液体表面之间保留100毫米以上的空间。</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h.盛装危险废物的容器上必须粘贴符合标准的标签。</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j.危险废物贮存设施在施工前应做环境影响评价。</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2)危险废物贮存容器</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a. 应当使用符合标准的容器盛装危险废物。</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b.装载危险废物的容器及材质要满足相应的强度要求。</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c.装载危险废物的容器必须完好无损。</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d.盛装危险废物的容器材质和衬里要与危险废物相容（不相互反应）。</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e.液体危险废物可注入开孔直径不超过70毫米并有放气孔的桶中。</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3）选址与设计原则</w:t>
            </w:r>
          </w:p>
          <w:p>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贮存设施选址应满足生态环境保护法律法规、规划和</w:t>
            </w:r>
            <w:r>
              <w:rPr>
                <w:rFonts w:hint="eastAsia"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三线一单</w:t>
            </w:r>
            <w:r>
              <w:rPr>
                <w:rFonts w:hint="eastAsia"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 xml:space="preserve">生态环境分区管控的要求，建设项目应依法进行环境影响评价。 </w:t>
            </w:r>
          </w:p>
          <w:p>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 xml:space="preserve">集中贮存设施不应选在生态保护红线区域、永久基本农田和其他需要特别保护的区域内，不应建在溶洞区或易遭受洪水、滑坡、泥石流、潮汐等严重自然灾害影响的地区。 </w:t>
            </w:r>
          </w:p>
          <w:p>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 xml:space="preserve">贮存设施不应选在江河、湖泊、运河、渠道、水库及其最高水位线以下的滩地和岸坡，以及法律法规规定禁止贮存危险废物的其他地点。 </w:t>
            </w:r>
          </w:p>
          <w:p>
            <w:pPr>
              <w:widowControl/>
              <w:numPr>
                <w:ilvl w:val="0"/>
                <w:numId w:val="0"/>
              </w:numPr>
              <w:spacing w:line="360" w:lineRule="auto"/>
              <w:ind w:firstLine="480" w:firstLineChars="200"/>
              <w:jc w:val="left"/>
              <w:rPr>
                <w:rFonts w:hint="default" w:ascii="Times New Roman" w:hAnsi="Times New Roman" w:eastAsia="宋体" w:cs="Times New Roman"/>
                <w:kern w:val="0"/>
                <w:sz w:val="34"/>
                <w:szCs w:val="20"/>
              </w:rPr>
            </w:pPr>
            <w:r>
              <w:rPr>
                <w:rFonts w:hint="default" w:ascii="Times New Roman" w:hAnsi="Times New Roman" w:eastAsia="宋体" w:cs="Times New Roman"/>
                <w:color w:val="auto"/>
                <w:kern w:val="0"/>
                <w:sz w:val="24"/>
                <w:szCs w:val="24"/>
                <w:highlight w:val="none"/>
                <w:lang w:val="en-US" w:eastAsia="zh-CN" w:bidi="ar-SA"/>
              </w:rPr>
              <w:t>贮存设施场址的位置以及其与周围环境敏感目标的距离应依据环境影响评价文件确定。</w:t>
            </w:r>
          </w:p>
          <w:p>
            <w:pPr>
              <w:widowControl w:val="0"/>
              <w:wordWrap/>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④监督与实施 </w:t>
            </w:r>
          </w:p>
          <w:p>
            <w:pPr>
              <w:widowControl w:val="0"/>
              <w:wordWrap/>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a.地方环境保护行政部门可根据本标准所提出的危险废物收集、贮存、运输要求对管辖区域内的危险废物收集、贮存、运输行为进行监管，确保危险废物收集、贮存、运输过程的环境安全。 </w:t>
            </w:r>
          </w:p>
          <w:p>
            <w:pPr>
              <w:widowControl w:val="0"/>
              <w:wordWrap/>
              <w:adjustRightInd/>
              <w:snapToGrid/>
              <w:spacing w:line="360" w:lineRule="auto"/>
              <w:ind w:firstLine="480" w:firstLineChars="200"/>
              <w:textAlignment w:val="auto"/>
              <w:rPr>
                <w:rFonts w:hint="default" w:ascii="宋体" w:hAnsi="宋体" w:eastAsia="宋体" w:cs="Times New Roman"/>
              </w:rPr>
            </w:pPr>
            <w:r>
              <w:rPr>
                <w:rFonts w:hint="default" w:ascii="Times New Roman" w:hAnsi="Times New Roman" w:eastAsia="宋体" w:cs="Times New Roman"/>
                <w:color w:val="auto"/>
                <w:kern w:val="0"/>
                <w:sz w:val="24"/>
                <w:szCs w:val="24"/>
                <w:lang w:val="en-US" w:eastAsia="zh-CN"/>
              </w:rPr>
              <w:t>b.地方环境保护行政主管部门可根据本标准及其它有关管理要求建立地方危险废物收集、贮存、运输管理制度和管理档案。</w:t>
            </w:r>
          </w:p>
          <w:p>
            <w:pPr>
              <w:widowControl w:val="0"/>
              <w:wordWrap/>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⑤危险废物贮存安全防护</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a.危险废物贮存设施都必须按GB15562.2的规定设置警示标志。</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b.危险废物贮存设施周围应设置围墙或其它防护栅栏。</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c.危险废物贮存设施应配备通讯设备、照明设施、安全防护服装及工具，并设有应急防护设施。</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d.危险废物贮存设施内清理出来的泄漏物，一律按危险废物处理。</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⑥危废暂存间建设要求</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a.危险废物贮存可分为产生单位内部贮存、中转贮存及集中性贮存。所对应的贮存设施分别为：产生危险废物的单位用于暂时贮存的设施。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b.危险废物贮存设施的选址、设计、建设、运行管理应满足GB18597、GBZ1和GBZ2的有关要求。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c.危险废物贮存设施应配备通讯设备、照明设施和消防设施。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d.贮存危险废物时应按危险废物的种类和特性进行分区贮存，每个贮存区域之间宜设置挡墙间隔，并应设置防雨、防火、防雷、防扬尘装置。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e.贮存易燃易爆危险废物应配置有机气体报警、火灾报警装置和导出静电的接地装置。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f.废弃危险化学品贮存应满足GB 15603、《危险化学品安全管理条例》、《废弃危险化学品污染环境防治办法》的要求。贮存废弃剧毒化学品还应充分考虑防盗要求，采用双钥匙封闭式管理，且有专人24小时看管。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g. 危险废物贮存期限应符合《中华人民共和国固体废物污染环境防治法》的有关规定。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h.危险废物贮存单位应建立危险废物贮存的台帐制度，危险废物出入库交接记录内容应参照本标准附录C执行。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i.危险废物贮存设施应根据贮存的废物种类和特性按照GB18597附录A设置标志。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j.危险废物贮存设施的关闭应按照 GB18597和《危险废物经营许可证管理办法》的有关规定执行。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3）监测要求</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根据《排污许可证申请与核发技术规范 工业固体废物和危险废物治理》（HJ1033-2019）</w:t>
            </w:r>
            <w:r>
              <w:rPr>
                <w:rFonts w:hint="default" w:ascii="Times New Roman" w:hAnsi="Times New Roman" w:eastAsia="宋体" w:cs="Times New Roman"/>
                <w:color w:val="000000"/>
                <w:kern w:val="2"/>
                <w:sz w:val="24"/>
                <w:szCs w:val="24"/>
                <w:highlight w:val="none"/>
                <w:lang w:val="en-US" w:eastAsia="zh-CN" w:bidi="ar-SA"/>
              </w:rPr>
              <w:t xml:space="preserve">工业固体废物和危险废物治理排污单位在申请排污许可证时，应当按照本标准确定的产排污环节，排放口、污染物及许可限值等要求，制定自行监测方案，并在全国排污许可证管理信息平台申报。工业固体废物和危险废物治理排污单位自行监测技术指南发布后，自行监测方案的制定从其规定。 </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本项目制定废气</w:t>
            </w:r>
            <w:r>
              <w:rPr>
                <w:rFonts w:hint="eastAsia" w:cs="Times New Roman"/>
                <w:color w:val="000000"/>
                <w:kern w:val="2"/>
                <w:sz w:val="24"/>
                <w:szCs w:val="24"/>
                <w:highlight w:val="none"/>
                <w:lang w:val="en-US" w:eastAsia="zh-CN" w:bidi="ar-SA"/>
              </w:rPr>
              <w:t>、废水</w:t>
            </w:r>
            <w:r>
              <w:rPr>
                <w:rFonts w:hint="eastAsia" w:ascii="Times New Roman" w:hAnsi="Times New Roman" w:eastAsia="宋体" w:cs="Times New Roman"/>
                <w:color w:val="000000"/>
                <w:kern w:val="2"/>
                <w:sz w:val="24"/>
                <w:szCs w:val="24"/>
                <w:highlight w:val="none"/>
                <w:lang w:val="en-US" w:eastAsia="zh-CN" w:bidi="ar-SA"/>
              </w:rPr>
              <w:t>、噪声监测计划，并纳入监测计划，按照HJ 819、HJ/T 373 要求，排污单位应当根据自行监测方案及开展状况，同时应梳理全过程监测质控要求，建立全厂范围内自行监测质量保证与质量控制体系，并应排污单位应按照HJ 819要求进行自行监测信息公开。</w:t>
            </w:r>
          </w:p>
          <w:p>
            <w:pPr>
              <w:widowControl w:val="0"/>
              <w:numPr>
                <w:ilvl w:val="0"/>
                <w:numId w:val="6"/>
              </w:numPr>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台账管理要求</w:t>
            </w:r>
          </w:p>
          <w:p>
            <w:pPr>
              <w:widowControl w:val="0"/>
              <w:numPr>
                <w:ilvl w:val="0"/>
                <w:numId w:val="0"/>
              </w:numPr>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根据《排污许可证申请与核发技术规范 工业固体废物和危险废物治理》（HJ1033-2019），排污单位应建立环境管理台账制度，落实环境管理台账记录的责任部门和责任人，明确工作职责，包括台账的记录、整理、维护和管理等。 </w:t>
            </w:r>
          </w:p>
          <w:p>
            <w:pPr>
              <w:widowControl w:val="0"/>
              <w:numPr>
                <w:ilvl w:val="0"/>
                <w:numId w:val="0"/>
              </w:numPr>
              <w:spacing w:line="360" w:lineRule="auto"/>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为实现台账便于携带、作为许可证执行情况佐证并长时间储存的目的以及导出原始数据，加工分析、综合判断运行情况的功能，台账应当按照电子化储存和纸质储存两种形式同步管理。</w:t>
            </w:r>
          </w:p>
          <w:p>
            <w:pPr>
              <w:widowControl w:val="0"/>
              <w:numPr>
                <w:ilvl w:val="0"/>
                <w:numId w:val="0"/>
              </w:numPr>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落实上述固废处置措施后，固废对环境影响很小，固废处置措施可行。</w:t>
            </w:r>
          </w:p>
          <w:p>
            <w:pPr>
              <w:pageBreakBefore w:val="0"/>
              <w:widowControl w:val="0"/>
              <w:kinsoku/>
              <w:wordWrap/>
              <w:overflowPunct/>
              <w:topLinePunct w:val="0"/>
              <w:autoSpaceDE/>
              <w:autoSpaceDN/>
              <w:bidi w:val="0"/>
              <w:adjustRightInd/>
              <w:snapToGrid/>
              <w:spacing w:before="0" w:after="0" w:line="360" w:lineRule="auto"/>
              <w:ind w:left="0" w:right="0" w:firstLine="562" w:firstLineChars="200"/>
              <w:jc w:val="both"/>
              <w:textAlignment w:val="auto"/>
              <w:rPr>
                <w:rFonts w:hint="default"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4.9地下水、土壤</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本项目位于新疆呼图壁县石梯子西沟煤矿（原瓦斯磅房南侧），不涉及集中式饮用水水源和热水、矿泉水、温泉等特殊地下水资源保护区。</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（1）污染源和污染途径</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①地面防渗等级不足或出现裂痕，导致泄漏物料下渗，污染地下水、土壤环境；</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③固体废物防护措施不足，导致雨水混入，污染地下水、土壤环境；</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⑤管理不完善，操作不规范导致物料泄漏。</w:t>
            </w:r>
          </w:p>
          <w:p>
            <w:pPr>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（2）分区防渗控制要求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宋体"/>
                <w:lang w:val="en-US" w:eastAsia="zh-CN"/>
              </w:rPr>
            </w:pPr>
            <w:r>
              <w:rPr>
                <w:rFonts w:hint="default" w:ascii="Times New Roman" w:hAnsi="Times New Roman" w:eastAsia="宋体" w:cs="Times New Roman"/>
                <w:color w:val="000000"/>
                <w:kern w:val="2"/>
                <w:sz w:val="24"/>
                <w:szCs w:val="20"/>
                <w:highlight w:val="none"/>
                <w:lang w:val="en-US" w:eastAsia="zh-CN"/>
              </w:rPr>
              <w:t>根据项目特点，进行分区并对不同分区采取相应的防渗措施。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w:t>
            </w:r>
            <w:r>
              <w:rPr>
                <w:rFonts w:hint="default" w:ascii="Times New Roman" w:hAnsi="Times New Roman" w:eastAsia="宋体" w:cs="Times New Roman"/>
                <w:color w:val="000000"/>
                <w:kern w:val="2"/>
                <w:sz w:val="24"/>
                <w:szCs w:val="20"/>
                <w:highlight w:val="none"/>
                <w:lang w:val="en-US" w:eastAsia="zh-CN"/>
              </w:rPr>
              <w:t>防渗分区</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根据装置、单元的特点和所处的区域及部位，</w:t>
            </w:r>
            <w:r>
              <w:rPr>
                <w:rFonts w:hint="eastAsia" w:ascii="Times New Roman" w:hAnsi="Times New Roman" w:eastAsia="宋体" w:cs="Times New Roman"/>
                <w:color w:val="000000"/>
                <w:kern w:val="2"/>
                <w:sz w:val="24"/>
                <w:szCs w:val="20"/>
                <w:highlight w:val="none"/>
                <w:lang w:val="en-US" w:eastAsia="zh-CN"/>
              </w:rPr>
              <w:t>本</w:t>
            </w:r>
            <w:r>
              <w:rPr>
                <w:rFonts w:hint="default" w:ascii="Times New Roman" w:hAnsi="Times New Roman" w:eastAsia="宋体" w:cs="Times New Roman"/>
                <w:color w:val="000000"/>
                <w:kern w:val="2"/>
                <w:sz w:val="24"/>
                <w:szCs w:val="20"/>
                <w:highlight w:val="none"/>
                <w:lang w:val="en-US" w:eastAsia="zh-CN"/>
              </w:rPr>
              <w:t>项目</w:t>
            </w:r>
            <w:r>
              <w:rPr>
                <w:rFonts w:hint="eastAsia" w:ascii="Times New Roman" w:hAnsi="Times New Roman" w:eastAsia="宋体" w:cs="Times New Roman"/>
                <w:color w:val="000000"/>
                <w:kern w:val="2"/>
                <w:sz w:val="24"/>
                <w:szCs w:val="20"/>
                <w:highlight w:val="none"/>
                <w:lang w:val="en-US" w:eastAsia="zh-CN"/>
              </w:rPr>
              <w:t>危废</w:t>
            </w:r>
            <w:r>
              <w:rPr>
                <w:rFonts w:hint="eastAsia" w:cs="Times New Roman"/>
                <w:color w:val="000000"/>
                <w:kern w:val="2"/>
                <w:sz w:val="24"/>
                <w:szCs w:val="20"/>
                <w:highlight w:val="none"/>
                <w:lang w:val="en-US" w:eastAsia="zh-CN"/>
              </w:rPr>
              <w:t>暂存间</w:t>
            </w:r>
            <w:r>
              <w:rPr>
                <w:rFonts w:hint="eastAsia" w:ascii="Times New Roman" w:hAnsi="Times New Roman" w:eastAsia="宋体" w:cs="Times New Roman"/>
                <w:color w:val="000000"/>
                <w:kern w:val="2"/>
                <w:sz w:val="24"/>
                <w:szCs w:val="20"/>
                <w:highlight w:val="none"/>
                <w:lang w:val="en-US" w:eastAsia="zh-CN"/>
              </w:rPr>
              <w:t>以及周围地面为重点防渗区</w:t>
            </w:r>
            <w:r>
              <w:rPr>
                <w:rFonts w:hint="eastAsia" w:cs="Times New Roman"/>
                <w:color w:val="000000"/>
                <w:kern w:val="2"/>
                <w:sz w:val="24"/>
                <w:szCs w:val="20"/>
                <w:highlight w:val="none"/>
                <w:lang w:val="en-US" w:eastAsia="zh-CN"/>
              </w:rPr>
              <w:t>，瓦斯抽采站为一般防渗区</w:t>
            </w:r>
            <w:r>
              <w:rPr>
                <w:rFonts w:hint="default" w:ascii="Times New Roman" w:hAnsi="Times New Roman" w:eastAsia="宋体" w:cs="Times New Roman"/>
                <w:color w:val="000000"/>
                <w:kern w:val="2"/>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重点污染防治区：</w:t>
            </w:r>
            <w:r>
              <w:rPr>
                <w:rFonts w:hint="eastAsia" w:ascii="Times New Roman" w:hAnsi="Times New Roman" w:eastAsia="宋体" w:cs="Times New Roman"/>
                <w:color w:val="000000"/>
                <w:kern w:val="2"/>
                <w:sz w:val="24"/>
                <w:szCs w:val="20"/>
                <w:highlight w:val="none"/>
                <w:lang w:val="en-US" w:eastAsia="zh-CN"/>
              </w:rPr>
              <w:t>危废</w:t>
            </w:r>
            <w:r>
              <w:rPr>
                <w:rFonts w:hint="eastAsia" w:cs="Times New Roman"/>
                <w:color w:val="000000"/>
                <w:kern w:val="2"/>
                <w:sz w:val="24"/>
                <w:szCs w:val="20"/>
                <w:highlight w:val="none"/>
                <w:lang w:val="en-US" w:eastAsia="zh-CN"/>
              </w:rPr>
              <w:t>暂存间</w:t>
            </w:r>
            <w:r>
              <w:rPr>
                <w:rFonts w:hint="eastAsia" w:ascii="Times New Roman" w:hAnsi="Times New Roman" w:eastAsia="宋体" w:cs="Times New Roman"/>
                <w:color w:val="000000"/>
                <w:kern w:val="2"/>
                <w:sz w:val="24"/>
                <w:szCs w:val="20"/>
                <w:highlight w:val="none"/>
                <w:lang w:val="en-US" w:eastAsia="zh-CN"/>
              </w:rPr>
              <w:t>以及周围地面</w:t>
            </w:r>
            <w:r>
              <w:rPr>
                <w:rFonts w:hint="default" w:ascii="Times New Roman" w:hAnsi="Times New Roman" w:eastAsia="宋体" w:cs="Times New Roman"/>
                <w:color w:val="000000"/>
                <w:kern w:val="2"/>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w:t>
            </w:r>
            <w:r>
              <w:rPr>
                <w:rFonts w:hint="default" w:ascii="Times New Roman" w:hAnsi="Times New Roman" w:eastAsia="宋体" w:cs="Times New Roman"/>
                <w:color w:val="000000"/>
                <w:kern w:val="2"/>
                <w:sz w:val="24"/>
                <w:szCs w:val="20"/>
                <w:highlight w:val="none"/>
                <w:lang w:val="en-US" w:eastAsia="zh-CN"/>
              </w:rPr>
              <w:t>分区防渗处理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重点防渗区：</w:t>
            </w:r>
            <w:r>
              <w:rPr>
                <w:rFonts w:hint="eastAsia" w:ascii="Times New Roman" w:hAnsi="Times New Roman" w:eastAsia="宋体" w:cs="Times New Roman"/>
                <w:color w:val="000000"/>
                <w:kern w:val="2"/>
                <w:sz w:val="24"/>
                <w:szCs w:val="20"/>
                <w:highlight w:val="none"/>
                <w:lang w:val="en-US" w:eastAsia="zh-CN"/>
              </w:rPr>
              <w:t>本项目</w:t>
            </w:r>
            <w:r>
              <w:rPr>
                <w:rFonts w:hint="eastAsia" w:cs="Times New Roman"/>
                <w:color w:val="000000"/>
                <w:kern w:val="2"/>
                <w:sz w:val="24"/>
                <w:szCs w:val="20"/>
                <w:highlight w:val="none"/>
                <w:lang w:val="en-US" w:eastAsia="zh-CN"/>
              </w:rPr>
              <w:t>暂存间</w:t>
            </w:r>
            <w:r>
              <w:rPr>
                <w:rFonts w:hint="eastAsia" w:ascii="Times New Roman" w:hAnsi="Times New Roman" w:eastAsia="宋体" w:cs="Times New Roman"/>
                <w:color w:val="000000"/>
                <w:kern w:val="2"/>
                <w:sz w:val="24"/>
                <w:szCs w:val="20"/>
                <w:highlight w:val="none"/>
                <w:lang w:val="en-US" w:eastAsia="zh-CN"/>
              </w:rPr>
              <w:t>防渗方案采用</w:t>
            </w:r>
            <w:r>
              <w:rPr>
                <w:rFonts w:hint="default" w:ascii="Times New Roman" w:hAnsi="Times New Roman" w:eastAsia="宋体" w:cs="Times New Roman"/>
                <w:color w:val="000000"/>
                <w:kern w:val="2"/>
                <w:sz w:val="24"/>
                <w:szCs w:val="20"/>
                <w:highlight w:val="none"/>
                <w:lang w:val="en-US" w:eastAsia="zh-CN"/>
              </w:rPr>
              <w:t>黏土夯实+2mm厚高密度聚乙烯膜（HDPE）+地面</w:t>
            </w:r>
            <w:r>
              <w:rPr>
                <w:rFonts w:hint="eastAsia" w:eastAsia="宋体" w:cs="Times New Roman"/>
                <w:color w:val="000000"/>
                <w:kern w:val="2"/>
                <w:sz w:val="24"/>
                <w:szCs w:val="20"/>
                <w:highlight w:val="none"/>
                <w:lang w:val="en-US" w:eastAsia="zh-CN"/>
              </w:rPr>
              <w:t>1mm</w:t>
            </w:r>
            <w:r>
              <w:rPr>
                <w:rFonts w:hint="default" w:ascii="Times New Roman" w:hAnsi="Times New Roman" w:eastAsia="宋体" w:cs="Times New Roman"/>
                <w:color w:val="000000"/>
                <w:kern w:val="2"/>
                <w:sz w:val="24"/>
                <w:szCs w:val="20"/>
                <w:highlight w:val="none"/>
                <w:lang w:val="en-US" w:eastAsia="zh-CN"/>
              </w:rPr>
              <w:t>环氧树脂防腐</w:t>
            </w:r>
            <w:r>
              <w:rPr>
                <w:rFonts w:hint="eastAsia" w:eastAsia="宋体" w:cs="Times New Roman"/>
                <w:color w:val="000000"/>
                <w:kern w:val="2"/>
                <w:sz w:val="24"/>
                <w:szCs w:val="20"/>
                <w:highlight w:val="none"/>
                <w:lang w:val="en-US" w:eastAsia="zh-CN"/>
              </w:rPr>
              <w:t>处理</w:t>
            </w:r>
            <w:r>
              <w:rPr>
                <w:rFonts w:hint="eastAsia" w:cs="Times New Roman"/>
                <w:color w:val="000000"/>
                <w:kern w:val="2"/>
                <w:sz w:val="24"/>
                <w:szCs w:val="20"/>
                <w:highlight w:val="none"/>
                <w:lang w:val="en-US" w:eastAsia="zh-CN"/>
              </w:rPr>
              <w:t>，</w:t>
            </w:r>
            <w:r>
              <w:rPr>
                <w:rFonts w:hint="default" w:ascii="Times New Roman" w:hAnsi="Times New Roman" w:eastAsia="宋体" w:cs="Times New Roman"/>
                <w:color w:val="000000"/>
                <w:kern w:val="2"/>
                <w:sz w:val="24"/>
                <w:szCs w:val="20"/>
                <w:highlight w:val="none"/>
                <w:lang w:val="en-US" w:eastAsia="zh-CN"/>
              </w:rPr>
              <w:t>防渗技术为：等效黏土防渗层Mb≥6.0m，K≤1×10</w:t>
            </w:r>
            <w:r>
              <w:rPr>
                <w:rFonts w:hint="default" w:ascii="Times New Roman" w:hAnsi="Times New Roman" w:eastAsia="宋体" w:cs="Times New Roman"/>
                <w:color w:val="000000"/>
                <w:kern w:val="2"/>
                <w:sz w:val="24"/>
                <w:szCs w:val="20"/>
                <w:highlight w:val="none"/>
                <w:vertAlign w:val="superscript"/>
                <w:lang w:val="en-US" w:eastAsia="zh-CN"/>
              </w:rPr>
              <w:t>-</w:t>
            </w:r>
            <w:r>
              <w:rPr>
                <w:rFonts w:hint="eastAsia"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一般防渗区：</w:t>
            </w:r>
            <w:r>
              <w:rPr>
                <w:rFonts w:hint="eastAsia" w:eastAsia="宋体" w:cs="Times New Roman"/>
                <w:color w:val="000000"/>
                <w:kern w:val="2"/>
                <w:sz w:val="24"/>
                <w:szCs w:val="20"/>
                <w:highlight w:val="none"/>
                <w:lang w:val="en-US" w:eastAsia="zh-CN"/>
              </w:rPr>
              <w:t>瓦斯抽采站防渗方案</w:t>
            </w:r>
            <w:r>
              <w:rPr>
                <w:rFonts w:hint="default" w:ascii="Times New Roman" w:hAnsi="Times New Roman" w:eastAsia="宋体" w:cs="Times New Roman"/>
                <w:color w:val="000000"/>
                <w:kern w:val="2"/>
                <w:sz w:val="24"/>
                <w:szCs w:val="20"/>
                <w:highlight w:val="none"/>
                <w:lang w:val="en-US" w:eastAsia="zh-CN"/>
              </w:rPr>
              <w:t>采用厚度Mb=1.5m，渗透系数K≤10</w:t>
            </w:r>
            <w:r>
              <w:rPr>
                <w:rFonts w:hint="default" w:ascii="Times New Roman" w:hAnsi="Times New Roman" w:eastAsia="宋体"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cm/s防渗等效的20cm厚P4等级混凝土进行防渗。要求防渗技术要求为：等效黏土防渗层Mb≥1.5m，K≤1×10</w:t>
            </w:r>
            <w:r>
              <w:rPr>
                <w:rFonts w:hint="default" w:ascii="Times New Roman" w:hAnsi="Times New Roman" w:eastAsia="宋体"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cm/s；或参照GB16889执行</w:t>
            </w:r>
            <w:r>
              <w:rPr>
                <w:rFonts w:hint="eastAsia"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（3）环境影响分析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 xml:space="preserve">工业固体废物和危险废物治理排污单位应采取相应防治措施，防止有毒有害物质渗漏、泄漏造成土壤和地下水污染，包括： </w:t>
            </w:r>
          </w:p>
          <w:p>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对有毒有害物质，特别是液体或粉状危险废物贮存及输送、利用、处置等过程采取相应的防渗漏、泄漏措施。</w:t>
            </w:r>
          </w:p>
          <w:p>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 xml:space="preserve">危险废物生产装置区、输送管道、污水治理设施等的防渗要求，应满足国家和地方标准、防渗技术规范要求。 </w:t>
            </w:r>
          </w:p>
          <w:p>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 xml:space="preserve">对管道等配置渗漏或泄漏检测装置。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根据项目特点，厂区进行分区并对不同分区采取相应的防渗措施。项目对可能产生地下水</w:t>
            </w:r>
            <w:r>
              <w:rPr>
                <w:rFonts w:hint="eastAsia" w:ascii="Times New Roman" w:hAnsi="Times New Roman" w:eastAsia="宋体" w:cs="Times New Roman"/>
                <w:color w:val="000000"/>
                <w:kern w:val="2"/>
                <w:sz w:val="24"/>
                <w:szCs w:val="20"/>
                <w:highlight w:val="none"/>
                <w:lang w:val="en-US" w:eastAsia="zh-CN"/>
              </w:rPr>
              <w:t>、土壤</w:t>
            </w:r>
            <w:r>
              <w:rPr>
                <w:rFonts w:hint="default" w:ascii="Times New Roman" w:hAnsi="Times New Roman" w:eastAsia="宋体" w:cs="Times New Roman"/>
                <w:color w:val="000000"/>
                <w:kern w:val="2"/>
                <w:sz w:val="24"/>
                <w:szCs w:val="20"/>
                <w:highlight w:val="none"/>
                <w:lang w:val="en-US" w:eastAsia="zh-CN"/>
              </w:rPr>
              <w:t>影响的各项途径均进行有效预防，各项防渗措施可以有效地防止对区域地下水</w:t>
            </w:r>
            <w:r>
              <w:rPr>
                <w:rFonts w:hint="eastAsia" w:ascii="Times New Roman" w:hAnsi="Times New Roman" w:eastAsia="宋体" w:cs="Times New Roman"/>
                <w:color w:val="000000"/>
                <w:kern w:val="2"/>
                <w:sz w:val="24"/>
                <w:szCs w:val="20"/>
                <w:highlight w:val="none"/>
                <w:lang w:val="en-US" w:eastAsia="zh-CN"/>
              </w:rPr>
              <w:t>、土壤</w:t>
            </w:r>
            <w:r>
              <w:rPr>
                <w:rFonts w:hint="default" w:ascii="Times New Roman" w:hAnsi="Times New Roman" w:eastAsia="宋体" w:cs="Times New Roman"/>
                <w:color w:val="000000"/>
                <w:kern w:val="2"/>
                <w:sz w:val="24"/>
                <w:szCs w:val="20"/>
                <w:highlight w:val="none"/>
                <w:lang w:val="en-US" w:eastAsia="zh-CN"/>
              </w:rPr>
              <w:t>造成污染。综上所述，项目不会对</w:t>
            </w:r>
            <w:r>
              <w:rPr>
                <w:rFonts w:hint="eastAsia" w:ascii="Times New Roman" w:hAnsi="Times New Roman" w:eastAsia="宋体" w:cs="Times New Roman"/>
                <w:color w:val="000000"/>
                <w:kern w:val="2"/>
                <w:sz w:val="24"/>
                <w:szCs w:val="20"/>
                <w:highlight w:val="none"/>
                <w:lang w:val="en-US" w:eastAsia="zh-CN"/>
              </w:rPr>
              <w:t>项目区</w:t>
            </w:r>
            <w:r>
              <w:rPr>
                <w:rFonts w:hint="default" w:ascii="Times New Roman" w:hAnsi="Times New Roman" w:eastAsia="宋体" w:cs="Times New Roman"/>
                <w:color w:val="000000"/>
                <w:kern w:val="2"/>
                <w:sz w:val="24"/>
                <w:szCs w:val="20"/>
                <w:highlight w:val="none"/>
                <w:lang w:val="en-US" w:eastAsia="zh-CN"/>
              </w:rPr>
              <w:t>地下水</w:t>
            </w:r>
            <w:r>
              <w:rPr>
                <w:rFonts w:hint="eastAsia" w:ascii="Times New Roman" w:hAnsi="Times New Roman" w:eastAsia="宋体" w:cs="Times New Roman"/>
                <w:color w:val="000000"/>
                <w:kern w:val="2"/>
                <w:sz w:val="24"/>
                <w:szCs w:val="20"/>
                <w:highlight w:val="none"/>
                <w:lang w:val="en-US" w:eastAsia="zh-CN"/>
              </w:rPr>
              <w:t>、土壤</w:t>
            </w:r>
            <w:r>
              <w:rPr>
                <w:rFonts w:hint="default" w:ascii="Times New Roman" w:hAnsi="Times New Roman" w:eastAsia="宋体" w:cs="Times New Roman"/>
                <w:color w:val="000000"/>
                <w:kern w:val="2"/>
                <w:sz w:val="24"/>
                <w:szCs w:val="20"/>
                <w:highlight w:val="none"/>
                <w:lang w:val="en-US" w:eastAsia="zh-CN"/>
              </w:rPr>
              <w:t>环境造成污染影响</w:t>
            </w:r>
            <w:r>
              <w:rPr>
                <w:rFonts w:hint="eastAsia" w:ascii="Times New Roman" w:hAnsi="Times New Roman" w:eastAsia="宋体"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s="Times New Roman"/>
                <w:b/>
                <w:color w:val="000000"/>
                <w:kern w:val="2"/>
                <w:sz w:val="28"/>
                <w:szCs w:val="28"/>
                <w:highlight w:val="none"/>
                <w:lang w:val="en-US" w:eastAsia="zh-CN" w:bidi="ar-SA"/>
              </w:rPr>
            </w:pPr>
            <w:bookmarkStart w:id="21" w:name="_Toc299961768"/>
            <w:bookmarkStart w:id="22" w:name="_Toc29336"/>
            <w:bookmarkStart w:id="23" w:name="_Toc310503802"/>
            <w:bookmarkStart w:id="24" w:name="_Toc489948729"/>
            <w:bookmarkStart w:id="25" w:name="_Toc299381542"/>
            <w:bookmarkStart w:id="26" w:name="_Toc321043920"/>
            <w:bookmarkStart w:id="27" w:name="_Toc52004057"/>
            <w:bookmarkStart w:id="28" w:name="_Toc52068207"/>
            <w:bookmarkStart w:id="29" w:name="_Toc93082890"/>
            <w:bookmarkStart w:id="30" w:name="_Toc98474133"/>
            <w:bookmarkStart w:id="31" w:name="_Toc56408841"/>
            <w:r>
              <w:rPr>
                <w:rFonts w:hint="eastAsia" w:ascii="Times New Roman" w:hAnsi="Times New Roman" w:eastAsia="宋体" w:cs="Times New Roman"/>
                <w:b/>
                <w:color w:val="000000"/>
                <w:kern w:val="2"/>
                <w:sz w:val="28"/>
                <w:szCs w:val="28"/>
                <w:highlight w:val="none"/>
                <w:lang w:val="en-US" w:eastAsia="zh-CN" w:bidi="ar-SA"/>
              </w:rPr>
              <w:t>4.10生态环境影响分析</w:t>
            </w:r>
            <w:bookmarkEnd w:id="21"/>
            <w:bookmarkEnd w:id="22"/>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eastAsia="宋体" w:cs="Times New Roman"/>
                <w:color w:val="000000"/>
                <w:kern w:val="2"/>
                <w:sz w:val="24"/>
                <w:szCs w:val="20"/>
                <w:highlight w:val="none"/>
                <w:lang w:val="en-US" w:eastAsia="zh-CN"/>
              </w:rPr>
              <w:t>现有工程已进行相应的生态恢复</w:t>
            </w:r>
            <w:r>
              <w:rPr>
                <w:rFonts w:hint="eastAsia" w:ascii="Times New Roman" w:hAnsi="Times New Roman" w:eastAsia="宋体" w:cs="Times New Roman"/>
                <w:color w:val="000000"/>
                <w:kern w:val="2"/>
                <w:sz w:val="24"/>
                <w:szCs w:val="20"/>
                <w:highlight w:val="none"/>
                <w:lang w:val="en-US" w:eastAsia="zh-CN"/>
              </w:rPr>
              <w:t>，</w:t>
            </w:r>
            <w:r>
              <w:rPr>
                <w:rFonts w:hint="eastAsia" w:eastAsia="宋体" w:cs="Times New Roman"/>
                <w:color w:val="000000"/>
                <w:kern w:val="2"/>
                <w:sz w:val="24"/>
                <w:szCs w:val="20"/>
                <w:highlight w:val="none"/>
                <w:lang w:val="en-US" w:eastAsia="zh-CN"/>
              </w:rPr>
              <w:t>本</w:t>
            </w:r>
            <w:r>
              <w:rPr>
                <w:rFonts w:hint="eastAsia" w:ascii="Times New Roman" w:hAnsi="Times New Roman" w:eastAsia="宋体" w:cs="Times New Roman"/>
                <w:color w:val="000000"/>
                <w:kern w:val="2"/>
                <w:sz w:val="24"/>
                <w:szCs w:val="20"/>
                <w:highlight w:val="none"/>
                <w:lang w:val="en-US" w:eastAsia="zh-CN"/>
              </w:rPr>
              <w:t>项目投入运营后，将加强</w:t>
            </w:r>
            <w:r>
              <w:rPr>
                <w:rFonts w:hint="eastAsia" w:cs="Times New Roman"/>
                <w:color w:val="000000"/>
                <w:kern w:val="2"/>
                <w:sz w:val="24"/>
                <w:szCs w:val="20"/>
                <w:highlight w:val="none"/>
                <w:lang w:val="en-US" w:eastAsia="zh-CN"/>
              </w:rPr>
              <w:t>矿区</w:t>
            </w:r>
            <w:r>
              <w:rPr>
                <w:rFonts w:hint="eastAsia" w:ascii="Times New Roman" w:hAnsi="Times New Roman" w:eastAsia="宋体" w:cs="Times New Roman"/>
                <w:color w:val="000000"/>
                <w:kern w:val="2"/>
                <w:sz w:val="24"/>
                <w:szCs w:val="20"/>
                <w:highlight w:val="none"/>
                <w:lang w:val="en-US" w:eastAsia="zh-CN"/>
              </w:rPr>
              <w:t>及其周围的绿化和植被的恢复及补偿工作，项目在生产过程中不存在破化植被的工业活动，运营期不会对植物资源产生不利影响，通过加强施工人员的宣传教育和管理，可减少在建设初期对野生动物的影响，对生态环境的影响有限。</w:t>
            </w:r>
          </w:p>
          <w:bookmarkEnd w:id="27"/>
          <w:bookmarkEnd w:id="28"/>
          <w:bookmarkEnd w:id="29"/>
          <w:bookmarkEnd w:id="30"/>
          <w:bookmarkEnd w:id="31"/>
          <w:p>
            <w:pPr>
              <w:pageBreakBefore w:val="0"/>
              <w:widowControl w:val="0"/>
              <w:kinsoku/>
              <w:wordWrap/>
              <w:overflowPunct/>
              <w:topLinePunct w:val="0"/>
              <w:autoSpaceDE/>
              <w:autoSpaceDN/>
              <w:bidi w:val="0"/>
              <w:adjustRightInd/>
              <w:snapToGrid/>
              <w:spacing w:before="0" w:after="0" w:line="360" w:lineRule="auto"/>
              <w:ind w:left="0" w:right="0" w:firstLine="562" w:firstLineChars="200"/>
              <w:jc w:val="both"/>
              <w:textAlignment w:val="auto"/>
              <w:rPr>
                <w:rFonts w:hint="default"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4.11环境风险分析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（1）评价依据</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①风险调查</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本项目生产、使用、储存过程中涉及的有毒有害、易燃物质主要为</w:t>
            </w:r>
            <w:r>
              <w:rPr>
                <w:rFonts w:hint="eastAsia" w:cs="Times New Roman"/>
                <w:color w:val="000000"/>
                <w:kern w:val="2"/>
                <w:sz w:val="24"/>
                <w:szCs w:val="20"/>
                <w:highlight w:val="none"/>
                <w:lang w:val="en-US" w:eastAsia="zh-CN"/>
              </w:rPr>
              <w:t>甲烷以及</w:t>
            </w:r>
            <w:r>
              <w:rPr>
                <w:rFonts w:hint="eastAsia" w:ascii="Times New Roman" w:hAnsi="Times New Roman" w:eastAsia="宋体" w:cs="Times New Roman"/>
                <w:color w:val="000000"/>
                <w:kern w:val="2"/>
                <w:sz w:val="24"/>
                <w:szCs w:val="20"/>
                <w:highlight w:val="none"/>
                <w:lang w:val="en-US" w:eastAsia="zh-CN"/>
              </w:rPr>
              <w:t>废</w:t>
            </w:r>
            <w:r>
              <w:rPr>
                <w:rFonts w:hint="eastAsia" w:cs="Times New Roman"/>
                <w:color w:val="000000"/>
                <w:kern w:val="2"/>
                <w:sz w:val="24"/>
                <w:szCs w:val="20"/>
                <w:highlight w:val="none"/>
                <w:lang w:val="en-US" w:eastAsia="zh-CN"/>
              </w:rPr>
              <w:t>润滑油，本项目瓦斯抽采后经过自动抑爆装置、水封阻火泄爆装置处理后满足</w:t>
            </w:r>
            <w:r>
              <w:rPr>
                <w:rFonts w:hint="eastAsia" w:cs="Times New Roman"/>
                <w:kern w:val="2"/>
                <w:sz w:val="24"/>
                <w:szCs w:val="24"/>
                <w:lang w:val="en-US" w:eastAsia="zh-CN" w:bidi="ar-SA"/>
              </w:rPr>
              <w:t>《煤层气（煤矿瓦斯）排放标准（暂行）》（GB21522-2008）经18m放空管放散</w:t>
            </w:r>
            <w:r>
              <w:rPr>
                <w:rFonts w:hint="eastAsia" w:cs="Times New Roman"/>
                <w:color w:val="000000"/>
                <w:kern w:val="2"/>
                <w:sz w:val="24"/>
                <w:szCs w:val="20"/>
                <w:highlight w:val="none"/>
                <w:lang w:val="en-US" w:eastAsia="zh-CN"/>
              </w:rPr>
              <w:t>，不在厂区内储存。</w:t>
            </w:r>
            <w:r>
              <w:rPr>
                <w:rFonts w:hint="eastAsia" w:ascii="Times New Roman" w:hAnsi="Times New Roman" w:eastAsia="宋体" w:cs="Times New Roman"/>
                <w:color w:val="000000"/>
                <w:kern w:val="2"/>
                <w:sz w:val="24"/>
                <w:szCs w:val="20"/>
                <w:highlight w:val="none"/>
                <w:lang w:val="en-US" w:eastAsia="zh-CN"/>
              </w:rPr>
              <w:t>对照《建设项目 环境风险评价技术导则》(HJ169-2018)附录B，根据表B.2其他危险物质临界量推荐值，根据GB30000.18《化学品分类和标签规范第 18 部分：急性毒性》，重大危险源识别见表4.11-1。</w:t>
            </w:r>
          </w:p>
          <w:p>
            <w:pPr>
              <w:keepNext w:val="0"/>
              <w:keepLines w:val="0"/>
              <w:pageBreakBefore w:val="0"/>
              <w:widowControl w:val="0"/>
              <w:kinsoku/>
              <w:wordWrap/>
              <w:overflowPunct w:val="0"/>
              <w:topLinePunct w:val="0"/>
              <w:autoSpaceDE/>
              <w:autoSpaceDN/>
              <w:bidi w:val="0"/>
              <w:adjustRightInd/>
              <w:snapToGrid w:val="0"/>
              <w:spacing w:before="0" w:after="0" w:line="360" w:lineRule="auto"/>
              <w:ind w:left="0" w:right="0" w:firstLine="0" w:firstLineChars="0"/>
              <w:jc w:val="center"/>
              <w:textAlignment w:val="auto"/>
              <w:rPr>
                <w:rFonts w:hint="default" w:ascii="Times New Roman" w:hAnsi="Times New Roman" w:eastAsia="宋体" w:cs="Times New Roman"/>
                <w:b/>
                <w:color w:val="000000"/>
                <w:kern w:val="2"/>
                <w:sz w:val="24"/>
                <w:szCs w:val="24"/>
                <w:highlight w:val="none"/>
                <w:lang w:val="en-US" w:eastAsia="zh-CN" w:bidi="ar-SA"/>
              </w:rPr>
            </w:pPr>
            <w:r>
              <w:rPr>
                <w:rFonts w:hint="default" w:ascii="Times New Roman" w:hAnsi="Times New Roman" w:eastAsia="宋体" w:cs="Times New Roman"/>
                <w:b/>
                <w:color w:val="000000"/>
                <w:kern w:val="2"/>
                <w:sz w:val="24"/>
                <w:szCs w:val="24"/>
                <w:highlight w:val="none"/>
                <w:lang w:val="en-US" w:eastAsia="zh-CN" w:bidi="ar-SA"/>
              </w:rPr>
              <w:t>表</w:t>
            </w:r>
            <w:r>
              <w:rPr>
                <w:rFonts w:hint="eastAsia" w:ascii="Times New Roman" w:hAnsi="Times New Roman" w:eastAsia="宋体" w:cs="Times New Roman"/>
                <w:b/>
                <w:color w:val="000000"/>
                <w:kern w:val="2"/>
                <w:sz w:val="24"/>
                <w:szCs w:val="24"/>
                <w:highlight w:val="none"/>
                <w:lang w:val="en-US" w:eastAsia="zh-CN" w:bidi="ar-SA"/>
              </w:rPr>
              <w:t>4.11-1</w:t>
            </w:r>
            <w:r>
              <w:rPr>
                <w:rFonts w:hint="eastAsia" w:cs="Times New Roman"/>
                <w:b/>
                <w:color w:val="000000"/>
                <w:kern w:val="2"/>
                <w:sz w:val="24"/>
                <w:szCs w:val="24"/>
                <w:highlight w:val="none"/>
                <w:lang w:val="en-US" w:eastAsia="zh-CN" w:bidi="ar-SA"/>
              </w:rPr>
              <w:t xml:space="preserve">  </w:t>
            </w:r>
            <w:r>
              <w:rPr>
                <w:rFonts w:hint="default" w:ascii="Times New Roman" w:hAnsi="Times New Roman" w:eastAsia="宋体" w:cs="Times New Roman"/>
                <w:b/>
                <w:color w:val="000000"/>
                <w:kern w:val="2"/>
                <w:sz w:val="24"/>
                <w:szCs w:val="24"/>
                <w:highlight w:val="none"/>
                <w:lang w:val="en-US" w:eastAsia="zh-CN" w:bidi="ar-SA"/>
              </w:rPr>
              <w:t>重大危险源识别表</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04"/>
              <w:gridCol w:w="1485"/>
              <w:gridCol w:w="1691"/>
              <w:gridCol w:w="2619"/>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序号</w:t>
                  </w:r>
                </w:p>
              </w:tc>
              <w:tc>
                <w:tcPr>
                  <w:tcW w:w="9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危险物质名称</w:t>
                  </w: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临界量Q（t）</w:t>
                  </w:r>
                </w:p>
              </w:tc>
              <w:tc>
                <w:tcPr>
                  <w:tcW w:w="15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项目</w:t>
                  </w:r>
                  <w:r>
                    <w:rPr>
                      <w:rFonts w:hint="eastAsia" w:ascii="Times New Roman" w:hAnsi="Times New Roman" w:eastAsia="宋体" w:cs="Times New Roman"/>
                      <w:b/>
                      <w:bCs/>
                      <w:color w:val="000000"/>
                      <w:kern w:val="2"/>
                      <w:sz w:val="21"/>
                      <w:szCs w:val="24"/>
                      <w:lang w:val="en-US" w:eastAsia="zh-CN"/>
                    </w:rPr>
                    <w:t>储存量</w:t>
                  </w:r>
                  <w:r>
                    <w:rPr>
                      <w:rFonts w:hint="default" w:ascii="Times New Roman" w:hAnsi="Times New Roman" w:eastAsia="宋体" w:cs="Times New Roman"/>
                      <w:b/>
                      <w:bCs/>
                      <w:color w:val="000000"/>
                      <w:kern w:val="2"/>
                      <w:sz w:val="21"/>
                      <w:szCs w:val="24"/>
                      <w:lang w:val="en-US" w:eastAsia="zh-CN"/>
                    </w:rPr>
                    <w:t xml:space="preserve"> q（t）</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储存位置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1</w:t>
                  </w:r>
                </w:p>
              </w:tc>
              <w:tc>
                <w:tcPr>
                  <w:tcW w:w="9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废</w:t>
                  </w:r>
                  <w:r>
                    <w:rPr>
                      <w:rFonts w:hint="eastAsia" w:cs="Times New Roman"/>
                      <w:color w:val="000000"/>
                      <w:kern w:val="2"/>
                      <w:sz w:val="21"/>
                      <w:szCs w:val="24"/>
                      <w:lang w:val="en-US" w:eastAsia="zh-CN"/>
                    </w:rPr>
                    <w:t>润滑油</w:t>
                  </w: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矿物油类2500</w:t>
                  </w:r>
                </w:p>
              </w:tc>
              <w:tc>
                <w:tcPr>
                  <w:tcW w:w="15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0.5</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危废</w:t>
                  </w:r>
                  <w:r>
                    <w:rPr>
                      <w:rFonts w:hint="eastAsia" w:cs="Times New Roman"/>
                      <w:color w:val="000000"/>
                      <w:kern w:val="2"/>
                      <w:sz w:val="21"/>
                      <w:szCs w:val="24"/>
                      <w:lang w:val="en-US" w:eastAsia="zh-CN"/>
                    </w:rPr>
                    <w:t>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2</w:t>
                  </w:r>
                </w:p>
              </w:tc>
              <w:tc>
                <w:tcPr>
                  <w:tcW w:w="9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甲烷</w:t>
                  </w: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甲烷10</w:t>
                  </w:r>
                </w:p>
              </w:tc>
              <w:tc>
                <w:tcPr>
                  <w:tcW w:w="15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0</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w:t>
                  </w:r>
                </w:p>
              </w:tc>
            </w:tr>
          </w:tbl>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②风险潜势初判</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根据《建设项目环境风险评价技术导则》(HJ169-2018)，项目所涉及的每种危险物质在厂界内的最大存在总量与其对应临界量的比值Q来表征危险性。当只涉及一种危险物质时，计算该物质的总量与其临界值比值，即为Q；当存在多种危险物质时，则按下式计算物质总量与其临界量比值（Q）。</w:t>
            </w:r>
          </w:p>
          <w:p>
            <w:pPr>
              <w:widowControl w:val="0"/>
              <w:overflowPunct w:val="0"/>
              <w:autoSpaceDE w:val="0"/>
              <w:autoSpaceDN w:val="0"/>
              <w:adjustRightInd w:val="0"/>
              <w:snapToGrid w:val="0"/>
              <w:spacing w:before="0" w:after="0" w:line="360" w:lineRule="auto"/>
              <w:ind w:right="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drawing>
                <wp:inline distT="0" distB="0" distL="114300" distR="114300">
                  <wp:extent cx="1630680" cy="552450"/>
                  <wp:effectExtent l="0" t="0" r="7620" b="0"/>
                  <wp:docPr id="17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22"/>
                          <pic:cNvPicPr>
                            <a:picLocks noChangeAspect="1"/>
                          </pic:cNvPicPr>
                        </pic:nvPicPr>
                        <pic:blipFill>
                          <a:blip r:embed="rId26"/>
                          <a:srcRect r="57249"/>
                          <a:stretch>
                            <a:fillRect/>
                          </a:stretch>
                        </pic:blipFill>
                        <pic:spPr>
                          <a:xfrm>
                            <a:off x="0" y="0"/>
                            <a:ext cx="1630680" cy="552450"/>
                          </a:xfrm>
                          <a:prstGeom prst="rect">
                            <a:avLst/>
                          </a:prstGeom>
                          <a:noFill/>
                          <a:ln>
                            <a:noFill/>
                          </a:ln>
                        </pic:spPr>
                      </pic:pic>
                    </a:graphicData>
                  </a:graphic>
                </wp:inline>
              </w:drawing>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式中：q</w:t>
            </w:r>
            <w:r>
              <w:rPr>
                <w:rFonts w:hint="default" w:ascii="Times New Roman" w:hAnsi="Times New Roman" w:eastAsia="宋体" w:cs="Times New Roman"/>
                <w:color w:val="000000"/>
                <w:kern w:val="2"/>
                <w:sz w:val="24"/>
                <w:szCs w:val="24"/>
                <w:highlight w:val="none"/>
                <w:vertAlign w:val="subscript"/>
                <w:lang w:val="en-US" w:eastAsia="zh-CN" w:bidi="ar-SA"/>
              </w:rPr>
              <w:t>1</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n</w:t>
            </w:r>
            <w:r>
              <w:rPr>
                <w:rFonts w:hint="default" w:ascii="Times New Roman" w:hAnsi="Times New Roman" w:eastAsia="宋体" w:cs="Times New Roman"/>
                <w:color w:val="000000"/>
                <w:kern w:val="2"/>
                <w:sz w:val="24"/>
                <w:szCs w:val="24"/>
                <w:highlight w:val="none"/>
                <w:lang w:val="en-US" w:eastAsia="zh-CN" w:bidi="ar-SA"/>
              </w:rPr>
              <w:t>——每种危险物质实际存在量，t。</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1</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n</w:t>
            </w:r>
            <w:r>
              <w:rPr>
                <w:rFonts w:hint="default" w:ascii="Times New Roman" w:hAnsi="Times New Roman" w:eastAsia="宋体" w:cs="Times New Roman"/>
                <w:color w:val="000000"/>
                <w:kern w:val="2"/>
                <w:sz w:val="24"/>
                <w:szCs w:val="24"/>
                <w:highlight w:val="none"/>
                <w:lang w:val="en-US" w:eastAsia="zh-CN" w:bidi="ar-SA"/>
              </w:rPr>
              <w:t>——与各危险物质相对应的生产场所或贮存区的临界量，t。</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当Q＜1时，该项目环境风险潜势为Ⅰ。</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当Q≥1时，将Q值划分为：（a）1≤Q＜10；（b）10≤Q＜100；（c）Q≥100。</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eastAsia="zh-CN"/>
              </w:rPr>
            </w:pPr>
            <w:r>
              <w:rPr>
                <w:rFonts w:hint="default" w:ascii="Times New Roman" w:hAnsi="Times New Roman" w:eastAsia="宋体" w:cs="Times New Roman"/>
                <w:color w:val="000000"/>
                <w:kern w:val="2"/>
                <w:sz w:val="24"/>
                <w:szCs w:val="24"/>
                <w:highlight w:val="none"/>
              </w:rPr>
              <w:t>本项目涉及到的危险化学品Q=</w:t>
            </w:r>
            <w:r>
              <w:rPr>
                <w:rFonts w:hint="eastAsia" w:ascii="Times New Roman" w:hAnsi="Times New Roman" w:eastAsia="宋体" w:cs="Times New Roman"/>
                <w:color w:val="000000"/>
                <w:kern w:val="2"/>
                <w:sz w:val="24"/>
                <w:szCs w:val="24"/>
                <w:highlight w:val="none"/>
                <w:lang w:val="en-US" w:eastAsia="zh-CN"/>
              </w:rPr>
              <w:t>0.000</w:t>
            </w:r>
            <w:r>
              <w:rPr>
                <w:rFonts w:hint="eastAsia" w:cs="Times New Roman"/>
                <w:color w:val="000000"/>
                <w:kern w:val="2"/>
                <w:sz w:val="24"/>
                <w:szCs w:val="24"/>
                <w:highlight w:val="none"/>
                <w:lang w:val="en-US" w:eastAsia="zh-CN"/>
              </w:rPr>
              <w:t>2</w:t>
            </w:r>
            <w:r>
              <w:rPr>
                <w:rFonts w:hint="default" w:ascii="Times New Roman" w:hAnsi="Times New Roman" w:eastAsia="宋体" w:cs="Times New Roman"/>
                <w:color w:val="000000"/>
                <w:kern w:val="2"/>
                <w:sz w:val="24"/>
                <w:szCs w:val="24"/>
                <w:highlight w:val="none"/>
              </w:rPr>
              <w:t>＜1。</w:t>
            </w:r>
            <w:r>
              <w:rPr>
                <w:rFonts w:hint="default" w:ascii="Times New Roman" w:hAnsi="Times New Roman" w:eastAsia="宋体" w:cs="Times New Roman"/>
                <w:color w:val="000000"/>
                <w:kern w:val="2"/>
                <w:sz w:val="24"/>
                <w:szCs w:val="24"/>
                <w:highlight w:val="none"/>
                <w:lang w:val="en-US" w:eastAsia="zh-CN"/>
              </w:rPr>
              <w:t>本项目</w:t>
            </w:r>
            <w:r>
              <w:rPr>
                <w:rFonts w:hint="default" w:ascii="Times New Roman" w:hAnsi="Times New Roman" w:eastAsia="宋体" w:cs="Times New Roman"/>
                <w:color w:val="000000"/>
                <w:kern w:val="2"/>
                <w:sz w:val="24"/>
                <w:szCs w:val="24"/>
                <w:highlight w:val="none"/>
              </w:rPr>
              <w:t>环境风险潜势为Ⅰ</w:t>
            </w:r>
            <w:r>
              <w:rPr>
                <w:rFonts w:hint="eastAsia" w:ascii="Times New Roman" w:hAnsi="Times New Roman" w:eastAsia="宋体" w:cs="Times New Roman"/>
                <w:color w:val="000000"/>
                <w:kern w:val="2"/>
                <w:sz w:val="24"/>
                <w:szCs w:val="24"/>
                <w:highlight w:val="none"/>
                <w:lang w:eastAsia="zh-CN"/>
              </w:rPr>
              <w:t>，</w:t>
            </w:r>
            <w:r>
              <w:rPr>
                <w:rFonts w:hint="eastAsia" w:ascii="Times New Roman" w:hAnsi="Times New Roman" w:eastAsia="宋体" w:cs="Times New Roman"/>
                <w:color w:val="000000"/>
                <w:kern w:val="2"/>
                <w:sz w:val="24"/>
                <w:szCs w:val="24"/>
                <w:highlight w:val="none"/>
                <w:lang w:val="en-US" w:eastAsia="zh-CN"/>
              </w:rPr>
              <w:t>危险物质存储量未超过临界量，不开展环境风险专题评价</w:t>
            </w:r>
            <w:r>
              <w:rPr>
                <w:rFonts w:hint="eastAsia" w:ascii="Times New Roman" w:hAnsi="Times New Roman" w:eastAsia="宋体" w:cs="Times New Roman"/>
                <w:color w:val="000000"/>
                <w:kern w:val="2"/>
                <w:sz w:val="24"/>
                <w:szCs w:val="24"/>
                <w:highlight w:val="none"/>
                <w:lang w:eastAsia="zh-CN"/>
              </w:rPr>
              <w:t>。</w:t>
            </w:r>
          </w:p>
          <w:p>
            <w:pPr>
              <w:widowControl w:val="0"/>
              <w:overflowPunct w:val="0"/>
              <w:autoSpaceDE w:val="0"/>
              <w:autoSpaceDN w:val="0"/>
              <w:adjustRightInd w:val="0"/>
              <w:snapToGrid w:val="0"/>
              <w:spacing w:line="360" w:lineRule="auto"/>
              <w:ind w:left="0" w:firstLine="480" w:firstLineChars="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③评价等级</w:t>
            </w:r>
          </w:p>
          <w:p>
            <w:pPr>
              <w:keepNext w:val="0"/>
              <w:keepLines w:val="0"/>
              <w:pageBreakBefore w:val="0"/>
              <w:widowControl w:val="0"/>
              <w:wordWrap/>
              <w:overflowPunct w:val="0"/>
              <w:topLinePunct w:val="0"/>
              <w:autoSpaceDE w:val="0"/>
              <w:autoSpaceDN w:val="0"/>
              <w:bidi w:val="0"/>
              <w:adjustRightInd w:val="0"/>
              <w:snapToGrid w:val="0"/>
              <w:spacing w:line="360" w:lineRule="auto"/>
              <w:ind w:firstLine="480" w:firstLineChars="20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根据《建设项目环境风险评价技术导则》（HJ169-2018），环境风险评价工作等级为简单分析，评价深度以定性说明为主，划分依据见表</w:t>
            </w:r>
            <w:r>
              <w:rPr>
                <w:rFonts w:hint="eastAsia" w:ascii="Times New Roman" w:hAnsi="Times New Roman" w:eastAsia="宋体" w:cs="Times New Roman"/>
                <w:color w:val="auto"/>
                <w:kern w:val="2"/>
                <w:sz w:val="24"/>
                <w:szCs w:val="24"/>
                <w:lang w:val="en-US" w:eastAsia="zh-CN"/>
              </w:rPr>
              <w:t>4.11-2</w:t>
            </w:r>
            <w:r>
              <w:rPr>
                <w:rFonts w:hint="default" w:ascii="Times New Roman" w:hAnsi="Times New Roman" w:eastAsia="宋体" w:cs="Times New Roman"/>
                <w:color w:val="auto"/>
                <w:kern w:val="2"/>
                <w:sz w:val="24"/>
                <w:szCs w:val="24"/>
              </w:rPr>
              <w:t>。</w:t>
            </w:r>
          </w:p>
          <w:p>
            <w:pPr>
              <w:keepNext w:val="0"/>
              <w:keepLines w:val="0"/>
              <w:pageBreakBefore w:val="0"/>
              <w:widowControl w:val="0"/>
              <w:wordWrap/>
              <w:overflowPunct w:val="0"/>
              <w:topLinePunct w:val="0"/>
              <w:autoSpaceDE w:val="0"/>
              <w:autoSpaceDN w:val="0"/>
              <w:bidi w:val="0"/>
              <w:adjustRightInd w:val="0"/>
              <w:snapToGrid w:val="0"/>
              <w:spacing w:line="360" w:lineRule="auto"/>
              <w:ind w:firstLine="482" w:firstLineChars="200"/>
              <w:jc w:val="center"/>
              <w:rPr>
                <w:rFonts w:hint="default" w:ascii="Times New Roman" w:hAnsi="Times New Roman" w:eastAsia="宋体" w:cs="Times New Roman"/>
                <w:b/>
                <w:bCs/>
                <w:color w:val="auto"/>
                <w:kern w:val="2"/>
                <w:sz w:val="24"/>
                <w:szCs w:val="24"/>
                <w:lang w:val="zh-CN"/>
              </w:rPr>
            </w:pPr>
            <w:r>
              <w:rPr>
                <w:rFonts w:hint="default" w:ascii="Times New Roman" w:hAnsi="Times New Roman" w:eastAsia="宋体" w:cs="Times New Roman"/>
                <w:b/>
                <w:bCs/>
                <w:color w:val="auto"/>
                <w:kern w:val="2"/>
                <w:sz w:val="24"/>
                <w:szCs w:val="24"/>
                <w:lang w:val="zh-CN"/>
              </w:rPr>
              <w:t>表</w:t>
            </w:r>
            <w:r>
              <w:rPr>
                <w:rFonts w:hint="eastAsia" w:ascii="Times New Roman" w:hAnsi="Times New Roman" w:eastAsia="宋体" w:cs="Times New Roman"/>
                <w:b/>
                <w:bCs/>
                <w:color w:val="auto"/>
                <w:kern w:val="2"/>
                <w:sz w:val="24"/>
                <w:szCs w:val="24"/>
                <w:lang w:val="en-US" w:eastAsia="zh-CN"/>
              </w:rPr>
              <w:t xml:space="preserve">4.11-2 </w:t>
            </w:r>
            <w:r>
              <w:rPr>
                <w:rFonts w:hint="default" w:ascii="Times New Roman" w:hAnsi="Times New Roman" w:eastAsia="宋体" w:cs="Times New Roman"/>
                <w:b/>
                <w:bCs/>
                <w:color w:val="auto"/>
                <w:kern w:val="2"/>
                <w:sz w:val="24"/>
                <w:szCs w:val="24"/>
                <w:lang w:val="en-US" w:eastAsia="zh-CN"/>
              </w:rPr>
              <w:t xml:space="preserve"> </w:t>
            </w:r>
            <w:r>
              <w:rPr>
                <w:rFonts w:hint="default" w:ascii="Times New Roman" w:hAnsi="Times New Roman" w:eastAsia="宋体" w:cs="Times New Roman"/>
                <w:b/>
                <w:bCs/>
                <w:color w:val="auto"/>
                <w:kern w:val="2"/>
                <w:sz w:val="24"/>
                <w:szCs w:val="24"/>
                <w:lang w:val="zh-CN"/>
              </w:rPr>
              <w:t>环境风险评价工作等级划分表</w:t>
            </w:r>
          </w:p>
          <w:tbl>
            <w:tblPr>
              <w:tblStyle w:val="20"/>
              <w:tblW w:w="822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644"/>
              <w:gridCol w:w="1644"/>
              <w:gridCol w:w="1644"/>
              <w:gridCol w:w="1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643"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环境风险潜势</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zh-CN" w:eastAsia="zh-CN" w:bidi="ar-SA"/>
                    </w:rPr>
                    <w:t>Ⅳ、Ⅳ</w:t>
                  </w:r>
                  <w:r>
                    <w:rPr>
                      <w:rFonts w:hint="default" w:ascii="Times New Roman" w:hAnsi="Times New Roman" w:eastAsia="宋体" w:cs="Times New Roman"/>
                      <w:b w:val="0"/>
                      <w:bCs w:val="0"/>
                      <w:color w:val="auto"/>
                      <w:kern w:val="0"/>
                      <w:sz w:val="21"/>
                      <w:szCs w:val="21"/>
                      <w:lang w:val="en-US" w:eastAsia="zh-CN" w:bidi="ar-SA"/>
                    </w:rPr>
                    <w:t>+</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Ⅲ</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Ⅱ</w:t>
                  </w:r>
                </w:p>
              </w:tc>
              <w:tc>
                <w:tcPr>
                  <w:tcW w:w="1645"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3"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评价工作等级</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一</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二</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三</w:t>
                  </w:r>
                </w:p>
              </w:tc>
              <w:tc>
                <w:tcPr>
                  <w:tcW w:w="1645"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简单分析a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0" w:type="dxa"/>
                  <w:gridSpan w:val="5"/>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a是相对于详细评价工作内容而言，在描述危险物质、环境影响途径、环境危害后果、风险防范措施等方面给出定性的说明。</w:t>
                  </w:r>
                </w:p>
              </w:tc>
            </w:tr>
          </w:tbl>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0"/>
              <w:textAlignment w:val="auto"/>
              <w:rPr>
                <w:rFonts w:hint="default" w:ascii="Times New Roman" w:hAnsi="Times New Roman" w:eastAsia="宋体" w:cs="宋体"/>
                <w:lang w:val="en-US" w:eastAsia="zh-CN"/>
              </w:rPr>
            </w:pPr>
            <w:r>
              <w:rPr>
                <w:rFonts w:hint="eastAsia" w:ascii="Times New Roman" w:hAnsi="Times New Roman" w:eastAsia="宋体" w:cs="Times New Roman"/>
                <w:b w:val="0"/>
                <w:bCs w:val="0"/>
                <w:color w:val="auto"/>
                <w:kern w:val="2"/>
                <w:sz w:val="24"/>
                <w:szCs w:val="24"/>
                <w:lang w:val="en-US" w:eastAsia="zh-CN"/>
              </w:rPr>
              <w:t>由上表可知，本项目风险潜势为</w:t>
            </w:r>
            <w:r>
              <w:rPr>
                <w:rFonts w:hint="default" w:ascii="Times New Roman" w:hAnsi="Times New Roman" w:eastAsia="宋体" w:cs="Times New Roman"/>
                <w:color w:val="auto"/>
                <w:kern w:val="2"/>
                <w:sz w:val="21"/>
                <w:szCs w:val="21"/>
              </w:rPr>
              <w:t>Ⅰ</w:t>
            </w:r>
            <w:r>
              <w:rPr>
                <w:rFonts w:hint="eastAsia" w:ascii="Times New Roman" w:hAnsi="Times New Roman" w:eastAsia="宋体" w:cs="Times New Roman"/>
                <w:color w:val="auto"/>
                <w:kern w:val="2"/>
                <w:sz w:val="21"/>
                <w:szCs w:val="21"/>
                <w:lang w:eastAsia="zh-CN"/>
              </w:rPr>
              <w:t>，</w:t>
            </w:r>
            <w:r>
              <w:rPr>
                <w:rFonts w:hint="eastAsia" w:ascii="Times New Roman" w:hAnsi="Times New Roman" w:eastAsia="宋体" w:cs="Times New Roman"/>
                <w:b w:val="0"/>
                <w:bCs w:val="0"/>
                <w:color w:val="auto"/>
                <w:kern w:val="2"/>
                <w:sz w:val="24"/>
                <w:szCs w:val="24"/>
                <w:lang w:val="en-US" w:eastAsia="zh-CN"/>
              </w:rPr>
              <w:t>为简单分析。</w:t>
            </w:r>
          </w:p>
          <w:p>
            <w:pPr>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cs="Times New Roman"/>
                <w:b w:val="0"/>
                <w:bCs w:val="0"/>
                <w:color w:val="000000"/>
                <w:kern w:val="2"/>
                <w:sz w:val="24"/>
                <w:szCs w:val="20"/>
                <w:highlight w:val="none"/>
                <w:lang w:val="en-US" w:eastAsia="zh-CN"/>
              </w:rPr>
              <w:t>（2）</w:t>
            </w:r>
            <w:r>
              <w:rPr>
                <w:rFonts w:hint="eastAsia" w:ascii="Times New Roman" w:hAnsi="Times New Roman" w:eastAsia="宋体" w:cs="Times New Roman"/>
                <w:b w:val="0"/>
                <w:bCs w:val="0"/>
                <w:color w:val="000000"/>
                <w:kern w:val="2"/>
                <w:sz w:val="24"/>
                <w:szCs w:val="20"/>
                <w:highlight w:val="none"/>
                <w:lang w:val="en-US" w:eastAsia="zh-CN"/>
              </w:rPr>
              <w:t>环境敏感目标概况</w:t>
            </w:r>
          </w:p>
          <w:p>
            <w:pPr>
              <w:widowControl w:val="0"/>
              <w:overflowPunct w:val="0"/>
              <w:autoSpaceDE w:val="0"/>
              <w:autoSpaceDN w:val="0"/>
              <w:adjustRightInd w:val="0"/>
              <w:snapToGrid w:val="0"/>
              <w:spacing w:before="0" w:after="0" w:line="360" w:lineRule="auto"/>
              <w:ind w:left="0" w:right="0" w:firstLine="0" w:firstLineChars="0"/>
              <w:jc w:val="left"/>
              <w:rPr>
                <w:rFonts w:hint="default" w:ascii="Times New Roman" w:hAnsi="Times New Roman" w:eastAsia="宋体" w:cs="宋体"/>
                <w:b/>
                <w:color w:val="000000"/>
                <w:sz w:val="24"/>
                <w:szCs w:val="24"/>
                <w:lang w:val="en-US" w:eastAsia="zh-CN" w:bidi="ar-SA"/>
              </w:rPr>
            </w:pPr>
            <w:r>
              <w:rPr>
                <w:rFonts w:hint="eastAsia" w:ascii="Times New Roman" w:hAnsi="Times New Roman" w:eastAsia="宋体" w:cs="Times New Roman"/>
                <w:color w:val="000000"/>
                <w:spacing w:val="-2"/>
                <w:sz w:val="24"/>
                <w:highlight w:val="none"/>
                <w:lang w:val="en-US" w:eastAsia="zh-CN"/>
              </w:rPr>
              <w:t xml:space="preserve">    本项目位于矿区内，</w:t>
            </w:r>
            <w:r>
              <w:rPr>
                <w:rFonts w:hint="default" w:ascii="Times New Roman" w:hAnsi="Times New Roman" w:eastAsia="宋体" w:cs="Times New Roman"/>
                <w:color w:val="000000"/>
                <w:spacing w:val="-2"/>
                <w:sz w:val="24"/>
                <w:highlight w:val="none"/>
              </w:rPr>
              <w:t>根据项目涉及的危险物质可能的影响途径和所在区域的实际环境特点</w:t>
            </w:r>
            <w:r>
              <w:rPr>
                <w:rFonts w:hint="eastAsia" w:ascii="Times New Roman" w:hAnsi="Times New Roman" w:eastAsia="宋体" w:cs="Times New Roman"/>
                <w:color w:val="000000"/>
                <w:spacing w:val="-2"/>
                <w:sz w:val="24"/>
                <w:highlight w:val="none"/>
                <w:lang w:eastAsia="zh-CN"/>
              </w:rPr>
              <w:t>，</w:t>
            </w:r>
            <w:r>
              <w:rPr>
                <w:rFonts w:hint="eastAsia" w:ascii="Times New Roman" w:hAnsi="Times New Roman" w:eastAsia="宋体" w:cs="Times New Roman"/>
                <w:color w:val="000000"/>
                <w:spacing w:val="-2"/>
                <w:sz w:val="24"/>
                <w:highlight w:val="none"/>
                <w:lang w:val="en-US" w:eastAsia="zh-CN"/>
              </w:rPr>
              <w:t>本项目周边500m范围存在</w:t>
            </w:r>
            <w:r>
              <w:rPr>
                <w:rFonts w:hint="eastAsia" w:cs="Times New Roman"/>
                <w:color w:val="000000"/>
                <w:spacing w:val="-2"/>
                <w:sz w:val="24"/>
                <w:highlight w:val="none"/>
                <w:lang w:val="en-US" w:eastAsia="zh-CN"/>
              </w:rPr>
              <w:t>西沟河、东沟河地表水</w:t>
            </w:r>
            <w:r>
              <w:rPr>
                <w:rFonts w:hint="eastAsia" w:ascii="Times New Roman" w:hAnsi="Times New Roman" w:eastAsia="宋体" w:cs="Times New Roman"/>
                <w:color w:val="000000"/>
                <w:spacing w:val="-2"/>
                <w:sz w:val="24"/>
                <w:highlight w:val="none"/>
                <w:lang w:val="en-US" w:eastAsia="zh-CN"/>
              </w:rPr>
              <w:t>环境保护目标。</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（3）环境风险识别</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风险影响途径</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①泄露/散落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通过对风险识别并结合本工程实际情况，本项目风险主要是矿物油类在危废暂存</w:t>
            </w:r>
            <w:r>
              <w:rPr>
                <w:rFonts w:hint="eastAsia" w:cs="Times New Roman"/>
                <w:color w:val="000000"/>
                <w:kern w:val="2"/>
                <w:sz w:val="24"/>
                <w:szCs w:val="20"/>
                <w:highlight w:val="none"/>
                <w:lang w:val="en-US" w:eastAsia="zh-CN"/>
              </w:rPr>
              <w:t>间</w:t>
            </w:r>
            <w:r>
              <w:rPr>
                <w:rFonts w:hint="eastAsia" w:ascii="Times New Roman" w:hAnsi="Times New Roman" w:eastAsia="宋体" w:cs="Times New Roman"/>
                <w:color w:val="000000"/>
                <w:kern w:val="2"/>
                <w:sz w:val="24"/>
                <w:szCs w:val="20"/>
                <w:highlight w:val="none"/>
                <w:lang w:val="en-US" w:eastAsia="zh-CN"/>
              </w:rPr>
              <w:t>暂存过程中，因外力影响、腐蚀、材料各环节存在的缺陷和失误，导致废</w:t>
            </w:r>
            <w:r>
              <w:rPr>
                <w:rFonts w:hint="eastAsia" w:cs="Times New Roman"/>
                <w:color w:val="000000"/>
                <w:kern w:val="2"/>
                <w:sz w:val="24"/>
                <w:szCs w:val="20"/>
                <w:highlight w:val="none"/>
                <w:lang w:val="en-US" w:eastAsia="zh-CN"/>
              </w:rPr>
              <w:t>润滑油</w:t>
            </w:r>
            <w:r>
              <w:rPr>
                <w:rFonts w:hint="eastAsia" w:ascii="Times New Roman" w:hAnsi="Times New Roman" w:eastAsia="宋体" w:cs="Times New Roman"/>
                <w:color w:val="000000"/>
                <w:kern w:val="2"/>
                <w:sz w:val="24"/>
                <w:szCs w:val="20"/>
                <w:highlight w:val="none"/>
                <w:lang w:val="en-US" w:eastAsia="zh-CN"/>
              </w:rPr>
              <w:t>泄露。</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②火灾</w:t>
            </w:r>
            <w:r>
              <w:rPr>
                <w:rFonts w:hint="eastAsia" w:cs="Times New Roman"/>
                <w:color w:val="000000"/>
                <w:kern w:val="2"/>
                <w:sz w:val="24"/>
                <w:szCs w:val="20"/>
                <w:highlight w:val="none"/>
                <w:lang w:val="en-US" w:eastAsia="zh-CN"/>
              </w:rPr>
              <w:t>及爆炸</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因外力影响、腐蚀、材料各环节存在的缺陷和失误，导致矿物油类泄露，遇明火会发生火灾</w:t>
            </w:r>
            <w:r>
              <w:rPr>
                <w:rFonts w:hint="eastAsia" w:cs="Times New Roman"/>
                <w:color w:val="000000"/>
                <w:kern w:val="2"/>
                <w:sz w:val="24"/>
                <w:szCs w:val="20"/>
                <w:highlight w:val="none"/>
                <w:lang w:val="en-US" w:eastAsia="zh-CN"/>
              </w:rPr>
              <w:t>；瓦斯在抽采过程中可能存在爆炸的风险；</w:t>
            </w:r>
            <w:r>
              <w:rPr>
                <w:rFonts w:hint="eastAsia" w:ascii="Times New Roman" w:hAnsi="Times New Roman" w:eastAsia="宋体" w:cs="Times New Roman"/>
                <w:color w:val="000000"/>
                <w:kern w:val="2"/>
                <w:sz w:val="24"/>
                <w:szCs w:val="20"/>
                <w:highlight w:val="none"/>
                <w:lang w:val="en-US" w:eastAsia="zh-CN"/>
              </w:rPr>
              <w:t>火灾</w:t>
            </w:r>
            <w:r>
              <w:rPr>
                <w:rFonts w:hint="eastAsia" w:cs="Times New Roman"/>
                <w:color w:val="000000"/>
                <w:kern w:val="2"/>
                <w:sz w:val="24"/>
                <w:szCs w:val="20"/>
                <w:highlight w:val="none"/>
                <w:lang w:val="en-US" w:eastAsia="zh-CN"/>
              </w:rPr>
              <w:t>爆炸</w:t>
            </w:r>
            <w:r>
              <w:rPr>
                <w:rFonts w:hint="eastAsia" w:ascii="Times New Roman" w:hAnsi="Times New Roman" w:eastAsia="宋体" w:cs="Times New Roman"/>
                <w:color w:val="000000"/>
                <w:kern w:val="2"/>
                <w:sz w:val="24"/>
                <w:szCs w:val="20"/>
                <w:highlight w:val="none"/>
                <w:lang w:val="en-US" w:eastAsia="zh-CN"/>
              </w:rPr>
              <w:t>事故发生时，在应急救援中，都会在事故现场喷射大量的消防废水，若无应急措施，势必会有部分危险废物跟随消防废水进入土壤和地下水，造成严重污染。</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③伴生/次伴生影响分析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在事故应急救援中产生的消防废水伴有一定的物料，若沿着管网外排，将会对污水处置造成冲击，灭火过程中可能产生大量的废灭火剂等固体废物，若事故后随意排放、丢弃，将对环境产生二次污染，同时危险废物燃烧时产生有毒有害气体等伴生/次伴生影响。</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 xml:space="preserve">（4）环境风险分析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w:t>
            </w:r>
            <w:r>
              <w:rPr>
                <w:rFonts w:hint="default" w:ascii="Times New Roman" w:hAnsi="Times New Roman" w:eastAsia="宋体" w:cs="Times New Roman"/>
                <w:color w:val="000000"/>
                <w:kern w:val="2"/>
                <w:sz w:val="24"/>
                <w:szCs w:val="20"/>
                <w:highlight w:val="none"/>
                <w:lang w:val="en-US" w:eastAsia="zh-CN"/>
              </w:rPr>
              <w:t>大气环境</w:t>
            </w:r>
          </w:p>
          <w:p>
            <w:pPr>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本项目在</w:t>
            </w:r>
            <w:r>
              <w:rPr>
                <w:rFonts w:hint="default" w:ascii="Times New Roman" w:hAnsi="Times New Roman" w:eastAsia="宋体" w:cs="Times New Roman"/>
                <w:color w:val="000000"/>
                <w:sz w:val="24"/>
                <w:szCs w:val="24"/>
                <w:highlight w:val="none"/>
                <w:lang w:val="en-US" w:eastAsia="zh-CN"/>
              </w:rPr>
              <w:t>矿物油类</w:t>
            </w:r>
            <w:r>
              <w:rPr>
                <w:rFonts w:hint="eastAsia" w:ascii="Times New Roman" w:hAnsi="Times New Roman" w:eastAsia="宋体" w:cs="Times New Roman"/>
                <w:color w:val="000000"/>
                <w:sz w:val="24"/>
                <w:szCs w:val="24"/>
                <w:highlight w:val="none"/>
                <w:lang w:val="en-US" w:eastAsia="zh-CN"/>
              </w:rPr>
              <w:t>在</w:t>
            </w:r>
            <w:r>
              <w:rPr>
                <w:rFonts w:hint="eastAsia" w:cs="Times New Roman"/>
                <w:color w:val="000000"/>
                <w:sz w:val="24"/>
                <w:szCs w:val="24"/>
                <w:highlight w:val="none"/>
                <w:lang w:val="en-US" w:eastAsia="zh-CN"/>
              </w:rPr>
              <w:t>危废暂存间</w:t>
            </w:r>
            <w:r>
              <w:rPr>
                <w:rFonts w:hint="eastAsia" w:ascii="Times New Roman" w:hAnsi="Times New Roman" w:eastAsia="宋体" w:cs="Times New Roman"/>
                <w:color w:val="000000"/>
                <w:sz w:val="24"/>
                <w:szCs w:val="24"/>
                <w:highlight w:val="none"/>
                <w:lang w:val="en-US" w:eastAsia="zh-CN"/>
              </w:rPr>
              <w:t>储存较少，</w:t>
            </w:r>
            <w:r>
              <w:rPr>
                <w:rFonts w:hint="default" w:ascii="Times New Roman" w:hAnsi="Times New Roman" w:eastAsia="宋体" w:cs="Times New Roman"/>
                <w:color w:val="000000"/>
                <w:sz w:val="24"/>
                <w:szCs w:val="24"/>
                <w:highlight w:val="none"/>
              </w:rPr>
              <w:t>仅对厂区内的工作人员产生影响，对厂界外人员基本没有影响。本项目事故情况下，事故情况最不利气象条件下，</w:t>
            </w:r>
            <w:r>
              <w:rPr>
                <w:rFonts w:hint="default" w:ascii="Times New Roman" w:hAnsi="Times New Roman" w:eastAsia="宋体" w:cs="Times New Roman"/>
                <w:color w:val="000000"/>
                <w:sz w:val="24"/>
                <w:szCs w:val="24"/>
                <w:highlight w:val="none"/>
                <w:lang w:val="en-US" w:eastAsia="zh-CN"/>
              </w:rPr>
              <w:t>矿物油类</w:t>
            </w:r>
            <w:r>
              <w:rPr>
                <w:rFonts w:hint="default" w:ascii="Times New Roman" w:hAnsi="Times New Roman" w:eastAsia="宋体" w:cs="Times New Roman"/>
                <w:color w:val="000000"/>
                <w:sz w:val="24"/>
                <w:szCs w:val="24"/>
                <w:highlight w:val="none"/>
              </w:rPr>
              <w:t>对周围环境</w:t>
            </w:r>
            <w:r>
              <w:rPr>
                <w:rFonts w:hint="eastAsia" w:ascii="Times New Roman" w:hAnsi="Times New Roman" w:eastAsia="宋体" w:cs="Times New Roman"/>
                <w:color w:val="000000"/>
                <w:sz w:val="24"/>
                <w:szCs w:val="24"/>
                <w:highlight w:val="none"/>
                <w:lang w:val="en-US" w:eastAsia="zh-CN"/>
              </w:rPr>
              <w:t>影响</w:t>
            </w:r>
            <w:r>
              <w:rPr>
                <w:rFonts w:hint="default" w:ascii="Times New Roman" w:hAnsi="Times New Roman" w:eastAsia="宋体" w:cs="Times New Roman"/>
                <w:color w:val="000000"/>
                <w:sz w:val="24"/>
                <w:szCs w:val="24"/>
                <w:highlight w:val="none"/>
              </w:rPr>
              <w:t>在可控范围内。</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②水</w:t>
            </w:r>
            <w:r>
              <w:rPr>
                <w:rFonts w:hint="default" w:ascii="Times New Roman" w:hAnsi="Times New Roman" w:eastAsia="宋体" w:cs="Times New Roman"/>
                <w:color w:val="000000"/>
                <w:kern w:val="2"/>
                <w:sz w:val="24"/>
                <w:szCs w:val="20"/>
                <w:highlight w:val="none"/>
                <w:lang w:val="en-US" w:eastAsia="zh-CN"/>
              </w:rPr>
              <w:t>环境</w:t>
            </w:r>
          </w:p>
          <w:p>
            <w:pPr>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本项目与地表水体不发生水力联系</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事故情况下，泄露的物料均泄露于</w:t>
            </w:r>
            <w:r>
              <w:rPr>
                <w:rFonts w:hint="eastAsia" w:ascii="Times New Roman" w:hAnsi="Times New Roman" w:eastAsia="宋体" w:cs="Times New Roman"/>
                <w:color w:val="000000"/>
                <w:sz w:val="24"/>
                <w:szCs w:val="24"/>
                <w:highlight w:val="none"/>
                <w:lang w:val="en-US" w:eastAsia="zh-CN"/>
              </w:rPr>
              <w:t>硬化地面，危废</w:t>
            </w:r>
            <w:r>
              <w:rPr>
                <w:rFonts w:hint="eastAsia" w:cs="Times New Roman"/>
                <w:color w:val="000000"/>
                <w:sz w:val="24"/>
                <w:szCs w:val="24"/>
                <w:highlight w:val="none"/>
                <w:lang w:val="en-US" w:eastAsia="zh-CN"/>
              </w:rPr>
              <w:t>暂存间</w:t>
            </w:r>
            <w:r>
              <w:rPr>
                <w:rFonts w:hint="eastAsia" w:ascii="Times New Roman" w:hAnsi="Times New Roman" w:eastAsia="宋体" w:cs="Times New Roman"/>
                <w:color w:val="000000"/>
                <w:sz w:val="24"/>
                <w:szCs w:val="24"/>
                <w:highlight w:val="none"/>
                <w:lang w:val="en-US" w:eastAsia="zh-CN"/>
              </w:rPr>
              <w:t>做防渗处理，防渗系数小于</w:t>
            </w:r>
            <w:r>
              <w:rPr>
                <w:rFonts w:hint="default" w:ascii="Times New Roman" w:hAnsi="Times New Roman" w:eastAsia="宋体" w:cs="Times New Roman"/>
                <w:color w:val="000000"/>
                <w:kern w:val="2"/>
                <w:sz w:val="24"/>
                <w:szCs w:val="20"/>
                <w:highlight w:val="none"/>
                <w:lang w:val="en-US" w:eastAsia="zh-CN"/>
              </w:rPr>
              <w:t>1×10</w:t>
            </w:r>
            <w:r>
              <w:rPr>
                <w:rFonts w:hint="default" w:ascii="Times New Roman" w:hAnsi="Times New Roman" w:eastAsia="宋体"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w:t>
            </w:r>
            <w:r>
              <w:rPr>
                <w:rFonts w:hint="default" w:ascii="Times New Roman" w:hAnsi="Times New Roman" w:eastAsia="宋体" w:cs="Times New Roman"/>
                <w:color w:val="000000"/>
                <w:sz w:val="24"/>
                <w:szCs w:val="24"/>
                <w:highlight w:val="none"/>
              </w:rPr>
              <w:t>。因此，事故情况下，泄露的物料对</w:t>
            </w:r>
            <w:r>
              <w:rPr>
                <w:rFonts w:hint="eastAsia" w:ascii="Times New Roman" w:hAnsi="Times New Roman" w:eastAsia="宋体" w:cs="Times New Roman"/>
                <w:color w:val="000000"/>
                <w:sz w:val="24"/>
                <w:szCs w:val="24"/>
                <w:highlight w:val="none"/>
                <w:lang w:val="en-US" w:eastAsia="zh-CN"/>
              </w:rPr>
              <w:t>周边水</w:t>
            </w:r>
            <w:r>
              <w:rPr>
                <w:rFonts w:hint="default" w:ascii="Times New Roman" w:hAnsi="Times New Roman" w:eastAsia="宋体" w:cs="Times New Roman"/>
                <w:color w:val="000000"/>
                <w:sz w:val="24"/>
                <w:szCs w:val="24"/>
                <w:highlight w:val="none"/>
              </w:rPr>
              <w:t>环境无影响。</w:t>
            </w:r>
          </w:p>
          <w:p>
            <w:pPr>
              <w:widowControl w:val="0"/>
              <w:autoSpaceDE w:val="0"/>
              <w:autoSpaceDN w:val="0"/>
              <w:adjustRightInd w:val="0"/>
              <w:spacing w:line="360" w:lineRule="auto"/>
              <w:rPr>
                <w:rFonts w:hint="default" w:ascii="宋体" w:hAnsi="Times New Roman" w:eastAsia="宋体" w:cs="宋体"/>
                <w:color w:val="000000"/>
                <w:sz w:val="24"/>
                <w:szCs w:val="24"/>
                <w:lang w:val="en-US" w:eastAsia="zh-CN" w:bidi="ar-SA"/>
              </w:rPr>
            </w:pPr>
            <w:r>
              <w:rPr>
                <w:rFonts w:hint="eastAsia" w:ascii="Times New Roman" w:hAnsi="Times New Roman" w:eastAsia="宋体" w:cs="Times New Roman"/>
                <w:color w:val="000000"/>
                <w:sz w:val="24"/>
                <w:szCs w:val="24"/>
                <w:highlight w:val="none"/>
                <w:lang w:val="en-US" w:eastAsia="zh-CN" w:bidi="ar-SA"/>
              </w:rPr>
              <w:t xml:space="preserve">    ③土壤环境</w:t>
            </w:r>
          </w:p>
          <w:p>
            <w:pPr>
              <w:spacing w:line="360" w:lineRule="auto"/>
              <w:ind w:firstLine="480" w:firstLineChars="2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bidi="ar-SA"/>
              </w:rPr>
              <w:t>营运期内</w:t>
            </w:r>
            <w:r>
              <w:rPr>
                <w:rFonts w:hint="eastAsia" w:ascii="Times New Roman" w:hAnsi="Times New Roman" w:eastAsia="宋体" w:cs="Times New Roman"/>
                <w:color w:val="000000"/>
                <w:sz w:val="24"/>
                <w:szCs w:val="24"/>
                <w:highlight w:val="none"/>
                <w:lang w:val="en-US" w:eastAsia="zh-CN" w:bidi="ar-SA"/>
              </w:rPr>
              <w:t>物料</w:t>
            </w:r>
            <w:r>
              <w:rPr>
                <w:rFonts w:hint="default" w:ascii="Times New Roman" w:hAnsi="Times New Roman" w:eastAsia="宋体" w:cs="Times New Roman"/>
                <w:color w:val="000000"/>
                <w:sz w:val="24"/>
                <w:szCs w:val="24"/>
                <w:highlight w:val="none"/>
                <w:lang w:val="en-US" w:eastAsia="zh-CN" w:bidi="ar-SA"/>
              </w:rPr>
              <w:t>若发生泄漏（在不发生爆炸及火灾情况下），泄漏的物料会蔓延至</w:t>
            </w:r>
            <w:r>
              <w:rPr>
                <w:rFonts w:hint="eastAsia" w:ascii="Times New Roman" w:hAnsi="Times New Roman" w:eastAsia="宋体" w:cs="Times New Roman"/>
                <w:color w:val="000000"/>
                <w:sz w:val="24"/>
                <w:szCs w:val="24"/>
                <w:highlight w:val="none"/>
                <w:lang w:val="en-US" w:eastAsia="zh-CN" w:bidi="ar-SA"/>
              </w:rPr>
              <w:t>危废库内</w:t>
            </w:r>
            <w:r>
              <w:rPr>
                <w:rFonts w:hint="default" w:ascii="Times New Roman" w:hAnsi="Times New Roman" w:eastAsia="宋体" w:cs="Times New Roman"/>
                <w:color w:val="000000"/>
                <w:sz w:val="24"/>
                <w:szCs w:val="24"/>
                <w:highlight w:val="none"/>
                <w:lang w:val="en-US" w:eastAsia="zh-CN" w:bidi="ar-SA"/>
              </w:rPr>
              <w:t>已经</w:t>
            </w:r>
            <w:r>
              <w:rPr>
                <w:rFonts w:hint="eastAsia" w:ascii="Times New Roman" w:hAnsi="Times New Roman" w:eastAsia="宋体" w:cs="Times New Roman"/>
                <w:color w:val="000000"/>
                <w:sz w:val="24"/>
                <w:szCs w:val="24"/>
                <w:highlight w:val="none"/>
                <w:lang w:val="en-US" w:eastAsia="zh-CN" w:bidi="ar-SA"/>
              </w:rPr>
              <w:t>重点防渗</w:t>
            </w:r>
            <w:r>
              <w:rPr>
                <w:rFonts w:hint="default" w:ascii="Times New Roman" w:hAnsi="Times New Roman" w:eastAsia="宋体" w:cs="Times New Roman"/>
                <w:color w:val="000000"/>
                <w:sz w:val="24"/>
                <w:szCs w:val="24"/>
                <w:highlight w:val="none"/>
                <w:lang w:val="en-US" w:eastAsia="zh-CN" w:bidi="ar-SA"/>
              </w:rPr>
              <w:t>的地面上</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szCs w:val="24"/>
                <w:highlight w:val="none"/>
                <w:lang w:val="en-US" w:eastAsia="zh-CN" w:bidi="ar-SA"/>
              </w:rPr>
              <w:t>地面采取渗透系数不小于10</w:t>
            </w:r>
            <w:r>
              <w:rPr>
                <w:rFonts w:hint="default" w:ascii="Times New Roman" w:hAnsi="Times New Roman" w:eastAsia="宋体" w:cs="Times New Roman"/>
                <w:color w:val="000000"/>
                <w:sz w:val="24"/>
                <w:szCs w:val="24"/>
                <w:highlight w:val="none"/>
                <w:vertAlign w:val="superscript"/>
                <w:lang w:val="en-US" w:eastAsia="zh-CN" w:bidi="ar-SA"/>
              </w:rPr>
              <w:t>-7</w:t>
            </w:r>
            <w:r>
              <w:rPr>
                <w:rFonts w:hint="default" w:ascii="Times New Roman" w:hAnsi="Times New Roman" w:eastAsia="宋体" w:cs="Times New Roman"/>
                <w:color w:val="000000"/>
                <w:sz w:val="24"/>
                <w:szCs w:val="24"/>
                <w:highlight w:val="none"/>
                <w:lang w:val="en-US" w:eastAsia="zh-CN" w:bidi="ar-SA"/>
              </w:rPr>
              <w:t>cm/s的防渗措施进行防护，因此，泄漏后不会大面积逸散，在发生泄漏后，厂内工作人员将及时清理，因此，若发生泄漏等事故不会对</w:t>
            </w:r>
            <w:r>
              <w:rPr>
                <w:rFonts w:hint="eastAsia" w:ascii="Times New Roman" w:hAnsi="Times New Roman" w:eastAsia="宋体" w:cs="Times New Roman"/>
                <w:color w:val="000000"/>
                <w:sz w:val="24"/>
                <w:szCs w:val="24"/>
                <w:highlight w:val="none"/>
                <w:lang w:val="en-US" w:eastAsia="zh-CN" w:bidi="ar-SA"/>
              </w:rPr>
              <w:t>土壤环境</w:t>
            </w:r>
            <w:r>
              <w:rPr>
                <w:rFonts w:hint="default" w:ascii="Times New Roman" w:hAnsi="Times New Roman" w:eastAsia="宋体" w:cs="Times New Roman"/>
                <w:color w:val="000000"/>
                <w:sz w:val="24"/>
                <w:szCs w:val="24"/>
                <w:highlight w:val="none"/>
                <w:lang w:val="en-US" w:eastAsia="zh-CN"/>
              </w:rPr>
              <w:t>造成影响。</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（5）环境风险防范措施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本项目危险废物收集、运输及暂存过程中存在一定的环境风险，因此建设单位应从危险废物收集、运输及暂存全过程落实风险防范措施，最大程度的降低本项目的环境风险。</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1）危险废物收集过程中的风险防范措施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建立安全生产岗位责任制，制定安全生产规章制度、安全操作规程。如危险废物收集过程必须有全套切实可行的安全操作规程，有专人负责检查安全操作规程的执行、安全设备及防护设备的使用情况；危险废物收集现场禁止吸烟、进食、饮水；危险废物收集完毕，应换衣；单独存放被危险废物污染的衣服，洗后备用；收集车辆应配备急救设备和药品；作业人员应学会自救和互救。</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②对危险废物进行收集时应注意安全，避免中毒。</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③对在岗工人及邻近有关人员进行普及性自我救护教育，一旦发生事故迅速进行自我救护，同时还要加强防护器材的维护保养，保证器材随时处于备用状态。</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2）危险废物运输过程中的风险防范措施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内部作业区域内应设置危险废物收集专用通道和人员避险通道，同时内部转运需填写填写《危险废物厂内转运记录表》，转运结束后应对转运路线进行检查和清理，确保无危险废物遗失在转运路线上，并对转运工具进行清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外部收集运输由持有危险废物经营许可证的单位组织实施，承担危险废物运输的单位应获得交通运输部门颁发的危险货物运输资质。本项目危废废物主要以汽车运输方式，须满足《道路危险货物运输管理规定》（交通部令[2005]年第9号）、JT617以及JT618要求。项目暂存的危险废物最终送至具有危险废物处置资质的单位进行处置，由于尚未与有资质单位签订危废处置协议，要求建设单位尽快签订危废处置协议，并合理规划运输路线，尽量避开人口密集区域和交通拥堵道路。应严格遵守《危险化学品安全管理条例》和《危险废物收集、贮存、运输技术规范》(HJ2025-2012)要求，防止在收运过程中发生废物泄漏、洒落等事故污染周围环境，引发污染事故。</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3）危险废物在暂存过程中的风险防范措施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w:t>
            </w:r>
            <w:r>
              <w:rPr>
                <w:rFonts w:hint="eastAsia" w:cs="Times New Roman"/>
                <w:color w:val="000000"/>
                <w:kern w:val="2"/>
                <w:sz w:val="24"/>
                <w:szCs w:val="20"/>
                <w:highlight w:val="none"/>
                <w:lang w:val="en-US" w:eastAsia="zh-CN"/>
              </w:rPr>
              <w:t>危废暂存间</w:t>
            </w:r>
            <w:r>
              <w:rPr>
                <w:rFonts w:hint="eastAsia" w:ascii="Times New Roman" w:hAnsi="Times New Roman" w:eastAsia="宋体" w:cs="Times New Roman"/>
                <w:color w:val="000000"/>
                <w:kern w:val="2"/>
                <w:sz w:val="24"/>
                <w:szCs w:val="20"/>
                <w:highlight w:val="none"/>
                <w:lang w:val="en-US" w:eastAsia="zh-CN"/>
              </w:rPr>
              <w:t>针对危险废物的特性、数量，企业需严格按照《危险废物收集、贮存、运输技术规范》(HJ2025-2012)和</w:t>
            </w:r>
            <w:r>
              <w:rPr>
                <w:rFonts w:hint="default" w:ascii="Times New Roman" w:hAnsi="Times New Roman" w:eastAsia="宋体" w:cs="Times New Roman"/>
                <w:color w:val="auto"/>
                <w:lang w:val="en-US" w:eastAsia="zh-CN"/>
              </w:rPr>
              <w:t>《危险废物贮存污染控制标准》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GB18597-2023</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000000"/>
                <w:kern w:val="2"/>
                <w:sz w:val="24"/>
                <w:szCs w:val="20"/>
                <w:highlight w:val="none"/>
                <w:lang w:val="en-US" w:eastAsia="zh-CN"/>
              </w:rPr>
              <w:t>要求，做好暂存风险事故防范工作。</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地面与裙脚要用坚固、防渗的材料建造，建筑材料与危险废物相容；存放区设置围堰，地面表面无裂隙，堵截泄漏的裙脚，地面与裙脚所围建的围堰容积不低于堵截最大容器的最大储量或总储量的五分之一；危险废物置于暂存容器分置堆放，均设有围堰。</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发现危险废物专用桶发生泄漏等异常情况时，岗位操作人员应及时向当班班长及调度汇报。相关负责人到场，并由当班人员或岗位主要操作人员组成临时指挥组。相关负责人到场后，由车间职能部门、公司主管领导组成抢险指挥组，指挥抢险救援工作，视情况需要及时向有关部门求援。</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③</w:t>
            </w:r>
            <w:r>
              <w:rPr>
                <w:rFonts w:hint="eastAsia" w:ascii="Times New Roman" w:hAnsi="Times New Roman" w:eastAsia="宋体" w:cs="Times New Roman"/>
                <w:color w:val="000000"/>
                <w:kern w:val="2"/>
                <w:sz w:val="24"/>
                <w:szCs w:val="20"/>
                <w:highlight w:val="none"/>
                <w:lang w:val="en-US" w:eastAsia="zh-CN"/>
              </w:rPr>
              <w:t>对事故隐患存在点要进行定期的检查，及时排除，避免发生。</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④</w:t>
            </w:r>
            <w:r>
              <w:rPr>
                <w:rFonts w:hint="eastAsia" w:ascii="Times New Roman" w:hAnsi="Times New Roman" w:eastAsia="宋体" w:cs="Times New Roman"/>
                <w:color w:val="000000"/>
                <w:kern w:val="2"/>
                <w:sz w:val="24"/>
                <w:szCs w:val="20"/>
                <w:highlight w:val="none"/>
                <w:lang w:val="en-US" w:eastAsia="zh-CN"/>
              </w:rPr>
              <w:t>库房应配备必需的消防(消防栓，泡沫灭火器、消防砂池等)、通风、降温、防潮、防雷等安全装置，防雷设施需符合《建筑物防雷设计规范》(GB50057-2010)的有关规定。</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⑤</w:t>
            </w:r>
            <w:r>
              <w:rPr>
                <w:rFonts w:hint="eastAsia" w:ascii="Times New Roman" w:hAnsi="Times New Roman" w:eastAsia="宋体" w:cs="Times New Roman"/>
                <w:color w:val="000000"/>
                <w:kern w:val="2"/>
                <w:sz w:val="24"/>
                <w:szCs w:val="20"/>
                <w:highlight w:val="none"/>
                <w:lang w:val="en-US" w:eastAsia="zh-CN"/>
              </w:rPr>
              <w:t>在易产生火灾、爆炸的危废暂存区域设置固定式可燃气体检测报警系统，并且设置火灾自动报警系统，一旦发生火灾能够及时采取措施。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⑥</w:t>
            </w:r>
            <w:r>
              <w:rPr>
                <w:rFonts w:hint="eastAsia" w:ascii="Times New Roman" w:hAnsi="Times New Roman" w:eastAsia="宋体" w:cs="Times New Roman"/>
                <w:color w:val="000000"/>
                <w:kern w:val="2"/>
                <w:sz w:val="24"/>
                <w:szCs w:val="20"/>
                <w:highlight w:val="none"/>
                <w:lang w:val="en-US" w:eastAsia="zh-CN"/>
              </w:rPr>
              <w:t>厂区应配备专人负责库房防盗，库房应上锁。</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⑦</w:t>
            </w:r>
            <w:r>
              <w:rPr>
                <w:rFonts w:hint="eastAsia" w:ascii="Times New Roman" w:hAnsi="Times New Roman" w:eastAsia="宋体" w:cs="Times New Roman"/>
                <w:color w:val="000000"/>
                <w:kern w:val="2"/>
                <w:sz w:val="24"/>
                <w:szCs w:val="20"/>
                <w:highlight w:val="none"/>
                <w:lang w:val="en-US" w:eastAsia="zh-CN"/>
              </w:rPr>
              <w:t>厂区配备用专用运输车及备用的专用空桶，一旦因交通事故发生液态危险废物泄漏时，通知厂内用备用专用运输车进行转移。该备用空桶仅用于应急事故，平时正常储存过程中不得用该空桶进行倒罐。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⑧</w:t>
            </w:r>
            <w:r>
              <w:rPr>
                <w:rFonts w:hint="eastAsia" w:ascii="Times New Roman" w:hAnsi="Times New Roman" w:eastAsia="宋体" w:cs="Times New Roman"/>
                <w:color w:val="000000"/>
                <w:kern w:val="2"/>
                <w:sz w:val="24"/>
                <w:szCs w:val="20"/>
                <w:highlight w:val="none"/>
                <w:lang w:val="en-US" w:eastAsia="zh-CN"/>
              </w:rPr>
              <w:t>全厂应配套科学、完善的消防报警系统，并对此系统进行监控管理，厂内设消防控制值班室，与</w:t>
            </w:r>
            <w:r>
              <w:rPr>
                <w:rFonts w:hint="eastAsia" w:cs="Times New Roman"/>
                <w:color w:val="000000"/>
                <w:kern w:val="2"/>
                <w:sz w:val="24"/>
                <w:szCs w:val="20"/>
                <w:highlight w:val="none"/>
                <w:lang w:val="en-US" w:eastAsia="zh-CN"/>
              </w:rPr>
              <w:t>呼图壁县</w:t>
            </w:r>
            <w:r>
              <w:rPr>
                <w:rFonts w:hint="eastAsia" w:ascii="Times New Roman" w:hAnsi="Times New Roman" w:eastAsia="宋体" w:cs="Times New Roman"/>
                <w:color w:val="000000"/>
                <w:kern w:val="2"/>
                <w:sz w:val="24"/>
                <w:szCs w:val="20"/>
                <w:highlight w:val="none"/>
                <w:lang w:val="en-US" w:eastAsia="zh-CN"/>
              </w:rPr>
              <w:t>消防大队建立畅通、及时的报警系统。</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⑨</w:t>
            </w:r>
            <w:r>
              <w:rPr>
                <w:rFonts w:hint="eastAsia" w:ascii="Times New Roman" w:hAnsi="Times New Roman" w:eastAsia="宋体" w:cs="Times New Roman"/>
                <w:color w:val="000000"/>
                <w:kern w:val="2"/>
                <w:sz w:val="24"/>
                <w:szCs w:val="20"/>
                <w:highlight w:val="none"/>
                <w:lang w:val="en-US" w:eastAsia="zh-CN"/>
              </w:rPr>
              <w:t>万一发生危害性事故，应立即通知有关部门，组织附近居民疏散、抢险和应急监测等善后处理事宜。</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⑩</w:t>
            </w:r>
            <w:r>
              <w:rPr>
                <w:rFonts w:hint="eastAsia" w:ascii="Times New Roman" w:hAnsi="Times New Roman" w:eastAsia="宋体" w:cs="Times New Roman"/>
                <w:color w:val="000000"/>
                <w:kern w:val="2"/>
                <w:sz w:val="24"/>
                <w:szCs w:val="20"/>
                <w:highlight w:val="none"/>
                <w:lang w:val="en-US" w:eastAsia="zh-CN"/>
              </w:rPr>
              <w:t>暂存区域应设有必要的喷淋洗眼器、洗手池，并配备相应的防护手套、防毒呼吸器等个人防护用品，供事故时临时急用；一旦发生急性中毒，首先使用应急设施，并将中毒者安置在空气流畅的安全地带，同时呼叫急救车紧急救护。</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⑪在场内设置一个火灾报警装置，可及时发现危险废物泄漏燃烧，及时报警。</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4</w:t>
            </w:r>
            <w:r>
              <w:rPr>
                <w:rFonts w:hint="eastAsia" w:ascii="Times New Roman" w:hAnsi="Times New Roman" w:eastAsia="宋体" w:cs="Times New Roman"/>
                <w:color w:val="000000"/>
                <w:kern w:val="2"/>
                <w:sz w:val="24"/>
                <w:szCs w:val="20"/>
                <w:highlight w:val="none"/>
                <w:lang w:val="en-US" w:eastAsia="zh-CN"/>
              </w:rPr>
              <w:t xml:space="preserve">）风险防范的管理对策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制定生产管理和安全管理制度，加强职工的日常操作技能培训和安全管理，保证各项设备的的正常运行。开展应急演习，保证各项应急措施的落实。</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①在编制初步设计文件时，应同时编制“劳动安全卫生专篇”，在初步设计中，应严格遵守现有的职业安全卫生方面的法规和技术标准；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②在施工过程中，应加强环境监察工作，确保环境保护设施、环境风险防范设施的施工质量，及时纠正施工中的缺陷；</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③建立公司安全生产委员会，负责统筹、协调全公司安全生产工作；</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④建立安全生产和环境风险防范的责任制；</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⑤建立各种安全生产规章制度；</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⑥建立健全设备安全检修制度，同时建立安全作业许可证；</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⑦建立安全生产管理台帐；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⑧提高职工的环保意识和异常情况下的应变能力；</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⑨加强对厂区消防设施的定期检查，定期组织消防训练；</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⑩制定相应的施工安全管理方案；</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⑪建设单位必须对施工单位的资质进行有效审查，并加强对施工队伍的环境保护教育；</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⑫建设单位须加强施工阶段的环境监督和管理工作，建立严格的安全管理制度和监督机制。</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5</w:t>
            </w:r>
            <w:r>
              <w:rPr>
                <w:rFonts w:hint="eastAsia" w:ascii="Times New Roman" w:hAnsi="Times New Roman" w:eastAsia="宋体" w:cs="Times New Roman"/>
                <w:color w:val="000000"/>
                <w:kern w:val="2"/>
                <w:sz w:val="24"/>
                <w:szCs w:val="20"/>
                <w:highlight w:val="none"/>
                <w:lang w:val="en-US" w:eastAsia="zh-CN"/>
              </w:rPr>
              <w:t>）环境风险事故应急处置措施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A.泄漏的应急处理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本项目的液态危险废物发生泄漏时，应根据应急预案分级响应条件，启动响应的分级措施。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①立即向调度室和应急指挥办公室报告。</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②事故现场，严禁火种，切断电源，迅速撤离泄漏区人员至上风向安全处，并设置隔离区，禁止无关人员进入。加强通风。</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③应急处理人员必须配备必要的个人防护器具(自给式呼吸器、穿防静电防护服等)；严禁单独行动，要有监护人，必须时作水枪、水炮掩护。</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④用预先确定的堵漏方式尽快堵漏，切断或控制泄漏源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⑤对暂存桶发生的泄漏，可采取驳卸、转移至备用空桶等方法，尽量将发生泄漏的暂存桶内的危险废物转移，在此基础上堵漏。</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⑥暂存桶泄漏时，要及时关闭围堰的雨水阀、厂区废水排水口，防止危险废物外流污染水体。</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⑦中毒人员及时转移到空气新鲜的安全地带，脱去受污染外衣，清洗受污皮肤和口腔，按污染物质和伤员症状采取相应急救措施或立即送医院。</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⑧泄漏容器要妥善处理，修复、检验后再用。</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B.火灾/爆炸事故的应急处理</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①瓦斯调配系统与周围建筑物、道路的防火间距应满足规程要求；</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②瓦斯调配系统均应设置供消防车同行的钢筋混凝土地坪，且满足消防要求；设备、管道布置应留有适当的操作和安置检修空间；</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③</w:t>
            </w:r>
            <w:r>
              <w:rPr>
                <w:rFonts w:hint="default" w:ascii="Times New Roman" w:hAnsi="Times New Roman" w:eastAsia="宋体" w:cs="Times New Roman"/>
                <w:color w:val="000000"/>
                <w:kern w:val="2"/>
                <w:sz w:val="24"/>
                <w:szCs w:val="24"/>
                <w:lang w:val="en-US" w:eastAsia="zh-CN"/>
              </w:rPr>
              <w:t>加强</w:t>
            </w:r>
            <w:r>
              <w:rPr>
                <w:rFonts w:hint="default" w:ascii="Times New Roman" w:hAnsi="Times New Roman" w:eastAsia="宋体" w:cs="Times New Roman"/>
                <w:color w:val="000000"/>
                <w:kern w:val="2"/>
                <w:sz w:val="24"/>
                <w:szCs w:val="24"/>
              </w:rPr>
              <w:t>瓦斯</w:t>
            </w:r>
            <w:r>
              <w:rPr>
                <w:rFonts w:hint="default" w:ascii="Times New Roman" w:hAnsi="Times New Roman" w:eastAsia="宋体" w:cs="Times New Roman"/>
                <w:color w:val="000000"/>
                <w:kern w:val="2"/>
                <w:sz w:val="24"/>
                <w:szCs w:val="24"/>
                <w:lang w:val="en-US" w:eastAsia="zh-CN"/>
              </w:rPr>
              <w:t>输送</w:t>
            </w:r>
            <w:r>
              <w:rPr>
                <w:rFonts w:hint="default" w:ascii="Times New Roman" w:hAnsi="Times New Roman" w:eastAsia="宋体" w:cs="Times New Roman"/>
                <w:color w:val="000000"/>
                <w:kern w:val="2"/>
                <w:sz w:val="24"/>
                <w:szCs w:val="24"/>
              </w:rPr>
              <w:t>管道</w:t>
            </w:r>
            <w:r>
              <w:rPr>
                <w:rFonts w:hint="default" w:ascii="Times New Roman" w:hAnsi="Times New Roman" w:eastAsia="宋体" w:cs="Times New Roman"/>
                <w:color w:val="000000"/>
                <w:kern w:val="2"/>
                <w:sz w:val="24"/>
                <w:szCs w:val="24"/>
                <w:lang w:val="en-US" w:eastAsia="zh-CN"/>
              </w:rPr>
              <w:t>的</w:t>
            </w:r>
            <w:r>
              <w:rPr>
                <w:rFonts w:hint="default" w:ascii="Times New Roman" w:hAnsi="Times New Roman" w:eastAsia="宋体" w:cs="Times New Roman"/>
                <w:color w:val="000000"/>
                <w:kern w:val="2"/>
                <w:sz w:val="24"/>
                <w:szCs w:val="24"/>
              </w:rPr>
              <w:t>强度和严密性</w:t>
            </w:r>
            <w:r>
              <w:rPr>
                <w:rFonts w:hint="default" w:ascii="Times New Roman" w:hAnsi="Times New Roman" w:eastAsia="宋体" w:cs="Times New Roman"/>
                <w:color w:val="000000"/>
                <w:kern w:val="2"/>
                <w:sz w:val="24"/>
                <w:szCs w:val="24"/>
                <w:lang w:val="en-US" w:eastAsia="zh-CN"/>
              </w:rPr>
              <w:t>措施</w:t>
            </w:r>
            <w:r>
              <w:rPr>
                <w:rFonts w:hint="default" w:ascii="Times New Roman" w:hAnsi="Times New Roman" w:eastAsia="宋体" w:cs="Times New Roman"/>
                <w:color w:val="000000"/>
                <w:kern w:val="2"/>
                <w:sz w:val="24"/>
                <w:szCs w:val="24"/>
              </w:rPr>
              <w:t>，并在管道上装设快速关断阀、安全阀和放散装置；</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④瓦斯调配系统内严禁携带烟火、火种、打火机等易燃品。照明设施全部采用防爆照明灯，非生产人员不得进入工艺装置区；</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color w:val="000000"/>
                <w:kern w:val="2"/>
                <w:sz w:val="24"/>
                <w:szCs w:val="24"/>
              </w:rPr>
            </w:pPr>
            <w:r>
              <w:rPr>
                <w:rFonts w:hint="eastAsia" w:cs="Times New Roman"/>
                <w:color w:val="000000"/>
                <w:kern w:val="2"/>
                <w:sz w:val="24"/>
                <w:szCs w:val="24"/>
                <w:lang w:val="en-US" w:eastAsia="zh-CN"/>
              </w:rPr>
              <w:t>⑤</w:t>
            </w:r>
            <w:r>
              <w:rPr>
                <w:rFonts w:hint="default" w:ascii="Times New Roman" w:hAnsi="Times New Roman" w:eastAsia="宋体" w:cs="Times New Roman"/>
                <w:color w:val="000000"/>
                <w:kern w:val="2"/>
                <w:sz w:val="24"/>
                <w:szCs w:val="24"/>
              </w:rPr>
              <w:t>危险区域范围内，应选用相应防爆等级的电气设备和仪表，并按规范配线；</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color w:val="000000"/>
                <w:kern w:val="2"/>
                <w:sz w:val="24"/>
                <w:szCs w:val="24"/>
              </w:rPr>
            </w:pPr>
            <w:r>
              <w:rPr>
                <w:rFonts w:hint="eastAsia" w:cs="Times New Roman"/>
                <w:color w:val="000000"/>
                <w:kern w:val="2"/>
                <w:sz w:val="24"/>
                <w:szCs w:val="24"/>
                <w:lang w:val="en-US" w:eastAsia="zh-CN"/>
              </w:rPr>
              <w:t>⑥</w:t>
            </w:r>
            <w:r>
              <w:rPr>
                <w:rFonts w:hint="default" w:ascii="Times New Roman" w:hAnsi="Times New Roman" w:eastAsia="宋体" w:cs="Times New Roman"/>
                <w:color w:val="000000"/>
                <w:kern w:val="2"/>
                <w:sz w:val="24"/>
                <w:szCs w:val="24"/>
              </w:rPr>
              <w:t>为了防止撞击火花，在防爆区域内操作或维修时应使用防爆工具，例如选用铜质工具；为了防止静电火花，工作人员应穿防静电工作服和防静电鞋。</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color w:val="000000"/>
                <w:kern w:val="2"/>
                <w:sz w:val="24"/>
                <w:szCs w:val="24"/>
                <w:lang w:val="en-US" w:eastAsia="zh-CN"/>
              </w:rPr>
            </w:pPr>
            <w:r>
              <w:rPr>
                <w:rFonts w:hint="eastAsia" w:cs="Times New Roman"/>
                <w:color w:val="000000"/>
                <w:kern w:val="2"/>
                <w:sz w:val="24"/>
                <w:szCs w:val="24"/>
                <w:lang w:val="en-US" w:eastAsia="zh-CN"/>
              </w:rPr>
              <w:t>⑦</w:t>
            </w:r>
            <w:r>
              <w:rPr>
                <w:rFonts w:hint="default" w:ascii="Times New Roman" w:hAnsi="Times New Roman" w:eastAsia="宋体" w:cs="Times New Roman"/>
                <w:color w:val="000000"/>
                <w:kern w:val="2"/>
                <w:sz w:val="24"/>
                <w:szCs w:val="24"/>
                <w:lang w:val="en-US" w:eastAsia="zh-CN"/>
              </w:rPr>
              <w:t>为防止瓦斯泄露污染环境，应在瓦斯易泄露处安装可燃气体报警器等，</w:t>
            </w:r>
            <w:r>
              <w:rPr>
                <w:rFonts w:hint="default" w:ascii="Times New Roman" w:hAnsi="Times New Roman" w:eastAsia="宋体" w:cs="Times New Roman"/>
                <w:color w:val="000000"/>
                <w:kern w:val="2"/>
                <w:sz w:val="24"/>
                <w:szCs w:val="24"/>
              </w:rPr>
              <w:t>瓦斯输送管道</w:t>
            </w:r>
            <w:r>
              <w:rPr>
                <w:rFonts w:hint="default" w:ascii="Times New Roman" w:hAnsi="Times New Roman" w:eastAsia="宋体" w:cs="Times New Roman"/>
                <w:color w:val="000000"/>
                <w:kern w:val="2"/>
                <w:sz w:val="24"/>
                <w:szCs w:val="24"/>
                <w:lang w:val="en-US" w:eastAsia="zh-CN"/>
              </w:rPr>
              <w:t>应</w:t>
            </w:r>
            <w:r>
              <w:rPr>
                <w:rFonts w:hint="default" w:ascii="Times New Roman" w:hAnsi="Times New Roman" w:eastAsia="宋体" w:cs="Times New Roman"/>
                <w:color w:val="000000"/>
                <w:kern w:val="2"/>
                <w:sz w:val="24"/>
                <w:szCs w:val="24"/>
              </w:rPr>
              <w:t>加设细水雾输送系统</w:t>
            </w:r>
            <w:r>
              <w:rPr>
                <w:rFonts w:hint="default" w:ascii="Times New Roman" w:hAnsi="Times New Roman" w:eastAsia="宋体" w:cs="Times New Roman"/>
                <w:color w:val="000000"/>
                <w:kern w:val="2"/>
                <w:sz w:val="24"/>
                <w:szCs w:val="24"/>
                <w:lang w:val="en-US" w:eastAsia="zh-CN"/>
              </w:rPr>
              <w:t>。</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color w:val="000000"/>
                <w:kern w:val="2"/>
                <w:sz w:val="24"/>
                <w:szCs w:val="24"/>
              </w:rPr>
            </w:pPr>
            <w:r>
              <w:rPr>
                <w:rFonts w:hint="eastAsia" w:cs="Times New Roman"/>
                <w:color w:val="000000"/>
                <w:kern w:val="2"/>
                <w:sz w:val="24"/>
                <w:szCs w:val="24"/>
                <w:lang w:val="en-US" w:eastAsia="zh-CN"/>
              </w:rPr>
              <w:t>⑧</w:t>
            </w:r>
            <w:r>
              <w:rPr>
                <w:rFonts w:hint="default" w:ascii="Times New Roman" w:hAnsi="Times New Roman" w:eastAsia="宋体" w:cs="Times New Roman"/>
                <w:color w:val="000000"/>
                <w:kern w:val="2"/>
                <w:sz w:val="24"/>
                <w:szCs w:val="24"/>
              </w:rPr>
              <w:t>当可燃气体泄漏监测超标时与阀门和设备连锁，必要时关断阀门，停止设备运行。</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7）风险应急监测</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①监测项目</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环境空气：</w:t>
            </w:r>
            <w:r>
              <w:rPr>
                <w:rFonts w:hint="eastAsia" w:cs="Times New Roman"/>
                <w:color w:val="000000"/>
                <w:kern w:val="2"/>
                <w:sz w:val="24"/>
                <w:szCs w:val="20"/>
                <w:highlight w:val="none"/>
                <w:lang w:val="en-US" w:eastAsia="zh-CN"/>
              </w:rPr>
              <w:t>CH</w:t>
            </w:r>
            <w:r>
              <w:rPr>
                <w:rFonts w:hint="eastAsia" w:cs="Times New Roman"/>
                <w:color w:val="000000"/>
                <w:kern w:val="2"/>
                <w:sz w:val="24"/>
                <w:szCs w:val="20"/>
                <w:highlight w:val="none"/>
                <w:vertAlign w:val="subscript"/>
                <w:lang w:val="en-US" w:eastAsia="zh-CN"/>
              </w:rPr>
              <w:t>4</w:t>
            </w:r>
            <w:r>
              <w:rPr>
                <w:rFonts w:hint="eastAsia" w:cs="Times New Roman"/>
                <w:color w:val="000000"/>
                <w:kern w:val="2"/>
                <w:sz w:val="24"/>
                <w:szCs w:val="20"/>
                <w:highlight w:val="none"/>
                <w:lang w:val="en-US" w:eastAsia="zh-CN"/>
              </w:rPr>
              <w:t>、N</w:t>
            </w:r>
            <w:r>
              <w:rPr>
                <w:rFonts w:hint="eastAsia" w:cs="Times New Roman"/>
                <w:color w:val="000000"/>
                <w:kern w:val="2"/>
                <w:sz w:val="24"/>
                <w:szCs w:val="20"/>
                <w:highlight w:val="none"/>
                <w:vertAlign w:val="subscript"/>
                <w:lang w:val="en-US" w:eastAsia="zh-CN"/>
              </w:rPr>
              <w:t>2</w:t>
            </w:r>
            <w:r>
              <w:rPr>
                <w:rFonts w:hint="eastAsia" w:cs="Times New Roman"/>
                <w:color w:val="000000"/>
                <w:kern w:val="2"/>
                <w:sz w:val="24"/>
                <w:szCs w:val="20"/>
                <w:highlight w:val="none"/>
                <w:lang w:val="en-US" w:eastAsia="zh-CN"/>
              </w:rPr>
              <w:t>、CO</w:t>
            </w:r>
            <w:r>
              <w:rPr>
                <w:rFonts w:hint="eastAsia" w:cs="Times New Roman"/>
                <w:color w:val="000000"/>
                <w:kern w:val="2"/>
                <w:sz w:val="24"/>
                <w:szCs w:val="20"/>
                <w:highlight w:val="none"/>
                <w:vertAlign w:val="subscript"/>
                <w:lang w:val="en-US" w:eastAsia="zh-CN"/>
              </w:rPr>
              <w:t>2</w:t>
            </w:r>
            <w:r>
              <w:rPr>
                <w:rFonts w:hint="eastAsia" w:cs="Times New Roman"/>
                <w:color w:val="000000"/>
                <w:kern w:val="2"/>
                <w:sz w:val="24"/>
                <w:szCs w:val="20"/>
                <w:highlight w:val="none"/>
                <w:lang w:val="en-US" w:eastAsia="zh-CN"/>
              </w:rPr>
              <w:t>、</w:t>
            </w:r>
            <w:r>
              <w:rPr>
                <w:rFonts w:hint="eastAsia" w:ascii="Times New Roman" w:hAnsi="Times New Roman" w:eastAsia="宋体" w:cs="Times New Roman"/>
                <w:color w:val="000000"/>
                <w:kern w:val="2"/>
                <w:sz w:val="24"/>
                <w:szCs w:val="20"/>
                <w:highlight w:val="none"/>
                <w:lang w:val="en-US" w:eastAsia="zh-CN"/>
              </w:rPr>
              <w:t>非甲烷总烃；</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地下水：COD、BOD、SS、石油类；</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②监测区域</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大气环境：本项目周边区域(根据事故排放量定监测范围)；</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水环境：本项目周边地下水环境</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8）按照要求，本项目纳入全厂突发环境事件应急预案修编内容。</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（4）风险小结</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项目运行过程中存在火灾、泄露风险，必须严格执行国家的技术规范和操作规程要求，落实各项安全规章制度，避免事故的发生。</w:t>
            </w:r>
          </w:p>
          <w:p>
            <w:pPr>
              <w:widowControl w:val="0"/>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在认真落实项目拟采取的安全措施及评价所提出的安全措施及安全对策后，项目的事故对周围的影响是可以接受的。</w:t>
            </w:r>
          </w:p>
          <w:p>
            <w:pPr>
              <w:widowControl w:val="0"/>
              <w:overflowPunct w:val="0"/>
              <w:autoSpaceDE w:val="0"/>
              <w:autoSpaceDN w:val="0"/>
              <w:adjustRightInd w:val="0"/>
              <w:snapToGrid w:val="0"/>
              <w:spacing w:before="0" w:after="0" w:line="360" w:lineRule="auto"/>
              <w:ind w:right="0"/>
              <w:jc w:val="center"/>
              <w:rPr>
                <w:rFonts w:hint="default" w:ascii="Times New Roman" w:hAnsi="Times New Roman" w:eastAsia="宋体" w:cs="Times New Roman"/>
                <w:b/>
                <w:bCs/>
                <w:snapToGrid w:val="0"/>
                <w:color w:val="000000"/>
                <w:kern w:val="2"/>
                <w:sz w:val="24"/>
                <w:szCs w:val="24"/>
                <w:highlight w:val="none"/>
                <w:lang w:val="en-US" w:eastAsia="zh-CN" w:bidi="ar-SA"/>
              </w:rPr>
            </w:pPr>
            <w:r>
              <w:rPr>
                <w:rFonts w:hint="default" w:ascii="Times New Roman" w:hAnsi="Times New Roman" w:eastAsia="宋体" w:cs="Times New Roman"/>
                <w:b/>
                <w:bCs/>
                <w:snapToGrid w:val="0"/>
                <w:color w:val="000000"/>
                <w:kern w:val="2"/>
                <w:sz w:val="24"/>
                <w:szCs w:val="24"/>
                <w:highlight w:val="none"/>
                <w:lang w:val="en-US" w:eastAsia="zh-CN" w:bidi="ar-SA"/>
              </w:rPr>
              <w:t>表</w:t>
            </w:r>
            <w:r>
              <w:rPr>
                <w:rFonts w:hint="eastAsia" w:ascii="Times New Roman" w:hAnsi="Times New Roman" w:eastAsia="宋体" w:cs="Times New Roman"/>
                <w:b/>
                <w:bCs/>
                <w:snapToGrid w:val="0"/>
                <w:color w:val="000000"/>
                <w:kern w:val="2"/>
                <w:sz w:val="24"/>
                <w:szCs w:val="24"/>
                <w:highlight w:val="none"/>
                <w:lang w:val="en-US" w:eastAsia="zh-CN" w:bidi="ar-SA"/>
              </w:rPr>
              <w:t xml:space="preserve">4.11-4  </w:t>
            </w:r>
            <w:r>
              <w:rPr>
                <w:rFonts w:hint="default" w:ascii="Times New Roman" w:hAnsi="Times New Roman" w:eastAsia="宋体" w:cs="Times New Roman"/>
                <w:b/>
                <w:bCs/>
                <w:snapToGrid w:val="0"/>
                <w:color w:val="000000"/>
                <w:kern w:val="2"/>
                <w:sz w:val="24"/>
                <w:szCs w:val="24"/>
                <w:highlight w:val="none"/>
                <w:lang w:val="en-US" w:eastAsia="zh-CN" w:bidi="ar-SA"/>
              </w:rPr>
              <w:t>建设项目环境风险简单分析内容表</w:t>
            </w:r>
          </w:p>
          <w:tbl>
            <w:tblPr>
              <w:tblStyle w:val="20"/>
              <w:tblW w:w="822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846"/>
              <w:gridCol w:w="63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1"/>
                      <w:lang w:val="en-US" w:eastAsia="zh-CN"/>
                    </w:rPr>
                  </w:pPr>
                  <w:r>
                    <w:rPr>
                      <w:rFonts w:hint="default" w:ascii="Times New Roman" w:hAnsi="Times New Roman" w:eastAsia="宋体" w:cs="Times New Roman"/>
                      <w:b/>
                      <w:bCs/>
                      <w:color w:val="000000"/>
                      <w:kern w:val="2"/>
                      <w:sz w:val="21"/>
                      <w:szCs w:val="21"/>
                      <w:lang w:val="en-US" w:eastAsia="zh-CN"/>
                    </w:rPr>
                    <w:t>建设项目名称</w:t>
                  </w:r>
                </w:p>
              </w:tc>
              <w:tc>
                <w:tcPr>
                  <w:tcW w:w="6374" w:type="dxa"/>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both"/>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新疆呼图壁县石梯子西沟煤矿瓦斯抽采系统升级改建项目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建设地点</w:t>
                  </w:r>
                </w:p>
              </w:tc>
              <w:tc>
                <w:tcPr>
                  <w:tcW w:w="63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新疆呼图壁县石梯子西沟煤矿（原瓦斯磅房南侧）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主要危险物质及分布</w:t>
                  </w:r>
                </w:p>
              </w:tc>
              <w:tc>
                <w:tcPr>
                  <w:tcW w:w="63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矿物油类：危废</w:t>
                  </w:r>
                  <w:r>
                    <w:rPr>
                      <w:rFonts w:hint="eastAsia" w:cs="Times New Roman"/>
                      <w:color w:val="000000"/>
                      <w:kern w:val="2"/>
                      <w:sz w:val="21"/>
                      <w:szCs w:val="24"/>
                      <w:lang w:val="en-US" w:eastAsia="zh-CN"/>
                    </w:rPr>
                    <w:t>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环境影响途径及危害后果（大气、地表水和地下水等）</w:t>
                  </w:r>
                </w:p>
              </w:tc>
              <w:tc>
                <w:tcPr>
                  <w:tcW w:w="63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主要影响途径：</w:t>
                  </w:r>
                  <w:r>
                    <w:rPr>
                      <w:rFonts w:hint="eastAsia" w:ascii="Times New Roman" w:hAnsi="Times New Roman" w:eastAsia="宋体" w:cs="Times New Roman"/>
                      <w:color w:val="000000"/>
                      <w:kern w:val="2"/>
                      <w:sz w:val="21"/>
                      <w:szCs w:val="24"/>
                      <w:lang w:val="en-US" w:eastAsia="zh-CN"/>
                    </w:rPr>
                    <w:t>泄露、火灾</w:t>
                  </w:r>
                  <w:r>
                    <w:rPr>
                      <w:rFonts w:hint="eastAsia" w:cs="Times New Roman"/>
                      <w:color w:val="000000"/>
                      <w:kern w:val="2"/>
                      <w:sz w:val="21"/>
                      <w:szCs w:val="24"/>
                      <w:lang w:val="en-US" w:eastAsia="zh-CN"/>
                    </w:rPr>
                    <w:t>、爆炸</w:t>
                  </w:r>
                  <w:r>
                    <w:rPr>
                      <w:rFonts w:hint="default" w:ascii="Times New Roman" w:hAnsi="Times New Roman" w:eastAsia="宋体" w:cs="Times New Roman"/>
                      <w:color w:val="000000"/>
                      <w:kern w:val="2"/>
                      <w:sz w:val="21"/>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危害后果：</w:t>
                  </w:r>
                  <w:r>
                    <w:rPr>
                      <w:rFonts w:hint="eastAsia" w:ascii="Times New Roman" w:hAnsi="Times New Roman" w:eastAsia="宋体" w:cs="Times New Roman"/>
                      <w:color w:val="000000"/>
                      <w:kern w:val="2"/>
                      <w:sz w:val="21"/>
                      <w:szCs w:val="24"/>
                      <w:lang w:val="en-US" w:eastAsia="zh-CN"/>
                    </w:rPr>
                    <w:t>废</w:t>
                  </w:r>
                  <w:r>
                    <w:rPr>
                      <w:rFonts w:hint="eastAsia" w:cs="Times New Roman"/>
                      <w:color w:val="000000"/>
                      <w:kern w:val="2"/>
                      <w:sz w:val="21"/>
                      <w:szCs w:val="24"/>
                      <w:lang w:val="en-US" w:eastAsia="zh-CN"/>
                    </w:rPr>
                    <w:t>润滑油</w:t>
                  </w:r>
                  <w:r>
                    <w:rPr>
                      <w:rFonts w:hint="eastAsia" w:ascii="Times New Roman" w:hAnsi="Times New Roman" w:eastAsia="宋体" w:cs="Times New Roman"/>
                      <w:color w:val="000000"/>
                      <w:kern w:val="2"/>
                      <w:sz w:val="21"/>
                      <w:szCs w:val="24"/>
                      <w:lang w:val="en-US" w:eastAsia="zh-CN"/>
                    </w:rPr>
                    <w:t>散落导致水环境和土壤污染，及时采取应急措施，</w:t>
                  </w:r>
                  <w:r>
                    <w:rPr>
                      <w:rFonts w:hint="default" w:ascii="Times New Roman" w:hAnsi="Times New Roman" w:eastAsia="宋体" w:cs="Times New Roman"/>
                      <w:color w:val="000000"/>
                      <w:kern w:val="2"/>
                      <w:sz w:val="21"/>
                      <w:szCs w:val="24"/>
                      <w:lang w:val="en-US" w:eastAsia="zh-CN"/>
                    </w:rPr>
                    <w:t>不会对</w:t>
                  </w:r>
                  <w:r>
                    <w:rPr>
                      <w:rFonts w:hint="eastAsia" w:ascii="Times New Roman" w:hAnsi="Times New Roman" w:eastAsia="宋体" w:cs="Times New Roman"/>
                      <w:color w:val="000000"/>
                      <w:kern w:val="2"/>
                      <w:sz w:val="21"/>
                      <w:szCs w:val="24"/>
                      <w:lang w:val="en-US" w:eastAsia="zh-CN"/>
                    </w:rPr>
                    <w:t>环境</w:t>
                  </w:r>
                  <w:r>
                    <w:rPr>
                      <w:rFonts w:hint="default" w:ascii="Times New Roman" w:hAnsi="Times New Roman" w:eastAsia="宋体" w:cs="Times New Roman"/>
                      <w:color w:val="000000"/>
                      <w:kern w:val="2"/>
                      <w:sz w:val="21"/>
                      <w:szCs w:val="24"/>
                      <w:lang w:val="en-US" w:eastAsia="zh-CN"/>
                    </w:rPr>
                    <w:t>产生</w:t>
                  </w:r>
                  <w:r>
                    <w:rPr>
                      <w:rFonts w:hint="eastAsia" w:ascii="Times New Roman" w:hAnsi="Times New Roman" w:eastAsia="宋体" w:cs="Times New Roman"/>
                      <w:color w:val="000000"/>
                      <w:kern w:val="2"/>
                      <w:sz w:val="21"/>
                      <w:szCs w:val="24"/>
                      <w:lang w:val="en-US" w:eastAsia="zh-CN"/>
                    </w:rPr>
                    <w:t>显著不利</w:t>
                  </w:r>
                  <w:r>
                    <w:rPr>
                      <w:rFonts w:hint="default" w:ascii="Times New Roman" w:hAnsi="Times New Roman" w:eastAsia="宋体" w:cs="Times New Roman"/>
                      <w:color w:val="000000"/>
                      <w:kern w:val="2"/>
                      <w:sz w:val="21"/>
                      <w:szCs w:val="24"/>
                      <w:lang w:val="en-US" w:eastAsia="zh-CN"/>
                    </w:rPr>
                    <w:t>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风险防范措施要求</w:t>
                  </w:r>
                </w:p>
              </w:tc>
              <w:tc>
                <w:tcPr>
                  <w:tcW w:w="63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①危险废物在</w:t>
                  </w:r>
                  <w:r>
                    <w:rPr>
                      <w:rFonts w:hint="eastAsia" w:ascii="Times New Roman" w:hAnsi="Times New Roman" w:eastAsia="宋体" w:cs="Times New Roman"/>
                      <w:color w:val="000000"/>
                      <w:kern w:val="2"/>
                      <w:sz w:val="21"/>
                      <w:szCs w:val="24"/>
                      <w:lang w:val="en-US" w:eastAsia="zh-CN"/>
                    </w:rPr>
                    <w:t>收集</w:t>
                  </w:r>
                  <w:r>
                    <w:rPr>
                      <w:rFonts w:hint="default" w:ascii="Times New Roman" w:hAnsi="Times New Roman" w:eastAsia="宋体" w:cs="Times New Roman"/>
                      <w:color w:val="000000"/>
                      <w:kern w:val="2"/>
                      <w:sz w:val="21"/>
                      <w:szCs w:val="24"/>
                      <w:lang w:val="en-US" w:eastAsia="zh-CN"/>
                    </w:rPr>
                    <w:t>过程中的风险防范措施；</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rPr>
                  </w:pPr>
                  <w:r>
                    <w:rPr>
                      <w:rFonts w:hint="default" w:ascii="Times New Roman" w:hAnsi="Times New Roman" w:eastAsia="宋体" w:cs="Times New Roman"/>
                      <w:color w:val="000000"/>
                      <w:kern w:val="2"/>
                      <w:sz w:val="21"/>
                      <w:szCs w:val="24"/>
                    </w:rPr>
                    <w:t>②</w:t>
                  </w:r>
                  <w:r>
                    <w:rPr>
                      <w:rFonts w:hint="default" w:ascii="Times New Roman" w:hAnsi="Times New Roman" w:eastAsia="宋体" w:cs="Times New Roman"/>
                      <w:color w:val="000000"/>
                      <w:kern w:val="2"/>
                      <w:sz w:val="21"/>
                      <w:szCs w:val="24"/>
                      <w:lang w:val="en-US" w:eastAsia="zh-CN"/>
                    </w:rPr>
                    <w:t>危险废物</w:t>
                  </w:r>
                  <w:r>
                    <w:rPr>
                      <w:rFonts w:hint="eastAsia" w:cs="Times New Roman"/>
                      <w:color w:val="000000"/>
                      <w:kern w:val="2"/>
                      <w:sz w:val="21"/>
                      <w:szCs w:val="24"/>
                      <w:lang w:val="en-US" w:eastAsia="zh-CN"/>
                    </w:rPr>
                    <w:t>以及瓦斯气体</w:t>
                  </w:r>
                  <w:r>
                    <w:rPr>
                      <w:rFonts w:hint="default" w:ascii="Times New Roman" w:hAnsi="Times New Roman" w:eastAsia="宋体" w:cs="Times New Roman"/>
                      <w:color w:val="000000"/>
                      <w:kern w:val="2"/>
                      <w:sz w:val="21"/>
                      <w:szCs w:val="24"/>
                      <w:lang w:val="en-US" w:eastAsia="zh-CN"/>
                    </w:rPr>
                    <w:t>在</w:t>
                  </w:r>
                  <w:r>
                    <w:rPr>
                      <w:rFonts w:hint="eastAsia" w:cs="Times New Roman"/>
                      <w:color w:val="000000"/>
                      <w:kern w:val="2"/>
                      <w:sz w:val="21"/>
                      <w:szCs w:val="24"/>
                      <w:lang w:val="en-US" w:eastAsia="zh-CN"/>
                    </w:rPr>
                    <w:t>抽采</w:t>
                  </w:r>
                  <w:r>
                    <w:rPr>
                      <w:rFonts w:hint="default" w:ascii="Times New Roman" w:hAnsi="Times New Roman" w:eastAsia="宋体" w:cs="Times New Roman"/>
                      <w:color w:val="000000"/>
                      <w:kern w:val="2"/>
                      <w:sz w:val="21"/>
                      <w:szCs w:val="24"/>
                      <w:lang w:val="en-US" w:eastAsia="zh-CN"/>
                    </w:rPr>
                    <w:t>过程中的风险防范措施</w:t>
                  </w:r>
                  <w:r>
                    <w:rPr>
                      <w:rFonts w:hint="default" w:ascii="Times New Roman" w:hAnsi="Times New Roman" w:eastAsia="宋体" w:cs="Times New Roman"/>
                      <w:color w:val="000000"/>
                      <w:kern w:val="2"/>
                      <w:sz w:val="21"/>
                      <w:szCs w:val="24"/>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eastAsia" w:ascii="Times New Roman" w:hAnsi="Times New Roman" w:eastAsia="宋体" w:cs="Times New Roman"/>
                      <w:color w:val="000000"/>
                      <w:kern w:val="2"/>
                      <w:sz w:val="21"/>
                      <w:szCs w:val="24"/>
                      <w:lang w:eastAsia="zh-CN"/>
                    </w:rPr>
                  </w:pPr>
                  <w:r>
                    <w:rPr>
                      <w:rFonts w:hint="default" w:ascii="Times New Roman" w:hAnsi="Times New Roman" w:eastAsia="宋体" w:cs="Times New Roman"/>
                      <w:color w:val="000000"/>
                      <w:kern w:val="2"/>
                      <w:sz w:val="21"/>
                      <w:szCs w:val="24"/>
                    </w:rPr>
                    <w:t>③</w:t>
                  </w:r>
                  <w:r>
                    <w:rPr>
                      <w:rFonts w:hint="default" w:ascii="Times New Roman" w:hAnsi="Times New Roman" w:eastAsia="宋体" w:cs="Times New Roman"/>
                      <w:color w:val="000000"/>
                      <w:kern w:val="2"/>
                      <w:sz w:val="21"/>
                      <w:szCs w:val="24"/>
                      <w:lang w:val="en-US" w:eastAsia="zh-CN"/>
                    </w:rPr>
                    <w:t>危险废物在暂存过程中的风险防范措施</w:t>
                  </w:r>
                  <w:r>
                    <w:rPr>
                      <w:rFonts w:hint="eastAsia" w:ascii="Times New Roman" w:hAnsi="Times New Roman" w:eastAsia="宋体" w:cs="Times New Roman"/>
                      <w:color w:val="000000"/>
                      <w:kern w:val="2"/>
                      <w:sz w:val="21"/>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填表说明（列出项目相关信息及评价说明）</w:t>
                  </w:r>
                </w:p>
              </w:tc>
              <w:tc>
                <w:tcPr>
                  <w:tcW w:w="63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宋体" w:hAnsi="宋体" w:eastAsia="宋体" w:cs="宋体"/>
                      <w:color w:val="000000"/>
                      <w:kern w:val="2"/>
                      <w:sz w:val="21"/>
                      <w:szCs w:val="24"/>
                    </w:rPr>
                    <w:t>本项目</w:t>
                  </w:r>
                  <w:r>
                    <w:rPr>
                      <w:rFonts w:hint="eastAsia" w:ascii="宋体" w:hAnsi="宋体" w:eastAsia="宋体" w:cs="宋体"/>
                      <w:color w:val="000000"/>
                      <w:kern w:val="2"/>
                      <w:sz w:val="21"/>
                      <w:szCs w:val="24"/>
                      <w:lang w:val="en-US" w:eastAsia="zh-CN"/>
                    </w:rPr>
                    <w:t>暂存废</w:t>
                  </w:r>
                  <w:r>
                    <w:rPr>
                      <w:rFonts w:hint="eastAsia" w:ascii="宋体" w:hAnsi="宋体" w:cs="宋体"/>
                      <w:color w:val="000000"/>
                      <w:kern w:val="2"/>
                      <w:sz w:val="21"/>
                      <w:szCs w:val="24"/>
                      <w:lang w:val="en-US" w:eastAsia="zh-CN"/>
                    </w:rPr>
                    <w:t>润滑油</w:t>
                  </w:r>
                  <w:r>
                    <w:rPr>
                      <w:rFonts w:hint="eastAsia" w:ascii="Times New Roman" w:hAnsi="Times New Roman" w:eastAsia="宋体" w:cs="Times New Roman"/>
                      <w:bCs/>
                      <w:color w:val="000000"/>
                      <w:kern w:val="2"/>
                      <w:sz w:val="21"/>
                      <w:szCs w:val="21"/>
                      <w:vertAlign w:val="baseline"/>
                      <w:lang w:val="en-US" w:eastAsia="zh-CN"/>
                    </w:rPr>
                    <w:t>，</w:t>
                  </w:r>
                  <w:r>
                    <w:rPr>
                      <w:rFonts w:hint="default" w:ascii="Times New Roman" w:hAnsi="Times New Roman" w:eastAsia="宋体" w:cs="Times New Roman"/>
                      <w:color w:val="000000"/>
                      <w:kern w:val="2"/>
                      <w:sz w:val="21"/>
                      <w:szCs w:val="24"/>
                      <w:lang w:val="en-US" w:eastAsia="zh-CN"/>
                    </w:rPr>
                    <w:t>根据物质危险性识别确定各环境要素环境风险潜势等级均为Ⅰ，根据《建设项目环境风险评价技术导则》（HJ/T169-2018），环境风险评价工作等级为简单分析，评价深度以定性说明为主，环境风险评价对其进行了简要定性分析。最终确定环境风险可控，处于可接受水平。</w:t>
                  </w:r>
                </w:p>
              </w:tc>
            </w:tr>
          </w:tbl>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ascii="Times New Roman" w:hAnsi="Times New Roman" w:eastAsia="宋体" w:cs="宋体"/>
                <w:bCs/>
                <w:snapToGrid w:val="0"/>
                <w:color w:val="000000"/>
                <w:spacing w:val="-10"/>
                <w:kern w:val="2"/>
                <w:sz w:val="21"/>
                <w:szCs w:val="21"/>
                <w:highlight w:val="none"/>
                <w:lang w:val="en-US" w:eastAsia="zh-CN" w:bidi="ar-SA"/>
              </w:rPr>
            </w:pPr>
          </w:p>
        </w:tc>
      </w:tr>
    </w:tbl>
    <w:p>
      <w:pPr>
        <w:widowControl w:val="0"/>
        <w:overflowPunct w:val="0"/>
        <w:autoSpaceDE w:val="0"/>
        <w:autoSpaceDN w:val="0"/>
        <w:bidi w:val="0"/>
        <w:adjustRightInd w:val="0"/>
        <w:snapToGrid w:val="0"/>
        <w:spacing w:before="0" w:after="0" w:line="560" w:lineRule="exact"/>
        <w:ind w:left="0" w:right="0" w:firstLine="0" w:firstLineChars="0"/>
        <w:jc w:val="center"/>
        <w:outlineLvl w:val="9"/>
        <w:rPr>
          <w:rFonts w:ascii="Times New Roman" w:hAnsi="Times New Roman" w:eastAsia="宋体" w:cs="宋体"/>
          <w:b/>
          <w:kern w:val="44"/>
          <w:sz w:val="28"/>
          <w:szCs w:val="22"/>
          <w:lang w:val="en-US" w:eastAsia="zh-CN" w:bidi="ar-SA"/>
        </w:rPr>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2" w:name="_Toc16160"/>
    </w:p>
    <w:p>
      <w:pPr>
        <w:widowControl w:val="0"/>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33" w:name="_Toc26998"/>
      <w:bookmarkStart w:id="34" w:name="_Toc1901"/>
      <w:bookmarkStart w:id="35" w:name="_Toc20053"/>
      <w:bookmarkStart w:id="36" w:name="_Toc26693"/>
      <w:bookmarkStart w:id="37" w:name="_Toc21082"/>
      <w:r>
        <w:rPr>
          <w:rFonts w:ascii="Times New Roman" w:hAnsi="Times New Roman" w:eastAsia="宋体" w:cs="宋体"/>
          <w:b/>
          <w:kern w:val="44"/>
          <w:sz w:val="28"/>
          <w:szCs w:val="22"/>
          <w:lang w:val="en-US" w:eastAsia="zh-CN" w:bidi="ar-SA"/>
        </w:rPr>
        <w:t>五、环境保护措施监督检查清单</w:t>
      </w:r>
      <w:bookmarkEnd w:id="32"/>
      <w:bookmarkEnd w:id="33"/>
      <w:bookmarkEnd w:id="34"/>
      <w:bookmarkEnd w:id="35"/>
      <w:bookmarkEnd w:id="36"/>
      <w:bookmarkEnd w:id="37"/>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67"/>
        <w:gridCol w:w="1656"/>
        <w:gridCol w:w="1166"/>
        <w:gridCol w:w="1830"/>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right"/>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mc:AlternateContent>
                <mc:Choice Requires="wps">
                  <w:drawing>
                    <wp:anchor distT="0" distB="0" distL="114300" distR="114300" simplePos="0" relativeHeight="251663360" behindDoc="1" locked="0" layoutInCell="1" allowOverlap="1">
                      <wp:simplePos x="0" y="0"/>
                      <wp:positionH relativeFrom="page">
                        <wp:posOffset>-13970</wp:posOffset>
                      </wp:positionH>
                      <wp:positionV relativeFrom="paragraph">
                        <wp:posOffset>-12065</wp:posOffset>
                      </wp:positionV>
                      <wp:extent cx="827405" cy="523240"/>
                      <wp:effectExtent l="2540" t="3810" r="8255" b="6350"/>
                      <wp:wrapNone/>
                      <wp:docPr id="185" name="直线 93"/>
                      <wp:cNvGraphicFramePr/>
                      <a:graphic xmlns:a="http://schemas.openxmlformats.org/drawingml/2006/main">
                        <a:graphicData uri="http://schemas.microsoft.com/office/word/2010/wordprocessingShape">
                          <wps:wsp>
                            <wps:cNvCnPr/>
                            <wps:spPr>
                              <a:xfrm>
                                <a:off x="0" y="0"/>
                                <a:ext cx="827405" cy="5232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1.1pt;margin-top:-0.95pt;height:41.2pt;width:65.15pt;mso-position-horizontal-relative:page;z-index:-251653120;mso-width-relative:page;mso-height-relative:page;" filled="f" stroked="t" coordsize="21600,21600" o:gfxdata="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mY6arVAAAACAEAAA8AAAAAAAAAAQAgAAAAIgAAAGRycy9kb3ducmV2LnhtbFBLAQIUABQAAAAI&#10;AIdO4kD6Lwtx8AEAAOIDAAAOAAAAAAAAAAEAIAAAACQBAABkcnMvZTJvRG9jLnhtbFBLBQYAAAAA&#10;BgAGAFkBAACGBQAAAAA=&#10;">
                      <v:fill on="f" focussize="0,0"/>
                      <v:stroke weight="0.5pt" color="#000000" joinstyle="round"/>
                      <v:imagedata o:title=""/>
                      <o:lock v:ext="edit" aspectratio="f"/>
                    </v:line>
                  </w:pict>
                </mc:Fallback>
              </mc:AlternateContent>
            </w:r>
            <w:r>
              <w:rPr>
                <w:rFonts w:hint="eastAsia" w:ascii="Times New Roman" w:hAnsi="Times New Roman" w:eastAsia="宋体" w:cs="宋体"/>
                <w:sz w:val="21"/>
                <w:szCs w:val="22"/>
                <w:lang w:val="en-US" w:eastAsia="zh-CN" w:bidi="ar-SA"/>
              </w:rPr>
              <w:t>内容</w:t>
            </w:r>
          </w:p>
          <w:p>
            <w:pPr>
              <w:widowControl w:val="0"/>
              <w:overflowPunct w:val="0"/>
              <w:autoSpaceDE w:val="0"/>
              <w:autoSpaceDN w:val="0"/>
              <w:bidi w:val="0"/>
              <w:adjustRightInd w:val="0"/>
              <w:snapToGrid w:val="0"/>
              <w:spacing w:before="0" w:after="0" w:line="400" w:lineRule="exact"/>
              <w:ind w:left="0" w:right="0" w:firstLine="0" w:firstLineChars="0"/>
              <w:jc w:val="left"/>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要素</w:t>
            </w: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排放口(编号、名称)/污染源</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污染物</w:t>
            </w: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项目</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环境保护措施</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大气环境</w:t>
            </w:r>
          </w:p>
        </w:tc>
        <w:tc>
          <w:tcPr>
            <w:tcW w:w="667"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有组织</w:t>
            </w: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ascii="Times New Roman" w:hAnsi="Times New Roman" w:cs="宋体"/>
                <w:sz w:val="21"/>
                <w:szCs w:val="22"/>
                <w:lang w:val="en-US" w:eastAsia="zh-CN" w:bidi="ar-SA"/>
              </w:rPr>
              <w:t>1</w:t>
            </w: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高负压</w:t>
            </w:r>
            <w:r>
              <w:rPr>
                <w:rFonts w:hint="eastAsia" w:ascii="Times New Roman" w:hAnsi="Times New Roman" w:eastAsia="宋体" w:cs="Times New Roman"/>
                <w:color w:val="000000"/>
                <w:kern w:val="2"/>
                <w:sz w:val="21"/>
                <w:szCs w:val="21"/>
                <w:lang w:val="en-US" w:eastAsia="zh-CN" w:bidi="ar-SA"/>
              </w:rPr>
              <w:t>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CH</w:t>
            </w:r>
            <w:r>
              <w:rPr>
                <w:rFonts w:hint="eastAsia" w:cs="宋体"/>
                <w:sz w:val="21"/>
                <w:szCs w:val="22"/>
                <w:vertAlign w:val="subscript"/>
                <w:lang w:val="en-US" w:eastAsia="zh-CN" w:bidi="ar-SA"/>
              </w:rPr>
              <w:t>4</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cs="宋体"/>
                <w:sz w:val="21"/>
                <w:szCs w:val="22"/>
                <w:lang w:val="en-US" w:eastAsia="zh-CN" w:bidi="ar-SA"/>
              </w:rPr>
              <w:t>自动抑爆装置+水封阻火泄爆装置+18m放空管</w:t>
            </w:r>
          </w:p>
        </w:tc>
        <w:tc>
          <w:tcPr>
            <w:tcW w:w="3140" w:type="dxa"/>
            <w:vMerge w:val="restart"/>
            <w:vAlign w:val="center"/>
          </w:tcPr>
          <w:p>
            <w:pPr>
              <w:overflowPunct w:val="0"/>
              <w:autoSpaceDE w:val="0"/>
              <w:autoSpaceDN w:val="0"/>
              <w:bidi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sz w:val="21"/>
                <w:szCs w:val="21"/>
                <w:lang w:val="zh-CN" w:eastAsia="zh-CN"/>
              </w:rPr>
            </w:pPr>
            <w:r>
              <w:rPr>
                <w:rFonts w:hint="eastAsia" w:ascii="Times New Roman" w:hAnsi="Times New Roman" w:eastAsia="宋体" w:cs="宋体"/>
                <w:sz w:val="21"/>
                <w:szCs w:val="21"/>
                <w:lang w:val="zh-CN" w:eastAsia="zh-CN"/>
              </w:rPr>
              <w:t>《煤层气（煤矿瓦斯）排放标准（暂行）》（GB21522-2008）表1 煤层气（煤矿瓦斯）排放限值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667"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ascii="Times New Roman" w:hAnsi="Times New Roman" w:cs="宋体"/>
                <w:sz w:val="21"/>
                <w:szCs w:val="22"/>
                <w:lang w:val="en-US" w:eastAsia="zh-CN" w:bidi="ar-SA"/>
              </w:rPr>
              <w:t>2</w:t>
            </w:r>
            <w:r>
              <w:rPr>
                <w:rFonts w:hint="eastAsia" w:ascii="Times New Roman" w:hAnsi="Times New Roman" w:eastAsia="宋体" w:cs="Times New Roman"/>
                <w:color w:val="000000"/>
                <w:kern w:val="2"/>
                <w:sz w:val="21"/>
                <w:szCs w:val="21"/>
                <w:lang w:val="en-US" w:eastAsia="zh-CN" w:bidi="ar-SA"/>
              </w:rPr>
              <w:t>（低负压排放口）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cs="宋体"/>
                <w:sz w:val="21"/>
                <w:szCs w:val="22"/>
                <w:lang w:val="en-US" w:eastAsia="zh-CN" w:bidi="ar-SA"/>
              </w:rPr>
            </w:pPr>
            <w:r>
              <w:rPr>
                <w:rFonts w:hint="eastAsia" w:cs="宋体"/>
                <w:sz w:val="21"/>
                <w:szCs w:val="22"/>
                <w:lang w:val="en-US" w:eastAsia="zh-CN" w:bidi="ar-SA"/>
              </w:rPr>
              <w:t>CH</w:t>
            </w:r>
            <w:r>
              <w:rPr>
                <w:rFonts w:hint="eastAsia" w:cs="宋体"/>
                <w:sz w:val="21"/>
                <w:szCs w:val="22"/>
                <w:vertAlign w:val="subscript"/>
                <w:lang w:val="en-US" w:eastAsia="zh-CN" w:bidi="ar-SA"/>
              </w:rPr>
              <w:t>4</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cs="宋体"/>
                <w:sz w:val="21"/>
                <w:szCs w:val="22"/>
                <w:lang w:val="en-US" w:eastAsia="zh-CN" w:bidi="ar-SA"/>
              </w:rPr>
            </w:pPr>
            <w:r>
              <w:rPr>
                <w:rFonts w:hint="eastAsia" w:cs="宋体"/>
                <w:sz w:val="21"/>
                <w:szCs w:val="22"/>
                <w:lang w:val="en-US" w:eastAsia="zh-CN" w:bidi="ar-SA"/>
              </w:rPr>
              <w:t>自动抑爆装置+水封阻火泄爆装置+18m放空管</w:t>
            </w:r>
          </w:p>
        </w:tc>
        <w:tc>
          <w:tcPr>
            <w:tcW w:w="3140" w:type="dxa"/>
            <w:vMerge w:val="continue"/>
            <w:vAlign w:val="center"/>
          </w:tcPr>
          <w:p>
            <w:pPr>
              <w:overflowPunct w:val="0"/>
              <w:autoSpaceDE w:val="0"/>
              <w:autoSpaceDN w:val="0"/>
              <w:bidi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279" w:type="dxa"/>
            <w:gridSpan w:val="2"/>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水环境</w:t>
            </w:r>
          </w:p>
        </w:tc>
        <w:tc>
          <w:tcPr>
            <w:tcW w:w="1656"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生产废水</w:t>
            </w:r>
          </w:p>
        </w:tc>
        <w:tc>
          <w:tcPr>
            <w:tcW w:w="1166" w:type="dxa"/>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宋体" w:cs="宋体"/>
                <w:sz w:val="21"/>
                <w:szCs w:val="22"/>
                <w:lang w:val="en-US" w:eastAsia="zh-CN" w:bidi="ar-SA"/>
              </w:rPr>
            </w:pPr>
            <w:r>
              <w:rPr>
                <w:rFonts w:hint="default" w:ascii="Times New Roman" w:hAnsi="Times New Roman" w:eastAsia="宋体" w:cs="Times New Roman"/>
                <w:b w:val="0"/>
                <w:bCs w:val="0"/>
                <w:color w:val="auto"/>
                <w:sz w:val="21"/>
                <w:szCs w:val="21"/>
                <w:highlight w:val="none"/>
                <w:lang w:val="en-US" w:eastAsia="zh-CN"/>
              </w:rPr>
              <w:t>pH</w:t>
            </w:r>
          </w:p>
        </w:tc>
        <w:tc>
          <w:tcPr>
            <w:tcW w:w="1830"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依托现有工程矿井水处理站</w:t>
            </w:r>
          </w:p>
        </w:tc>
        <w:tc>
          <w:tcPr>
            <w:tcW w:w="3140"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default" w:ascii="Times New Roman" w:hAnsi="Times New Roman" w:eastAsia="宋体" w:cs="宋体"/>
                <w:sz w:val="21"/>
                <w:szCs w:val="22"/>
                <w:lang w:val="en-US" w:eastAsia="zh-CN" w:bidi="ar-SA"/>
              </w:rPr>
              <w:t>《煤炭工业污染物排放标准》（GB20426-2006）以及《污水综合排放标准》（GB8978-1996）一级标准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279" w:type="dxa"/>
            <w:gridSpan w:val="2"/>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pPr>
          </w:p>
        </w:tc>
        <w:tc>
          <w:tcPr>
            <w:tcW w:w="1656"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pPr>
          </w:p>
        </w:tc>
        <w:tc>
          <w:tcPr>
            <w:tcW w:w="1166" w:type="dxa"/>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宋体" w:cs="宋体"/>
                <w:sz w:val="21"/>
                <w:szCs w:val="22"/>
                <w:lang w:val="en-US" w:eastAsia="zh-CN" w:bidi="ar-SA"/>
              </w:rPr>
            </w:pPr>
            <w:r>
              <w:rPr>
                <w:rFonts w:hint="default" w:ascii="Times New Roman" w:hAnsi="Times New Roman" w:eastAsia="宋体" w:cs="Times New Roman"/>
                <w:b w:val="0"/>
                <w:bCs w:val="0"/>
                <w:color w:val="auto"/>
                <w:sz w:val="21"/>
                <w:szCs w:val="21"/>
                <w:highlight w:val="none"/>
                <w:lang w:val="en-US" w:eastAsia="zh-CN"/>
              </w:rPr>
              <w:t>COD</w:t>
            </w:r>
          </w:p>
        </w:tc>
        <w:tc>
          <w:tcPr>
            <w:tcW w:w="1830"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c>
          <w:tcPr>
            <w:tcW w:w="3140"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279" w:type="dxa"/>
            <w:gridSpan w:val="2"/>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c>
          <w:tcPr>
            <w:tcW w:w="1656"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c>
          <w:tcPr>
            <w:tcW w:w="1166" w:type="dxa"/>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宋体" w:cs="宋体"/>
                <w:sz w:val="21"/>
                <w:szCs w:val="22"/>
                <w:lang w:val="en-US" w:eastAsia="zh-CN" w:bidi="ar-SA"/>
              </w:rPr>
            </w:pPr>
            <w:r>
              <w:rPr>
                <w:rFonts w:hint="eastAsia" w:ascii="Times New Roman" w:hAnsi="Times New Roman" w:cs="Times New Roman"/>
                <w:b w:val="0"/>
                <w:bCs w:val="0"/>
                <w:color w:val="auto"/>
                <w:sz w:val="21"/>
                <w:szCs w:val="21"/>
                <w:highlight w:val="none"/>
                <w:lang w:val="en-US" w:eastAsia="zh-CN"/>
              </w:rPr>
              <w:t>溶解性总固体</w:t>
            </w:r>
          </w:p>
        </w:tc>
        <w:tc>
          <w:tcPr>
            <w:tcW w:w="1830"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c>
          <w:tcPr>
            <w:tcW w:w="3140"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固废</w:t>
            </w: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废</w:t>
            </w:r>
            <w:r>
              <w:rPr>
                <w:rFonts w:hint="eastAsia" w:cs="宋体"/>
                <w:sz w:val="21"/>
                <w:szCs w:val="22"/>
                <w:lang w:val="en-US" w:eastAsia="zh-CN" w:bidi="ar-SA"/>
              </w:rPr>
              <w:t>润滑油</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危险废物</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暂存危险废物暂存间，委托新疆鸿裕翔能源环保科技有限公司收集并运至新疆海克新能源科技有限公司</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default" w:ascii="Times New Roman" w:hAnsi="Times New Roman" w:eastAsia="宋体" w:cs="宋体"/>
                <w:sz w:val="21"/>
                <w:szCs w:val="22"/>
                <w:lang w:val="en-US" w:eastAsia="zh-CN" w:bidi="ar-SA"/>
              </w:rPr>
              <w:t>《危险废物贮存污染控制标准》（GB18597-2023）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279" w:type="dxa"/>
            <w:gridSpan w:val="2"/>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sz w:val="21"/>
                <w:szCs w:val="22"/>
                <w:lang w:val="en-US" w:eastAsia="zh-CN" w:bidi="ar-SA"/>
              </w:rPr>
            </w:pPr>
            <w:r>
              <w:rPr>
                <w:rFonts w:hint="eastAsia" w:cs="Times New Roman"/>
                <w:color w:val="000000"/>
                <w:kern w:val="0"/>
                <w:sz w:val="21"/>
                <w:szCs w:val="21"/>
                <w:highlight w:val="none"/>
                <w:lang w:val="en-US" w:eastAsia="zh-CN" w:bidi="ar"/>
              </w:rPr>
              <w:t>废离子交换树脂</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一般固废</w:t>
            </w:r>
          </w:p>
        </w:tc>
        <w:tc>
          <w:tcPr>
            <w:tcW w:w="1830"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sz w:val="21"/>
                <w:szCs w:val="22"/>
                <w:lang w:val="en-US" w:eastAsia="zh-CN" w:bidi="ar-SA"/>
              </w:rPr>
            </w:pPr>
            <w:r>
              <w:rPr>
                <w:rFonts w:hint="eastAsia" w:cs="Times New Roman"/>
                <w:color w:val="000000"/>
                <w:kern w:val="0"/>
                <w:sz w:val="21"/>
                <w:szCs w:val="21"/>
                <w:highlight w:val="none"/>
                <w:lang w:val="en-US" w:eastAsia="zh-CN" w:bidi="ar"/>
              </w:rPr>
              <w:t>原厂回收综合利用</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default" w:ascii="Times New Roman" w:hAnsi="Times New Roman" w:eastAsia="宋体" w:cs="宋体"/>
                <w:sz w:val="21"/>
                <w:szCs w:val="22"/>
                <w:highlight w:val="none"/>
                <w:lang w:val="en-US" w:eastAsia="zh-CN" w:bidi="ar-SA"/>
              </w:rPr>
              <w:t>《一般工业固体废物贮存和填埋场污染控制标准》（GB18599-2020）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声环境</w:t>
            </w: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cs="宋体"/>
                <w:sz w:val="21"/>
                <w:szCs w:val="22"/>
                <w:lang w:val="en-US" w:eastAsia="zh-CN" w:bidi="ar-SA"/>
              </w:rPr>
              <w:t>泵类设备</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设备运营噪声</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选用具有减震、降噪、隔声、消声设计的设备</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电磁辐射</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土壤及地下水污染防治措施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default" w:ascii="Times New Roman" w:hAnsi="Times New Roman" w:eastAsia="宋体" w:cs="宋体"/>
                <w:color w:val="000000"/>
                <w:sz w:val="21"/>
                <w:szCs w:val="21"/>
                <w:highlight w:val="none"/>
                <w:lang w:val="en-US" w:eastAsia="zh-CN"/>
              </w:rPr>
              <w:t>（1）防渗措施：</w:t>
            </w:r>
            <w:r>
              <w:rPr>
                <w:rFonts w:hint="eastAsia" w:ascii="Times New Roman" w:hAnsi="Times New Roman" w:eastAsia="宋体" w:cs="宋体"/>
                <w:color w:val="000000"/>
                <w:sz w:val="21"/>
                <w:szCs w:val="21"/>
                <w:highlight w:val="none"/>
                <w:lang w:val="en-US" w:eastAsia="zh-CN"/>
              </w:rPr>
              <w:t>采取分区防渗，其中</w:t>
            </w:r>
            <w:r>
              <w:rPr>
                <w:rFonts w:hint="default" w:ascii="Times New Roman" w:hAnsi="Times New Roman" w:eastAsia="宋体" w:cs="宋体"/>
                <w:color w:val="000000"/>
                <w:sz w:val="21"/>
                <w:szCs w:val="21"/>
                <w:highlight w:val="none"/>
                <w:lang w:val="en-US" w:eastAsia="zh-CN"/>
              </w:rPr>
              <w:t>重点防渗区设置防渗层，防渗技术要求：渗透系数应小于1.0×10</w:t>
            </w:r>
            <w:r>
              <w:rPr>
                <w:rFonts w:hint="default" w:ascii="Times New Roman" w:hAnsi="Times New Roman" w:eastAsia="宋体" w:cs="宋体"/>
                <w:color w:val="000000"/>
                <w:sz w:val="21"/>
                <w:szCs w:val="21"/>
                <w:highlight w:val="none"/>
                <w:vertAlign w:val="superscript"/>
                <w:lang w:val="en-US" w:eastAsia="zh-CN"/>
              </w:rPr>
              <w:t>-</w:t>
            </w:r>
            <w:r>
              <w:rPr>
                <w:rFonts w:hint="eastAsia" w:cs="宋体"/>
                <w:color w:val="000000"/>
                <w:sz w:val="21"/>
                <w:szCs w:val="21"/>
                <w:highlight w:val="none"/>
                <w:vertAlign w:val="superscript"/>
                <w:lang w:val="en-US" w:eastAsia="zh-CN"/>
              </w:rPr>
              <w:t>7</w:t>
            </w:r>
            <w:r>
              <w:rPr>
                <w:rFonts w:hint="default" w:ascii="Times New Roman" w:hAnsi="Times New Roman" w:eastAsia="宋体" w:cs="宋体"/>
                <w:color w:val="000000"/>
                <w:sz w:val="21"/>
                <w:szCs w:val="21"/>
                <w:highlight w:val="none"/>
                <w:lang w:val="en-US" w:eastAsia="zh-CN"/>
              </w:rPr>
              <w:t>cm/s</w:t>
            </w:r>
            <w:r>
              <w:rPr>
                <w:rFonts w:hint="eastAsia" w:ascii="Times New Roman" w:hAnsi="Times New Roman"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color w:val="000000"/>
                <w:sz w:val="21"/>
                <w:szCs w:val="21"/>
                <w:highlight w:val="none"/>
                <w:lang w:val="en-US" w:eastAsia="zh-CN"/>
              </w:rPr>
              <w:t>（</w:t>
            </w:r>
            <w:r>
              <w:rPr>
                <w:rFonts w:hint="eastAsia" w:ascii="Times New Roman" w:hAnsi="Times New Roman" w:eastAsia="宋体" w:cs="宋体"/>
                <w:color w:val="000000"/>
                <w:sz w:val="21"/>
                <w:szCs w:val="21"/>
                <w:highlight w:val="none"/>
                <w:lang w:val="en-US" w:eastAsia="zh-CN"/>
              </w:rPr>
              <w:t>2</w:t>
            </w:r>
            <w:r>
              <w:rPr>
                <w:rFonts w:hint="default" w:ascii="Times New Roman" w:hAnsi="Times New Roman" w:eastAsia="宋体" w:cs="宋体"/>
                <w:color w:val="000000"/>
                <w:sz w:val="21"/>
                <w:szCs w:val="21"/>
                <w:highlight w:val="none"/>
                <w:lang w:val="en-US" w:eastAsia="zh-CN"/>
              </w:rPr>
              <w:t>）加强日常巡检，及时发现隐患。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生态保护措施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000000"/>
                <w:sz w:val="21"/>
                <w:szCs w:val="21"/>
                <w:highlight w:val="none"/>
                <w:lang w:val="en-US" w:eastAsia="zh-CN"/>
              </w:rPr>
              <w:t>本项目建设完成后会进行相应的绿化措施。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highlight w:val="none"/>
                <w:lang w:val="en-US" w:eastAsia="zh-CN" w:bidi="ar-SA"/>
              </w:rPr>
            </w:pPr>
            <w:r>
              <w:rPr>
                <w:rFonts w:ascii="Times New Roman" w:hAnsi="Times New Roman" w:eastAsia="宋体" w:cs="宋体"/>
                <w:sz w:val="21"/>
                <w:szCs w:val="22"/>
                <w:highlight w:val="none"/>
                <w:lang w:val="en-US" w:eastAsia="zh-CN" w:bidi="ar-SA"/>
              </w:rPr>
              <w:t>环境风险防范措施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w:t>
            </w:r>
            <w:r>
              <w:rPr>
                <w:rFonts w:hint="default" w:ascii="Times New Roman" w:hAnsi="Times New Roman" w:eastAsia="宋体" w:cs="宋体"/>
                <w:color w:val="000000"/>
                <w:sz w:val="21"/>
                <w:szCs w:val="21"/>
                <w:highlight w:val="none"/>
                <w:lang w:val="en-US" w:eastAsia="zh-CN"/>
              </w:rPr>
              <w:t>严格按照规章制度标准设计建设。</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（2）厂区采取分区防渗措施，</w:t>
            </w:r>
            <w:r>
              <w:rPr>
                <w:rFonts w:hint="default" w:ascii="Times New Roman" w:hAnsi="Times New Roman" w:eastAsia="宋体" w:cs="宋体"/>
                <w:color w:val="000000"/>
                <w:sz w:val="21"/>
                <w:szCs w:val="21"/>
                <w:highlight w:val="none"/>
                <w:lang w:val="en-US" w:eastAsia="zh-CN"/>
              </w:rPr>
              <w:t>地面全部采用耐腐蚀防渗硬化地面。</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（3）</w:t>
            </w:r>
            <w:r>
              <w:rPr>
                <w:rFonts w:hint="default" w:ascii="Times New Roman" w:hAnsi="Times New Roman" w:eastAsia="宋体" w:cs="宋体"/>
                <w:color w:val="000000"/>
                <w:sz w:val="21"/>
                <w:szCs w:val="21"/>
                <w:highlight w:val="none"/>
                <w:lang w:val="en-US" w:eastAsia="zh-CN"/>
              </w:rPr>
              <w:t>设置防爆、防雷、防静电接地装置；设有通风换气设施。</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（4）</w:t>
            </w:r>
            <w:r>
              <w:rPr>
                <w:rFonts w:hint="default" w:ascii="Times New Roman" w:hAnsi="Times New Roman" w:eastAsia="宋体" w:cs="宋体"/>
                <w:color w:val="000000"/>
                <w:sz w:val="21"/>
                <w:szCs w:val="21"/>
                <w:highlight w:val="none"/>
                <w:lang w:val="en-US" w:eastAsia="zh-CN"/>
              </w:rPr>
              <w:t>建立严格的</w:t>
            </w:r>
            <w:r>
              <w:rPr>
                <w:rFonts w:hint="eastAsia" w:ascii="Times New Roman" w:hAnsi="Times New Roman" w:eastAsia="宋体" w:cs="宋体"/>
                <w:color w:val="000000"/>
                <w:sz w:val="21"/>
                <w:szCs w:val="21"/>
                <w:highlight w:val="none"/>
                <w:lang w:val="en-US" w:eastAsia="zh-CN"/>
              </w:rPr>
              <w:t>管理</w:t>
            </w:r>
            <w:r>
              <w:rPr>
                <w:rFonts w:hint="default" w:ascii="Times New Roman" w:hAnsi="Times New Roman" w:eastAsia="宋体" w:cs="宋体"/>
                <w:color w:val="000000"/>
                <w:sz w:val="21"/>
                <w:szCs w:val="21"/>
                <w:highlight w:val="none"/>
                <w:lang w:val="en-US" w:eastAsia="zh-CN"/>
              </w:rPr>
              <w:t>制度</w:t>
            </w:r>
            <w:r>
              <w:rPr>
                <w:rFonts w:hint="eastAsia" w:ascii="Times New Roman" w:hAnsi="Times New Roman" w:eastAsia="宋体" w:cs="宋体"/>
                <w:color w:val="000000"/>
                <w:sz w:val="21"/>
                <w:szCs w:val="21"/>
                <w:highlight w:val="none"/>
                <w:lang w:val="en-US" w:eastAsia="zh-CN"/>
              </w:rPr>
              <w:t>和修编应急预案，并开展应急演练</w:t>
            </w:r>
            <w:r>
              <w:rPr>
                <w:rFonts w:hint="default" w:ascii="Times New Roman" w:hAnsi="Times New Roman"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left"/>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（5）</w:t>
            </w:r>
            <w:r>
              <w:rPr>
                <w:rFonts w:hint="default" w:ascii="Times New Roman" w:hAnsi="Times New Roman" w:eastAsia="宋体" w:cs="宋体"/>
                <w:color w:val="000000"/>
                <w:sz w:val="21"/>
                <w:szCs w:val="21"/>
                <w:highlight w:val="none"/>
                <w:lang w:val="en-US" w:eastAsia="zh-CN"/>
              </w:rPr>
              <w:t>应配备足量泄漏、火灾、爆炸事故的应急物资和医药应急药品等</w:t>
            </w:r>
            <w:r>
              <w:rPr>
                <w:rFonts w:hint="eastAsia" w:ascii="Times New Roman" w:hAnsi="Times New Roman" w:eastAsia="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其他环境管理要求</w:t>
            </w:r>
          </w:p>
        </w:tc>
        <w:tc>
          <w:tcPr>
            <w:tcW w:w="7792" w:type="dxa"/>
            <w:gridSpan w:val="4"/>
            <w:vAlign w:val="center"/>
          </w:tcPr>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一、</w:t>
            </w:r>
            <w:r>
              <w:rPr>
                <w:rFonts w:hint="eastAsia" w:ascii="Times New Roman" w:hAnsi="Times New Roman" w:eastAsia="宋体" w:cs="宋体"/>
                <w:sz w:val="21"/>
                <w:szCs w:val="21"/>
              </w:rPr>
              <w:t>工程环保投资概算</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rPr>
            </w:pPr>
            <w:r>
              <w:rPr>
                <w:rFonts w:hint="eastAsia" w:ascii="Times New Roman" w:hAnsi="Times New Roman" w:eastAsia="宋体" w:cs="宋体"/>
                <w:sz w:val="21"/>
                <w:szCs w:val="21"/>
                <w:highlight w:val="none"/>
              </w:rPr>
              <w:t>本项目总投资</w:t>
            </w:r>
            <w:r>
              <w:rPr>
                <w:rFonts w:hint="eastAsia" w:ascii="Times New Roman" w:hAnsi="Times New Roman" w:eastAsia="宋体" w:cs="宋体"/>
                <w:sz w:val="21"/>
                <w:szCs w:val="21"/>
                <w:highlight w:val="none"/>
                <w:lang w:val="en-US" w:eastAsia="zh-CN"/>
              </w:rPr>
              <w:t>1781.53</w:t>
            </w:r>
            <w:r>
              <w:rPr>
                <w:rFonts w:hint="eastAsia" w:ascii="Times New Roman" w:hAnsi="Times New Roman" w:eastAsia="宋体" w:cs="宋体"/>
                <w:sz w:val="21"/>
                <w:szCs w:val="21"/>
                <w:highlight w:val="none"/>
              </w:rPr>
              <w:t>万，其中环保投资</w:t>
            </w:r>
            <w:r>
              <w:rPr>
                <w:rFonts w:hint="eastAsia" w:cs="宋体"/>
                <w:sz w:val="21"/>
                <w:szCs w:val="21"/>
                <w:highlight w:val="none"/>
                <w:lang w:val="en-US" w:eastAsia="zh-CN"/>
              </w:rPr>
              <w:t>90</w:t>
            </w:r>
            <w:r>
              <w:rPr>
                <w:rFonts w:hint="eastAsia" w:ascii="Times New Roman" w:hAnsi="Times New Roman" w:eastAsia="宋体" w:cs="宋体"/>
                <w:sz w:val="21"/>
                <w:szCs w:val="21"/>
                <w:highlight w:val="none"/>
              </w:rPr>
              <w:t>元，占总投资额的</w:t>
            </w:r>
            <w:r>
              <w:rPr>
                <w:rFonts w:hint="eastAsia" w:cs="宋体"/>
                <w:sz w:val="21"/>
                <w:szCs w:val="21"/>
                <w:highlight w:val="none"/>
                <w:lang w:val="en-US" w:eastAsia="zh-CN"/>
              </w:rPr>
              <w:t>5.05</w:t>
            </w:r>
            <w:r>
              <w:rPr>
                <w:rFonts w:hint="eastAsia" w:ascii="Times New Roman" w:hAnsi="Times New Roman" w:eastAsia="宋体" w:cs="宋体"/>
                <w:sz w:val="21"/>
                <w:szCs w:val="21"/>
                <w:highlight w:val="none"/>
              </w:rPr>
              <w:t>%</w:t>
            </w:r>
            <w:r>
              <w:rPr>
                <w:rFonts w:hint="eastAsia" w:ascii="Times New Roman" w:hAnsi="Times New Roman" w:eastAsia="宋体" w:cs="宋体"/>
                <w:sz w:val="21"/>
                <w:szCs w:val="21"/>
              </w:rPr>
              <w:t>。详见表</w:t>
            </w:r>
            <w:r>
              <w:rPr>
                <w:rFonts w:hint="eastAsia" w:ascii="Times New Roman" w:hAnsi="Times New Roman" w:eastAsia="宋体" w:cs="宋体"/>
                <w:sz w:val="21"/>
                <w:szCs w:val="21"/>
                <w:lang w:val="en-US" w:eastAsia="zh-CN"/>
              </w:rPr>
              <w:t>5.1-1</w:t>
            </w:r>
            <w:r>
              <w:rPr>
                <w:rFonts w:hint="eastAsia" w:ascii="Times New Roman" w:hAnsi="Times New Roman" w:eastAsia="宋体" w:cs="宋体"/>
                <w:sz w:val="21"/>
                <w:szCs w:val="21"/>
              </w:rPr>
              <w:t>。</w: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b/>
                <w:color w:val="000000"/>
                <w:sz w:val="24"/>
                <w:szCs w:val="24"/>
                <w:lang w:val="en-US" w:eastAsia="zh-CN" w:bidi="ar-SA"/>
              </w:rPr>
            </w:pPr>
            <w:r>
              <w:rPr>
                <w:rFonts w:hint="eastAsia" w:ascii="Times New Roman" w:hAnsi="Times New Roman" w:eastAsia="宋体" w:cs="宋体"/>
                <w:b/>
                <w:color w:val="000000"/>
                <w:sz w:val="21"/>
                <w:szCs w:val="21"/>
                <w:lang w:val="en-US" w:eastAsia="zh-CN" w:bidi="ar-SA"/>
              </w:rPr>
              <w:t>表5.1-1环保投资概算一览表</w:t>
            </w:r>
          </w:p>
          <w:tbl>
            <w:tblPr>
              <w:tblStyle w:val="19"/>
              <w:tblW w:w="68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74"/>
              <w:gridCol w:w="1026"/>
              <w:gridCol w:w="2763"/>
              <w:gridCol w:w="584"/>
              <w:gridCol w:w="1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blHeader/>
                <w:jc w:val="center"/>
              </w:trPr>
              <w:tc>
                <w:tcPr>
                  <w:tcW w:w="97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项  目</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污染源</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内容</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数量</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97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废气处理</w:t>
                  </w:r>
                </w:p>
              </w:tc>
              <w:tc>
                <w:tcPr>
                  <w:tcW w:w="1026"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施工期废气治理措施</w:t>
                  </w:r>
                </w:p>
              </w:tc>
              <w:tc>
                <w:tcPr>
                  <w:tcW w:w="2763"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湿式钻孔+工地周边围挡、物料堆放覆盖、土方开挖湿法作业、路面硬化、出入车辆清洗、渣土车辆密闭运输“六个百分百”</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cs="宋体"/>
                      <w:color w:val="000000"/>
                      <w:sz w:val="21"/>
                      <w:szCs w:val="21"/>
                      <w:highlight w:val="none"/>
                      <w:lang w:val="en-US" w:eastAsia="zh-CN"/>
                    </w:rPr>
                  </w:pPr>
                  <w:r>
                    <w:rPr>
                      <w:rFonts w:hint="eastAsia"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9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p>
              </w:tc>
              <w:tc>
                <w:tcPr>
                  <w:tcW w:w="1026"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sz w:val="21"/>
                      <w:szCs w:val="22"/>
                      <w:lang w:val="en-US" w:eastAsia="zh-CN" w:bidi="ar-SA"/>
                    </w:rPr>
                    <w:t>DA00</w:t>
                  </w:r>
                  <w:r>
                    <w:rPr>
                      <w:rFonts w:hint="eastAsia" w:ascii="Times New Roman" w:hAnsi="Times New Roman" w:cs="宋体"/>
                      <w:sz w:val="21"/>
                      <w:szCs w:val="22"/>
                      <w:lang w:val="en-US" w:eastAsia="zh-CN" w:bidi="ar-SA"/>
                    </w:rPr>
                    <w:t>1</w:t>
                  </w: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高负压</w:t>
                  </w:r>
                  <w:r>
                    <w:rPr>
                      <w:rFonts w:hint="eastAsia" w:ascii="Times New Roman" w:hAnsi="Times New Roman" w:eastAsia="宋体" w:cs="Times New Roman"/>
                      <w:color w:val="000000"/>
                      <w:kern w:val="2"/>
                      <w:sz w:val="21"/>
                      <w:szCs w:val="21"/>
                      <w:lang w:val="en-US" w:eastAsia="zh-CN" w:bidi="ar-SA"/>
                    </w:rPr>
                    <w:t>排放口）</w:t>
                  </w:r>
                </w:p>
              </w:tc>
              <w:tc>
                <w:tcPr>
                  <w:tcW w:w="2763"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000000"/>
                      <w:sz w:val="21"/>
                      <w:szCs w:val="21"/>
                      <w:highlight w:val="none"/>
                      <w:lang w:val="en-US" w:eastAsia="zh-CN"/>
                    </w:rPr>
                  </w:pPr>
                  <w:r>
                    <w:rPr>
                      <w:rFonts w:hint="default" w:ascii="Times New Roman" w:hAnsi="Times New Roman" w:eastAsia="宋体" w:cs="宋体"/>
                      <w:color w:val="000000"/>
                      <w:sz w:val="21"/>
                      <w:szCs w:val="21"/>
                      <w:highlight w:val="none"/>
                      <w:lang w:val="en-US" w:eastAsia="zh-CN"/>
                    </w:rPr>
                    <w:t>自动抑爆装置+水封阻火泄爆装置+</w:t>
                  </w:r>
                  <w:r>
                    <w:rPr>
                      <w:rFonts w:hint="eastAsia" w:cs="宋体"/>
                      <w:color w:val="000000"/>
                      <w:sz w:val="21"/>
                      <w:szCs w:val="21"/>
                      <w:highlight w:val="none"/>
                      <w:lang w:val="en-US" w:eastAsia="zh-CN"/>
                    </w:rPr>
                    <w:t>18m放空管</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1</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9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p>
              </w:tc>
              <w:tc>
                <w:tcPr>
                  <w:tcW w:w="1026"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ascii="Times New Roman" w:hAnsi="Times New Roman" w:cs="宋体"/>
                      <w:sz w:val="21"/>
                      <w:szCs w:val="22"/>
                      <w:lang w:val="en-US" w:eastAsia="zh-CN" w:bidi="ar-SA"/>
                    </w:rPr>
                    <w:t>2</w:t>
                  </w:r>
                  <w:r>
                    <w:rPr>
                      <w:rFonts w:hint="eastAsia" w:ascii="Times New Roman" w:hAnsi="Times New Roman" w:eastAsia="宋体" w:cs="Times New Roman"/>
                      <w:color w:val="000000"/>
                      <w:kern w:val="2"/>
                      <w:sz w:val="21"/>
                      <w:szCs w:val="21"/>
                      <w:lang w:val="en-US" w:eastAsia="zh-CN" w:bidi="ar-SA"/>
                    </w:rPr>
                    <w:t>（低负压排放口）</w:t>
                  </w:r>
                </w:p>
              </w:tc>
              <w:tc>
                <w:tcPr>
                  <w:tcW w:w="2763"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000000"/>
                      <w:sz w:val="21"/>
                      <w:szCs w:val="21"/>
                      <w:highlight w:val="none"/>
                      <w:lang w:val="en-US" w:eastAsia="zh-CN"/>
                    </w:rPr>
                  </w:pPr>
                  <w:r>
                    <w:rPr>
                      <w:rFonts w:hint="default" w:ascii="Times New Roman" w:hAnsi="Times New Roman" w:eastAsia="宋体" w:cs="宋体"/>
                      <w:color w:val="000000"/>
                      <w:sz w:val="21"/>
                      <w:szCs w:val="21"/>
                      <w:highlight w:val="none"/>
                      <w:lang w:val="en-US" w:eastAsia="zh-CN"/>
                    </w:rPr>
                    <w:t>自动抑爆装置+水封阻火泄爆装置+</w:t>
                  </w:r>
                  <w:r>
                    <w:rPr>
                      <w:rFonts w:hint="eastAsia" w:cs="宋体"/>
                      <w:color w:val="000000"/>
                      <w:sz w:val="21"/>
                      <w:szCs w:val="21"/>
                      <w:highlight w:val="none"/>
                      <w:lang w:val="en-US" w:eastAsia="zh-CN"/>
                    </w:rPr>
                    <w:t>18m放空管</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cs="宋体"/>
                      <w:color w:val="000000"/>
                      <w:sz w:val="21"/>
                      <w:szCs w:val="21"/>
                      <w:highlight w:val="none"/>
                      <w:lang w:val="en-US" w:eastAsia="zh-CN"/>
                    </w:rPr>
                  </w:pPr>
                  <w:r>
                    <w:rPr>
                      <w:rFonts w:hint="eastAsia" w:cs="宋体"/>
                      <w:color w:val="000000"/>
                      <w:sz w:val="21"/>
                      <w:szCs w:val="21"/>
                      <w:highlight w:val="none"/>
                      <w:lang w:val="en-US" w:eastAsia="zh-CN"/>
                    </w:rPr>
                    <w:t>1</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废水处理</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地下水</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地面防渗</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97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噪声治理</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机械噪声</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隔声降噪、绿化措施</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2000"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环境风险</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环境风险防范及应急措施</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2000"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其他</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水土保持、厂区绿化、施工期污染防治措施、环境管理与监控、消防系统、排污口规范化</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4763"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合  计</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90</w:t>
                  </w:r>
                </w:p>
              </w:tc>
            </w:tr>
          </w:tbl>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二、环境管理要求</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为了落实各项污染防治措施，加强环境保护工作管理，应当根据实际特点，制定各种类型的环保制度。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（1）环保设施的建设、运行及维护费用保障制度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在项目的建设、运行、维护的过程中，要设立专项的环保资金，所有环保投支出该专项资金投入，并定时、定量对该环保资金进行补充，以保证环保设施的正常建设、运行和维护。</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（2）排污定期报告制度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要定期向当地环保部门报告污染治理设施运行情况、污染物排放情况以及污染事故、污染纠纷等情况。</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（3）污染处理设施的管理制度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对污染治理设施的管理必须与生产经营活动一起纳入企业的日常管理中，要建立岗位责任制，制定操作规程，建立环境管理台帐。</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（4）奖惩制度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企业应设置环境保护奖惩制度，对爱护环保设施，节能降耗、改善环境者实行奖励；对不按环保要求管理，造成环保设施损坏、环境污染和资源、能源浪费者予以处罚。</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（5）规范排污口</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本项目应按《环境保护图形标志—排放口（源）》（GB15562.1-1995）</w:t>
            </w:r>
            <w:r>
              <w:rPr>
                <w:rFonts w:hint="eastAsia" w:cs="宋体"/>
                <w:sz w:val="21"/>
                <w:szCs w:val="21"/>
                <w:lang w:val="en-US" w:eastAsia="zh-CN"/>
              </w:rPr>
              <w:t>、《环境保护图形标志-固体废物贮存（处置）场》（GB15562.2-1995）以及《危险废物识别标志设置技术规范》（HJ1276-2022）</w:t>
            </w:r>
            <w:r>
              <w:rPr>
                <w:rFonts w:hint="eastAsia" w:ascii="Times New Roman" w:hAnsi="Times New Roman" w:eastAsia="宋体" w:cs="宋体"/>
                <w:sz w:val="21"/>
                <w:szCs w:val="21"/>
                <w:lang w:val="en-US" w:eastAsia="zh-CN"/>
              </w:rPr>
              <w:t>规定的图形，在各气、水、声排污口（源）挂牌标识，做到各排污口（源）的环保标志明显，便于企业管理和公众监督。</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列入总量控制污染物的排污口为管理的重点，排污口应便于采样与计量监测，便于日常现场监督检查。排污口位置必须合理确定，按环监[1996]470号文件要求进行规范化管理。</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污染物排放口的环保图形标志牌应设置在靠近采样点的醒目位置处，标志牌设置高度为其上缘距地面约2m。</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重点排污单位的污染物排放口或固体废物贮存处置场地以设置立式标志牌为主，一般排污单位的污染物排放口或固体废物贮存处置场地可以根据情况设置立式或平面固定式标志牌。一般污染物排放口或固体废物贮存堆放场地设置提示性环境保护图形标志牌。</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widowControl w:val="0"/>
              <w:overflowPunct w:val="0"/>
              <w:autoSpaceDE w:val="0"/>
              <w:autoSpaceDN w:val="0"/>
              <w:adjustRightInd w:val="0"/>
              <w:snapToGrid w:val="0"/>
              <w:spacing w:before="0" w:after="0" w:line="360" w:lineRule="exact"/>
              <w:ind w:left="0" w:right="0" w:firstLine="480" w:firstLineChars="200"/>
              <w:jc w:val="center"/>
              <w:rPr>
                <w:rFonts w:hint="default" w:ascii="Times New Roman" w:hAnsi="Times New Roman" w:eastAsia="宋体" w:cs="宋体"/>
                <w:snapToGrid w:val="0"/>
                <w:sz w:val="24"/>
                <w:szCs w:val="21"/>
                <w:lang w:val="en-US" w:eastAsia="zh-CN" w:bidi="ar-SA"/>
              </w:rPr>
            </w:pPr>
          </w:p>
        </w:tc>
      </w:tr>
    </w:tbl>
    <w:p>
      <w:pPr>
        <w:rPr>
          <w:rFonts w:hint="default"/>
          <w:lang w:val="en-US" w:eastAsia="zh-CN"/>
        </w:rPr>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overflowPunct w:val="0"/>
        <w:autoSpaceDE w:val="0"/>
        <w:autoSpaceDN w:val="0"/>
        <w:bidi w:val="0"/>
        <w:adjustRightInd w:val="0"/>
        <w:snapToGrid w:val="0"/>
        <w:spacing w:before="0" w:after="0" w:line="560" w:lineRule="exact"/>
        <w:ind w:left="0" w:right="0" w:firstLine="0" w:firstLineChars="0"/>
        <w:jc w:val="center"/>
        <w:outlineLvl w:val="0"/>
        <w:rPr>
          <w:rFonts w:hint="eastAsia" w:ascii="Times New Roman" w:hAnsi="Times New Roman" w:eastAsia="宋体" w:cs="宋体"/>
          <w:b/>
          <w:kern w:val="44"/>
          <w:sz w:val="28"/>
          <w:szCs w:val="22"/>
          <w:lang w:val="en-US" w:eastAsia="zh-CN" w:bidi="ar-SA"/>
        </w:rPr>
      </w:pPr>
      <w:bookmarkStart w:id="38" w:name="_Toc31590"/>
      <w:bookmarkStart w:id="39" w:name="_Toc23930"/>
      <w:bookmarkStart w:id="40" w:name="_Toc29259"/>
      <w:bookmarkStart w:id="41" w:name="_Toc3035"/>
      <w:bookmarkStart w:id="42" w:name="_Toc14416"/>
      <w:bookmarkStart w:id="43" w:name="_Toc30004"/>
      <w:bookmarkStart w:id="44" w:name="_Toc31367"/>
      <w:bookmarkStart w:id="45" w:name="_Toc16460"/>
      <w:r>
        <w:rPr>
          <w:rFonts w:hint="eastAsia" w:ascii="Times New Roman" w:hAnsi="Times New Roman" w:eastAsia="宋体" w:cs="宋体"/>
          <w:b/>
          <w:kern w:val="44"/>
          <w:sz w:val="28"/>
          <w:szCs w:val="22"/>
          <w:lang w:val="en-US" w:eastAsia="zh-CN" w:bidi="ar-SA"/>
        </w:rPr>
        <w:t>六、结论</w:t>
      </w:r>
      <w:bookmarkEnd w:id="38"/>
      <w:bookmarkEnd w:id="39"/>
      <w:bookmarkEnd w:id="40"/>
      <w:bookmarkEnd w:id="41"/>
      <w:bookmarkEnd w:id="42"/>
      <w:bookmarkEnd w:id="43"/>
      <w:bookmarkEnd w:id="44"/>
      <w:bookmarkEnd w:id="45"/>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6</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1</w:t>
            </w:r>
            <w:r>
              <w:rPr>
                <w:rFonts w:ascii="Times New Roman" w:hAnsi="Times New Roman" w:eastAsia="宋体" w:cs="黑体"/>
                <w:b/>
                <w:sz w:val="28"/>
                <w:szCs w:val="30"/>
                <w:lang w:val="en-US" w:eastAsia="zh-CN" w:bidi="ar-SA"/>
              </w:rPr>
              <w:t>结论</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hint="eastAsia" w:ascii="Times New Roman" w:hAnsi="Times New Roman" w:eastAsia="宋体" w:cs="宋体"/>
                <w:lang w:val="en-US" w:eastAsia="zh-CN"/>
              </w:rPr>
              <w:t>综上所述，本项目具有较明显的社会经济效益，项目所在地环境质量较好，项目对周围环境的污染程度较轻，本项目所产生的废气、废水、噪声、固废在采取相应的治理措施后，可满足相应的国家排放标准。通过对本项目环境影响评价，只要在本项目的建设中认真执行环保“三同时”，具体落实本环评中提出的各污染防治措施，从环保角度看，本项目的建设是可行的。</w:t>
            </w:r>
          </w:p>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6</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2</w:t>
            </w:r>
            <w:r>
              <w:rPr>
                <w:rFonts w:ascii="Times New Roman" w:hAnsi="Times New Roman" w:eastAsia="宋体" w:cs="黑体"/>
                <w:b/>
                <w:sz w:val="28"/>
                <w:szCs w:val="30"/>
                <w:lang w:val="en-US" w:eastAsia="zh-CN" w:bidi="ar-SA"/>
              </w:rPr>
              <w:t>建议</w:t>
            </w:r>
          </w:p>
          <w:p>
            <w:pPr>
              <w:keepNext w:val="0"/>
              <w:keepLines w:val="0"/>
              <w:pageBreakBefore w:val="0"/>
              <w:widowControl w:val="0"/>
              <w:kinsoku/>
              <w:wordWrap/>
              <w:overflowPunct w:val="0"/>
              <w:topLinePunct w:val="0"/>
              <w:autoSpaceDE w:val="0"/>
              <w:autoSpaceDN w:val="0"/>
              <w:bidi w:val="0"/>
              <w:adjustRightInd w:val="0"/>
              <w:snapToGrid w:val="0"/>
              <w:spacing w:before="0" w:after="0" w:line="500" w:lineRule="exact"/>
              <w:ind w:left="0" w:right="0" w:firstLine="480" w:firstLineChars="200"/>
              <w:jc w:val="both"/>
              <w:textAlignment w:val="auto"/>
              <w:rPr>
                <w:rFonts w:ascii="Times New Roman" w:hAnsi="Times New Roman" w:eastAsia="宋体" w:cs="宋体"/>
              </w:rPr>
            </w:pPr>
            <w:r>
              <w:rPr>
                <w:rFonts w:hint="eastAsia" w:ascii="Times New Roman" w:hAnsi="Times New Roman" w:eastAsia="宋体" w:cs="宋体"/>
              </w:rPr>
              <w:t>加强管理，建立各种健全的生产环保规章制度，严格在岗人员操作管理，与此同时，加强设备、管道、各项治污措施的定期检修和维护工作。</w:t>
            </w: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tc>
      </w:tr>
    </w:tbl>
    <w:p>
      <w:pPr>
        <w:rPr>
          <w:rFonts w:hint="default"/>
          <w:lang w:val="en-US" w:eastAsia="zh-CN"/>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right="0" w:firstLine="640" w:firstLineChars="200"/>
        <w:jc w:val="left"/>
        <w:textAlignment w:val="auto"/>
        <w:outlineLvl w:val="0"/>
        <w:rPr>
          <w:rFonts w:ascii="Times New Roman" w:hAnsi="Times New Roman" w:eastAsia="黑体" w:cs="Times New Roman"/>
          <w:snapToGrid w:val="0"/>
          <w:color w:val="000000"/>
          <w:kern w:val="0"/>
          <w:sz w:val="32"/>
          <w:szCs w:val="32"/>
          <w:highlight w:val="none"/>
          <w:lang w:val="en-US" w:eastAsia="zh-CN" w:bidi="ar-SA"/>
        </w:rPr>
      </w:pPr>
      <w:bookmarkStart w:id="46" w:name="_Toc31582"/>
      <w:bookmarkStart w:id="47" w:name="_Toc17192"/>
      <w:bookmarkStart w:id="48" w:name="_Toc10718"/>
      <w:bookmarkStart w:id="49" w:name="_Toc6309"/>
      <w:bookmarkStart w:id="50" w:name="_Toc18685"/>
      <w:bookmarkStart w:id="51" w:name="_Toc5930"/>
      <w:r>
        <w:rPr>
          <w:rFonts w:hint="eastAsia" w:ascii="Times New Roman" w:hAnsi="Times New Roman" w:eastAsia="黑体" w:cs="Times New Roman"/>
          <w:snapToGrid w:val="0"/>
          <w:color w:val="000000"/>
          <w:kern w:val="0"/>
          <w:sz w:val="32"/>
          <w:szCs w:val="32"/>
          <w:highlight w:val="none"/>
          <w:lang w:val="en-US" w:eastAsia="zh-CN" w:bidi="ar-SA"/>
        </w:rPr>
        <w:t>附表</w:t>
      </w:r>
      <w:bookmarkEnd w:id="46"/>
      <w:bookmarkEnd w:id="47"/>
      <w:bookmarkEnd w:id="48"/>
      <w:bookmarkEnd w:id="49"/>
      <w:bookmarkEnd w:id="50"/>
      <w:bookmarkEnd w:id="51"/>
    </w:p>
    <w:p>
      <w:pPr>
        <w:overflowPunct w:val="0"/>
        <w:autoSpaceDE w:val="0"/>
        <w:autoSpaceDN w:val="0"/>
        <w:bidi w:val="0"/>
        <w:adjustRightInd w:val="0"/>
        <w:snapToGrid w:val="0"/>
        <w:spacing w:before="0" w:after="0" w:line="500" w:lineRule="exact"/>
        <w:ind w:left="0" w:right="0" w:firstLine="562" w:firstLineChars="200"/>
        <w:jc w:val="center"/>
        <w:outlineLvl w:val="0"/>
        <w:rPr>
          <w:rFonts w:hint="eastAsia" w:ascii="Times New Roman" w:hAnsi="Times New Roman" w:eastAsia="宋体" w:cs="宋体"/>
          <w:b/>
          <w:bCs/>
          <w:sz w:val="28"/>
          <w:szCs w:val="28"/>
          <w:lang w:val="en-US" w:eastAsia="zh-CN"/>
        </w:rPr>
      </w:pPr>
      <w:bookmarkStart w:id="52" w:name="_Toc18147"/>
      <w:bookmarkStart w:id="53" w:name="_Toc30352"/>
      <w:bookmarkStart w:id="54" w:name="_Toc32240"/>
      <w:bookmarkStart w:id="55" w:name="_Toc28588"/>
      <w:bookmarkStart w:id="56" w:name="_Toc31124"/>
      <w:bookmarkStart w:id="57" w:name="_Toc6631"/>
      <w:r>
        <w:rPr>
          <w:rFonts w:hint="eastAsia" w:ascii="Times New Roman" w:hAnsi="Times New Roman" w:eastAsia="宋体" w:cs="宋体"/>
          <w:b/>
          <w:bCs/>
          <w:sz w:val="28"/>
          <w:szCs w:val="28"/>
          <w:lang w:val="en-US" w:eastAsia="zh-CN"/>
        </w:rPr>
        <w:t>建设项目污染物排放量汇总表</w:t>
      </w:r>
      <w:bookmarkEnd w:id="52"/>
      <w:bookmarkEnd w:id="53"/>
      <w:bookmarkEnd w:id="54"/>
      <w:bookmarkEnd w:id="55"/>
      <w:bookmarkEnd w:id="56"/>
      <w:bookmarkEnd w:id="57"/>
    </w:p>
    <w:tbl>
      <w:tblPr>
        <w:tblStyle w:val="19"/>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616"/>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1" w:type="dxa"/>
            <w:tcBorders>
              <w:tl2br w:val="single" w:color="auto" w:sz="4" w:space="0"/>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right="0" w:firstLine="396" w:firstLineChars="200"/>
              <w:jc w:val="right"/>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left"/>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分类</w:t>
            </w:r>
          </w:p>
        </w:tc>
        <w:tc>
          <w:tcPr>
            <w:tcW w:w="198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污染物名称</w:t>
            </w:r>
          </w:p>
        </w:tc>
        <w:tc>
          <w:tcPr>
            <w:tcW w:w="17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现有工程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1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①</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276"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现有工程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许可排放量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right="0" w:firstLine="396" w:firstLineChars="20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2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snapToGrid w:val="0"/>
                <w:color w:val="000000"/>
                <w:spacing w:val="-6"/>
                <w:kern w:val="21"/>
                <w:sz w:val="21"/>
                <w:szCs w:val="21"/>
                <w:highlight w:val="none"/>
                <w:lang w:val="en-US" w:eastAsia="zh-CN" w:bidi="ar-SA"/>
              </w:rPr>
              <w:t>②</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7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在建工程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3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③</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55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本项目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4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④</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76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以新带老削减量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（新建项目不填）</w:t>
            </w:r>
            <w:r>
              <w:rPr>
                <w:rFonts w:ascii="Times New Roman" w:hAnsi="Times New Roman" w:eastAsia="黑体" w:cs="Times New Roman"/>
                <w:snapToGrid w:val="0"/>
                <w:color w:val="000000"/>
                <w:spacing w:val="-16"/>
                <w:kern w:val="21"/>
                <w:sz w:val="21"/>
                <w:szCs w:val="21"/>
                <w:highlight w:val="none"/>
                <w:lang w:val="en-US" w:eastAsia="zh-CN" w:bidi="ar-SA"/>
              </w:rPr>
              <w:fldChar w:fldCharType="begin"/>
            </w:r>
            <w:r>
              <w:rPr>
                <w:rFonts w:ascii="Times New Roman" w:hAnsi="Times New Roman" w:eastAsia="黑体" w:cs="Times New Roman"/>
                <w:snapToGrid w:val="0"/>
                <w:color w:val="000000"/>
                <w:spacing w:val="-16"/>
                <w:kern w:val="21"/>
                <w:sz w:val="21"/>
                <w:szCs w:val="21"/>
                <w:highlight w:val="none"/>
                <w:lang w:val="en-US" w:eastAsia="zh-CN" w:bidi="ar-SA"/>
              </w:rPr>
              <w:instrText xml:space="preserve"> = 5 \* GB3 \* MERGEFORMAT </w:instrText>
            </w:r>
            <w:r>
              <w:rPr>
                <w:rFonts w:ascii="Times New Roman" w:hAnsi="Times New Roman" w:eastAsia="黑体" w:cs="Times New Roman"/>
                <w:snapToGrid w:val="0"/>
                <w:color w:val="000000"/>
                <w:spacing w:val="-1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⑤</w:t>
            </w:r>
            <w:r>
              <w:rPr>
                <w:rFonts w:ascii="Times New Roman" w:hAnsi="Times New Roman" w:eastAsia="黑体" w:cs="Times New Roman"/>
                <w:snapToGrid w:val="0"/>
                <w:color w:val="000000"/>
                <w:spacing w:val="-16"/>
                <w:kern w:val="21"/>
                <w:sz w:val="21"/>
                <w:szCs w:val="21"/>
                <w:highlight w:val="none"/>
                <w:lang w:val="en-US" w:eastAsia="zh-CN" w:bidi="ar-SA"/>
              </w:rPr>
              <w:fldChar w:fldCharType="end"/>
            </w:r>
          </w:p>
        </w:tc>
        <w:tc>
          <w:tcPr>
            <w:tcW w:w="1616"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本项目建成后</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16"/>
                <w:kern w:val="21"/>
                <w:sz w:val="21"/>
                <w:szCs w:val="21"/>
                <w:highlight w:val="none"/>
                <w:lang w:val="en-US" w:eastAsia="zh-CN" w:bidi="ar-SA"/>
              </w:rPr>
            </w:pPr>
            <w:r>
              <w:rPr>
                <w:rFonts w:hint="eastAsia" w:ascii="Times New Roman" w:hAnsi="Times New Roman" w:eastAsia="黑体" w:cs="Times New Roman"/>
                <w:snapToGrid w:val="0"/>
                <w:color w:val="000000"/>
                <w:spacing w:val="-16"/>
                <w:kern w:val="21"/>
                <w:sz w:val="21"/>
                <w:szCs w:val="21"/>
                <w:highlight w:val="none"/>
                <w:lang w:val="en-US" w:eastAsia="zh-CN" w:bidi="ar-SA"/>
              </w:rPr>
              <w:t>全厂</w:t>
            </w:r>
            <w:r>
              <w:rPr>
                <w:rFonts w:ascii="Times New Roman" w:hAnsi="Times New Roman" w:eastAsia="黑体" w:cs="Times New Roman"/>
                <w:snapToGrid w:val="0"/>
                <w:color w:val="000000"/>
                <w:spacing w:val="-1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16"/>
                <w:kern w:val="21"/>
                <w:sz w:val="21"/>
                <w:szCs w:val="21"/>
                <w:highlight w:val="none"/>
                <w:lang w:val="en-US" w:eastAsia="zh-CN" w:bidi="ar-SA"/>
              </w:rPr>
              <w:t>体</w:t>
            </w:r>
            <w:r>
              <w:rPr>
                <w:rFonts w:ascii="Times New Roman" w:hAnsi="Times New Roman" w:eastAsia="黑体" w:cs="Times New Roman"/>
                <w:snapToGrid w:val="0"/>
                <w:color w:val="000000"/>
                <w:spacing w:val="-16"/>
                <w:kern w:val="21"/>
                <w:sz w:val="21"/>
                <w:szCs w:val="21"/>
                <w:highlight w:val="none"/>
                <w:lang w:val="en-US" w:eastAsia="zh-CN" w:bidi="ar-SA"/>
              </w:rPr>
              <w:t>废</w:t>
            </w:r>
            <w:r>
              <w:rPr>
                <w:rFonts w:hint="eastAsia" w:ascii="Times New Roman" w:hAnsi="Times New Roman" w:eastAsia="黑体" w:cs="Times New Roman"/>
                <w:snapToGrid w:val="0"/>
                <w:color w:val="000000"/>
                <w:spacing w:val="-16"/>
                <w:kern w:val="21"/>
                <w:sz w:val="21"/>
                <w:szCs w:val="21"/>
                <w:highlight w:val="none"/>
                <w:lang w:val="en-US" w:eastAsia="zh-CN" w:bidi="ar-SA"/>
              </w:rPr>
              <w:t>物</w:t>
            </w:r>
            <w:r>
              <w:rPr>
                <w:rFonts w:ascii="Times New Roman" w:hAnsi="Times New Roman" w:eastAsia="黑体" w:cs="Times New Roman"/>
                <w:snapToGrid w:val="0"/>
                <w:color w:val="000000"/>
                <w:spacing w:val="-16"/>
                <w:kern w:val="21"/>
                <w:sz w:val="21"/>
                <w:szCs w:val="21"/>
                <w:highlight w:val="none"/>
                <w:lang w:val="en-US" w:eastAsia="zh-CN" w:bidi="ar-SA"/>
              </w:rPr>
              <w:t>产生量）</w:t>
            </w:r>
            <w:r>
              <w:rPr>
                <w:rFonts w:ascii="Times New Roman" w:hAnsi="Times New Roman" w:eastAsia="黑体" w:cs="Times New Roman"/>
                <w:snapToGrid w:val="0"/>
                <w:color w:val="000000"/>
                <w:spacing w:val="-16"/>
                <w:kern w:val="21"/>
                <w:sz w:val="21"/>
                <w:szCs w:val="21"/>
                <w:highlight w:val="none"/>
                <w:lang w:val="en-US" w:eastAsia="zh-CN" w:bidi="ar-SA"/>
              </w:rPr>
              <w:fldChar w:fldCharType="begin"/>
            </w:r>
            <w:r>
              <w:rPr>
                <w:rFonts w:ascii="Times New Roman" w:hAnsi="Times New Roman" w:eastAsia="黑体" w:cs="Times New Roman"/>
                <w:snapToGrid w:val="0"/>
                <w:color w:val="000000"/>
                <w:spacing w:val="-16"/>
                <w:kern w:val="21"/>
                <w:sz w:val="21"/>
                <w:szCs w:val="21"/>
                <w:highlight w:val="none"/>
                <w:lang w:val="en-US" w:eastAsia="zh-CN" w:bidi="ar-SA"/>
              </w:rPr>
              <w:instrText xml:space="preserve"> = 6 \* GB3 \* MERGEFORMAT </w:instrText>
            </w:r>
            <w:r>
              <w:rPr>
                <w:rFonts w:ascii="Times New Roman" w:hAnsi="Times New Roman" w:eastAsia="黑体" w:cs="Times New Roman"/>
                <w:snapToGrid w:val="0"/>
                <w:color w:val="000000"/>
                <w:spacing w:val="-1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⑥</w:t>
            </w:r>
            <w:r>
              <w:rPr>
                <w:rFonts w:ascii="Times New Roman" w:hAnsi="Times New Roman" w:eastAsia="黑体" w:cs="Times New Roman"/>
                <w:snapToGrid w:val="0"/>
                <w:color w:val="000000"/>
                <w:spacing w:val="-16"/>
                <w:kern w:val="21"/>
                <w:sz w:val="21"/>
                <w:szCs w:val="21"/>
                <w:highlight w:val="none"/>
                <w:lang w:val="en-US" w:eastAsia="zh-CN" w:bidi="ar-SA"/>
              </w:rPr>
              <w:fldChar w:fldCharType="end"/>
            </w:r>
          </w:p>
        </w:tc>
        <w:tc>
          <w:tcPr>
            <w:tcW w:w="116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变化量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7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⑦</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废气</w:t>
            </w: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宋体"/>
                <w:snapToGrid w:val="0"/>
                <w:color w:val="000000"/>
                <w:kern w:val="21"/>
                <w:sz w:val="21"/>
                <w:szCs w:val="21"/>
                <w:highlight w:val="none"/>
                <w:lang w:val="en-US" w:eastAsia="zh-CN"/>
              </w:rPr>
            </w:pPr>
            <w:r>
              <w:rPr>
                <w:rStyle w:val="37"/>
                <w:rFonts w:hint="eastAsia"/>
                <w:color w:val="000000"/>
                <w:kern w:val="2"/>
                <w:lang w:val="en-US" w:eastAsia="zh-CN" w:bidi="ar"/>
              </w:rPr>
              <w:t>颗粒物</w:t>
            </w:r>
            <w:r>
              <w:rPr>
                <w:rStyle w:val="37"/>
                <w:color w:val="000000"/>
                <w:kern w:val="2"/>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rPr>
            </w:pPr>
            <w:r>
              <w:rPr>
                <w:rFonts w:hint="default" w:ascii="Times New Roman" w:hAnsi="Times New Roman" w:eastAsia="宋体" w:cs="Times New Roman"/>
                <w:snapToGrid w:val="0"/>
                <w:color w:val="000000"/>
                <w:kern w:val="21"/>
                <w:sz w:val="21"/>
                <w:szCs w:val="21"/>
                <w:highlight w:val="none"/>
                <w:lang w:val="en-US" w:eastAsia="zh-CN"/>
              </w:rPr>
              <w:t>2.97</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rPr>
            </w:pPr>
            <w:r>
              <w:rPr>
                <w:rFonts w:hint="eastAsia" w:cs="Times New Roman"/>
                <w:i w:val="0"/>
                <w:iCs w:val="0"/>
                <w:color w:val="000000"/>
                <w:kern w:val="0"/>
                <w:sz w:val="21"/>
                <w:szCs w:val="21"/>
                <w:u w:val="none"/>
                <w:lang w:val="en-US" w:eastAsia="zh-CN" w:bidi="ar"/>
              </w:rPr>
              <w:t>0.75</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rPr>
            </w:pPr>
            <w:r>
              <w:rPr>
                <w:rFonts w:hint="eastAsia" w:cs="Times New Roman"/>
                <w:color w:val="auto"/>
                <w:kern w:val="2"/>
                <w:sz w:val="21"/>
                <w:szCs w:val="22"/>
                <w:lang w:val="en-US" w:eastAsia="zh-CN"/>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color w:val="000000"/>
                <w:kern w:val="2"/>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snapToGrid w:val="0"/>
                <w:color w:val="000000"/>
                <w:kern w:val="21"/>
                <w:sz w:val="21"/>
                <w:szCs w:val="21"/>
                <w:highlight w:val="none"/>
                <w:lang w:val="en-US" w:eastAsia="zh-CN"/>
              </w:rPr>
              <w:t>2.97</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Style w:val="37"/>
                <w:rFonts w:hint="default" w:ascii="Times New Roman" w:hAnsi="Times New Roman" w:cs="Times New Roman"/>
                <w:color w:val="000000"/>
                <w:kern w:val="2"/>
                <w:lang w:val="en-US" w:eastAsia="zh-CN" w:bidi="ar"/>
              </w:rPr>
              <w:t>NOx</w:t>
            </w:r>
            <w:r>
              <w:rPr>
                <w:rStyle w:val="37"/>
                <w:color w:val="000000"/>
                <w:kern w:val="2"/>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sz w:val="21"/>
                <w:szCs w:val="21"/>
              </w:rPr>
              <w:t>10.53</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sz w:val="21"/>
                <w:szCs w:val="21"/>
              </w:rPr>
              <w:t>10.53</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Style w:val="37"/>
                <w:rFonts w:hint="default" w:ascii="Times New Roman" w:hAnsi="Times New Roman" w:cs="Times New Roman"/>
                <w:color w:val="000000"/>
                <w:kern w:val="2"/>
                <w:lang w:val="en-US" w:eastAsia="zh-CN" w:bidi="ar"/>
              </w:rPr>
            </w:pPr>
            <w:r>
              <w:rPr>
                <w:rStyle w:val="37"/>
                <w:rFonts w:hint="eastAsia" w:ascii="Times New Roman" w:hAnsi="Times New Roman" w:cs="Times New Roman"/>
                <w:color w:val="000000"/>
                <w:kern w:val="2"/>
                <w:lang w:val="en-US" w:eastAsia="zh-CN" w:bidi="ar"/>
              </w:rPr>
              <w:t>SO</w:t>
            </w:r>
            <w:r>
              <w:rPr>
                <w:rStyle w:val="37"/>
                <w:rFonts w:hint="eastAsia" w:ascii="Times New Roman" w:hAnsi="Times New Roman" w:cs="Times New Roman"/>
                <w:color w:val="000000"/>
                <w:kern w:val="2"/>
                <w:vertAlign w:val="subscript"/>
                <w:lang w:val="en-US" w:eastAsia="zh-CN" w:bidi="ar"/>
              </w:rPr>
              <w:t>2</w:t>
            </w:r>
            <w:r>
              <w:rPr>
                <w:rStyle w:val="37"/>
                <w:color w:val="000000"/>
                <w:kern w:val="2"/>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14.69</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2"/>
                <w:lang w:val="en-US" w:eastAsia="zh-CN"/>
              </w:rPr>
            </w:pPr>
            <w:r>
              <w:rPr>
                <w:rFonts w:hint="eastAsia" w:cs="Times New Roman"/>
                <w:i w:val="0"/>
                <w:iCs w:val="0"/>
                <w:color w:val="000000"/>
                <w:kern w:val="0"/>
                <w:sz w:val="21"/>
                <w:szCs w:val="21"/>
                <w:u w:val="none"/>
                <w:lang w:val="en-US" w:eastAsia="zh-CN" w:bidi="ar"/>
              </w:rPr>
              <w:t>14.69</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Style w:val="37"/>
                <w:rFonts w:hint="eastAsia" w:ascii="Times New Roman" w:hAnsi="Times New Roman" w:cs="Times New Roman"/>
                <w:color w:val="000000"/>
                <w:kern w:val="2"/>
                <w:lang w:val="en-US" w:eastAsia="zh-CN" w:bidi="ar"/>
              </w:rPr>
            </w:pPr>
            <w:r>
              <w:rPr>
                <w:rStyle w:val="37"/>
                <w:rFonts w:hint="default" w:ascii="Times New Roman" w:hAnsi="Times New Roman" w:eastAsia="宋体" w:cs="Times New Roman"/>
                <w:color w:val="000000"/>
                <w:kern w:val="2"/>
                <w:lang w:val="en-US" w:eastAsia="zh-CN" w:bidi="ar"/>
              </w:rPr>
              <w:t>甲烷（</w:t>
            </w:r>
            <w:r>
              <w:rPr>
                <w:rStyle w:val="37"/>
                <w:rFonts w:hint="eastAsia" w:ascii="Times New Roman" w:hAnsi="Times New Roman" w:eastAsia="宋体" w:cs="Times New Roman"/>
                <w:color w:val="000000"/>
                <w:kern w:val="2"/>
                <w:lang w:val="en-US" w:eastAsia="zh-CN" w:bidi="ar"/>
              </w:rPr>
              <w:t>t</w:t>
            </w:r>
            <w:r>
              <w:rPr>
                <w:rStyle w:val="37"/>
                <w:rFonts w:hint="default" w:ascii="Times New Roman" w:hAnsi="Times New Roman" w:eastAsia="宋体" w:cs="Times New Roman"/>
                <w:color w:val="000000"/>
                <w:kern w:val="2"/>
                <w:lang w:val="en-US" w:eastAsia="zh-CN" w:bidi="ar"/>
              </w:rPr>
              <w:t>/a）</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13.34</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17.32</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17.32</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废水</w:t>
            </w: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宋体"/>
                <w:snapToGrid w:val="0"/>
                <w:color w:val="000000"/>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COD</w:t>
            </w:r>
            <w:r>
              <w:rPr>
                <w:rStyle w:val="37"/>
                <w:color w:val="000000"/>
                <w:kern w:val="2"/>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right="0" w:firstLine="420" w:firstLineChars="20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宋体"/>
                <w:snapToGrid w:val="0"/>
                <w:color w:val="000000"/>
                <w:kern w:val="21"/>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氨氮（</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一般工业固体废物</w:t>
            </w:r>
          </w:p>
        </w:tc>
        <w:tc>
          <w:tcPr>
            <w:tcW w:w="1984" w:type="dxa"/>
            <w:noWrap w:val="0"/>
            <w:vAlign w:val="center"/>
          </w:tcPr>
          <w:p>
            <w:pPr>
              <w:jc w:val="center"/>
              <w:rPr>
                <w:rFonts w:hint="eastAsia" w:cs="Times New Roman"/>
                <w:color w:val="000000"/>
                <w:kern w:val="0"/>
                <w:sz w:val="21"/>
                <w:szCs w:val="21"/>
                <w:highlight w:val="none"/>
                <w:lang w:val="en-US" w:eastAsia="zh-CN" w:bidi="ar"/>
              </w:rPr>
            </w:pPr>
            <w:r>
              <w:rPr>
                <w:rFonts w:hint="default" w:ascii="Times New Roman" w:hAnsi="Times New Roman" w:eastAsia="宋体" w:cs="Times New Roman"/>
                <w:color w:val="000000"/>
                <w:sz w:val="21"/>
                <w:szCs w:val="21"/>
              </w:rPr>
              <w:t>矸石</w:t>
            </w:r>
            <w:r>
              <w:rPr>
                <w:rFonts w:hint="eastAsia" w:ascii="宋体" w:hAnsi="宋体" w:eastAsia="宋体" w:cs="宋体"/>
                <w:i w:val="0"/>
                <w:iCs w:val="0"/>
                <w:color w:val="000000"/>
                <w:kern w:val="0"/>
                <w:sz w:val="21"/>
                <w:szCs w:val="21"/>
                <w:u w:val="none"/>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18000</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18000</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jc w:val="center"/>
              <w:rPr>
                <w:rFonts w:hint="eastAsia" w:cs="Times New Roman"/>
                <w:color w:val="000000"/>
                <w:kern w:val="0"/>
                <w:sz w:val="21"/>
                <w:szCs w:val="21"/>
                <w:highlight w:val="none"/>
                <w:lang w:val="en-US" w:eastAsia="zh-CN" w:bidi="ar"/>
              </w:rPr>
            </w:pPr>
            <w:r>
              <w:rPr>
                <w:rFonts w:hint="default" w:ascii="Times New Roman" w:hAnsi="Times New Roman" w:eastAsia="宋体" w:cs="Times New Roman"/>
                <w:color w:val="000000"/>
                <w:sz w:val="21"/>
                <w:szCs w:val="21"/>
              </w:rPr>
              <w:t>煤泥</w:t>
            </w:r>
            <w:r>
              <w:rPr>
                <w:rFonts w:hint="eastAsia" w:ascii="宋体" w:hAnsi="宋体" w:eastAsia="宋体" w:cs="宋体"/>
                <w:i w:val="0"/>
                <w:iCs w:val="0"/>
                <w:color w:val="000000"/>
                <w:kern w:val="0"/>
                <w:sz w:val="21"/>
                <w:szCs w:val="21"/>
                <w:u w:val="none"/>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3285</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3285</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jc w:val="center"/>
              <w:rPr>
                <w:rFonts w:hint="eastAsia" w:cs="Times New Roman"/>
                <w:color w:val="000000"/>
                <w:kern w:val="0"/>
                <w:sz w:val="21"/>
                <w:szCs w:val="21"/>
                <w:highlight w:val="none"/>
                <w:lang w:val="en-US" w:eastAsia="zh-CN" w:bidi="ar"/>
              </w:rPr>
            </w:pPr>
            <w:r>
              <w:rPr>
                <w:rFonts w:hint="default" w:ascii="Times New Roman" w:hAnsi="Times New Roman" w:eastAsia="宋体" w:cs="Times New Roman"/>
                <w:color w:val="000000"/>
                <w:sz w:val="21"/>
                <w:szCs w:val="21"/>
              </w:rPr>
              <w:t>污水处理站污泥</w:t>
            </w:r>
            <w:r>
              <w:rPr>
                <w:rFonts w:hint="eastAsia" w:ascii="宋体" w:hAnsi="宋体" w:eastAsia="宋体" w:cs="宋体"/>
                <w:i w:val="0"/>
                <w:iCs w:val="0"/>
                <w:color w:val="000000"/>
                <w:kern w:val="0"/>
                <w:sz w:val="21"/>
                <w:szCs w:val="21"/>
                <w:u w:val="none"/>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45.9</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45.9</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jc w:val="center"/>
              <w:rPr>
                <w:rFonts w:hint="eastAsia" w:cs="Times New Roman"/>
                <w:color w:val="000000"/>
                <w:kern w:val="0"/>
                <w:sz w:val="21"/>
                <w:szCs w:val="21"/>
                <w:highlight w:val="none"/>
                <w:lang w:val="en-US" w:eastAsia="zh-CN" w:bidi="ar"/>
              </w:rPr>
            </w:pPr>
            <w:r>
              <w:rPr>
                <w:rFonts w:hint="eastAsia" w:cs="Times New Roman"/>
                <w:color w:val="000000"/>
                <w:sz w:val="21"/>
                <w:szCs w:val="21"/>
                <w:highlight w:val="none"/>
                <w:lang w:val="en-US" w:eastAsia="zh-CN"/>
              </w:rPr>
              <w:t>灰渣</w:t>
            </w:r>
            <w:r>
              <w:rPr>
                <w:rFonts w:hint="eastAsia" w:ascii="宋体" w:hAnsi="宋体" w:eastAsia="宋体" w:cs="宋体"/>
                <w:i w:val="0"/>
                <w:iCs w:val="0"/>
                <w:color w:val="000000"/>
                <w:kern w:val="0"/>
                <w:sz w:val="21"/>
                <w:szCs w:val="21"/>
                <w:u w:val="none"/>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color w:val="000000"/>
                <w:sz w:val="21"/>
                <w:szCs w:val="21"/>
                <w:highlight w:val="none"/>
              </w:rPr>
              <w:t>7</w:t>
            </w:r>
            <w:r>
              <w:rPr>
                <w:rFonts w:hint="eastAsia" w:cs="Times New Roman"/>
                <w:color w:val="000000"/>
                <w:sz w:val="21"/>
                <w:szCs w:val="21"/>
                <w:highlight w:val="none"/>
                <w:lang w:val="en-US" w:eastAsia="zh-CN"/>
              </w:rPr>
              <w:t>83</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color w:val="000000"/>
                <w:sz w:val="21"/>
                <w:szCs w:val="21"/>
                <w:highlight w:val="none"/>
              </w:rPr>
              <w:t>7</w:t>
            </w:r>
            <w:r>
              <w:rPr>
                <w:rFonts w:hint="eastAsia" w:cs="Times New Roman"/>
                <w:color w:val="000000"/>
                <w:sz w:val="21"/>
                <w:szCs w:val="21"/>
                <w:highlight w:val="none"/>
                <w:lang w:val="en-US" w:eastAsia="zh-CN"/>
              </w:rPr>
              <w:t>83</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cs="Times New Roman"/>
                <w:color w:val="000000"/>
                <w:kern w:val="0"/>
                <w:sz w:val="21"/>
                <w:szCs w:val="21"/>
                <w:highlight w:val="none"/>
                <w:lang w:val="en-US" w:eastAsia="zh-CN" w:bidi="ar"/>
              </w:rPr>
              <w:t>废离子交换树脂</w:t>
            </w:r>
            <w:r>
              <w:rPr>
                <w:rFonts w:hint="eastAsia" w:ascii="宋体" w:hAnsi="宋体" w:eastAsia="宋体" w:cs="宋体"/>
                <w:i w:val="0"/>
                <w:iCs w:val="0"/>
                <w:color w:val="000000"/>
                <w:kern w:val="0"/>
                <w:sz w:val="21"/>
                <w:szCs w:val="21"/>
                <w:u w:val="none"/>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0.2</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0.2</w:t>
            </w:r>
          </w:p>
        </w:tc>
        <w:tc>
          <w:tcPr>
            <w:tcW w:w="1169" w:type="dxa"/>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color w:val="000000"/>
                <w:kern w:val="0"/>
                <w:sz w:val="21"/>
                <w:szCs w:val="21"/>
                <w:highlight w:val="none"/>
                <w:lang w:val="en-US" w:eastAsia="zh-CN" w:bidi="ar"/>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危险废物</w:t>
            </w:r>
          </w:p>
        </w:tc>
        <w:tc>
          <w:tcPr>
            <w:tcW w:w="1984" w:type="dxa"/>
            <w:noWrap w:val="0"/>
            <w:vAlign w:val="center"/>
          </w:tcPr>
          <w:p>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w:t>
            </w:r>
            <w:r>
              <w:rPr>
                <w:rFonts w:hint="eastAsia" w:cs="宋体"/>
                <w:snapToGrid w:val="0"/>
                <w:color w:val="000000"/>
                <w:kern w:val="21"/>
                <w:sz w:val="21"/>
                <w:szCs w:val="21"/>
                <w:highlight w:val="none"/>
                <w:lang w:val="en-US" w:eastAsia="zh-CN" w:bidi="ar-SA"/>
              </w:rPr>
              <w:t>润滑油</w:t>
            </w:r>
            <w:r>
              <w:rPr>
                <w:rFonts w:hint="eastAsia" w:ascii="Times New Roman" w:hAnsi="Times New Roman" w:eastAsia="宋体" w:cs="宋体"/>
                <w:snapToGrid w:val="0"/>
                <w:color w:val="000000"/>
                <w:kern w:val="21"/>
                <w:sz w:val="21"/>
                <w:szCs w:val="21"/>
                <w:highlight w:val="none"/>
                <w:lang w:val="en-US" w:eastAsia="zh-CN" w:bidi="ar-SA"/>
              </w:rPr>
              <w:t>（t/a）</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w:t>
            </w:r>
          </w:p>
        </w:tc>
        <w:tc>
          <w:tcPr>
            <w:tcW w:w="1276"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5</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0.5</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i w:val="0"/>
                <w:iCs w:val="0"/>
                <w:color w:val="000000"/>
                <w:kern w:val="0"/>
                <w:sz w:val="21"/>
                <w:szCs w:val="21"/>
                <w:u w:val="none"/>
                <w:lang w:val="en-US" w:eastAsia="zh-CN" w:bidi="ar"/>
              </w:rPr>
              <w:t>+0.5</w:t>
            </w:r>
          </w:p>
        </w:tc>
      </w:tr>
    </w:tbl>
    <w:p>
      <w:pPr>
        <w:sectPr>
          <w:headerReference r:id="rId16" w:type="default"/>
          <w:footerReference r:id="rId17"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sectPr>
      <w:headerReference r:id="rId18" w:type="default"/>
      <w:footerReference r:id="rId1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rFonts w:eastAsia="宋体" w:cs="宋体"/>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spacing w:line="320" w:lineRule="exact"/>
                            <w:jc w:val="left"/>
                            <w:rPr>
                              <w:rFonts w:ascii="Times New Roman" w:hAnsi="Times New Roman" w:eastAsia="宋体" w:cs="宋体"/>
                              <w:color w:val="auto"/>
                              <w:sz w:val="18"/>
                              <w:szCs w:val="22"/>
                              <w:lang w:val="en-US" w:eastAsia="zh-CN" w:bidi="ar-SA"/>
                            </w:rPr>
                          </w:pPr>
                          <w:r>
                            <w:rPr>
                              <w:rFonts w:ascii="Times New Roman" w:hAnsi="Times New Roman" w:eastAsia="宋体" w:cs="宋体"/>
                              <w:color w:val="auto"/>
                              <w:sz w:val="18"/>
                              <w:szCs w:val="22"/>
                              <w:lang w:val="en-US" w:eastAsia="zh-CN" w:bidi="ar-SA"/>
                            </w:rPr>
                            <w:fldChar w:fldCharType="begin"/>
                          </w:r>
                          <w:r>
                            <w:rPr>
                              <w:rFonts w:ascii="Times New Roman" w:hAnsi="Times New Roman" w:eastAsia="宋体" w:cs="宋体"/>
                              <w:color w:val="auto"/>
                              <w:sz w:val="18"/>
                              <w:szCs w:val="22"/>
                              <w:lang w:val="en-US" w:eastAsia="zh-CN" w:bidi="ar-SA"/>
                            </w:rPr>
                            <w:instrText xml:space="preserve"> PAGE  \* MERGEFORMAT </w:instrText>
                          </w:r>
                          <w:r>
                            <w:rPr>
                              <w:rFonts w:ascii="Times New Roman" w:hAnsi="Times New Roman" w:eastAsia="宋体" w:cs="宋体"/>
                              <w:color w:val="auto"/>
                              <w:sz w:val="18"/>
                              <w:szCs w:val="22"/>
                              <w:lang w:val="en-US" w:eastAsia="zh-CN" w:bidi="ar-SA"/>
                            </w:rPr>
                            <w:fldChar w:fldCharType="separate"/>
                          </w:r>
                          <w:r>
                            <w:rPr>
                              <w:rFonts w:ascii="Times New Roman" w:hAnsi="Times New Roman" w:eastAsia="宋体" w:cs="宋体"/>
                              <w:color w:val="auto"/>
                              <w:sz w:val="18"/>
                              <w:szCs w:val="22"/>
                              <w:lang w:val="en-US" w:eastAsia="zh-CN" w:bidi="ar-SA"/>
                            </w:rPr>
                            <w:t>2</w:t>
                          </w:r>
                          <w:r>
                            <w:rPr>
                              <w:rFonts w:ascii="Times New Roman" w:hAnsi="Times New Roman" w:eastAsia="宋体" w:cs="宋体"/>
                              <w:color w:val="auto"/>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pPr>
                      <w:widowControl w:val="0"/>
                      <w:snapToGrid w:val="0"/>
                      <w:spacing w:line="320" w:lineRule="exact"/>
                      <w:jc w:val="left"/>
                      <w:rPr>
                        <w:rFonts w:ascii="Times New Roman" w:hAnsi="Times New Roman" w:eastAsia="宋体" w:cs="宋体"/>
                        <w:color w:val="auto"/>
                        <w:sz w:val="18"/>
                        <w:szCs w:val="22"/>
                        <w:lang w:val="en-US" w:eastAsia="zh-CN" w:bidi="ar-SA"/>
                      </w:rPr>
                    </w:pPr>
                    <w:r>
                      <w:rPr>
                        <w:rFonts w:ascii="Times New Roman" w:hAnsi="Times New Roman" w:eastAsia="宋体" w:cs="宋体"/>
                        <w:color w:val="auto"/>
                        <w:sz w:val="18"/>
                        <w:szCs w:val="22"/>
                        <w:lang w:val="en-US" w:eastAsia="zh-CN" w:bidi="ar-SA"/>
                      </w:rPr>
                      <w:fldChar w:fldCharType="begin"/>
                    </w:r>
                    <w:r>
                      <w:rPr>
                        <w:rFonts w:ascii="Times New Roman" w:hAnsi="Times New Roman" w:eastAsia="宋体" w:cs="宋体"/>
                        <w:color w:val="auto"/>
                        <w:sz w:val="18"/>
                        <w:szCs w:val="22"/>
                        <w:lang w:val="en-US" w:eastAsia="zh-CN" w:bidi="ar-SA"/>
                      </w:rPr>
                      <w:instrText xml:space="preserve"> PAGE  \* MERGEFORMAT </w:instrText>
                    </w:r>
                    <w:r>
                      <w:rPr>
                        <w:rFonts w:ascii="Times New Roman" w:hAnsi="Times New Roman" w:eastAsia="宋体" w:cs="宋体"/>
                        <w:color w:val="auto"/>
                        <w:sz w:val="18"/>
                        <w:szCs w:val="22"/>
                        <w:lang w:val="en-US" w:eastAsia="zh-CN" w:bidi="ar-SA"/>
                      </w:rPr>
                      <w:fldChar w:fldCharType="separate"/>
                    </w:r>
                    <w:r>
                      <w:rPr>
                        <w:rFonts w:ascii="Times New Roman" w:hAnsi="Times New Roman" w:eastAsia="宋体" w:cs="宋体"/>
                        <w:color w:val="auto"/>
                        <w:sz w:val="18"/>
                        <w:szCs w:val="22"/>
                        <w:lang w:val="en-US" w:eastAsia="zh-CN" w:bidi="ar-SA"/>
                      </w:rPr>
                      <w:t>2</w:t>
                    </w:r>
                    <w:r>
                      <w:rPr>
                        <w:rFonts w:ascii="Times New Roman" w:hAnsi="Times New Roman" w:eastAsia="宋体" w:cs="宋体"/>
                        <w:color w:val="auto"/>
                        <w:sz w:val="18"/>
                        <w:szCs w:val="22"/>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rFonts w:eastAsia="宋体" w:cs="宋体"/>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spacing w:line="320" w:lineRule="exact"/>
                            <w:jc w:val="left"/>
                            <w:rPr>
                              <w:rFonts w:ascii="Times New Roman" w:hAnsi="Times New Roman" w:eastAsia="宋体" w:cs="宋体"/>
                              <w:color w:val="auto"/>
                              <w:sz w:val="18"/>
                              <w:szCs w:val="22"/>
                              <w:lang w:val="en-US" w:eastAsia="zh-CN" w:bidi="ar-SA"/>
                            </w:rPr>
                          </w:pPr>
                          <w:r>
                            <w:rPr>
                              <w:rFonts w:ascii="Times New Roman" w:hAnsi="Times New Roman" w:eastAsia="宋体" w:cs="宋体"/>
                              <w:color w:val="auto"/>
                              <w:sz w:val="18"/>
                              <w:szCs w:val="22"/>
                              <w:lang w:val="en-US" w:eastAsia="zh-CN" w:bidi="ar-SA"/>
                            </w:rPr>
                            <w:fldChar w:fldCharType="begin"/>
                          </w:r>
                          <w:r>
                            <w:rPr>
                              <w:rFonts w:ascii="Times New Roman" w:hAnsi="Times New Roman" w:eastAsia="宋体" w:cs="宋体"/>
                              <w:color w:val="auto"/>
                              <w:sz w:val="18"/>
                              <w:szCs w:val="22"/>
                              <w:lang w:val="en-US" w:eastAsia="zh-CN" w:bidi="ar-SA"/>
                            </w:rPr>
                            <w:instrText xml:space="preserve"> PAGE  \* MERGEFORMAT </w:instrText>
                          </w:r>
                          <w:r>
                            <w:rPr>
                              <w:rFonts w:ascii="Times New Roman" w:hAnsi="Times New Roman" w:eastAsia="宋体" w:cs="宋体"/>
                              <w:color w:val="auto"/>
                              <w:sz w:val="18"/>
                              <w:szCs w:val="22"/>
                              <w:lang w:val="en-US" w:eastAsia="zh-CN" w:bidi="ar-SA"/>
                            </w:rPr>
                            <w:fldChar w:fldCharType="separate"/>
                          </w:r>
                          <w:r>
                            <w:rPr>
                              <w:rFonts w:ascii="Times New Roman" w:hAnsi="Times New Roman" w:eastAsia="宋体" w:cs="宋体"/>
                              <w:color w:val="auto"/>
                              <w:sz w:val="18"/>
                              <w:szCs w:val="22"/>
                              <w:lang w:val="en-US" w:eastAsia="zh-CN" w:bidi="ar-SA"/>
                            </w:rPr>
                            <w:t>2</w:t>
                          </w:r>
                          <w:r>
                            <w:rPr>
                              <w:rFonts w:ascii="Times New Roman" w:hAnsi="Times New Roman" w:eastAsia="宋体" w:cs="宋体"/>
                              <w:color w:val="auto"/>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pPr>
                      <w:widowControl w:val="0"/>
                      <w:snapToGrid w:val="0"/>
                      <w:spacing w:line="320" w:lineRule="exact"/>
                      <w:jc w:val="left"/>
                      <w:rPr>
                        <w:rFonts w:ascii="Times New Roman" w:hAnsi="Times New Roman" w:eastAsia="宋体" w:cs="宋体"/>
                        <w:color w:val="auto"/>
                        <w:sz w:val="18"/>
                        <w:szCs w:val="22"/>
                        <w:lang w:val="en-US" w:eastAsia="zh-CN" w:bidi="ar-SA"/>
                      </w:rPr>
                    </w:pPr>
                    <w:r>
                      <w:rPr>
                        <w:rFonts w:ascii="Times New Roman" w:hAnsi="Times New Roman" w:eastAsia="宋体" w:cs="宋体"/>
                        <w:color w:val="auto"/>
                        <w:sz w:val="18"/>
                        <w:szCs w:val="22"/>
                        <w:lang w:val="en-US" w:eastAsia="zh-CN" w:bidi="ar-SA"/>
                      </w:rPr>
                      <w:fldChar w:fldCharType="begin"/>
                    </w:r>
                    <w:r>
                      <w:rPr>
                        <w:rFonts w:ascii="Times New Roman" w:hAnsi="Times New Roman" w:eastAsia="宋体" w:cs="宋体"/>
                        <w:color w:val="auto"/>
                        <w:sz w:val="18"/>
                        <w:szCs w:val="22"/>
                        <w:lang w:val="en-US" w:eastAsia="zh-CN" w:bidi="ar-SA"/>
                      </w:rPr>
                      <w:instrText xml:space="preserve"> PAGE  \* MERGEFORMAT </w:instrText>
                    </w:r>
                    <w:r>
                      <w:rPr>
                        <w:rFonts w:ascii="Times New Roman" w:hAnsi="Times New Roman" w:eastAsia="宋体" w:cs="宋体"/>
                        <w:color w:val="auto"/>
                        <w:sz w:val="18"/>
                        <w:szCs w:val="22"/>
                        <w:lang w:val="en-US" w:eastAsia="zh-CN" w:bidi="ar-SA"/>
                      </w:rPr>
                      <w:fldChar w:fldCharType="separate"/>
                    </w:r>
                    <w:r>
                      <w:rPr>
                        <w:rFonts w:ascii="Times New Roman" w:hAnsi="Times New Roman" w:eastAsia="宋体" w:cs="宋体"/>
                        <w:color w:val="auto"/>
                        <w:sz w:val="18"/>
                        <w:szCs w:val="22"/>
                        <w:lang w:val="en-US" w:eastAsia="zh-CN" w:bidi="ar-SA"/>
                      </w:rPr>
                      <w:t>2</w:t>
                    </w:r>
                    <w:r>
                      <w:rPr>
                        <w:rFonts w:ascii="Times New Roman" w:hAnsi="Times New Roman" w:eastAsia="宋体" w:cs="宋体"/>
                        <w:color w:val="auto"/>
                        <w:sz w:val="18"/>
                        <w:szCs w:val="22"/>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BW/BQOgIAAHMEAAAOAAAAAAAAAAEAIAAAAB8BAABkcnMvZTJvRG9j&#10;LnhtbFBLBQYAAAAABgAGAFkBAADLBQ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GB985AgAAcQ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by9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wGB985AgAAcQQAAA4AAAAAAAAAAQAgAAAAHwEAAGRycy9lMm9Eb2Mu&#10;eG1sUEsFBgAAAAAGAAYAWQEAAMoFA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360" w:firstLineChars="200"/>
                            <w:jc w:val="left"/>
                            <w:rPr>
                              <w:rFonts w:hint="eastAsia" w:ascii="Times New Roman" w:hAnsi="Times New Roman" w:eastAsia="宋体" w:cs="宋体"/>
                              <w:sz w:val="18"/>
                              <w:szCs w:val="22"/>
                              <w:lang w:val="en-US" w:eastAsia="zh-CN" w:bidi="ar-SA"/>
                            </w:rPr>
                          </w:pPr>
                          <w:r>
                            <w:rPr>
                              <w:rFonts w:hint="eastAsia" w:ascii="Times New Roman" w:hAnsi="Times New Roman" w:eastAsia="宋体" w:cs="宋体"/>
                              <w:sz w:val="18"/>
                              <w:szCs w:val="22"/>
                              <w:lang w:val="en-US" w:eastAsia="zh-CN" w:bidi="ar-SA"/>
                            </w:rPr>
                            <w:fldChar w:fldCharType="begin"/>
                          </w:r>
                          <w:r>
                            <w:rPr>
                              <w:rFonts w:hint="eastAsia" w:ascii="Times New Roman" w:hAnsi="Times New Roman" w:eastAsia="宋体" w:cs="宋体"/>
                              <w:sz w:val="18"/>
                              <w:szCs w:val="22"/>
                              <w:lang w:val="en-US" w:eastAsia="zh-CN" w:bidi="ar-SA"/>
                            </w:rPr>
                            <w:instrText xml:space="preserve"> PAGE  \* MERGEFORMAT </w:instrText>
                          </w:r>
                          <w:r>
                            <w:rPr>
                              <w:rFonts w:hint="eastAsia" w:ascii="Times New Roman" w:hAnsi="Times New Roman" w:eastAsia="宋体" w:cs="宋体"/>
                              <w:sz w:val="18"/>
                              <w:szCs w:val="22"/>
                              <w:lang w:val="en-US" w:eastAsia="zh-CN" w:bidi="ar-SA"/>
                            </w:rPr>
                            <w:fldChar w:fldCharType="separate"/>
                          </w:r>
                          <w:r>
                            <w:rPr>
                              <w:rFonts w:hint="eastAsia" w:ascii="Times New Roman" w:hAnsi="Times New Roman" w:eastAsia="宋体" w:cs="宋体"/>
                              <w:sz w:val="18"/>
                              <w:szCs w:val="22"/>
                              <w:lang w:val="en-US" w:eastAsia="zh-CN" w:bidi="ar-SA"/>
                            </w:rPr>
                            <w:t>1</w:t>
                          </w:r>
                          <w:r>
                            <w:rPr>
                              <w:rFonts w:hint="eastAsia" w:ascii="Times New Roman" w:hAnsi="Times New Roman" w:eastAsia="宋体" w:cs="宋体"/>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qrVg6AgAAc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KbK0o0U2j56fu3&#10;049fp59fSbyERK31M0Q+WMSG7q3pED7ce1xG5l3lVPwFJwI/BD5eBBZdIDw+mk6m0xwuDt9wAH72&#10;+Nw6H94Jo0g0CurQwSQsO2x86EOHkJhNm3UjZeqi1KQt6PXrq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lqq1YOgIAAHMEAAAOAAAAAAAAAAEAIAAAAB8BAABkcnMvZTJvRG9j&#10;LnhtbFBLBQYAAAAABgAGAFkBAADLBQ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360" w:firstLineChars="200"/>
                      <w:jc w:val="left"/>
                      <w:rPr>
                        <w:rFonts w:hint="eastAsia" w:ascii="Times New Roman" w:hAnsi="Times New Roman" w:eastAsia="宋体" w:cs="宋体"/>
                        <w:sz w:val="18"/>
                        <w:szCs w:val="22"/>
                        <w:lang w:val="en-US" w:eastAsia="zh-CN" w:bidi="ar-SA"/>
                      </w:rPr>
                    </w:pPr>
                    <w:r>
                      <w:rPr>
                        <w:rFonts w:hint="eastAsia" w:ascii="Times New Roman" w:hAnsi="Times New Roman" w:eastAsia="宋体" w:cs="宋体"/>
                        <w:sz w:val="18"/>
                        <w:szCs w:val="22"/>
                        <w:lang w:val="en-US" w:eastAsia="zh-CN" w:bidi="ar-SA"/>
                      </w:rPr>
                      <w:fldChar w:fldCharType="begin"/>
                    </w:r>
                    <w:r>
                      <w:rPr>
                        <w:rFonts w:hint="eastAsia" w:ascii="Times New Roman" w:hAnsi="Times New Roman" w:eastAsia="宋体" w:cs="宋体"/>
                        <w:sz w:val="18"/>
                        <w:szCs w:val="22"/>
                        <w:lang w:val="en-US" w:eastAsia="zh-CN" w:bidi="ar-SA"/>
                      </w:rPr>
                      <w:instrText xml:space="preserve"> PAGE  \* MERGEFORMAT </w:instrText>
                    </w:r>
                    <w:r>
                      <w:rPr>
                        <w:rFonts w:hint="eastAsia" w:ascii="Times New Roman" w:hAnsi="Times New Roman" w:eastAsia="宋体" w:cs="宋体"/>
                        <w:sz w:val="18"/>
                        <w:szCs w:val="22"/>
                        <w:lang w:val="en-US" w:eastAsia="zh-CN" w:bidi="ar-SA"/>
                      </w:rPr>
                      <w:fldChar w:fldCharType="separate"/>
                    </w:r>
                    <w:r>
                      <w:rPr>
                        <w:rFonts w:hint="eastAsia" w:ascii="Times New Roman" w:hAnsi="Times New Roman" w:eastAsia="宋体" w:cs="宋体"/>
                        <w:sz w:val="18"/>
                        <w:szCs w:val="22"/>
                        <w:lang w:val="en-US" w:eastAsia="zh-CN" w:bidi="ar-SA"/>
                      </w:rPr>
                      <w:t>1</w:t>
                    </w:r>
                    <w:r>
                      <w:rPr>
                        <w:rFonts w:hint="eastAsia" w:ascii="Times New Roman" w:hAnsi="Times New Roman" w:eastAsia="宋体" w:cs="宋体"/>
                        <w:sz w:val="18"/>
                        <w:szCs w:val="22"/>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CEBA5"/>
    <w:multiLevelType w:val="singleLevel"/>
    <w:tmpl w:val="90DCEBA5"/>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A2024819"/>
    <w:multiLevelType w:val="singleLevel"/>
    <w:tmpl w:val="A2024819"/>
    <w:lvl w:ilvl="0" w:tentative="0">
      <w:start w:val="2"/>
      <w:numFmt w:val="decimal"/>
      <w:suff w:val="nothing"/>
      <w:lvlText w:val="（%1）"/>
      <w:lvlJc w:val="left"/>
    </w:lvl>
  </w:abstractNum>
  <w:abstractNum w:abstractNumId="2">
    <w:nsid w:val="AC57E134"/>
    <w:multiLevelType w:val="singleLevel"/>
    <w:tmpl w:val="AC57E134"/>
    <w:lvl w:ilvl="0" w:tentative="0">
      <w:start w:val="1"/>
      <w:numFmt w:val="decimal"/>
      <w:pStyle w:val="9"/>
      <w:lvlText w:val="%1."/>
      <w:lvlJc w:val="left"/>
      <w:pPr>
        <w:tabs>
          <w:tab w:val="left" w:pos="2040"/>
        </w:tabs>
        <w:ind w:left="2040" w:hanging="360"/>
      </w:pPr>
    </w:lvl>
  </w:abstractNum>
  <w:abstractNum w:abstractNumId="3">
    <w:nsid w:val="04EF0564"/>
    <w:multiLevelType w:val="singleLevel"/>
    <w:tmpl w:val="04EF0564"/>
    <w:lvl w:ilvl="0" w:tentative="0">
      <w:start w:val="3"/>
      <w:numFmt w:val="decimal"/>
      <w:lvlText w:val="%1)"/>
      <w:lvlJc w:val="left"/>
      <w:pPr>
        <w:tabs>
          <w:tab w:val="left" w:pos="312"/>
        </w:tabs>
      </w:pPr>
    </w:lvl>
  </w:abstractNum>
  <w:abstractNum w:abstractNumId="4">
    <w:nsid w:val="0D6BF03F"/>
    <w:multiLevelType w:val="singleLevel"/>
    <w:tmpl w:val="0D6BF03F"/>
    <w:lvl w:ilvl="0" w:tentative="0">
      <w:start w:val="1"/>
      <w:numFmt w:val="lowerLetter"/>
      <w:suff w:val="nothing"/>
      <w:lvlText w:val="%1）"/>
      <w:lvlJc w:val="left"/>
    </w:lvl>
  </w:abstractNum>
  <w:abstractNum w:abstractNumId="5">
    <w:nsid w:val="5E2B1243"/>
    <w:multiLevelType w:val="singleLevel"/>
    <w:tmpl w:val="5E2B1243"/>
    <w:lvl w:ilvl="0" w:tentative="0">
      <w:start w:val="3"/>
      <w:numFmt w:val="chineseCounting"/>
      <w:suff w:val="nothing"/>
      <w:lvlText w:val="%1、"/>
      <w:lvlJc w:val="left"/>
      <w:rPr>
        <w:rFonts w:hint="eastAsia"/>
      </w:rPr>
    </w:lvl>
  </w:abstractNum>
  <w:abstractNum w:abstractNumId="6">
    <w:nsid w:val="6FE6A1B0"/>
    <w:multiLevelType w:val="singleLevel"/>
    <w:tmpl w:val="6FE6A1B0"/>
    <w:lvl w:ilvl="0" w:tentative="0">
      <w:start w:val="4"/>
      <w:numFmt w:val="decimal"/>
      <w:suff w:val="nothing"/>
      <w:lvlText w:val="%1）"/>
      <w:lvlJc w:val="left"/>
    </w:lvl>
  </w:abstractNum>
  <w:num w:numId="1">
    <w:abstractNumId w:val="2"/>
  </w:num>
  <w:num w:numId="2">
    <w:abstractNumId w:val="0"/>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YzRiY2JmMDUxNDhlNWRiN2EwOTcxN2UzY2VmMGIifQ=="/>
  </w:docVars>
  <w:rsids>
    <w:rsidRoot w:val="29CE5CDC"/>
    <w:rsid w:val="01492590"/>
    <w:rsid w:val="04C410F3"/>
    <w:rsid w:val="0FCD51F7"/>
    <w:rsid w:val="12EB14DB"/>
    <w:rsid w:val="137E0EF4"/>
    <w:rsid w:val="153B0CD9"/>
    <w:rsid w:val="19A40B62"/>
    <w:rsid w:val="1DAC741C"/>
    <w:rsid w:val="1E1C7453"/>
    <w:rsid w:val="1E912B8A"/>
    <w:rsid w:val="219A5861"/>
    <w:rsid w:val="24C1476A"/>
    <w:rsid w:val="27D73777"/>
    <w:rsid w:val="27E02E0D"/>
    <w:rsid w:val="280B68B7"/>
    <w:rsid w:val="29CE5CDC"/>
    <w:rsid w:val="2A343715"/>
    <w:rsid w:val="2C3528A5"/>
    <w:rsid w:val="2D7921CC"/>
    <w:rsid w:val="31102E48"/>
    <w:rsid w:val="328511FD"/>
    <w:rsid w:val="32CC2D9E"/>
    <w:rsid w:val="338A07D8"/>
    <w:rsid w:val="38D24DB6"/>
    <w:rsid w:val="3B7623FA"/>
    <w:rsid w:val="3E7F6414"/>
    <w:rsid w:val="3FC518DA"/>
    <w:rsid w:val="40B577C4"/>
    <w:rsid w:val="49A52FCB"/>
    <w:rsid w:val="4BBD510C"/>
    <w:rsid w:val="4C517297"/>
    <w:rsid w:val="4D540EDF"/>
    <w:rsid w:val="4E9805ED"/>
    <w:rsid w:val="52C33F92"/>
    <w:rsid w:val="53F36A09"/>
    <w:rsid w:val="5F3B3CB9"/>
    <w:rsid w:val="60E2622E"/>
    <w:rsid w:val="62A61E1D"/>
    <w:rsid w:val="65FD0CB5"/>
    <w:rsid w:val="66FC73CE"/>
    <w:rsid w:val="672B06ED"/>
    <w:rsid w:val="6A07177E"/>
    <w:rsid w:val="6CD50CCF"/>
    <w:rsid w:val="6DFC15CB"/>
    <w:rsid w:val="70761621"/>
    <w:rsid w:val="71563193"/>
    <w:rsid w:val="72327866"/>
    <w:rsid w:val="741A48EA"/>
    <w:rsid w:val="763302CD"/>
    <w:rsid w:val="7A171E0C"/>
    <w:rsid w:val="7DC620F9"/>
    <w:rsid w:val="7DC67491"/>
    <w:rsid w:val="7E94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jc w:val="both"/>
    </w:pPr>
    <w:rPr>
      <w:rFonts w:ascii="Times New Roman" w:hAnsi="Times New Roman" w:eastAsia="宋体" w:cs="宋体"/>
      <w:color w:val="auto"/>
      <w:sz w:val="24"/>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line="360" w:lineRule="auto"/>
      <w:outlineLvl w:val="1"/>
    </w:pPr>
    <w:rPr>
      <w:rFonts w:eastAsia="Times New Roman"/>
      <w:b/>
      <w:bCs/>
      <w:sz w:val="28"/>
      <w:szCs w:val="32"/>
    </w:rPr>
  </w:style>
  <w:style w:type="paragraph" w:styleId="5">
    <w:name w:val="heading 4"/>
    <w:basedOn w:val="1"/>
    <w:next w:val="1"/>
    <w:qFormat/>
    <w:uiPriority w:val="0"/>
    <w:pPr>
      <w:keepNext/>
      <w:keepLines/>
      <w:widowControl/>
      <w:spacing w:before="280" w:after="290" w:line="376" w:lineRule="atLeast"/>
      <w:outlineLvl w:val="3"/>
    </w:pPr>
    <w:rPr>
      <w:rFonts w:ascii="Arial" w:hAnsi="Arial"/>
      <w:b/>
      <w:bCs/>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szCs w:val="24"/>
    </w:rPr>
  </w:style>
  <w:style w:type="paragraph" w:styleId="6">
    <w:name w:val="Normal Indent"/>
    <w:basedOn w:val="1"/>
    <w:next w:val="1"/>
    <w:qFormat/>
    <w:uiPriority w:val="0"/>
    <w:pPr>
      <w:ind w:firstLine="420"/>
    </w:pPr>
    <w:rPr>
      <w:sz w:val="21"/>
      <w:szCs w:val="20"/>
    </w:rPr>
  </w:style>
  <w:style w:type="paragraph" w:styleId="7">
    <w:name w:val="Body Text Indent"/>
    <w:basedOn w:val="1"/>
    <w:next w:val="6"/>
    <w:qFormat/>
    <w:uiPriority w:val="0"/>
    <w:pPr>
      <w:spacing w:after="120"/>
      <w:ind w:left="420" w:leftChars="200"/>
    </w:pPr>
  </w:style>
  <w:style w:type="paragraph" w:styleId="8">
    <w:name w:val="Plain Text"/>
    <w:basedOn w:val="1"/>
    <w:next w:val="9"/>
    <w:qFormat/>
    <w:uiPriority w:val="0"/>
    <w:rPr>
      <w:rFonts w:ascii="宋体" w:hAnsi="Courier New"/>
      <w:szCs w:val="20"/>
    </w:rPr>
  </w:style>
  <w:style w:type="paragraph" w:styleId="9">
    <w:name w:val="List Number 5"/>
    <w:basedOn w:val="1"/>
    <w:qFormat/>
    <w:uiPriority w:val="0"/>
    <w:pPr>
      <w:numPr>
        <w:ilvl w:val="0"/>
        <w:numId w:val="1"/>
      </w:numPr>
    </w:pPr>
  </w:style>
  <w:style w:type="paragraph" w:styleId="10">
    <w:name w:val="List Bullet 5"/>
    <w:basedOn w:val="1"/>
    <w:qFormat/>
    <w:uiPriority w:val="0"/>
    <w:pPr>
      <w:numPr>
        <w:ilvl w:val="0"/>
        <w:numId w:val="2"/>
      </w:numPr>
    </w:p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List"/>
    <w:basedOn w:val="1"/>
    <w:next w:val="1"/>
    <w:qFormat/>
    <w:uiPriority w:val="0"/>
    <w:pPr>
      <w:widowControl w:val="0"/>
      <w:overflowPunct w:val="0"/>
      <w:autoSpaceDE w:val="0"/>
      <w:autoSpaceDN w:val="0"/>
      <w:adjustRightInd w:val="0"/>
      <w:snapToGrid w:val="0"/>
      <w:spacing w:line="360" w:lineRule="atLeast"/>
      <w:ind w:left="0" w:firstLine="0" w:firstLineChars="0"/>
      <w:jc w:val="center"/>
    </w:pPr>
    <w:rPr>
      <w:rFonts w:ascii="Times New Roman" w:hAnsi="Times New Roman" w:eastAsia="宋体" w:cs="Times New Roman"/>
      <w:kern w:val="2"/>
      <w:sz w:val="21"/>
      <w:szCs w:val="24"/>
      <w:lang w:val="en-US" w:eastAsia="zh-CN" w:bidi="ar-SA"/>
    </w:rPr>
  </w:style>
  <w:style w:type="paragraph" w:styleId="15">
    <w:name w:val="Body Text 2"/>
    <w:basedOn w:val="1"/>
    <w:qFormat/>
    <w:uiPriority w:val="0"/>
    <w:pPr>
      <w:spacing w:after="120" w:afterLines="0" w:line="480" w:lineRule="auto"/>
    </w:pPr>
    <w:rPr>
      <w:rFonts w:eastAsia="仿宋_GB231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2"/>
    <w:next w:val="7"/>
    <w:qFormat/>
    <w:uiPriority w:val="0"/>
    <w:pPr>
      <w:ind w:firstLine="420" w:firstLineChars="100"/>
    </w:pPr>
  </w:style>
  <w:style w:type="paragraph" w:styleId="18">
    <w:name w:val="Body Text First Indent 2"/>
    <w:basedOn w:val="7"/>
    <w:next w:val="8"/>
    <w:qFormat/>
    <w:uiPriority w:val="0"/>
    <w:pPr>
      <w:widowControl w:val="0"/>
      <w:autoSpaceDE/>
      <w:autoSpaceDN/>
      <w:adjustRightInd/>
      <w:spacing w:after="120" w:line="240" w:lineRule="auto"/>
      <w:ind w:left="420" w:leftChars="200" w:firstLine="420" w:firstLineChars="200"/>
      <w:jc w:val="both"/>
      <w:textAlignment w:val="auto"/>
    </w:pPr>
    <w:rPr>
      <w:kern w:val="2"/>
      <w:sz w:val="21"/>
      <w:szCs w:val="24"/>
      <w:lang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color w:val="185ECF"/>
      <w:u w:val="none"/>
    </w:rPr>
  </w:style>
  <w:style w:type="character" w:styleId="25">
    <w:name w:val="Hyperlink"/>
    <w:basedOn w:val="21"/>
    <w:qFormat/>
    <w:uiPriority w:val="0"/>
    <w:rPr>
      <w:color w:val="185ECF"/>
      <w:u w:val="none"/>
    </w:rPr>
  </w:style>
  <w:style w:type="paragraph" w:customStyle="1" w:styleId="26">
    <w:name w:val="表格内"/>
    <w:basedOn w:val="1"/>
    <w:qFormat/>
    <w:uiPriority w:val="0"/>
    <w:pPr>
      <w:spacing w:line="360" w:lineRule="exact"/>
      <w:jc w:val="center"/>
    </w:pPr>
    <w:rPr>
      <w:snapToGrid w:val="0"/>
      <w:szCs w:val="21"/>
    </w:rPr>
  </w:style>
  <w:style w:type="paragraph" w:customStyle="1" w:styleId="27">
    <w:name w:val="Default"/>
    <w:basedOn w:val="28"/>
    <w:next w:val="1"/>
    <w:qFormat/>
    <w:uiPriority w:val="0"/>
    <w:pPr>
      <w:widowControl w:val="0"/>
      <w:tabs>
        <w:tab w:val="left" w:pos="1845"/>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9">
    <w:name w:val="Body Text 21"/>
    <w:basedOn w:val="1"/>
    <w:qFormat/>
    <w:uiPriority w:val="0"/>
    <w:pPr>
      <w:spacing w:after="120" w:line="480" w:lineRule="auto"/>
    </w:pPr>
  </w:style>
  <w:style w:type="paragraph" w:customStyle="1" w:styleId="30">
    <w:name w:val="纯文本1"/>
    <w:qFormat/>
    <w:uiPriority w:val="0"/>
    <w:pPr>
      <w:widowControl w:val="0"/>
      <w:tabs>
        <w:tab w:val="left" w:pos="1845"/>
      </w:tabs>
      <w:spacing w:line="240" w:lineRule="exact"/>
      <w:jc w:val="center"/>
    </w:pPr>
    <w:rPr>
      <w:rFonts w:asciiTheme="minorHAnsi" w:hAnsiTheme="minorHAnsi" w:eastAsiaTheme="minorEastAsia" w:cstheme="minorBidi"/>
      <w:kern w:val="2"/>
      <w:sz w:val="18"/>
      <w:szCs w:val="24"/>
      <w:lang w:val="en-US" w:eastAsia="zh-CN" w:bidi="ar-SA"/>
    </w:rPr>
  </w:style>
  <w:style w:type="paragraph" w:customStyle="1" w:styleId="31">
    <w:name w:val="表格文字"/>
    <w:basedOn w:val="1"/>
    <w:next w:val="1"/>
    <w:qFormat/>
    <w:uiPriority w:val="0"/>
    <w:pPr>
      <w:tabs>
        <w:tab w:val="center" w:pos="1053"/>
      </w:tabs>
      <w:adjustRightInd/>
      <w:spacing w:line="360" w:lineRule="exact"/>
      <w:ind w:firstLine="0" w:firstLineChars="0"/>
      <w:jc w:val="center"/>
    </w:pPr>
    <w:rPr>
      <w:rFonts w:ascii="宋体" w:hAnsi="宋体"/>
      <w:kern w:val="21"/>
      <w:sz w:val="21"/>
      <w:szCs w:val="21"/>
    </w:rPr>
  </w:style>
  <w:style w:type="paragraph" w:customStyle="1" w:styleId="32">
    <w:name w:val="表头"/>
    <w:basedOn w:val="6"/>
    <w:next w:val="1"/>
    <w:qFormat/>
    <w:uiPriority w:val="0"/>
    <w:pPr>
      <w:adjustRightInd w:val="0"/>
      <w:snapToGrid w:val="0"/>
      <w:spacing w:before="60" w:beforeLines="25"/>
      <w:jc w:val="center"/>
      <w:textAlignment w:val="baseline"/>
    </w:pPr>
    <w:rPr>
      <w:rFonts w:hAnsi="宋体" w:eastAsia="仿宋_GB2312"/>
      <w:b/>
      <w:kern w:val="0"/>
      <w:szCs w:val="28"/>
    </w:rPr>
  </w:style>
  <w:style w:type="paragraph" w:customStyle="1" w:styleId="33">
    <w:name w:val="标题四A"/>
    <w:basedOn w:val="1"/>
    <w:qFormat/>
    <w:uiPriority w:val="0"/>
    <w:pPr>
      <w:spacing w:line="500" w:lineRule="exact"/>
      <w:outlineLvl w:val="3"/>
    </w:pPr>
    <w:rPr>
      <w:rFonts w:ascii="Times New Roman" w:hAnsi="Times New Roman"/>
      <w:b/>
      <w:kern w:val="0"/>
      <w:sz w:val="24"/>
      <w:szCs w:val="24"/>
    </w:rPr>
  </w:style>
  <w:style w:type="paragraph" w:customStyle="1" w:styleId="34">
    <w:name w:val="表"/>
    <w:basedOn w:val="1"/>
    <w:qFormat/>
    <w:uiPriority w:val="0"/>
    <w:pPr>
      <w:keepNext/>
      <w:spacing w:line="240" w:lineRule="exact"/>
    </w:pPr>
    <w:rPr>
      <w:rFonts w:eastAsia="仿宋_GB2312"/>
      <w:szCs w:val="20"/>
    </w:rPr>
  </w:style>
  <w:style w:type="paragraph" w:customStyle="1" w:styleId="35">
    <w:name w:val="正文(首行缩进)"/>
    <w:basedOn w:val="1"/>
    <w:next w:val="1"/>
    <w:qFormat/>
    <w:uiPriority w:val="0"/>
    <w:pPr>
      <w:spacing w:line="360" w:lineRule="auto"/>
      <w:ind w:firstLine="480" w:firstLineChars="200"/>
    </w:pPr>
    <w:rPr>
      <w:rFonts w:ascii="Times New Roman" w:hAnsi="Times New Roman"/>
      <w:kern w:val="0"/>
      <w:sz w:val="24"/>
      <w:szCs w:val="24"/>
    </w:rPr>
  </w:style>
  <w:style w:type="paragraph" w:customStyle="1" w:styleId="36">
    <w:name w:val="表内字"/>
    <w:basedOn w:val="1"/>
    <w:qFormat/>
    <w:uiPriority w:val="0"/>
    <w:pPr>
      <w:jc w:val="center"/>
    </w:pPr>
    <w:rPr>
      <w:rFonts w:ascii="Times New Roman" w:hAnsi="Times New Roman" w:eastAsia="宋体"/>
      <w:sz w:val="21"/>
      <w:szCs w:val="24"/>
    </w:rPr>
  </w:style>
  <w:style w:type="character" w:customStyle="1" w:styleId="37">
    <w:name w:val="font51"/>
    <w:basedOn w:val="21"/>
    <w:qFormat/>
    <w:uiPriority w:val="0"/>
    <w:rPr>
      <w:rFonts w:hint="eastAsia" w:ascii="宋体" w:hAnsi="宋体" w:eastAsia="宋体" w:cs="宋体"/>
      <w:color w:val="000000"/>
      <w:sz w:val="21"/>
      <w:szCs w:val="21"/>
      <w:u w:val="none"/>
    </w:rPr>
  </w:style>
  <w:style w:type="character" w:customStyle="1" w:styleId="38">
    <w:name w:val="font21"/>
    <w:basedOn w:val="21"/>
    <w:qFormat/>
    <w:uiPriority w:val="0"/>
    <w:rPr>
      <w:rFonts w:hint="default" w:ascii="Times New Roman" w:hAnsi="Times New Roman" w:cs="Times New Roman"/>
      <w:color w:val="000000"/>
      <w:sz w:val="21"/>
      <w:szCs w:val="21"/>
      <w:u w:val="none"/>
    </w:rPr>
  </w:style>
  <w:style w:type="paragraph" w:customStyle="1" w:styleId="39">
    <w:name w:val="正文A"/>
    <w:basedOn w:val="40"/>
    <w:qFormat/>
    <w:uiPriority w:val="0"/>
    <w:pPr>
      <w:spacing w:line="500" w:lineRule="exact"/>
      <w:ind w:firstLine="480" w:firstLineChars="200"/>
    </w:pPr>
    <w:rPr>
      <w:rFonts w:cs="华文仿宋"/>
      <w:sz w:val="24"/>
      <w:szCs w:val="24"/>
    </w:rPr>
  </w:style>
  <w:style w:type="paragraph" w:customStyle="1" w:styleId="40">
    <w:name w:val="正文!!!!!!!!!!!"/>
    <w:basedOn w:val="41"/>
    <w:qFormat/>
    <w:uiPriority w:val="0"/>
    <w:pPr>
      <w:ind w:firstLine="480"/>
    </w:pPr>
    <w:rPr>
      <w:rFonts w:ascii="Times New Roman" w:hAnsi="Times New Roman" w:eastAsia="宋体" w:cs="Times New Roman"/>
    </w:rPr>
  </w:style>
  <w:style w:type="paragraph" w:customStyle="1" w:styleId="41">
    <w:name w:val="正文 楷体"/>
    <w:basedOn w:val="1"/>
    <w:qFormat/>
    <w:uiPriority w:val="0"/>
    <w:pPr>
      <w:spacing w:line="500" w:lineRule="exact"/>
      <w:ind w:firstLine="200" w:firstLineChars="200"/>
    </w:pPr>
    <w:rPr>
      <w:rFonts w:ascii="楷体_GB2312" w:hAnsi="楷体_GB2312" w:eastAsia="楷体_GB2312" w:cs="宋体"/>
      <w:sz w:val="24"/>
      <w:szCs w:val="24"/>
    </w:rPr>
  </w:style>
  <w:style w:type="paragraph" w:customStyle="1" w:styleId="42">
    <w:name w:val="正文-ls"/>
    <w:basedOn w:val="1"/>
    <w:qFormat/>
    <w:uiPriority w:val="0"/>
    <w:pPr>
      <w:spacing w:line="360" w:lineRule="auto"/>
      <w:ind w:firstLine="200" w:firstLineChars="200"/>
    </w:pPr>
    <w:rPr>
      <w:rFonts w:hAnsi="宋体" w:cs="宋体"/>
      <w:sz w:val="24"/>
    </w:rPr>
  </w:style>
  <w:style w:type="paragraph" w:customStyle="1" w:styleId="43">
    <w:name w:val="表头A"/>
    <w:basedOn w:val="32"/>
    <w:qFormat/>
    <w:uiPriority w:val="0"/>
    <w:pPr>
      <w:spacing w:line="400" w:lineRule="exact"/>
    </w:pPr>
  </w:style>
  <w:style w:type="table" w:customStyle="1" w:styleId="44">
    <w:name w:val="Table Normal"/>
    <w:semiHidden/>
    <w:unhideWhenUsed/>
    <w:qFormat/>
    <w:uiPriority w:val="0"/>
    <w:tblPr>
      <w:tblCellMar>
        <w:top w:w="0" w:type="dxa"/>
        <w:left w:w="0" w:type="dxa"/>
        <w:bottom w:w="0" w:type="dxa"/>
        <w:right w:w="0" w:type="dxa"/>
      </w:tblCellMar>
    </w:tblPr>
  </w:style>
  <w:style w:type="character" w:customStyle="1" w:styleId="45">
    <w:name w:val="checkbox"/>
    <w:basedOn w:val="21"/>
    <w:qFormat/>
    <w:uiPriority w:val="0"/>
  </w:style>
  <w:style w:type="character" w:customStyle="1" w:styleId="46">
    <w:name w:val="shenbao"/>
    <w:basedOn w:val="21"/>
    <w:qFormat/>
    <w:uiPriority w:val="0"/>
    <w:rPr>
      <w:color w:val="EF6334"/>
    </w:rPr>
  </w:style>
  <w:style w:type="character" w:customStyle="1" w:styleId="47">
    <w:name w:val="chakan"/>
    <w:basedOn w:val="21"/>
    <w:qFormat/>
    <w:uiPriority w:val="0"/>
    <w:rPr>
      <w:color w:val="0064EA"/>
    </w:rPr>
  </w:style>
  <w:style w:type="paragraph" w:customStyle="1" w:styleId="48">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6.png"/><Relationship Id="rId25" Type="http://schemas.openxmlformats.org/officeDocument/2006/relationships/image" Target="media/image5.wmf"/><Relationship Id="rId24" Type="http://schemas.openxmlformats.org/officeDocument/2006/relationships/image" Target="media/image4.wmf"/><Relationship Id="rId23" Type="http://schemas.openxmlformats.org/officeDocument/2006/relationships/image" Target="media/image3.wmf"/><Relationship Id="rId22" Type="http://schemas.openxmlformats.org/officeDocument/2006/relationships/image" Target="media/image2.wmf"/><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30751</Words>
  <Characters>33888</Characters>
  <Lines>0</Lines>
  <Paragraphs>0</Paragraphs>
  <TotalTime>27</TotalTime>
  <ScaleCrop>false</ScaleCrop>
  <LinksUpToDate>false</LinksUpToDate>
  <CharactersWithSpaces>34259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2022-07-28T10:13:00Z</dcterms:created>
  <dc:creator>Alessandra＊</dc:creator>
  <cp:lastModifiedBy>Alessandra＊</cp:lastModifiedBy>
  <dcterms:modified xsi:type="dcterms:W3CDTF">2023-07-17T02:15:45Z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AB98708171BE4A1B8E0BFD109E5D5667_13</vt:lpwstr>
  </property>
</Properties>
</file>