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jc w:val="center"/>
        <w:rPr>
          <w:rFonts w:ascii="宋体"/>
          <w:b/>
          <w:sz w:val="28"/>
          <w:szCs w:val="28"/>
        </w:rPr>
      </w:pPr>
      <w:bookmarkStart w:id="0" w:name="_Toc329548181"/>
      <w:bookmarkStart w:id="1" w:name="_Toc278186911"/>
      <w:bookmarkStart w:id="2" w:name="_Toc336464982"/>
      <w:bookmarkStart w:id="3" w:name="_Toc87258177"/>
      <w:bookmarkStart w:id="4" w:name="_Toc78505810"/>
      <w:bookmarkStart w:id="5" w:name="_Toc78902119"/>
      <w:bookmarkStart w:id="6" w:name="_Toc78447626"/>
      <w:bookmarkStart w:id="7" w:name="_Toc78301939"/>
      <w:bookmarkStart w:id="8" w:name="_Toc78446428"/>
    </w:p>
    <w:p>
      <w:pPr>
        <w:spacing w:line="360" w:lineRule="auto"/>
        <w:ind w:firstLine="0" w:firstLineChars="0"/>
        <w:jc w:val="center"/>
        <w:rPr>
          <w:rFonts w:ascii="宋体"/>
          <w:b/>
          <w:sz w:val="28"/>
          <w:szCs w:val="28"/>
        </w:rPr>
      </w:pPr>
    </w:p>
    <w:p>
      <w:pPr>
        <w:spacing w:line="360" w:lineRule="auto"/>
        <w:ind w:firstLine="0" w:firstLineChars="0"/>
        <w:jc w:val="center"/>
        <w:rPr>
          <w:rFonts w:ascii="宋体"/>
          <w:b/>
          <w:sz w:val="28"/>
          <w:szCs w:val="28"/>
        </w:rPr>
      </w:pPr>
    </w:p>
    <w:p>
      <w:pPr>
        <w:spacing w:line="360" w:lineRule="auto"/>
        <w:ind w:firstLine="0" w:firstLineChars="0"/>
        <w:jc w:val="center"/>
        <w:rPr>
          <w:rFonts w:ascii="黑体" w:hAnsi="黑体" w:eastAsia="黑体"/>
          <w:b/>
          <w:spacing w:val="-12"/>
          <w:sz w:val="52"/>
          <w:szCs w:val="52"/>
        </w:rPr>
      </w:pPr>
      <w:r>
        <w:rPr>
          <w:rFonts w:hint="eastAsia" w:ascii="黑体" w:hAnsi="黑体" w:eastAsia="黑体"/>
          <w:b/>
          <w:spacing w:val="-12"/>
          <w:sz w:val="52"/>
          <w:szCs w:val="52"/>
        </w:rPr>
        <w:t>昌吉回族自治州“十四五”水利发展</w:t>
      </w:r>
    </w:p>
    <w:p>
      <w:pPr>
        <w:spacing w:line="360" w:lineRule="auto"/>
        <w:ind w:firstLine="0" w:firstLineChars="0"/>
        <w:jc w:val="center"/>
        <w:rPr>
          <w:rFonts w:ascii="黑体" w:hAnsi="黑体" w:eastAsia="黑体"/>
          <w:b/>
          <w:spacing w:val="-12"/>
          <w:sz w:val="52"/>
          <w:szCs w:val="52"/>
        </w:rPr>
      </w:pPr>
      <w:r>
        <w:rPr>
          <w:rFonts w:hint="eastAsia" w:ascii="黑体" w:hAnsi="黑体" w:eastAsia="黑体"/>
          <w:b/>
          <w:spacing w:val="-12"/>
          <w:sz w:val="52"/>
          <w:szCs w:val="52"/>
        </w:rPr>
        <w:t>（水</w:t>
      </w:r>
      <w:r>
        <w:rPr>
          <w:rFonts w:ascii="黑体" w:hAnsi="黑体" w:eastAsia="黑体"/>
          <w:b/>
          <w:spacing w:val="-12"/>
          <w:sz w:val="52"/>
          <w:szCs w:val="52"/>
        </w:rPr>
        <w:t xml:space="preserve"> </w:t>
      </w:r>
      <w:r>
        <w:rPr>
          <w:rFonts w:hint="eastAsia" w:ascii="黑体" w:hAnsi="黑体" w:eastAsia="黑体"/>
          <w:b/>
          <w:spacing w:val="-12"/>
          <w:sz w:val="52"/>
          <w:szCs w:val="52"/>
        </w:rPr>
        <w:t>安</w:t>
      </w:r>
      <w:r>
        <w:rPr>
          <w:rFonts w:ascii="黑体" w:hAnsi="黑体" w:eastAsia="黑体"/>
          <w:b/>
          <w:spacing w:val="-12"/>
          <w:sz w:val="52"/>
          <w:szCs w:val="52"/>
        </w:rPr>
        <w:t xml:space="preserve"> </w:t>
      </w:r>
      <w:r>
        <w:rPr>
          <w:rFonts w:hint="eastAsia" w:ascii="黑体" w:hAnsi="黑体" w:eastAsia="黑体"/>
          <w:b/>
          <w:spacing w:val="-12"/>
          <w:sz w:val="52"/>
          <w:szCs w:val="52"/>
        </w:rPr>
        <w:t>全</w:t>
      </w:r>
      <w:r>
        <w:rPr>
          <w:rFonts w:ascii="黑体" w:hAnsi="黑体" w:eastAsia="黑体"/>
          <w:b/>
          <w:spacing w:val="-12"/>
          <w:sz w:val="52"/>
          <w:szCs w:val="52"/>
        </w:rPr>
        <w:t xml:space="preserve"> </w:t>
      </w:r>
      <w:r>
        <w:rPr>
          <w:rFonts w:hint="eastAsia" w:ascii="黑体" w:hAnsi="黑体" w:eastAsia="黑体"/>
          <w:b/>
          <w:spacing w:val="-12"/>
          <w:sz w:val="52"/>
          <w:szCs w:val="52"/>
        </w:rPr>
        <w:t>保</w:t>
      </w:r>
      <w:r>
        <w:rPr>
          <w:rFonts w:ascii="黑体" w:hAnsi="黑体" w:eastAsia="黑体"/>
          <w:b/>
          <w:spacing w:val="-12"/>
          <w:sz w:val="52"/>
          <w:szCs w:val="52"/>
        </w:rPr>
        <w:t xml:space="preserve"> </w:t>
      </w:r>
      <w:r>
        <w:rPr>
          <w:rFonts w:hint="eastAsia" w:ascii="黑体" w:hAnsi="黑体" w:eastAsia="黑体"/>
          <w:b/>
          <w:spacing w:val="-12"/>
          <w:sz w:val="52"/>
          <w:szCs w:val="52"/>
        </w:rPr>
        <w:t>障）规</w:t>
      </w:r>
      <w:r>
        <w:rPr>
          <w:rFonts w:ascii="黑体" w:hAnsi="黑体" w:eastAsia="黑体"/>
          <w:b/>
          <w:spacing w:val="-12"/>
          <w:sz w:val="52"/>
          <w:szCs w:val="52"/>
        </w:rPr>
        <w:t xml:space="preserve"> </w:t>
      </w:r>
      <w:r>
        <w:rPr>
          <w:rFonts w:hint="eastAsia" w:ascii="黑体" w:hAnsi="黑体" w:eastAsia="黑体"/>
          <w:b/>
          <w:spacing w:val="-12"/>
          <w:sz w:val="52"/>
          <w:szCs w:val="52"/>
        </w:rPr>
        <w:t>划</w:t>
      </w:r>
    </w:p>
    <w:p>
      <w:pPr>
        <w:ind w:firstLine="159" w:firstLineChars="38"/>
        <w:jc w:val="center"/>
        <w:rPr>
          <w:rFonts w:ascii="黑体" w:hAnsi="黑体" w:eastAsia="黑体"/>
          <w:b/>
          <w:spacing w:val="-12"/>
          <w:sz w:val="44"/>
          <w:szCs w:val="44"/>
        </w:rPr>
      </w:pPr>
    </w:p>
    <w:p>
      <w:pPr>
        <w:ind w:firstLine="198" w:firstLineChars="38"/>
        <w:jc w:val="center"/>
        <w:rPr>
          <w:rFonts w:ascii="宋体"/>
          <w:b/>
          <w:sz w:val="52"/>
          <w:szCs w:val="52"/>
        </w:rPr>
      </w:pPr>
    </w:p>
    <w:p>
      <w:pPr>
        <w:ind w:firstLine="31680"/>
        <w:jc w:val="center"/>
      </w:pPr>
    </w:p>
    <w:p>
      <w:pPr>
        <w:ind w:firstLine="31680"/>
        <w:jc w:val="center"/>
      </w:pPr>
    </w:p>
    <w:p>
      <w:pPr>
        <w:pStyle w:val="6"/>
        <w:spacing w:line="660" w:lineRule="exact"/>
        <w:ind w:firstLine="2748" w:firstLineChars="916"/>
        <w:rPr>
          <w:sz w:val="30"/>
          <w:szCs w:val="30"/>
        </w:rPr>
      </w:pPr>
    </w:p>
    <w:p>
      <w:pPr>
        <w:pStyle w:val="6"/>
        <w:spacing w:line="660" w:lineRule="exact"/>
        <w:ind w:firstLine="2748" w:firstLineChars="916"/>
        <w:rPr>
          <w:sz w:val="30"/>
          <w:szCs w:val="30"/>
        </w:rPr>
      </w:pPr>
    </w:p>
    <w:p>
      <w:pPr>
        <w:pStyle w:val="6"/>
        <w:spacing w:line="660" w:lineRule="exact"/>
        <w:ind w:firstLine="2748" w:firstLineChars="916"/>
        <w:rPr>
          <w:sz w:val="30"/>
          <w:szCs w:val="30"/>
        </w:rPr>
      </w:pPr>
    </w:p>
    <w:p>
      <w:pPr>
        <w:pStyle w:val="6"/>
        <w:spacing w:line="660" w:lineRule="exact"/>
        <w:ind w:firstLine="2748" w:firstLineChars="916"/>
        <w:rPr>
          <w:sz w:val="30"/>
          <w:szCs w:val="30"/>
        </w:rPr>
      </w:pPr>
    </w:p>
    <w:p>
      <w:pPr>
        <w:pStyle w:val="6"/>
        <w:spacing w:line="660" w:lineRule="exact"/>
        <w:ind w:firstLine="2748" w:firstLineChars="916"/>
        <w:rPr>
          <w:sz w:val="30"/>
          <w:szCs w:val="30"/>
        </w:rPr>
      </w:pPr>
    </w:p>
    <w:p>
      <w:pPr>
        <w:pStyle w:val="6"/>
        <w:spacing w:line="660" w:lineRule="exact"/>
        <w:ind w:firstLine="2748" w:firstLineChars="916"/>
        <w:rPr>
          <w:sz w:val="30"/>
          <w:szCs w:val="30"/>
        </w:rPr>
      </w:pPr>
    </w:p>
    <w:p>
      <w:pPr>
        <w:spacing w:line="360" w:lineRule="auto"/>
        <w:ind w:firstLine="0" w:firstLineChars="0"/>
        <w:jc w:val="center"/>
        <w:rPr>
          <w:rFonts w:ascii="黑体" w:hAnsi="宋体" w:eastAsia="黑体"/>
          <w:b/>
          <w:sz w:val="32"/>
          <w:szCs w:val="32"/>
        </w:rPr>
      </w:pPr>
    </w:p>
    <w:p>
      <w:pPr>
        <w:spacing w:line="360" w:lineRule="auto"/>
        <w:ind w:firstLine="0" w:firstLineChars="0"/>
        <w:jc w:val="center"/>
        <w:rPr>
          <w:rFonts w:ascii="宋体"/>
          <w:sz w:val="32"/>
          <w:szCs w:val="32"/>
        </w:rPr>
      </w:pPr>
      <w:r>
        <w:rPr>
          <w:rFonts w:hint="eastAsia" w:ascii="黑体" w:hAnsi="宋体" w:eastAsia="黑体"/>
          <w:b/>
          <w:sz w:val="32"/>
          <w:szCs w:val="32"/>
        </w:rPr>
        <w:t>二〇二二年一月</w:t>
      </w:r>
    </w:p>
    <w:p>
      <w:pPr>
        <w:spacing w:line="360" w:lineRule="auto"/>
        <w:ind w:left="-41" w:right="-158" w:firstLine="31680"/>
        <w:rPr>
          <w:rFonts w:ascii="宋体"/>
          <w:sz w:val="32"/>
          <w:szCs w:val="32"/>
        </w:rPr>
        <w:sectPr>
          <w:headerReference r:id="rId7" w:type="first"/>
          <w:footerReference r:id="rId10" w:type="first"/>
          <w:headerReference r:id="rId5" w:type="default"/>
          <w:footerReference r:id="rId8" w:type="default"/>
          <w:headerReference r:id="rId6" w:type="even"/>
          <w:footerReference r:id="rId9" w:type="even"/>
          <w:pgSz w:w="12240" w:h="15840"/>
          <w:pgMar w:top="1440" w:right="1800" w:bottom="1440" w:left="1800" w:header="624" w:footer="720" w:gutter="0"/>
          <w:cols w:space="720" w:num="1"/>
          <w:docGrid w:linePitch="326" w:charSpace="0"/>
        </w:sectPr>
      </w:pPr>
    </w:p>
    <w:p>
      <w:pPr>
        <w:ind w:firstLine="0" w:firstLineChars="0"/>
        <w:jc w:val="center"/>
        <w:rPr>
          <w:b/>
          <w:sz w:val="30"/>
          <w:szCs w:val="30"/>
        </w:rPr>
      </w:pPr>
      <w:r>
        <w:rPr>
          <w:rFonts w:hint="eastAsia"/>
          <w:b/>
          <w:sz w:val="30"/>
          <w:szCs w:val="30"/>
        </w:rPr>
        <w:t>目</w:t>
      </w:r>
      <w:r>
        <w:rPr>
          <w:b/>
          <w:sz w:val="30"/>
          <w:szCs w:val="30"/>
        </w:rPr>
        <w:t xml:space="preserve">  </w:t>
      </w:r>
      <w:r>
        <w:rPr>
          <w:rFonts w:hint="eastAsia"/>
          <w:b/>
          <w:sz w:val="30"/>
          <w:szCs w:val="30"/>
        </w:rPr>
        <w:t>录</w:t>
      </w:r>
      <w:bookmarkEnd w:id="0"/>
      <w:bookmarkEnd w:id="1"/>
      <w:bookmarkEnd w:id="2"/>
    </w:p>
    <w:p>
      <w:pPr>
        <w:pStyle w:val="30"/>
        <w:tabs>
          <w:tab w:val="right" w:leader="dot" w:pos="8640"/>
        </w:tabs>
        <w:rPr>
          <w:rFonts w:eastAsia="仿宋" w:cs="仿宋"/>
          <w:bCs/>
        </w:rPr>
      </w:pPr>
      <w:r>
        <w:rPr>
          <w:rStyle w:val="51"/>
          <w:rFonts w:eastAsia="仿宋" w:cs="仿宋"/>
          <w:b w:val="0"/>
          <w:smallCaps/>
          <w:color w:val="auto"/>
          <w:kern w:val="0"/>
          <w:szCs w:val="28"/>
        </w:rPr>
        <w:fldChar w:fldCharType="begin"/>
      </w:r>
      <w:r>
        <w:rPr>
          <w:rStyle w:val="51"/>
          <w:rFonts w:eastAsia="仿宋" w:cs="仿宋"/>
          <w:b w:val="0"/>
          <w:smallCaps/>
          <w:color w:val="auto"/>
          <w:kern w:val="0"/>
          <w:szCs w:val="28"/>
        </w:rPr>
        <w:instrText xml:space="preserve"> TOC \o "1-2" \h \z \u </w:instrText>
      </w:r>
      <w:r>
        <w:rPr>
          <w:rStyle w:val="51"/>
          <w:rFonts w:eastAsia="仿宋" w:cs="仿宋"/>
          <w:b w:val="0"/>
          <w:smallCaps/>
          <w:color w:val="auto"/>
          <w:kern w:val="0"/>
          <w:szCs w:val="28"/>
        </w:rPr>
        <w:fldChar w:fldCharType="separate"/>
      </w:r>
      <w:r>
        <w:fldChar w:fldCharType="begin"/>
      </w:r>
      <w:r>
        <w:instrText xml:space="preserve"> HYPERLINK \l "_Toc13282" </w:instrText>
      </w:r>
      <w:r>
        <w:fldChar w:fldCharType="separate"/>
      </w:r>
      <w:r>
        <w:rPr>
          <w:rFonts w:hint="eastAsia" w:eastAsia="仿宋" w:cs="仿宋"/>
          <w:bCs/>
        </w:rPr>
        <w:t>第一章</w:t>
      </w:r>
      <w:r>
        <w:rPr>
          <w:rFonts w:eastAsia="仿宋" w:cs="仿宋"/>
          <w:bCs/>
        </w:rPr>
        <w:t xml:space="preserve"> </w:t>
      </w:r>
      <w:r>
        <w:rPr>
          <w:rFonts w:hint="eastAsia" w:eastAsia="仿宋" w:cs="仿宋"/>
          <w:bCs/>
        </w:rPr>
        <w:t>水利发展现状与形势</w:t>
      </w:r>
      <w:r>
        <w:rPr>
          <w:rFonts w:eastAsia="仿宋" w:cs="仿宋"/>
          <w:bCs/>
        </w:rPr>
        <w:tab/>
      </w:r>
      <w:r>
        <w:rPr>
          <w:rFonts w:eastAsia="仿宋" w:cs="仿宋"/>
          <w:bCs/>
        </w:rPr>
        <w:fldChar w:fldCharType="begin"/>
      </w:r>
      <w:r>
        <w:rPr>
          <w:rFonts w:eastAsia="仿宋" w:cs="仿宋"/>
          <w:bCs/>
        </w:rPr>
        <w:instrText xml:space="preserve"> PAGEREF _Toc13282 </w:instrText>
      </w:r>
      <w:r>
        <w:rPr>
          <w:rFonts w:eastAsia="仿宋" w:cs="仿宋"/>
          <w:bCs/>
        </w:rPr>
        <w:fldChar w:fldCharType="separate"/>
      </w:r>
      <w:r>
        <w:rPr>
          <w:rFonts w:eastAsia="仿宋" w:cs="仿宋"/>
          <w:bCs/>
        </w:rPr>
        <w:t>1</w:t>
      </w:r>
      <w:r>
        <w:rPr>
          <w:rFonts w:eastAsia="仿宋" w:cs="仿宋"/>
          <w:bCs/>
        </w:rPr>
        <w:fldChar w:fldCharType="end"/>
      </w:r>
      <w:r>
        <w:rPr>
          <w:rFonts w:eastAsia="仿宋" w:cs="仿宋"/>
          <w:bCs/>
        </w:rPr>
        <w:fldChar w:fldCharType="end"/>
      </w:r>
    </w:p>
    <w:p>
      <w:pPr>
        <w:pStyle w:val="36"/>
        <w:tabs>
          <w:tab w:val="right" w:leader="dot" w:pos="8640"/>
        </w:tabs>
        <w:ind w:firstLine="31680"/>
        <w:rPr>
          <w:rFonts w:ascii="仿宋" w:hAnsi="仿宋" w:eastAsia="仿宋" w:cs="仿宋"/>
        </w:rPr>
      </w:pPr>
      <w:r>
        <w:fldChar w:fldCharType="begin"/>
      </w:r>
      <w:r>
        <w:instrText xml:space="preserve"> HYPERLINK \l "_Toc6255" </w:instrText>
      </w:r>
      <w:r>
        <w:fldChar w:fldCharType="separate"/>
      </w:r>
      <w:r>
        <w:rPr>
          <w:rFonts w:hint="eastAsia" w:ascii="仿宋" w:hAnsi="仿宋" w:eastAsia="仿宋" w:cs="仿宋"/>
        </w:rPr>
        <w:t>一、水利“十三五”发展主要成就</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_Toc6255 </w:instrText>
      </w:r>
      <w:r>
        <w:rPr>
          <w:rFonts w:ascii="仿宋" w:hAnsi="仿宋" w:eastAsia="仿宋" w:cs="仿宋"/>
        </w:rPr>
        <w:fldChar w:fldCharType="separate"/>
      </w:r>
      <w:r>
        <w:rPr>
          <w:rFonts w:ascii="仿宋" w:hAnsi="仿宋" w:eastAsia="仿宋" w:cs="仿宋"/>
        </w:rPr>
        <w:t>1</w:t>
      </w:r>
      <w:r>
        <w:rPr>
          <w:rFonts w:ascii="仿宋" w:hAnsi="仿宋" w:eastAsia="仿宋" w:cs="仿宋"/>
        </w:rPr>
        <w:fldChar w:fldCharType="end"/>
      </w:r>
      <w:r>
        <w:rPr>
          <w:rFonts w:ascii="仿宋" w:hAnsi="仿宋" w:eastAsia="仿宋" w:cs="仿宋"/>
        </w:rPr>
        <w:fldChar w:fldCharType="end"/>
      </w:r>
    </w:p>
    <w:p>
      <w:pPr>
        <w:pStyle w:val="36"/>
        <w:tabs>
          <w:tab w:val="right" w:leader="dot" w:pos="8640"/>
        </w:tabs>
        <w:ind w:firstLine="31680"/>
        <w:rPr>
          <w:rFonts w:ascii="仿宋" w:hAnsi="仿宋" w:eastAsia="仿宋" w:cs="仿宋"/>
        </w:rPr>
      </w:pPr>
      <w:r>
        <w:fldChar w:fldCharType="begin"/>
      </w:r>
      <w:r>
        <w:instrText xml:space="preserve"> HYPERLINK \l "_Toc6337" </w:instrText>
      </w:r>
      <w:r>
        <w:fldChar w:fldCharType="separate"/>
      </w:r>
      <w:r>
        <w:rPr>
          <w:rFonts w:hint="eastAsia" w:ascii="仿宋" w:hAnsi="仿宋" w:eastAsia="仿宋" w:cs="仿宋"/>
        </w:rPr>
        <w:t>二、水利发展存在的主要问题</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_Toc6337 </w:instrText>
      </w:r>
      <w:r>
        <w:rPr>
          <w:rFonts w:ascii="仿宋" w:hAnsi="仿宋" w:eastAsia="仿宋" w:cs="仿宋"/>
        </w:rPr>
        <w:fldChar w:fldCharType="separate"/>
      </w:r>
      <w:r>
        <w:rPr>
          <w:rFonts w:ascii="仿宋" w:hAnsi="仿宋" w:eastAsia="仿宋" w:cs="仿宋"/>
        </w:rPr>
        <w:t>5</w:t>
      </w:r>
      <w:r>
        <w:rPr>
          <w:rFonts w:ascii="仿宋" w:hAnsi="仿宋" w:eastAsia="仿宋" w:cs="仿宋"/>
        </w:rPr>
        <w:fldChar w:fldCharType="end"/>
      </w:r>
      <w:r>
        <w:rPr>
          <w:rFonts w:ascii="仿宋" w:hAnsi="仿宋" w:eastAsia="仿宋" w:cs="仿宋"/>
        </w:rPr>
        <w:fldChar w:fldCharType="end"/>
      </w:r>
    </w:p>
    <w:p>
      <w:pPr>
        <w:pStyle w:val="36"/>
        <w:tabs>
          <w:tab w:val="right" w:leader="dot" w:pos="8640"/>
        </w:tabs>
        <w:ind w:firstLine="31680"/>
        <w:rPr>
          <w:rFonts w:ascii="仿宋" w:hAnsi="仿宋" w:eastAsia="仿宋" w:cs="仿宋"/>
        </w:rPr>
      </w:pPr>
      <w:r>
        <w:fldChar w:fldCharType="begin"/>
      </w:r>
      <w:r>
        <w:instrText xml:space="preserve"> HYPERLINK \l "_Toc31502" </w:instrText>
      </w:r>
      <w:r>
        <w:fldChar w:fldCharType="separate"/>
      </w:r>
      <w:r>
        <w:rPr>
          <w:rFonts w:hint="eastAsia" w:ascii="仿宋" w:hAnsi="仿宋" w:eastAsia="仿宋" w:cs="仿宋"/>
        </w:rPr>
        <w:t>三、面临形势</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_Toc31502 </w:instrText>
      </w:r>
      <w:r>
        <w:rPr>
          <w:rFonts w:ascii="仿宋" w:hAnsi="仿宋" w:eastAsia="仿宋" w:cs="仿宋"/>
        </w:rPr>
        <w:fldChar w:fldCharType="separate"/>
      </w:r>
      <w:r>
        <w:rPr>
          <w:rFonts w:ascii="仿宋" w:hAnsi="仿宋" w:eastAsia="仿宋" w:cs="仿宋"/>
        </w:rPr>
        <w:t>7</w:t>
      </w:r>
      <w:r>
        <w:rPr>
          <w:rFonts w:ascii="仿宋" w:hAnsi="仿宋" w:eastAsia="仿宋" w:cs="仿宋"/>
        </w:rPr>
        <w:fldChar w:fldCharType="end"/>
      </w:r>
      <w:r>
        <w:rPr>
          <w:rFonts w:ascii="仿宋" w:hAnsi="仿宋" w:eastAsia="仿宋" w:cs="仿宋"/>
        </w:rPr>
        <w:fldChar w:fldCharType="end"/>
      </w:r>
    </w:p>
    <w:p>
      <w:pPr>
        <w:pStyle w:val="30"/>
        <w:tabs>
          <w:tab w:val="right" w:leader="dot" w:pos="8640"/>
        </w:tabs>
        <w:rPr>
          <w:rFonts w:eastAsia="仿宋" w:cs="仿宋"/>
          <w:bCs/>
        </w:rPr>
      </w:pPr>
      <w:r>
        <w:fldChar w:fldCharType="begin"/>
      </w:r>
      <w:r>
        <w:instrText xml:space="preserve"> HYPERLINK \l "_Toc8907" </w:instrText>
      </w:r>
      <w:r>
        <w:fldChar w:fldCharType="separate"/>
      </w:r>
      <w:r>
        <w:rPr>
          <w:rFonts w:hint="eastAsia" w:eastAsia="仿宋" w:cs="仿宋"/>
          <w:bCs/>
        </w:rPr>
        <w:t>第二章</w:t>
      </w:r>
      <w:r>
        <w:rPr>
          <w:rFonts w:eastAsia="仿宋" w:cs="仿宋"/>
          <w:bCs/>
        </w:rPr>
        <w:t xml:space="preserve"> </w:t>
      </w:r>
      <w:r>
        <w:rPr>
          <w:rFonts w:hint="eastAsia" w:eastAsia="仿宋" w:cs="仿宋"/>
          <w:bCs/>
        </w:rPr>
        <w:t>总体思路</w:t>
      </w:r>
      <w:r>
        <w:rPr>
          <w:rFonts w:eastAsia="仿宋" w:cs="仿宋"/>
          <w:bCs/>
        </w:rPr>
        <w:tab/>
      </w:r>
      <w:r>
        <w:rPr>
          <w:rFonts w:eastAsia="仿宋" w:cs="仿宋"/>
          <w:bCs/>
        </w:rPr>
        <w:fldChar w:fldCharType="begin"/>
      </w:r>
      <w:r>
        <w:rPr>
          <w:rFonts w:eastAsia="仿宋" w:cs="仿宋"/>
          <w:bCs/>
        </w:rPr>
        <w:instrText xml:space="preserve"> PAGEREF _Toc8907 </w:instrText>
      </w:r>
      <w:r>
        <w:rPr>
          <w:rFonts w:eastAsia="仿宋" w:cs="仿宋"/>
          <w:bCs/>
        </w:rPr>
        <w:fldChar w:fldCharType="separate"/>
      </w:r>
      <w:r>
        <w:rPr>
          <w:rFonts w:eastAsia="仿宋" w:cs="仿宋"/>
          <w:bCs/>
        </w:rPr>
        <w:t>9</w:t>
      </w:r>
      <w:r>
        <w:rPr>
          <w:rFonts w:eastAsia="仿宋" w:cs="仿宋"/>
          <w:bCs/>
        </w:rPr>
        <w:fldChar w:fldCharType="end"/>
      </w:r>
      <w:r>
        <w:rPr>
          <w:rFonts w:eastAsia="仿宋" w:cs="仿宋"/>
          <w:bCs/>
        </w:rPr>
        <w:fldChar w:fldCharType="end"/>
      </w:r>
    </w:p>
    <w:p>
      <w:pPr>
        <w:pStyle w:val="36"/>
        <w:tabs>
          <w:tab w:val="right" w:leader="dot" w:pos="8640"/>
        </w:tabs>
        <w:ind w:firstLine="31680"/>
        <w:rPr>
          <w:rFonts w:ascii="仿宋" w:hAnsi="仿宋" w:eastAsia="仿宋" w:cs="仿宋"/>
        </w:rPr>
      </w:pPr>
      <w:r>
        <w:fldChar w:fldCharType="begin"/>
      </w:r>
      <w:r>
        <w:instrText xml:space="preserve"> HYPERLINK \l "_Toc5715" </w:instrText>
      </w:r>
      <w:r>
        <w:fldChar w:fldCharType="separate"/>
      </w:r>
      <w:r>
        <w:rPr>
          <w:rFonts w:hint="eastAsia" w:ascii="仿宋" w:hAnsi="仿宋" w:eastAsia="仿宋" w:cs="仿宋"/>
        </w:rPr>
        <w:t>一、指导思想</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_Toc5715 </w:instrText>
      </w:r>
      <w:r>
        <w:rPr>
          <w:rFonts w:ascii="仿宋" w:hAnsi="仿宋" w:eastAsia="仿宋" w:cs="仿宋"/>
        </w:rPr>
        <w:fldChar w:fldCharType="separate"/>
      </w:r>
      <w:r>
        <w:rPr>
          <w:rFonts w:ascii="仿宋" w:hAnsi="仿宋" w:eastAsia="仿宋" w:cs="仿宋"/>
        </w:rPr>
        <w:t>9</w:t>
      </w:r>
      <w:r>
        <w:rPr>
          <w:rFonts w:ascii="仿宋" w:hAnsi="仿宋" w:eastAsia="仿宋" w:cs="仿宋"/>
        </w:rPr>
        <w:fldChar w:fldCharType="end"/>
      </w:r>
      <w:r>
        <w:rPr>
          <w:rFonts w:ascii="仿宋" w:hAnsi="仿宋" w:eastAsia="仿宋" w:cs="仿宋"/>
        </w:rPr>
        <w:fldChar w:fldCharType="end"/>
      </w:r>
    </w:p>
    <w:p>
      <w:pPr>
        <w:pStyle w:val="36"/>
        <w:tabs>
          <w:tab w:val="right" w:leader="dot" w:pos="8640"/>
        </w:tabs>
        <w:ind w:firstLine="31680"/>
        <w:rPr>
          <w:rFonts w:ascii="仿宋" w:hAnsi="仿宋" w:eastAsia="仿宋" w:cs="仿宋"/>
        </w:rPr>
      </w:pPr>
      <w:r>
        <w:fldChar w:fldCharType="begin"/>
      </w:r>
      <w:r>
        <w:instrText xml:space="preserve"> HYPERLINK \l "_Toc14193" </w:instrText>
      </w:r>
      <w:r>
        <w:fldChar w:fldCharType="separate"/>
      </w:r>
      <w:r>
        <w:rPr>
          <w:rFonts w:hint="eastAsia" w:ascii="仿宋" w:hAnsi="仿宋" w:eastAsia="仿宋" w:cs="仿宋"/>
        </w:rPr>
        <w:t>二、基本原则</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_Toc14193 </w:instrText>
      </w:r>
      <w:r>
        <w:rPr>
          <w:rFonts w:ascii="仿宋" w:hAnsi="仿宋" w:eastAsia="仿宋" w:cs="仿宋"/>
        </w:rPr>
        <w:fldChar w:fldCharType="separate"/>
      </w:r>
      <w:r>
        <w:rPr>
          <w:rFonts w:ascii="仿宋" w:hAnsi="仿宋" w:eastAsia="仿宋" w:cs="仿宋"/>
        </w:rPr>
        <w:t>9</w:t>
      </w:r>
      <w:r>
        <w:rPr>
          <w:rFonts w:ascii="仿宋" w:hAnsi="仿宋" w:eastAsia="仿宋" w:cs="仿宋"/>
        </w:rPr>
        <w:fldChar w:fldCharType="end"/>
      </w:r>
      <w:r>
        <w:rPr>
          <w:rFonts w:ascii="仿宋" w:hAnsi="仿宋" w:eastAsia="仿宋" w:cs="仿宋"/>
        </w:rPr>
        <w:fldChar w:fldCharType="end"/>
      </w:r>
    </w:p>
    <w:p>
      <w:pPr>
        <w:pStyle w:val="36"/>
        <w:tabs>
          <w:tab w:val="right" w:leader="dot" w:pos="8640"/>
        </w:tabs>
        <w:ind w:firstLine="31680"/>
        <w:rPr>
          <w:rFonts w:ascii="仿宋" w:hAnsi="仿宋" w:eastAsia="仿宋" w:cs="仿宋"/>
        </w:rPr>
      </w:pPr>
      <w:r>
        <w:fldChar w:fldCharType="begin"/>
      </w:r>
      <w:r>
        <w:instrText xml:space="preserve"> HYPERLINK \l "_Toc27944" </w:instrText>
      </w:r>
      <w:r>
        <w:fldChar w:fldCharType="separate"/>
      </w:r>
      <w:r>
        <w:rPr>
          <w:rFonts w:hint="eastAsia" w:ascii="仿宋" w:hAnsi="仿宋" w:eastAsia="仿宋" w:cs="仿宋"/>
        </w:rPr>
        <w:t>三、目标任务</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_Toc27944 </w:instrText>
      </w:r>
      <w:r>
        <w:rPr>
          <w:rFonts w:ascii="仿宋" w:hAnsi="仿宋" w:eastAsia="仿宋" w:cs="仿宋"/>
        </w:rPr>
        <w:fldChar w:fldCharType="separate"/>
      </w:r>
      <w:r>
        <w:rPr>
          <w:rFonts w:ascii="仿宋" w:hAnsi="仿宋" w:eastAsia="仿宋" w:cs="仿宋"/>
        </w:rPr>
        <w:t>11</w:t>
      </w:r>
      <w:r>
        <w:rPr>
          <w:rFonts w:ascii="仿宋" w:hAnsi="仿宋" w:eastAsia="仿宋" w:cs="仿宋"/>
        </w:rPr>
        <w:fldChar w:fldCharType="end"/>
      </w:r>
      <w:r>
        <w:rPr>
          <w:rFonts w:ascii="仿宋" w:hAnsi="仿宋" w:eastAsia="仿宋" w:cs="仿宋"/>
        </w:rPr>
        <w:fldChar w:fldCharType="end"/>
      </w:r>
    </w:p>
    <w:p>
      <w:pPr>
        <w:pStyle w:val="36"/>
        <w:tabs>
          <w:tab w:val="right" w:leader="dot" w:pos="8640"/>
        </w:tabs>
        <w:ind w:firstLine="31680"/>
        <w:rPr>
          <w:rFonts w:ascii="仿宋" w:hAnsi="仿宋" w:eastAsia="仿宋" w:cs="仿宋"/>
        </w:rPr>
      </w:pPr>
      <w:r>
        <w:fldChar w:fldCharType="begin"/>
      </w:r>
      <w:r>
        <w:instrText xml:space="preserve"> HYPERLINK \l "_Toc7233" </w:instrText>
      </w:r>
      <w:r>
        <w:fldChar w:fldCharType="separate"/>
      </w:r>
      <w:r>
        <w:rPr>
          <w:rFonts w:hint="eastAsia" w:ascii="仿宋" w:hAnsi="仿宋" w:eastAsia="仿宋" w:cs="仿宋"/>
        </w:rPr>
        <w:t>四、总体布局</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_Toc7233 </w:instrText>
      </w:r>
      <w:r>
        <w:rPr>
          <w:rFonts w:ascii="仿宋" w:hAnsi="仿宋" w:eastAsia="仿宋" w:cs="仿宋"/>
        </w:rPr>
        <w:fldChar w:fldCharType="separate"/>
      </w:r>
      <w:r>
        <w:rPr>
          <w:rFonts w:ascii="仿宋" w:hAnsi="仿宋" w:eastAsia="仿宋" w:cs="仿宋"/>
        </w:rPr>
        <w:t>16</w:t>
      </w:r>
      <w:r>
        <w:rPr>
          <w:rFonts w:ascii="仿宋" w:hAnsi="仿宋" w:eastAsia="仿宋" w:cs="仿宋"/>
        </w:rPr>
        <w:fldChar w:fldCharType="end"/>
      </w:r>
      <w:r>
        <w:rPr>
          <w:rFonts w:ascii="仿宋" w:hAnsi="仿宋" w:eastAsia="仿宋" w:cs="仿宋"/>
        </w:rPr>
        <w:fldChar w:fldCharType="end"/>
      </w:r>
    </w:p>
    <w:p>
      <w:pPr>
        <w:pStyle w:val="30"/>
        <w:tabs>
          <w:tab w:val="right" w:leader="dot" w:pos="8640"/>
        </w:tabs>
        <w:rPr>
          <w:rFonts w:eastAsia="仿宋" w:cs="仿宋"/>
          <w:bCs/>
        </w:rPr>
      </w:pPr>
      <w:r>
        <w:fldChar w:fldCharType="begin"/>
      </w:r>
      <w:r>
        <w:instrText xml:space="preserve"> HYPERLINK \l "_Toc3049" </w:instrText>
      </w:r>
      <w:r>
        <w:fldChar w:fldCharType="separate"/>
      </w:r>
      <w:r>
        <w:rPr>
          <w:rFonts w:hint="eastAsia" w:eastAsia="仿宋" w:cs="仿宋"/>
          <w:bCs/>
        </w:rPr>
        <w:t>第三章</w:t>
      </w:r>
      <w:r>
        <w:rPr>
          <w:rFonts w:eastAsia="仿宋" w:cs="仿宋"/>
          <w:bCs/>
        </w:rPr>
        <w:t xml:space="preserve"> </w:t>
      </w:r>
      <w:r>
        <w:rPr>
          <w:rFonts w:hint="eastAsia" w:eastAsia="仿宋" w:cs="仿宋"/>
          <w:bCs/>
        </w:rPr>
        <w:t>水资源供需分析与配置</w:t>
      </w:r>
      <w:r>
        <w:rPr>
          <w:rFonts w:eastAsia="仿宋" w:cs="仿宋"/>
          <w:bCs/>
        </w:rPr>
        <w:tab/>
      </w:r>
      <w:r>
        <w:rPr>
          <w:rFonts w:eastAsia="仿宋" w:cs="仿宋"/>
          <w:bCs/>
        </w:rPr>
        <w:fldChar w:fldCharType="begin"/>
      </w:r>
      <w:r>
        <w:rPr>
          <w:rFonts w:eastAsia="仿宋" w:cs="仿宋"/>
          <w:bCs/>
        </w:rPr>
        <w:instrText xml:space="preserve"> PAGEREF _Toc3049 </w:instrText>
      </w:r>
      <w:r>
        <w:rPr>
          <w:rFonts w:eastAsia="仿宋" w:cs="仿宋"/>
          <w:bCs/>
        </w:rPr>
        <w:fldChar w:fldCharType="separate"/>
      </w:r>
      <w:r>
        <w:rPr>
          <w:rFonts w:eastAsia="仿宋" w:cs="仿宋"/>
          <w:bCs/>
        </w:rPr>
        <w:t>17</w:t>
      </w:r>
      <w:r>
        <w:rPr>
          <w:rFonts w:eastAsia="仿宋" w:cs="仿宋"/>
          <w:bCs/>
        </w:rPr>
        <w:fldChar w:fldCharType="end"/>
      </w:r>
      <w:r>
        <w:rPr>
          <w:rFonts w:eastAsia="仿宋" w:cs="仿宋"/>
          <w:bCs/>
        </w:rPr>
        <w:fldChar w:fldCharType="end"/>
      </w:r>
    </w:p>
    <w:p>
      <w:pPr>
        <w:pStyle w:val="36"/>
        <w:tabs>
          <w:tab w:val="right" w:leader="dot" w:pos="8640"/>
        </w:tabs>
        <w:ind w:firstLine="31680"/>
        <w:rPr>
          <w:rFonts w:ascii="仿宋" w:hAnsi="仿宋" w:eastAsia="仿宋" w:cs="仿宋"/>
        </w:rPr>
      </w:pPr>
      <w:r>
        <w:fldChar w:fldCharType="begin"/>
      </w:r>
      <w:r>
        <w:instrText xml:space="preserve"> HYPERLINK \l "_Toc15629" </w:instrText>
      </w:r>
      <w:r>
        <w:fldChar w:fldCharType="separate"/>
      </w:r>
      <w:r>
        <w:rPr>
          <w:rFonts w:hint="eastAsia" w:ascii="仿宋" w:hAnsi="仿宋" w:eastAsia="仿宋" w:cs="仿宋"/>
        </w:rPr>
        <w:t>一、水资源现状</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_Toc15629 </w:instrText>
      </w:r>
      <w:r>
        <w:rPr>
          <w:rFonts w:ascii="仿宋" w:hAnsi="仿宋" w:eastAsia="仿宋" w:cs="仿宋"/>
        </w:rPr>
        <w:fldChar w:fldCharType="separate"/>
      </w:r>
      <w:r>
        <w:rPr>
          <w:rFonts w:ascii="仿宋" w:hAnsi="仿宋" w:eastAsia="仿宋" w:cs="仿宋"/>
        </w:rPr>
        <w:t>18</w:t>
      </w:r>
      <w:r>
        <w:rPr>
          <w:rFonts w:ascii="仿宋" w:hAnsi="仿宋" w:eastAsia="仿宋" w:cs="仿宋"/>
        </w:rPr>
        <w:fldChar w:fldCharType="end"/>
      </w:r>
      <w:r>
        <w:rPr>
          <w:rFonts w:ascii="仿宋" w:hAnsi="仿宋" w:eastAsia="仿宋" w:cs="仿宋"/>
        </w:rPr>
        <w:fldChar w:fldCharType="end"/>
      </w:r>
    </w:p>
    <w:p>
      <w:pPr>
        <w:pStyle w:val="36"/>
        <w:tabs>
          <w:tab w:val="right" w:leader="dot" w:pos="8640"/>
        </w:tabs>
        <w:ind w:firstLine="31680"/>
        <w:rPr>
          <w:rFonts w:ascii="仿宋" w:hAnsi="仿宋" w:eastAsia="仿宋" w:cs="仿宋"/>
        </w:rPr>
      </w:pPr>
      <w:r>
        <w:fldChar w:fldCharType="begin"/>
      </w:r>
      <w:r>
        <w:instrText xml:space="preserve"> HYPERLINK \l "_Toc1146" </w:instrText>
      </w:r>
      <w:r>
        <w:fldChar w:fldCharType="separate"/>
      </w:r>
      <w:r>
        <w:rPr>
          <w:rFonts w:hint="eastAsia" w:ascii="仿宋" w:hAnsi="仿宋" w:eastAsia="仿宋" w:cs="仿宋"/>
        </w:rPr>
        <w:t>二、用水总量控制方案</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_Toc1146 </w:instrText>
      </w:r>
      <w:r>
        <w:rPr>
          <w:rFonts w:ascii="仿宋" w:hAnsi="仿宋" w:eastAsia="仿宋" w:cs="仿宋"/>
        </w:rPr>
        <w:fldChar w:fldCharType="separate"/>
      </w:r>
      <w:r>
        <w:rPr>
          <w:rFonts w:ascii="仿宋" w:hAnsi="仿宋" w:eastAsia="仿宋" w:cs="仿宋"/>
        </w:rPr>
        <w:t>18</w:t>
      </w:r>
      <w:r>
        <w:rPr>
          <w:rFonts w:ascii="仿宋" w:hAnsi="仿宋" w:eastAsia="仿宋" w:cs="仿宋"/>
        </w:rPr>
        <w:fldChar w:fldCharType="end"/>
      </w:r>
      <w:r>
        <w:rPr>
          <w:rFonts w:ascii="仿宋" w:hAnsi="仿宋" w:eastAsia="仿宋" w:cs="仿宋"/>
        </w:rPr>
        <w:fldChar w:fldCharType="end"/>
      </w:r>
    </w:p>
    <w:p>
      <w:pPr>
        <w:pStyle w:val="36"/>
        <w:tabs>
          <w:tab w:val="right" w:leader="dot" w:pos="8640"/>
        </w:tabs>
        <w:ind w:firstLine="31680"/>
        <w:rPr>
          <w:rFonts w:ascii="仿宋" w:hAnsi="仿宋" w:eastAsia="仿宋" w:cs="仿宋"/>
        </w:rPr>
      </w:pPr>
      <w:r>
        <w:fldChar w:fldCharType="begin"/>
      </w:r>
      <w:r>
        <w:instrText xml:space="preserve"> HYPERLINK \l "_Toc19479" </w:instrText>
      </w:r>
      <w:r>
        <w:fldChar w:fldCharType="separate"/>
      </w:r>
      <w:r>
        <w:rPr>
          <w:rFonts w:hint="eastAsia" w:ascii="仿宋" w:hAnsi="仿宋" w:eastAsia="仿宋" w:cs="仿宋"/>
        </w:rPr>
        <w:t>三、需水量预测</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_Toc19479 </w:instrText>
      </w:r>
      <w:r>
        <w:rPr>
          <w:rFonts w:ascii="仿宋" w:hAnsi="仿宋" w:eastAsia="仿宋" w:cs="仿宋"/>
        </w:rPr>
        <w:fldChar w:fldCharType="separate"/>
      </w:r>
      <w:r>
        <w:rPr>
          <w:rFonts w:ascii="仿宋" w:hAnsi="仿宋" w:eastAsia="仿宋" w:cs="仿宋"/>
        </w:rPr>
        <w:t>18</w:t>
      </w:r>
      <w:r>
        <w:rPr>
          <w:rFonts w:ascii="仿宋" w:hAnsi="仿宋" w:eastAsia="仿宋" w:cs="仿宋"/>
        </w:rPr>
        <w:fldChar w:fldCharType="end"/>
      </w:r>
      <w:r>
        <w:rPr>
          <w:rFonts w:ascii="仿宋" w:hAnsi="仿宋" w:eastAsia="仿宋" w:cs="仿宋"/>
        </w:rPr>
        <w:fldChar w:fldCharType="end"/>
      </w:r>
    </w:p>
    <w:p>
      <w:pPr>
        <w:pStyle w:val="36"/>
        <w:tabs>
          <w:tab w:val="right" w:leader="dot" w:pos="8640"/>
        </w:tabs>
        <w:ind w:firstLine="31680"/>
        <w:rPr>
          <w:rFonts w:ascii="仿宋" w:hAnsi="仿宋" w:eastAsia="仿宋" w:cs="仿宋"/>
        </w:rPr>
      </w:pPr>
      <w:r>
        <w:fldChar w:fldCharType="begin"/>
      </w:r>
      <w:r>
        <w:instrText xml:space="preserve"> HYPERLINK \l "_Toc20544" </w:instrText>
      </w:r>
      <w:r>
        <w:fldChar w:fldCharType="separate"/>
      </w:r>
      <w:r>
        <w:rPr>
          <w:rFonts w:hint="eastAsia" w:ascii="仿宋" w:hAnsi="仿宋" w:eastAsia="仿宋" w:cs="仿宋"/>
        </w:rPr>
        <w:t>四、水资源配置方案</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_Toc20544 </w:instrText>
      </w:r>
      <w:r>
        <w:rPr>
          <w:rFonts w:ascii="仿宋" w:hAnsi="仿宋" w:eastAsia="仿宋" w:cs="仿宋"/>
        </w:rPr>
        <w:fldChar w:fldCharType="separate"/>
      </w:r>
      <w:r>
        <w:rPr>
          <w:rFonts w:ascii="仿宋" w:hAnsi="仿宋" w:eastAsia="仿宋" w:cs="仿宋"/>
        </w:rPr>
        <w:t>18</w:t>
      </w:r>
      <w:r>
        <w:rPr>
          <w:rFonts w:ascii="仿宋" w:hAnsi="仿宋" w:eastAsia="仿宋" w:cs="仿宋"/>
        </w:rPr>
        <w:fldChar w:fldCharType="end"/>
      </w:r>
      <w:r>
        <w:rPr>
          <w:rFonts w:ascii="仿宋" w:hAnsi="仿宋" w:eastAsia="仿宋" w:cs="仿宋"/>
        </w:rPr>
        <w:fldChar w:fldCharType="end"/>
      </w:r>
    </w:p>
    <w:p>
      <w:pPr>
        <w:pStyle w:val="30"/>
        <w:tabs>
          <w:tab w:val="right" w:leader="dot" w:pos="8640"/>
        </w:tabs>
        <w:rPr>
          <w:rFonts w:eastAsia="仿宋" w:cs="仿宋"/>
          <w:bCs/>
        </w:rPr>
      </w:pPr>
      <w:r>
        <w:fldChar w:fldCharType="begin"/>
      </w:r>
      <w:r>
        <w:instrText xml:space="preserve"> HYPERLINK \l "_Toc21686" </w:instrText>
      </w:r>
      <w:r>
        <w:fldChar w:fldCharType="separate"/>
      </w:r>
      <w:r>
        <w:rPr>
          <w:rFonts w:hint="eastAsia" w:eastAsia="仿宋" w:cs="仿宋"/>
          <w:bCs/>
        </w:rPr>
        <w:t>第四章</w:t>
      </w:r>
      <w:r>
        <w:rPr>
          <w:rFonts w:eastAsia="仿宋" w:cs="仿宋"/>
          <w:bCs/>
        </w:rPr>
        <w:t xml:space="preserve"> </w:t>
      </w:r>
      <w:r>
        <w:rPr>
          <w:rFonts w:hint="eastAsia" w:eastAsia="仿宋" w:cs="仿宋"/>
          <w:bCs/>
        </w:rPr>
        <w:t>补齐短板，完善水利基础设施网络</w:t>
      </w:r>
      <w:r>
        <w:rPr>
          <w:rFonts w:eastAsia="仿宋" w:cs="仿宋"/>
          <w:bCs/>
        </w:rPr>
        <w:tab/>
      </w:r>
      <w:r>
        <w:rPr>
          <w:rFonts w:eastAsia="仿宋" w:cs="仿宋"/>
          <w:bCs/>
        </w:rPr>
        <w:fldChar w:fldCharType="begin"/>
      </w:r>
      <w:r>
        <w:rPr>
          <w:rFonts w:eastAsia="仿宋" w:cs="仿宋"/>
          <w:bCs/>
        </w:rPr>
        <w:instrText xml:space="preserve"> PAGEREF _Toc21686 </w:instrText>
      </w:r>
      <w:r>
        <w:rPr>
          <w:rFonts w:eastAsia="仿宋" w:cs="仿宋"/>
          <w:bCs/>
        </w:rPr>
        <w:fldChar w:fldCharType="separate"/>
      </w:r>
      <w:r>
        <w:rPr>
          <w:rFonts w:eastAsia="仿宋" w:cs="仿宋"/>
          <w:bCs/>
        </w:rPr>
        <w:t>20</w:t>
      </w:r>
      <w:r>
        <w:rPr>
          <w:rFonts w:eastAsia="仿宋" w:cs="仿宋"/>
          <w:bCs/>
        </w:rPr>
        <w:fldChar w:fldCharType="end"/>
      </w:r>
      <w:r>
        <w:rPr>
          <w:rFonts w:eastAsia="仿宋" w:cs="仿宋"/>
          <w:bCs/>
        </w:rPr>
        <w:fldChar w:fldCharType="end"/>
      </w:r>
    </w:p>
    <w:p>
      <w:pPr>
        <w:pStyle w:val="36"/>
        <w:tabs>
          <w:tab w:val="right" w:leader="dot" w:pos="8640"/>
        </w:tabs>
        <w:ind w:firstLine="31680"/>
        <w:rPr>
          <w:rFonts w:ascii="仿宋" w:hAnsi="仿宋" w:eastAsia="仿宋" w:cs="仿宋"/>
        </w:rPr>
      </w:pPr>
      <w:r>
        <w:fldChar w:fldCharType="begin"/>
      </w:r>
      <w:r>
        <w:instrText xml:space="preserve"> HYPERLINK \l "_Toc28339" </w:instrText>
      </w:r>
      <w:r>
        <w:fldChar w:fldCharType="separate"/>
      </w:r>
      <w:r>
        <w:rPr>
          <w:rFonts w:hint="eastAsia" w:ascii="仿宋" w:hAnsi="仿宋" w:eastAsia="仿宋" w:cs="仿宋"/>
        </w:rPr>
        <w:t>一、实施防洪提升工程，保障防洪安全</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_Toc28339 </w:instrText>
      </w:r>
      <w:r>
        <w:rPr>
          <w:rFonts w:ascii="仿宋" w:hAnsi="仿宋" w:eastAsia="仿宋" w:cs="仿宋"/>
        </w:rPr>
        <w:fldChar w:fldCharType="separate"/>
      </w:r>
      <w:r>
        <w:rPr>
          <w:rFonts w:ascii="仿宋" w:hAnsi="仿宋" w:eastAsia="仿宋" w:cs="仿宋"/>
        </w:rPr>
        <w:t>20</w:t>
      </w:r>
      <w:r>
        <w:rPr>
          <w:rFonts w:ascii="仿宋" w:hAnsi="仿宋" w:eastAsia="仿宋" w:cs="仿宋"/>
        </w:rPr>
        <w:fldChar w:fldCharType="end"/>
      </w:r>
      <w:r>
        <w:rPr>
          <w:rFonts w:ascii="仿宋" w:hAnsi="仿宋" w:eastAsia="仿宋" w:cs="仿宋"/>
        </w:rPr>
        <w:fldChar w:fldCharType="end"/>
      </w:r>
    </w:p>
    <w:p>
      <w:pPr>
        <w:pStyle w:val="36"/>
        <w:tabs>
          <w:tab w:val="right" w:leader="dot" w:pos="8640"/>
        </w:tabs>
        <w:ind w:firstLine="31680"/>
        <w:rPr>
          <w:rFonts w:ascii="仿宋" w:hAnsi="仿宋" w:eastAsia="仿宋" w:cs="仿宋"/>
        </w:rPr>
      </w:pPr>
      <w:r>
        <w:fldChar w:fldCharType="begin"/>
      </w:r>
      <w:r>
        <w:instrText xml:space="preserve"> HYPERLINK \l "_Toc23572" </w:instrText>
      </w:r>
      <w:r>
        <w:fldChar w:fldCharType="separate"/>
      </w:r>
      <w:r>
        <w:rPr>
          <w:rFonts w:hint="eastAsia" w:ascii="仿宋" w:hAnsi="仿宋" w:eastAsia="仿宋" w:cs="仿宋"/>
        </w:rPr>
        <w:t>二、强化节水和水资源合理配置，保障供水安全</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_Toc23572 </w:instrText>
      </w:r>
      <w:r>
        <w:rPr>
          <w:rFonts w:ascii="仿宋" w:hAnsi="仿宋" w:eastAsia="仿宋" w:cs="仿宋"/>
        </w:rPr>
        <w:fldChar w:fldCharType="separate"/>
      </w:r>
      <w:r>
        <w:rPr>
          <w:rFonts w:ascii="仿宋" w:hAnsi="仿宋" w:eastAsia="仿宋" w:cs="仿宋"/>
        </w:rPr>
        <w:t>22</w:t>
      </w:r>
      <w:r>
        <w:rPr>
          <w:rFonts w:ascii="仿宋" w:hAnsi="仿宋" w:eastAsia="仿宋" w:cs="仿宋"/>
        </w:rPr>
        <w:fldChar w:fldCharType="end"/>
      </w:r>
      <w:r>
        <w:rPr>
          <w:rFonts w:ascii="仿宋" w:hAnsi="仿宋" w:eastAsia="仿宋" w:cs="仿宋"/>
        </w:rPr>
        <w:fldChar w:fldCharType="end"/>
      </w:r>
    </w:p>
    <w:p>
      <w:pPr>
        <w:pStyle w:val="36"/>
        <w:tabs>
          <w:tab w:val="right" w:leader="dot" w:pos="8640"/>
        </w:tabs>
        <w:ind w:firstLine="31680"/>
        <w:rPr>
          <w:rFonts w:ascii="仿宋" w:hAnsi="仿宋" w:eastAsia="仿宋" w:cs="仿宋"/>
        </w:rPr>
      </w:pPr>
      <w:r>
        <w:fldChar w:fldCharType="begin"/>
      </w:r>
      <w:r>
        <w:instrText xml:space="preserve"> HYPERLINK \l "_Toc3483" </w:instrText>
      </w:r>
      <w:r>
        <w:fldChar w:fldCharType="separate"/>
      </w:r>
      <w:r>
        <w:rPr>
          <w:rFonts w:hint="eastAsia" w:ascii="仿宋" w:hAnsi="仿宋" w:eastAsia="仿宋" w:cs="仿宋"/>
        </w:rPr>
        <w:t>三、加强水生态环境修复，维护河湖健康</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_Toc3483 </w:instrText>
      </w:r>
      <w:r>
        <w:rPr>
          <w:rFonts w:ascii="仿宋" w:hAnsi="仿宋" w:eastAsia="仿宋" w:cs="仿宋"/>
        </w:rPr>
        <w:fldChar w:fldCharType="separate"/>
      </w:r>
      <w:r>
        <w:rPr>
          <w:rFonts w:ascii="仿宋" w:hAnsi="仿宋" w:eastAsia="仿宋" w:cs="仿宋"/>
        </w:rPr>
        <w:t>23</w:t>
      </w:r>
      <w:r>
        <w:rPr>
          <w:rFonts w:ascii="仿宋" w:hAnsi="仿宋" w:eastAsia="仿宋" w:cs="仿宋"/>
        </w:rPr>
        <w:fldChar w:fldCharType="end"/>
      </w:r>
      <w:r>
        <w:rPr>
          <w:rFonts w:ascii="仿宋" w:hAnsi="仿宋" w:eastAsia="仿宋" w:cs="仿宋"/>
        </w:rPr>
        <w:fldChar w:fldCharType="end"/>
      </w:r>
    </w:p>
    <w:p>
      <w:pPr>
        <w:pStyle w:val="36"/>
        <w:tabs>
          <w:tab w:val="right" w:leader="dot" w:pos="8640"/>
        </w:tabs>
        <w:ind w:firstLine="31680"/>
        <w:rPr>
          <w:rFonts w:ascii="仿宋" w:hAnsi="仿宋" w:eastAsia="仿宋" w:cs="仿宋"/>
        </w:rPr>
      </w:pPr>
      <w:r>
        <w:fldChar w:fldCharType="begin"/>
      </w:r>
      <w:r>
        <w:instrText xml:space="preserve"> HYPERLINK \l "_Toc18678" </w:instrText>
      </w:r>
      <w:r>
        <w:fldChar w:fldCharType="separate"/>
      </w:r>
      <w:r>
        <w:rPr>
          <w:rFonts w:hint="eastAsia" w:ascii="仿宋" w:hAnsi="仿宋" w:eastAsia="仿宋" w:cs="仿宋"/>
        </w:rPr>
        <w:t>四、加强水利信息化建设，提升水利智慧化水平</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_Toc18678 </w:instrText>
      </w:r>
      <w:r>
        <w:rPr>
          <w:rFonts w:ascii="仿宋" w:hAnsi="仿宋" w:eastAsia="仿宋" w:cs="仿宋"/>
        </w:rPr>
        <w:fldChar w:fldCharType="separate"/>
      </w:r>
      <w:r>
        <w:rPr>
          <w:rFonts w:ascii="仿宋" w:hAnsi="仿宋" w:eastAsia="仿宋" w:cs="仿宋"/>
        </w:rPr>
        <w:t>23</w:t>
      </w:r>
      <w:r>
        <w:rPr>
          <w:rFonts w:ascii="仿宋" w:hAnsi="仿宋" w:eastAsia="仿宋" w:cs="仿宋"/>
        </w:rPr>
        <w:fldChar w:fldCharType="end"/>
      </w:r>
      <w:r>
        <w:rPr>
          <w:rFonts w:ascii="仿宋" w:hAnsi="仿宋" w:eastAsia="仿宋" w:cs="仿宋"/>
        </w:rPr>
        <w:fldChar w:fldCharType="end"/>
      </w:r>
    </w:p>
    <w:p>
      <w:pPr>
        <w:pStyle w:val="36"/>
        <w:tabs>
          <w:tab w:val="right" w:leader="dot" w:pos="8640"/>
        </w:tabs>
        <w:ind w:firstLine="31680"/>
        <w:rPr>
          <w:rFonts w:ascii="仿宋" w:hAnsi="仿宋" w:eastAsia="仿宋" w:cs="仿宋"/>
        </w:rPr>
      </w:pPr>
      <w:r>
        <w:fldChar w:fldCharType="begin"/>
      </w:r>
      <w:r>
        <w:instrText xml:space="preserve"> HYPERLINK \l "_Toc12356" </w:instrText>
      </w:r>
      <w:r>
        <w:fldChar w:fldCharType="separate"/>
      </w:r>
      <w:r>
        <w:rPr>
          <w:rFonts w:hint="eastAsia" w:ascii="仿宋" w:hAnsi="仿宋" w:eastAsia="仿宋" w:cs="仿宋"/>
        </w:rPr>
        <w:t>五、强化重大战略水安全保障，促进区域高质量发展</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_Toc12356 </w:instrText>
      </w:r>
      <w:r>
        <w:rPr>
          <w:rFonts w:ascii="仿宋" w:hAnsi="仿宋" w:eastAsia="仿宋" w:cs="仿宋"/>
        </w:rPr>
        <w:fldChar w:fldCharType="separate"/>
      </w:r>
      <w:r>
        <w:rPr>
          <w:rFonts w:ascii="仿宋" w:hAnsi="仿宋" w:eastAsia="仿宋" w:cs="仿宋"/>
        </w:rPr>
        <w:t>24</w:t>
      </w:r>
      <w:r>
        <w:rPr>
          <w:rFonts w:ascii="仿宋" w:hAnsi="仿宋" w:eastAsia="仿宋" w:cs="仿宋"/>
        </w:rPr>
        <w:fldChar w:fldCharType="end"/>
      </w:r>
      <w:r>
        <w:rPr>
          <w:rFonts w:ascii="仿宋" w:hAnsi="仿宋" w:eastAsia="仿宋" w:cs="仿宋"/>
        </w:rPr>
        <w:fldChar w:fldCharType="end"/>
      </w:r>
    </w:p>
    <w:p>
      <w:pPr>
        <w:pStyle w:val="30"/>
        <w:tabs>
          <w:tab w:val="right" w:leader="dot" w:pos="8640"/>
        </w:tabs>
        <w:rPr>
          <w:rFonts w:eastAsia="仿宋" w:cs="仿宋"/>
          <w:bCs/>
        </w:rPr>
      </w:pPr>
      <w:r>
        <w:fldChar w:fldCharType="begin"/>
      </w:r>
      <w:r>
        <w:instrText xml:space="preserve"> HYPERLINK \l "_Toc21166" </w:instrText>
      </w:r>
      <w:r>
        <w:fldChar w:fldCharType="separate"/>
      </w:r>
      <w:r>
        <w:rPr>
          <w:rFonts w:hint="eastAsia" w:eastAsia="仿宋" w:cs="仿宋"/>
          <w:bCs/>
        </w:rPr>
        <w:t>第五章</w:t>
      </w:r>
      <w:r>
        <w:rPr>
          <w:rFonts w:eastAsia="仿宋" w:cs="仿宋"/>
          <w:bCs/>
        </w:rPr>
        <w:t xml:space="preserve"> </w:t>
      </w:r>
      <w:r>
        <w:rPr>
          <w:rFonts w:hint="eastAsia" w:eastAsia="仿宋" w:cs="仿宋"/>
          <w:bCs/>
        </w:rPr>
        <w:t>强化监管，提升涉水事务监管水平</w:t>
      </w:r>
      <w:r>
        <w:rPr>
          <w:rFonts w:eastAsia="仿宋" w:cs="仿宋"/>
          <w:bCs/>
        </w:rPr>
        <w:tab/>
      </w:r>
      <w:r>
        <w:rPr>
          <w:rFonts w:eastAsia="仿宋" w:cs="仿宋"/>
          <w:bCs/>
        </w:rPr>
        <w:fldChar w:fldCharType="begin"/>
      </w:r>
      <w:r>
        <w:rPr>
          <w:rFonts w:eastAsia="仿宋" w:cs="仿宋"/>
          <w:bCs/>
        </w:rPr>
        <w:instrText xml:space="preserve"> PAGEREF _Toc21166 </w:instrText>
      </w:r>
      <w:r>
        <w:rPr>
          <w:rFonts w:eastAsia="仿宋" w:cs="仿宋"/>
          <w:bCs/>
        </w:rPr>
        <w:fldChar w:fldCharType="separate"/>
      </w:r>
      <w:r>
        <w:rPr>
          <w:rFonts w:eastAsia="仿宋" w:cs="仿宋"/>
          <w:bCs/>
        </w:rPr>
        <w:t>25</w:t>
      </w:r>
      <w:r>
        <w:rPr>
          <w:rFonts w:eastAsia="仿宋" w:cs="仿宋"/>
          <w:bCs/>
        </w:rPr>
        <w:fldChar w:fldCharType="end"/>
      </w:r>
      <w:r>
        <w:rPr>
          <w:rFonts w:eastAsia="仿宋" w:cs="仿宋"/>
          <w:bCs/>
        </w:rPr>
        <w:fldChar w:fldCharType="end"/>
      </w:r>
    </w:p>
    <w:p>
      <w:pPr>
        <w:pStyle w:val="36"/>
        <w:tabs>
          <w:tab w:val="right" w:leader="dot" w:pos="8640"/>
        </w:tabs>
        <w:ind w:firstLine="31680"/>
        <w:rPr>
          <w:rFonts w:ascii="仿宋" w:hAnsi="仿宋" w:eastAsia="仿宋" w:cs="仿宋"/>
        </w:rPr>
      </w:pPr>
      <w:r>
        <w:fldChar w:fldCharType="begin"/>
      </w:r>
      <w:r>
        <w:instrText xml:space="preserve"> HYPERLINK \l "_Toc13601" </w:instrText>
      </w:r>
      <w:r>
        <w:fldChar w:fldCharType="separate"/>
      </w:r>
      <w:r>
        <w:rPr>
          <w:rFonts w:hint="eastAsia" w:ascii="仿宋" w:hAnsi="仿宋" w:eastAsia="仿宋" w:cs="仿宋"/>
        </w:rPr>
        <w:t>一、完善监管法制体制机制，建立健全监管制度体系</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_Toc13601 </w:instrText>
      </w:r>
      <w:r>
        <w:rPr>
          <w:rFonts w:ascii="仿宋" w:hAnsi="仿宋" w:eastAsia="仿宋" w:cs="仿宋"/>
        </w:rPr>
        <w:fldChar w:fldCharType="separate"/>
      </w:r>
      <w:r>
        <w:rPr>
          <w:rFonts w:ascii="仿宋" w:hAnsi="仿宋" w:eastAsia="仿宋" w:cs="仿宋"/>
        </w:rPr>
        <w:t>25</w:t>
      </w:r>
      <w:r>
        <w:rPr>
          <w:rFonts w:ascii="仿宋" w:hAnsi="仿宋" w:eastAsia="仿宋" w:cs="仿宋"/>
        </w:rPr>
        <w:fldChar w:fldCharType="end"/>
      </w:r>
      <w:r>
        <w:rPr>
          <w:rFonts w:ascii="仿宋" w:hAnsi="仿宋" w:eastAsia="仿宋" w:cs="仿宋"/>
        </w:rPr>
        <w:fldChar w:fldCharType="end"/>
      </w:r>
    </w:p>
    <w:p>
      <w:pPr>
        <w:pStyle w:val="36"/>
        <w:tabs>
          <w:tab w:val="right" w:leader="dot" w:pos="8640"/>
        </w:tabs>
        <w:ind w:firstLine="31680"/>
        <w:rPr>
          <w:rFonts w:ascii="仿宋" w:hAnsi="仿宋" w:eastAsia="仿宋" w:cs="仿宋"/>
        </w:rPr>
      </w:pPr>
      <w:r>
        <w:fldChar w:fldCharType="begin"/>
      </w:r>
      <w:r>
        <w:instrText xml:space="preserve"> HYPERLINK \l "_Toc30883" </w:instrText>
      </w:r>
      <w:r>
        <w:fldChar w:fldCharType="separate"/>
      </w:r>
      <w:r>
        <w:rPr>
          <w:rFonts w:hint="eastAsia" w:ascii="仿宋" w:hAnsi="仿宋" w:eastAsia="仿宋" w:cs="仿宋"/>
        </w:rPr>
        <w:t>二、强化河湖泊监管，推进兵地河（湖）长制一体化</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_Toc30883 </w:instrText>
      </w:r>
      <w:r>
        <w:rPr>
          <w:rFonts w:ascii="仿宋" w:hAnsi="仿宋" w:eastAsia="仿宋" w:cs="仿宋"/>
        </w:rPr>
        <w:fldChar w:fldCharType="separate"/>
      </w:r>
      <w:r>
        <w:rPr>
          <w:rFonts w:ascii="仿宋" w:hAnsi="仿宋" w:eastAsia="仿宋" w:cs="仿宋"/>
        </w:rPr>
        <w:t>26</w:t>
      </w:r>
      <w:r>
        <w:rPr>
          <w:rFonts w:ascii="仿宋" w:hAnsi="仿宋" w:eastAsia="仿宋" w:cs="仿宋"/>
        </w:rPr>
        <w:fldChar w:fldCharType="end"/>
      </w:r>
      <w:r>
        <w:rPr>
          <w:rFonts w:ascii="仿宋" w:hAnsi="仿宋" w:eastAsia="仿宋" w:cs="仿宋"/>
        </w:rPr>
        <w:fldChar w:fldCharType="end"/>
      </w:r>
    </w:p>
    <w:p>
      <w:pPr>
        <w:pStyle w:val="36"/>
        <w:tabs>
          <w:tab w:val="right" w:leader="dot" w:pos="8640"/>
        </w:tabs>
        <w:ind w:firstLine="31680"/>
        <w:rPr>
          <w:rFonts w:ascii="仿宋" w:hAnsi="仿宋" w:eastAsia="仿宋" w:cs="仿宋"/>
        </w:rPr>
      </w:pPr>
      <w:r>
        <w:fldChar w:fldCharType="begin"/>
      </w:r>
      <w:r>
        <w:instrText xml:space="preserve"> HYPERLINK \l "_Toc21945" </w:instrText>
      </w:r>
      <w:r>
        <w:fldChar w:fldCharType="separate"/>
      </w:r>
      <w:r>
        <w:rPr>
          <w:rFonts w:hint="eastAsia" w:ascii="仿宋" w:hAnsi="仿宋" w:eastAsia="仿宋" w:cs="仿宋"/>
        </w:rPr>
        <w:t>三、强化水资源监管，促进水资源节约集约利用</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_Toc21945 </w:instrText>
      </w:r>
      <w:r>
        <w:rPr>
          <w:rFonts w:ascii="仿宋" w:hAnsi="仿宋" w:eastAsia="仿宋" w:cs="仿宋"/>
        </w:rPr>
        <w:fldChar w:fldCharType="separate"/>
      </w:r>
      <w:r>
        <w:rPr>
          <w:rFonts w:ascii="仿宋" w:hAnsi="仿宋" w:eastAsia="仿宋" w:cs="仿宋"/>
        </w:rPr>
        <w:t>28</w:t>
      </w:r>
      <w:r>
        <w:rPr>
          <w:rFonts w:ascii="仿宋" w:hAnsi="仿宋" w:eastAsia="仿宋" w:cs="仿宋"/>
        </w:rPr>
        <w:fldChar w:fldCharType="end"/>
      </w:r>
      <w:r>
        <w:rPr>
          <w:rFonts w:ascii="仿宋" w:hAnsi="仿宋" w:eastAsia="仿宋" w:cs="仿宋"/>
        </w:rPr>
        <w:fldChar w:fldCharType="end"/>
      </w:r>
    </w:p>
    <w:p>
      <w:pPr>
        <w:pStyle w:val="36"/>
        <w:tabs>
          <w:tab w:val="right" w:leader="dot" w:pos="8640"/>
        </w:tabs>
        <w:ind w:firstLine="31680"/>
        <w:rPr>
          <w:rFonts w:ascii="仿宋" w:hAnsi="仿宋" w:eastAsia="仿宋" w:cs="仿宋"/>
        </w:rPr>
      </w:pPr>
      <w:r>
        <w:fldChar w:fldCharType="begin"/>
      </w:r>
      <w:r>
        <w:instrText xml:space="preserve"> HYPERLINK \l "_Toc20245" </w:instrText>
      </w:r>
      <w:r>
        <w:fldChar w:fldCharType="separate"/>
      </w:r>
      <w:r>
        <w:rPr>
          <w:rFonts w:hint="eastAsia" w:ascii="仿宋" w:hAnsi="仿宋" w:eastAsia="仿宋" w:cs="仿宋"/>
        </w:rPr>
        <w:t>四、强化水利工程监管，完善建管体制机制</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_Toc20245 </w:instrText>
      </w:r>
      <w:r>
        <w:rPr>
          <w:rFonts w:ascii="仿宋" w:hAnsi="仿宋" w:eastAsia="仿宋" w:cs="仿宋"/>
        </w:rPr>
        <w:fldChar w:fldCharType="separate"/>
      </w:r>
      <w:r>
        <w:rPr>
          <w:rFonts w:ascii="仿宋" w:hAnsi="仿宋" w:eastAsia="仿宋" w:cs="仿宋"/>
        </w:rPr>
        <w:t>30</w:t>
      </w:r>
      <w:r>
        <w:rPr>
          <w:rFonts w:ascii="仿宋" w:hAnsi="仿宋" w:eastAsia="仿宋" w:cs="仿宋"/>
        </w:rPr>
        <w:fldChar w:fldCharType="end"/>
      </w:r>
      <w:r>
        <w:rPr>
          <w:rFonts w:ascii="仿宋" w:hAnsi="仿宋" w:eastAsia="仿宋" w:cs="仿宋"/>
        </w:rPr>
        <w:fldChar w:fldCharType="end"/>
      </w:r>
    </w:p>
    <w:p>
      <w:pPr>
        <w:pStyle w:val="36"/>
        <w:tabs>
          <w:tab w:val="right" w:leader="dot" w:pos="8640"/>
        </w:tabs>
        <w:ind w:firstLine="31680"/>
        <w:rPr>
          <w:rFonts w:ascii="仿宋" w:hAnsi="仿宋" w:eastAsia="仿宋" w:cs="仿宋"/>
        </w:rPr>
      </w:pPr>
      <w:r>
        <w:fldChar w:fldCharType="begin"/>
      </w:r>
      <w:r>
        <w:instrText xml:space="preserve"> HYPERLINK \l "_Toc23254" </w:instrText>
      </w:r>
      <w:r>
        <w:fldChar w:fldCharType="separate"/>
      </w:r>
      <w:r>
        <w:rPr>
          <w:rFonts w:hint="eastAsia" w:ascii="仿宋" w:hAnsi="仿宋" w:eastAsia="仿宋" w:cs="仿宋"/>
        </w:rPr>
        <w:t>五、强化水土保持监管，守护绿水青山碧草</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_Toc23254 </w:instrText>
      </w:r>
      <w:r>
        <w:rPr>
          <w:rFonts w:ascii="仿宋" w:hAnsi="仿宋" w:eastAsia="仿宋" w:cs="仿宋"/>
        </w:rPr>
        <w:fldChar w:fldCharType="separate"/>
      </w:r>
      <w:r>
        <w:rPr>
          <w:rFonts w:ascii="仿宋" w:hAnsi="仿宋" w:eastAsia="仿宋" w:cs="仿宋"/>
        </w:rPr>
        <w:t>33</w:t>
      </w:r>
      <w:r>
        <w:rPr>
          <w:rFonts w:ascii="仿宋" w:hAnsi="仿宋" w:eastAsia="仿宋" w:cs="仿宋"/>
        </w:rPr>
        <w:fldChar w:fldCharType="end"/>
      </w:r>
      <w:r>
        <w:rPr>
          <w:rFonts w:ascii="仿宋" w:hAnsi="仿宋" w:eastAsia="仿宋" w:cs="仿宋"/>
        </w:rPr>
        <w:fldChar w:fldCharType="end"/>
      </w:r>
    </w:p>
    <w:p>
      <w:pPr>
        <w:pStyle w:val="36"/>
        <w:tabs>
          <w:tab w:val="right" w:leader="dot" w:pos="8640"/>
        </w:tabs>
        <w:ind w:firstLine="31680"/>
        <w:rPr>
          <w:rFonts w:ascii="仿宋" w:hAnsi="仿宋" w:eastAsia="仿宋" w:cs="仿宋"/>
        </w:rPr>
      </w:pPr>
      <w:r>
        <w:fldChar w:fldCharType="begin"/>
      </w:r>
      <w:r>
        <w:instrText xml:space="preserve"> HYPERLINK \l "_Toc4870" </w:instrText>
      </w:r>
      <w:r>
        <w:fldChar w:fldCharType="separate"/>
      </w:r>
      <w:r>
        <w:rPr>
          <w:rFonts w:hint="eastAsia" w:ascii="仿宋" w:hAnsi="仿宋" w:eastAsia="仿宋" w:cs="仿宋"/>
        </w:rPr>
        <w:t>六、加强水旱灾害防御监管，提高水安全保障能力</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_Toc4870 </w:instrText>
      </w:r>
      <w:r>
        <w:rPr>
          <w:rFonts w:ascii="仿宋" w:hAnsi="仿宋" w:eastAsia="仿宋" w:cs="仿宋"/>
        </w:rPr>
        <w:fldChar w:fldCharType="separate"/>
      </w:r>
      <w:r>
        <w:rPr>
          <w:rFonts w:ascii="仿宋" w:hAnsi="仿宋" w:eastAsia="仿宋" w:cs="仿宋"/>
        </w:rPr>
        <w:t>35</w:t>
      </w:r>
      <w:r>
        <w:rPr>
          <w:rFonts w:ascii="仿宋" w:hAnsi="仿宋" w:eastAsia="仿宋" w:cs="仿宋"/>
        </w:rPr>
        <w:fldChar w:fldCharType="end"/>
      </w:r>
      <w:r>
        <w:rPr>
          <w:rFonts w:ascii="仿宋" w:hAnsi="仿宋" w:eastAsia="仿宋" w:cs="仿宋"/>
        </w:rPr>
        <w:fldChar w:fldCharType="end"/>
      </w:r>
    </w:p>
    <w:p>
      <w:pPr>
        <w:pStyle w:val="36"/>
        <w:tabs>
          <w:tab w:val="right" w:leader="dot" w:pos="8640"/>
        </w:tabs>
        <w:ind w:firstLine="31680"/>
        <w:rPr>
          <w:rFonts w:ascii="仿宋" w:hAnsi="仿宋" w:eastAsia="仿宋" w:cs="仿宋"/>
        </w:rPr>
      </w:pPr>
      <w:r>
        <w:fldChar w:fldCharType="begin"/>
      </w:r>
      <w:r>
        <w:instrText xml:space="preserve"> HYPERLINK \l "_Toc20298" </w:instrText>
      </w:r>
      <w:r>
        <w:fldChar w:fldCharType="separate"/>
      </w:r>
      <w:r>
        <w:rPr>
          <w:rFonts w:hint="eastAsia" w:ascii="仿宋" w:hAnsi="仿宋" w:eastAsia="仿宋" w:cs="仿宋"/>
        </w:rPr>
        <w:t>七、强化水安全风险管控，提高应急处置能力</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_Toc20298 </w:instrText>
      </w:r>
      <w:r>
        <w:rPr>
          <w:rFonts w:ascii="仿宋" w:hAnsi="仿宋" w:eastAsia="仿宋" w:cs="仿宋"/>
        </w:rPr>
        <w:fldChar w:fldCharType="separate"/>
      </w:r>
      <w:r>
        <w:rPr>
          <w:rFonts w:ascii="仿宋" w:hAnsi="仿宋" w:eastAsia="仿宋" w:cs="仿宋"/>
        </w:rPr>
        <w:t>36</w:t>
      </w:r>
      <w:r>
        <w:rPr>
          <w:rFonts w:ascii="仿宋" w:hAnsi="仿宋" w:eastAsia="仿宋" w:cs="仿宋"/>
        </w:rPr>
        <w:fldChar w:fldCharType="end"/>
      </w:r>
      <w:r>
        <w:rPr>
          <w:rFonts w:ascii="仿宋" w:hAnsi="仿宋" w:eastAsia="仿宋" w:cs="仿宋"/>
        </w:rPr>
        <w:fldChar w:fldCharType="end"/>
      </w:r>
    </w:p>
    <w:p>
      <w:pPr>
        <w:pStyle w:val="36"/>
        <w:tabs>
          <w:tab w:val="right" w:leader="dot" w:pos="8640"/>
        </w:tabs>
        <w:ind w:firstLine="31680"/>
        <w:rPr>
          <w:rFonts w:ascii="仿宋" w:hAnsi="仿宋" w:eastAsia="仿宋" w:cs="仿宋"/>
        </w:rPr>
      </w:pPr>
      <w:r>
        <w:fldChar w:fldCharType="begin"/>
      </w:r>
      <w:r>
        <w:instrText xml:space="preserve"> HYPERLINK \l "_Toc18035" </w:instrText>
      </w:r>
      <w:r>
        <w:fldChar w:fldCharType="separate"/>
      </w:r>
      <w:r>
        <w:rPr>
          <w:rFonts w:hint="eastAsia" w:ascii="仿宋" w:hAnsi="仿宋" w:eastAsia="仿宋" w:cs="仿宋"/>
        </w:rPr>
        <w:t>八、加强水行政执法，强化河湖规范管理</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_Toc18035 </w:instrText>
      </w:r>
      <w:r>
        <w:rPr>
          <w:rFonts w:ascii="仿宋" w:hAnsi="仿宋" w:eastAsia="仿宋" w:cs="仿宋"/>
        </w:rPr>
        <w:fldChar w:fldCharType="separate"/>
      </w:r>
      <w:r>
        <w:rPr>
          <w:rFonts w:ascii="仿宋" w:hAnsi="仿宋" w:eastAsia="仿宋" w:cs="仿宋"/>
        </w:rPr>
        <w:t>36</w:t>
      </w:r>
      <w:r>
        <w:rPr>
          <w:rFonts w:ascii="仿宋" w:hAnsi="仿宋" w:eastAsia="仿宋" w:cs="仿宋"/>
        </w:rPr>
        <w:fldChar w:fldCharType="end"/>
      </w:r>
      <w:r>
        <w:rPr>
          <w:rFonts w:ascii="仿宋" w:hAnsi="仿宋" w:eastAsia="仿宋" w:cs="仿宋"/>
        </w:rPr>
        <w:fldChar w:fldCharType="end"/>
      </w:r>
    </w:p>
    <w:p>
      <w:pPr>
        <w:pStyle w:val="36"/>
        <w:tabs>
          <w:tab w:val="right" w:leader="dot" w:pos="8640"/>
        </w:tabs>
        <w:ind w:firstLine="31680"/>
        <w:rPr>
          <w:rFonts w:ascii="仿宋" w:hAnsi="仿宋" w:eastAsia="仿宋" w:cs="仿宋"/>
        </w:rPr>
      </w:pPr>
      <w:r>
        <w:fldChar w:fldCharType="begin"/>
      </w:r>
      <w:r>
        <w:instrText xml:space="preserve"> HYPERLINK \l "_Toc3530" </w:instrText>
      </w:r>
      <w:r>
        <w:fldChar w:fldCharType="separate"/>
      </w:r>
      <w:r>
        <w:rPr>
          <w:rFonts w:hint="eastAsia" w:ascii="仿宋" w:hAnsi="仿宋" w:eastAsia="仿宋" w:cs="仿宋"/>
        </w:rPr>
        <w:t>九、提升水安全信息化监管能力</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_Toc3530 </w:instrText>
      </w:r>
      <w:r>
        <w:rPr>
          <w:rFonts w:ascii="仿宋" w:hAnsi="仿宋" w:eastAsia="仿宋" w:cs="仿宋"/>
        </w:rPr>
        <w:fldChar w:fldCharType="separate"/>
      </w:r>
      <w:r>
        <w:rPr>
          <w:rFonts w:ascii="仿宋" w:hAnsi="仿宋" w:eastAsia="仿宋" w:cs="仿宋"/>
        </w:rPr>
        <w:t>37</w:t>
      </w:r>
      <w:r>
        <w:rPr>
          <w:rFonts w:ascii="仿宋" w:hAnsi="仿宋" w:eastAsia="仿宋" w:cs="仿宋"/>
        </w:rPr>
        <w:fldChar w:fldCharType="end"/>
      </w:r>
      <w:r>
        <w:rPr>
          <w:rFonts w:ascii="仿宋" w:hAnsi="仿宋" w:eastAsia="仿宋" w:cs="仿宋"/>
        </w:rPr>
        <w:fldChar w:fldCharType="end"/>
      </w:r>
    </w:p>
    <w:p>
      <w:pPr>
        <w:pStyle w:val="30"/>
        <w:tabs>
          <w:tab w:val="right" w:leader="dot" w:pos="8640"/>
        </w:tabs>
        <w:rPr>
          <w:rFonts w:eastAsia="仿宋" w:cs="仿宋"/>
          <w:bCs/>
        </w:rPr>
      </w:pPr>
      <w:r>
        <w:fldChar w:fldCharType="begin"/>
      </w:r>
      <w:r>
        <w:instrText xml:space="preserve"> HYPERLINK \l "_Toc24381" </w:instrText>
      </w:r>
      <w:r>
        <w:fldChar w:fldCharType="separate"/>
      </w:r>
      <w:r>
        <w:rPr>
          <w:rFonts w:hint="eastAsia" w:eastAsia="仿宋" w:cs="仿宋"/>
          <w:bCs/>
        </w:rPr>
        <w:t>第六章</w:t>
      </w:r>
      <w:r>
        <w:rPr>
          <w:rFonts w:eastAsia="仿宋" w:cs="仿宋"/>
          <w:bCs/>
        </w:rPr>
        <w:t xml:space="preserve"> </w:t>
      </w:r>
      <w:r>
        <w:rPr>
          <w:rFonts w:hint="eastAsia" w:eastAsia="仿宋" w:cs="仿宋"/>
          <w:bCs/>
        </w:rPr>
        <w:t>改革创新，激发水利发展内动力和活力</w:t>
      </w:r>
      <w:r>
        <w:rPr>
          <w:rFonts w:eastAsia="仿宋" w:cs="仿宋"/>
          <w:bCs/>
        </w:rPr>
        <w:tab/>
      </w:r>
      <w:r>
        <w:rPr>
          <w:rFonts w:eastAsia="仿宋" w:cs="仿宋"/>
          <w:bCs/>
        </w:rPr>
        <w:fldChar w:fldCharType="begin"/>
      </w:r>
      <w:r>
        <w:rPr>
          <w:rFonts w:eastAsia="仿宋" w:cs="仿宋"/>
          <w:bCs/>
        </w:rPr>
        <w:instrText xml:space="preserve"> PAGEREF _Toc24381 </w:instrText>
      </w:r>
      <w:r>
        <w:rPr>
          <w:rFonts w:eastAsia="仿宋" w:cs="仿宋"/>
          <w:bCs/>
        </w:rPr>
        <w:fldChar w:fldCharType="separate"/>
      </w:r>
      <w:r>
        <w:rPr>
          <w:rFonts w:eastAsia="仿宋" w:cs="仿宋"/>
          <w:bCs/>
        </w:rPr>
        <w:t>39</w:t>
      </w:r>
      <w:r>
        <w:rPr>
          <w:rFonts w:eastAsia="仿宋" w:cs="仿宋"/>
          <w:bCs/>
        </w:rPr>
        <w:fldChar w:fldCharType="end"/>
      </w:r>
      <w:r>
        <w:rPr>
          <w:rFonts w:eastAsia="仿宋" w:cs="仿宋"/>
          <w:bCs/>
        </w:rPr>
        <w:fldChar w:fldCharType="end"/>
      </w:r>
    </w:p>
    <w:p>
      <w:pPr>
        <w:pStyle w:val="36"/>
        <w:tabs>
          <w:tab w:val="right" w:leader="dot" w:pos="8640"/>
        </w:tabs>
        <w:ind w:firstLine="31680"/>
        <w:rPr>
          <w:rFonts w:ascii="仿宋" w:hAnsi="仿宋" w:eastAsia="仿宋" w:cs="仿宋"/>
        </w:rPr>
      </w:pPr>
      <w:r>
        <w:fldChar w:fldCharType="begin"/>
      </w:r>
      <w:r>
        <w:instrText xml:space="preserve"> HYPERLINK \l "_Toc10925" </w:instrText>
      </w:r>
      <w:r>
        <w:fldChar w:fldCharType="separate"/>
      </w:r>
      <w:r>
        <w:rPr>
          <w:rFonts w:hint="eastAsia" w:ascii="仿宋" w:hAnsi="仿宋" w:eastAsia="仿宋" w:cs="仿宋"/>
        </w:rPr>
        <w:t>一、完善法律法规体系，提升水利法治化水平</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_Toc10925 </w:instrText>
      </w:r>
      <w:r>
        <w:rPr>
          <w:rFonts w:ascii="仿宋" w:hAnsi="仿宋" w:eastAsia="仿宋" w:cs="仿宋"/>
        </w:rPr>
        <w:fldChar w:fldCharType="separate"/>
      </w:r>
      <w:r>
        <w:rPr>
          <w:rFonts w:ascii="仿宋" w:hAnsi="仿宋" w:eastAsia="仿宋" w:cs="仿宋"/>
        </w:rPr>
        <w:t>39</w:t>
      </w:r>
      <w:r>
        <w:rPr>
          <w:rFonts w:ascii="仿宋" w:hAnsi="仿宋" w:eastAsia="仿宋" w:cs="仿宋"/>
        </w:rPr>
        <w:fldChar w:fldCharType="end"/>
      </w:r>
      <w:r>
        <w:rPr>
          <w:rFonts w:ascii="仿宋" w:hAnsi="仿宋" w:eastAsia="仿宋" w:cs="仿宋"/>
        </w:rPr>
        <w:fldChar w:fldCharType="end"/>
      </w:r>
    </w:p>
    <w:p>
      <w:pPr>
        <w:pStyle w:val="36"/>
        <w:tabs>
          <w:tab w:val="right" w:leader="dot" w:pos="8640"/>
        </w:tabs>
        <w:ind w:firstLine="31680"/>
        <w:rPr>
          <w:rFonts w:ascii="仿宋" w:hAnsi="仿宋" w:eastAsia="仿宋" w:cs="仿宋"/>
        </w:rPr>
      </w:pPr>
      <w:r>
        <w:fldChar w:fldCharType="begin"/>
      </w:r>
      <w:r>
        <w:instrText xml:space="preserve"> HYPERLINK \l "_Toc9842" </w:instrText>
      </w:r>
      <w:r>
        <w:fldChar w:fldCharType="separate"/>
      </w:r>
      <w:r>
        <w:rPr>
          <w:rFonts w:hint="eastAsia" w:ascii="仿宋" w:hAnsi="仿宋" w:eastAsia="仿宋" w:cs="仿宋"/>
        </w:rPr>
        <w:t>二、深化价税改革，提高水资源利用效率和效益</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_Toc9842 </w:instrText>
      </w:r>
      <w:r>
        <w:rPr>
          <w:rFonts w:ascii="仿宋" w:hAnsi="仿宋" w:eastAsia="仿宋" w:cs="仿宋"/>
        </w:rPr>
        <w:fldChar w:fldCharType="separate"/>
      </w:r>
      <w:r>
        <w:rPr>
          <w:rFonts w:ascii="仿宋" w:hAnsi="仿宋" w:eastAsia="仿宋" w:cs="仿宋"/>
        </w:rPr>
        <w:t>39</w:t>
      </w:r>
      <w:r>
        <w:rPr>
          <w:rFonts w:ascii="仿宋" w:hAnsi="仿宋" w:eastAsia="仿宋" w:cs="仿宋"/>
        </w:rPr>
        <w:fldChar w:fldCharType="end"/>
      </w:r>
      <w:r>
        <w:rPr>
          <w:rFonts w:ascii="仿宋" w:hAnsi="仿宋" w:eastAsia="仿宋" w:cs="仿宋"/>
        </w:rPr>
        <w:fldChar w:fldCharType="end"/>
      </w:r>
    </w:p>
    <w:p>
      <w:pPr>
        <w:pStyle w:val="36"/>
        <w:tabs>
          <w:tab w:val="right" w:leader="dot" w:pos="8640"/>
        </w:tabs>
        <w:ind w:firstLine="31680"/>
        <w:rPr>
          <w:rFonts w:ascii="仿宋" w:hAnsi="仿宋" w:eastAsia="仿宋" w:cs="仿宋"/>
        </w:rPr>
      </w:pPr>
      <w:r>
        <w:fldChar w:fldCharType="begin"/>
      </w:r>
      <w:r>
        <w:instrText xml:space="preserve"> HYPERLINK \l "_Toc145" </w:instrText>
      </w:r>
      <w:r>
        <w:fldChar w:fldCharType="separate"/>
      </w:r>
      <w:r>
        <w:rPr>
          <w:rFonts w:hint="eastAsia" w:ascii="仿宋" w:hAnsi="仿宋" w:eastAsia="仿宋" w:cs="仿宋"/>
        </w:rPr>
        <w:t>三、推动工程产权改革，促进水利工程良性运行</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_Toc145 </w:instrText>
      </w:r>
      <w:r>
        <w:rPr>
          <w:rFonts w:ascii="仿宋" w:hAnsi="仿宋" w:eastAsia="仿宋" w:cs="仿宋"/>
        </w:rPr>
        <w:fldChar w:fldCharType="separate"/>
      </w:r>
      <w:r>
        <w:rPr>
          <w:rFonts w:ascii="仿宋" w:hAnsi="仿宋" w:eastAsia="仿宋" w:cs="仿宋"/>
        </w:rPr>
        <w:t>40</w:t>
      </w:r>
      <w:r>
        <w:rPr>
          <w:rFonts w:ascii="仿宋" w:hAnsi="仿宋" w:eastAsia="仿宋" w:cs="仿宋"/>
        </w:rPr>
        <w:fldChar w:fldCharType="end"/>
      </w:r>
      <w:r>
        <w:rPr>
          <w:rFonts w:ascii="仿宋" w:hAnsi="仿宋" w:eastAsia="仿宋" w:cs="仿宋"/>
        </w:rPr>
        <w:fldChar w:fldCharType="end"/>
      </w:r>
    </w:p>
    <w:p>
      <w:pPr>
        <w:pStyle w:val="36"/>
        <w:tabs>
          <w:tab w:val="right" w:leader="dot" w:pos="8640"/>
        </w:tabs>
        <w:ind w:firstLine="31680"/>
        <w:rPr>
          <w:rFonts w:ascii="仿宋" w:hAnsi="仿宋" w:eastAsia="仿宋" w:cs="仿宋"/>
        </w:rPr>
      </w:pPr>
      <w:r>
        <w:fldChar w:fldCharType="begin"/>
      </w:r>
      <w:r>
        <w:instrText xml:space="preserve"> HYPERLINK \l "_Toc4830" </w:instrText>
      </w:r>
      <w:r>
        <w:fldChar w:fldCharType="separate"/>
      </w:r>
      <w:r>
        <w:rPr>
          <w:rFonts w:hint="eastAsia" w:ascii="仿宋" w:hAnsi="仿宋" w:eastAsia="仿宋" w:cs="仿宋"/>
        </w:rPr>
        <w:t>四、深化水利投融资机制改革，保障建设资金需求</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_Toc4830 </w:instrText>
      </w:r>
      <w:r>
        <w:rPr>
          <w:rFonts w:ascii="仿宋" w:hAnsi="仿宋" w:eastAsia="仿宋" w:cs="仿宋"/>
        </w:rPr>
        <w:fldChar w:fldCharType="separate"/>
      </w:r>
      <w:r>
        <w:rPr>
          <w:rFonts w:ascii="仿宋" w:hAnsi="仿宋" w:eastAsia="仿宋" w:cs="仿宋"/>
        </w:rPr>
        <w:t>40</w:t>
      </w:r>
      <w:r>
        <w:rPr>
          <w:rFonts w:ascii="仿宋" w:hAnsi="仿宋" w:eastAsia="仿宋" w:cs="仿宋"/>
        </w:rPr>
        <w:fldChar w:fldCharType="end"/>
      </w:r>
      <w:r>
        <w:rPr>
          <w:rFonts w:ascii="仿宋" w:hAnsi="仿宋" w:eastAsia="仿宋" w:cs="仿宋"/>
        </w:rPr>
        <w:fldChar w:fldCharType="end"/>
      </w:r>
    </w:p>
    <w:p>
      <w:pPr>
        <w:pStyle w:val="36"/>
        <w:tabs>
          <w:tab w:val="right" w:leader="dot" w:pos="8640"/>
        </w:tabs>
        <w:ind w:firstLine="31680"/>
        <w:rPr>
          <w:rFonts w:ascii="仿宋" w:hAnsi="仿宋" w:eastAsia="仿宋" w:cs="仿宋"/>
        </w:rPr>
      </w:pPr>
      <w:r>
        <w:fldChar w:fldCharType="begin"/>
      </w:r>
      <w:r>
        <w:instrText xml:space="preserve"> HYPERLINK \l "_Toc7983" </w:instrText>
      </w:r>
      <w:r>
        <w:fldChar w:fldCharType="separate"/>
      </w:r>
      <w:r>
        <w:rPr>
          <w:rFonts w:hint="eastAsia" w:ascii="仿宋" w:hAnsi="仿宋" w:eastAsia="仿宋" w:cs="仿宋"/>
        </w:rPr>
        <w:t>五、加强创新引领，提升水利行业科技支撑能力</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_Toc7983 </w:instrText>
      </w:r>
      <w:r>
        <w:rPr>
          <w:rFonts w:ascii="仿宋" w:hAnsi="仿宋" w:eastAsia="仿宋" w:cs="仿宋"/>
        </w:rPr>
        <w:fldChar w:fldCharType="separate"/>
      </w:r>
      <w:r>
        <w:rPr>
          <w:rFonts w:ascii="仿宋" w:hAnsi="仿宋" w:eastAsia="仿宋" w:cs="仿宋"/>
        </w:rPr>
        <w:t>40</w:t>
      </w:r>
      <w:r>
        <w:rPr>
          <w:rFonts w:ascii="仿宋" w:hAnsi="仿宋" w:eastAsia="仿宋" w:cs="仿宋"/>
        </w:rPr>
        <w:fldChar w:fldCharType="end"/>
      </w:r>
      <w:r>
        <w:rPr>
          <w:rFonts w:ascii="仿宋" w:hAnsi="仿宋" w:eastAsia="仿宋" w:cs="仿宋"/>
        </w:rPr>
        <w:fldChar w:fldCharType="end"/>
      </w:r>
    </w:p>
    <w:p>
      <w:pPr>
        <w:pStyle w:val="30"/>
        <w:tabs>
          <w:tab w:val="right" w:leader="dot" w:pos="8640"/>
        </w:tabs>
        <w:rPr>
          <w:rFonts w:eastAsia="仿宋" w:cs="仿宋"/>
          <w:bCs/>
        </w:rPr>
      </w:pPr>
      <w:r>
        <w:fldChar w:fldCharType="begin"/>
      </w:r>
      <w:r>
        <w:instrText xml:space="preserve"> HYPERLINK \l "_Toc256" </w:instrText>
      </w:r>
      <w:r>
        <w:fldChar w:fldCharType="separate"/>
      </w:r>
      <w:r>
        <w:rPr>
          <w:rFonts w:hint="eastAsia" w:eastAsia="仿宋" w:cs="仿宋"/>
          <w:bCs/>
        </w:rPr>
        <w:t>第七章</w:t>
      </w:r>
      <w:r>
        <w:rPr>
          <w:rFonts w:eastAsia="仿宋" w:cs="仿宋"/>
          <w:bCs/>
        </w:rPr>
        <w:t xml:space="preserve"> </w:t>
      </w:r>
      <w:r>
        <w:rPr>
          <w:rFonts w:hint="eastAsia" w:eastAsia="仿宋" w:cs="仿宋"/>
          <w:bCs/>
        </w:rPr>
        <w:t>投资规模</w:t>
      </w:r>
      <w:r>
        <w:rPr>
          <w:rFonts w:eastAsia="仿宋" w:cs="仿宋"/>
          <w:bCs/>
        </w:rPr>
        <w:tab/>
      </w:r>
      <w:r>
        <w:rPr>
          <w:rFonts w:eastAsia="仿宋" w:cs="仿宋"/>
          <w:bCs/>
        </w:rPr>
        <w:fldChar w:fldCharType="begin"/>
      </w:r>
      <w:r>
        <w:rPr>
          <w:rFonts w:eastAsia="仿宋" w:cs="仿宋"/>
          <w:bCs/>
        </w:rPr>
        <w:instrText xml:space="preserve"> PAGEREF _Toc256 </w:instrText>
      </w:r>
      <w:r>
        <w:rPr>
          <w:rFonts w:eastAsia="仿宋" w:cs="仿宋"/>
          <w:bCs/>
        </w:rPr>
        <w:fldChar w:fldCharType="separate"/>
      </w:r>
      <w:r>
        <w:rPr>
          <w:rFonts w:eastAsia="仿宋" w:cs="仿宋"/>
          <w:bCs/>
        </w:rPr>
        <w:t>41</w:t>
      </w:r>
      <w:r>
        <w:rPr>
          <w:rFonts w:eastAsia="仿宋" w:cs="仿宋"/>
          <w:bCs/>
        </w:rPr>
        <w:fldChar w:fldCharType="end"/>
      </w:r>
      <w:r>
        <w:rPr>
          <w:rFonts w:eastAsia="仿宋" w:cs="仿宋"/>
          <w:bCs/>
        </w:rPr>
        <w:fldChar w:fldCharType="end"/>
      </w:r>
    </w:p>
    <w:p>
      <w:pPr>
        <w:pStyle w:val="36"/>
        <w:tabs>
          <w:tab w:val="right" w:leader="dot" w:pos="8640"/>
        </w:tabs>
        <w:ind w:firstLine="31680"/>
        <w:rPr>
          <w:rFonts w:ascii="仿宋" w:hAnsi="仿宋" w:eastAsia="仿宋" w:cs="仿宋"/>
        </w:rPr>
      </w:pPr>
      <w:r>
        <w:fldChar w:fldCharType="begin"/>
      </w:r>
      <w:r>
        <w:instrText xml:space="preserve"> HYPERLINK \l "_Toc5618" </w:instrText>
      </w:r>
      <w:r>
        <w:fldChar w:fldCharType="separate"/>
      </w:r>
      <w:r>
        <w:rPr>
          <w:rFonts w:hint="eastAsia" w:ascii="仿宋" w:hAnsi="仿宋" w:eastAsia="仿宋" w:cs="仿宋"/>
        </w:rPr>
        <w:t>一、投资计划安排原则</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_Toc5618 </w:instrText>
      </w:r>
      <w:r>
        <w:rPr>
          <w:rFonts w:ascii="仿宋" w:hAnsi="仿宋" w:eastAsia="仿宋" w:cs="仿宋"/>
        </w:rPr>
        <w:fldChar w:fldCharType="separate"/>
      </w:r>
      <w:r>
        <w:rPr>
          <w:rFonts w:ascii="仿宋" w:hAnsi="仿宋" w:eastAsia="仿宋" w:cs="仿宋"/>
        </w:rPr>
        <w:t>41</w:t>
      </w:r>
      <w:r>
        <w:rPr>
          <w:rFonts w:ascii="仿宋" w:hAnsi="仿宋" w:eastAsia="仿宋" w:cs="仿宋"/>
        </w:rPr>
        <w:fldChar w:fldCharType="end"/>
      </w:r>
      <w:r>
        <w:rPr>
          <w:rFonts w:ascii="仿宋" w:hAnsi="仿宋" w:eastAsia="仿宋" w:cs="仿宋"/>
        </w:rPr>
        <w:fldChar w:fldCharType="end"/>
      </w:r>
    </w:p>
    <w:p>
      <w:pPr>
        <w:pStyle w:val="36"/>
        <w:tabs>
          <w:tab w:val="right" w:leader="dot" w:pos="8640"/>
        </w:tabs>
        <w:ind w:firstLine="31680"/>
        <w:rPr>
          <w:rFonts w:ascii="仿宋" w:hAnsi="仿宋" w:eastAsia="仿宋" w:cs="仿宋"/>
        </w:rPr>
      </w:pPr>
      <w:r>
        <w:fldChar w:fldCharType="begin"/>
      </w:r>
      <w:r>
        <w:instrText xml:space="preserve"> HYPERLINK \l "_Toc31709" </w:instrText>
      </w:r>
      <w:r>
        <w:fldChar w:fldCharType="separate"/>
      </w:r>
      <w:r>
        <w:rPr>
          <w:rFonts w:hint="eastAsia" w:ascii="仿宋" w:hAnsi="仿宋" w:eastAsia="仿宋" w:cs="仿宋"/>
        </w:rPr>
        <w:t>二、投资规模</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_Toc31709 </w:instrText>
      </w:r>
      <w:r>
        <w:rPr>
          <w:rFonts w:ascii="仿宋" w:hAnsi="仿宋" w:eastAsia="仿宋" w:cs="仿宋"/>
        </w:rPr>
        <w:fldChar w:fldCharType="separate"/>
      </w:r>
      <w:r>
        <w:rPr>
          <w:rFonts w:ascii="仿宋" w:hAnsi="仿宋" w:eastAsia="仿宋" w:cs="仿宋"/>
        </w:rPr>
        <w:t>41</w:t>
      </w:r>
      <w:r>
        <w:rPr>
          <w:rFonts w:ascii="仿宋" w:hAnsi="仿宋" w:eastAsia="仿宋" w:cs="仿宋"/>
        </w:rPr>
        <w:fldChar w:fldCharType="end"/>
      </w:r>
      <w:r>
        <w:rPr>
          <w:rFonts w:ascii="仿宋" w:hAnsi="仿宋" w:eastAsia="仿宋" w:cs="仿宋"/>
        </w:rPr>
        <w:fldChar w:fldCharType="end"/>
      </w:r>
    </w:p>
    <w:p>
      <w:pPr>
        <w:pStyle w:val="30"/>
        <w:tabs>
          <w:tab w:val="right" w:leader="dot" w:pos="8640"/>
        </w:tabs>
        <w:rPr>
          <w:rFonts w:eastAsia="仿宋" w:cs="仿宋"/>
          <w:bCs/>
        </w:rPr>
      </w:pPr>
      <w:r>
        <w:fldChar w:fldCharType="begin"/>
      </w:r>
      <w:r>
        <w:instrText xml:space="preserve"> HYPERLINK \l "_Toc8195" </w:instrText>
      </w:r>
      <w:r>
        <w:fldChar w:fldCharType="separate"/>
      </w:r>
      <w:r>
        <w:rPr>
          <w:rFonts w:hint="eastAsia" w:eastAsia="仿宋" w:cs="仿宋"/>
          <w:bCs/>
        </w:rPr>
        <w:t>第八章</w:t>
      </w:r>
      <w:r>
        <w:rPr>
          <w:rFonts w:eastAsia="仿宋" w:cs="仿宋"/>
          <w:bCs/>
        </w:rPr>
        <w:t xml:space="preserve"> </w:t>
      </w:r>
      <w:r>
        <w:rPr>
          <w:rFonts w:hint="eastAsia" w:eastAsia="仿宋" w:cs="仿宋"/>
          <w:bCs/>
        </w:rPr>
        <w:t>保障措施</w:t>
      </w:r>
      <w:r>
        <w:rPr>
          <w:rFonts w:eastAsia="仿宋" w:cs="仿宋"/>
          <w:bCs/>
        </w:rPr>
        <w:tab/>
      </w:r>
      <w:r>
        <w:rPr>
          <w:rFonts w:eastAsia="仿宋" w:cs="仿宋"/>
          <w:bCs/>
        </w:rPr>
        <w:fldChar w:fldCharType="begin"/>
      </w:r>
      <w:r>
        <w:rPr>
          <w:rFonts w:eastAsia="仿宋" w:cs="仿宋"/>
          <w:bCs/>
        </w:rPr>
        <w:instrText xml:space="preserve"> PAGEREF _Toc8195 </w:instrText>
      </w:r>
      <w:r>
        <w:rPr>
          <w:rFonts w:eastAsia="仿宋" w:cs="仿宋"/>
          <w:bCs/>
        </w:rPr>
        <w:fldChar w:fldCharType="separate"/>
      </w:r>
      <w:r>
        <w:rPr>
          <w:rFonts w:eastAsia="仿宋" w:cs="仿宋"/>
          <w:bCs/>
        </w:rPr>
        <w:t>42</w:t>
      </w:r>
      <w:r>
        <w:rPr>
          <w:rFonts w:eastAsia="仿宋" w:cs="仿宋"/>
          <w:bCs/>
        </w:rPr>
        <w:fldChar w:fldCharType="end"/>
      </w:r>
      <w:r>
        <w:rPr>
          <w:rFonts w:eastAsia="仿宋" w:cs="仿宋"/>
          <w:bCs/>
        </w:rPr>
        <w:fldChar w:fldCharType="end"/>
      </w:r>
    </w:p>
    <w:p>
      <w:pPr>
        <w:pStyle w:val="36"/>
        <w:tabs>
          <w:tab w:val="right" w:leader="dot" w:pos="8640"/>
        </w:tabs>
        <w:ind w:firstLine="31680"/>
        <w:rPr>
          <w:rFonts w:ascii="仿宋" w:hAnsi="仿宋" w:eastAsia="仿宋" w:cs="仿宋"/>
        </w:rPr>
      </w:pPr>
      <w:r>
        <w:fldChar w:fldCharType="begin"/>
      </w:r>
      <w:r>
        <w:instrText xml:space="preserve"> HYPERLINK \l "_Toc9551" </w:instrText>
      </w:r>
      <w:r>
        <w:fldChar w:fldCharType="separate"/>
      </w:r>
      <w:r>
        <w:rPr>
          <w:rFonts w:hint="eastAsia" w:ascii="仿宋" w:hAnsi="仿宋" w:eastAsia="仿宋" w:cs="仿宋"/>
        </w:rPr>
        <w:t>一、加强组织领导</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_Toc9551 </w:instrText>
      </w:r>
      <w:r>
        <w:rPr>
          <w:rFonts w:ascii="仿宋" w:hAnsi="仿宋" w:eastAsia="仿宋" w:cs="仿宋"/>
        </w:rPr>
        <w:fldChar w:fldCharType="separate"/>
      </w:r>
      <w:r>
        <w:rPr>
          <w:rFonts w:ascii="仿宋" w:hAnsi="仿宋" w:eastAsia="仿宋" w:cs="仿宋"/>
        </w:rPr>
        <w:t>42</w:t>
      </w:r>
      <w:r>
        <w:rPr>
          <w:rFonts w:ascii="仿宋" w:hAnsi="仿宋" w:eastAsia="仿宋" w:cs="仿宋"/>
        </w:rPr>
        <w:fldChar w:fldCharType="end"/>
      </w:r>
      <w:r>
        <w:rPr>
          <w:rFonts w:ascii="仿宋" w:hAnsi="仿宋" w:eastAsia="仿宋" w:cs="仿宋"/>
        </w:rPr>
        <w:fldChar w:fldCharType="end"/>
      </w:r>
    </w:p>
    <w:p>
      <w:pPr>
        <w:pStyle w:val="36"/>
        <w:tabs>
          <w:tab w:val="right" w:leader="dot" w:pos="8640"/>
        </w:tabs>
        <w:ind w:firstLine="31680"/>
        <w:rPr>
          <w:rFonts w:ascii="仿宋" w:hAnsi="仿宋" w:eastAsia="仿宋" w:cs="仿宋"/>
        </w:rPr>
      </w:pPr>
      <w:r>
        <w:fldChar w:fldCharType="begin"/>
      </w:r>
      <w:r>
        <w:instrText xml:space="preserve"> HYPERLINK \l "_Toc9699" </w:instrText>
      </w:r>
      <w:r>
        <w:fldChar w:fldCharType="separate"/>
      </w:r>
      <w:r>
        <w:rPr>
          <w:rFonts w:hint="eastAsia" w:ascii="仿宋" w:hAnsi="仿宋" w:eastAsia="仿宋" w:cs="仿宋"/>
        </w:rPr>
        <w:t>二、深化前期工作</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_Toc9699 </w:instrText>
      </w:r>
      <w:r>
        <w:rPr>
          <w:rFonts w:ascii="仿宋" w:hAnsi="仿宋" w:eastAsia="仿宋" w:cs="仿宋"/>
        </w:rPr>
        <w:fldChar w:fldCharType="separate"/>
      </w:r>
      <w:r>
        <w:rPr>
          <w:rFonts w:ascii="仿宋" w:hAnsi="仿宋" w:eastAsia="仿宋" w:cs="仿宋"/>
        </w:rPr>
        <w:t>42</w:t>
      </w:r>
      <w:r>
        <w:rPr>
          <w:rFonts w:ascii="仿宋" w:hAnsi="仿宋" w:eastAsia="仿宋" w:cs="仿宋"/>
        </w:rPr>
        <w:fldChar w:fldCharType="end"/>
      </w:r>
      <w:r>
        <w:rPr>
          <w:rFonts w:ascii="仿宋" w:hAnsi="仿宋" w:eastAsia="仿宋" w:cs="仿宋"/>
        </w:rPr>
        <w:fldChar w:fldCharType="end"/>
      </w:r>
    </w:p>
    <w:p>
      <w:pPr>
        <w:pStyle w:val="36"/>
        <w:tabs>
          <w:tab w:val="right" w:leader="dot" w:pos="8640"/>
        </w:tabs>
        <w:ind w:firstLine="31680"/>
        <w:rPr>
          <w:rFonts w:ascii="仿宋" w:hAnsi="仿宋" w:eastAsia="仿宋" w:cs="仿宋"/>
        </w:rPr>
      </w:pPr>
      <w:r>
        <w:fldChar w:fldCharType="begin"/>
      </w:r>
      <w:r>
        <w:instrText xml:space="preserve"> HYPERLINK \l "_Toc432" </w:instrText>
      </w:r>
      <w:r>
        <w:fldChar w:fldCharType="separate"/>
      </w:r>
      <w:r>
        <w:rPr>
          <w:rFonts w:hint="eastAsia" w:ascii="仿宋" w:hAnsi="仿宋" w:eastAsia="仿宋" w:cs="仿宋"/>
        </w:rPr>
        <w:t>三、加大投入力度</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_Toc432 </w:instrText>
      </w:r>
      <w:r>
        <w:rPr>
          <w:rFonts w:ascii="仿宋" w:hAnsi="仿宋" w:eastAsia="仿宋" w:cs="仿宋"/>
        </w:rPr>
        <w:fldChar w:fldCharType="separate"/>
      </w:r>
      <w:r>
        <w:rPr>
          <w:rFonts w:ascii="仿宋" w:hAnsi="仿宋" w:eastAsia="仿宋" w:cs="仿宋"/>
        </w:rPr>
        <w:t>42</w:t>
      </w:r>
      <w:r>
        <w:rPr>
          <w:rFonts w:ascii="仿宋" w:hAnsi="仿宋" w:eastAsia="仿宋" w:cs="仿宋"/>
        </w:rPr>
        <w:fldChar w:fldCharType="end"/>
      </w:r>
      <w:r>
        <w:rPr>
          <w:rFonts w:ascii="仿宋" w:hAnsi="仿宋" w:eastAsia="仿宋" w:cs="仿宋"/>
        </w:rPr>
        <w:fldChar w:fldCharType="end"/>
      </w:r>
    </w:p>
    <w:p>
      <w:pPr>
        <w:pStyle w:val="36"/>
        <w:tabs>
          <w:tab w:val="right" w:leader="dot" w:pos="8640"/>
        </w:tabs>
        <w:ind w:firstLine="31680"/>
        <w:rPr>
          <w:rFonts w:ascii="仿宋" w:hAnsi="仿宋" w:eastAsia="仿宋" w:cs="仿宋"/>
        </w:rPr>
      </w:pPr>
      <w:r>
        <w:fldChar w:fldCharType="begin"/>
      </w:r>
      <w:r>
        <w:instrText xml:space="preserve"> HYPERLINK \l "_Toc26842" </w:instrText>
      </w:r>
      <w:r>
        <w:fldChar w:fldCharType="separate"/>
      </w:r>
      <w:r>
        <w:rPr>
          <w:rFonts w:hint="eastAsia" w:ascii="仿宋" w:hAnsi="仿宋" w:eastAsia="仿宋" w:cs="仿宋"/>
        </w:rPr>
        <w:t>四、逐级分解落实</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_Toc26842 </w:instrText>
      </w:r>
      <w:r>
        <w:rPr>
          <w:rFonts w:ascii="仿宋" w:hAnsi="仿宋" w:eastAsia="仿宋" w:cs="仿宋"/>
        </w:rPr>
        <w:fldChar w:fldCharType="separate"/>
      </w:r>
      <w:r>
        <w:rPr>
          <w:rFonts w:ascii="仿宋" w:hAnsi="仿宋" w:eastAsia="仿宋" w:cs="仿宋"/>
        </w:rPr>
        <w:t>42</w:t>
      </w:r>
      <w:r>
        <w:rPr>
          <w:rFonts w:ascii="仿宋" w:hAnsi="仿宋" w:eastAsia="仿宋" w:cs="仿宋"/>
        </w:rPr>
        <w:fldChar w:fldCharType="end"/>
      </w:r>
      <w:r>
        <w:rPr>
          <w:rFonts w:ascii="仿宋" w:hAnsi="仿宋" w:eastAsia="仿宋" w:cs="仿宋"/>
        </w:rPr>
        <w:fldChar w:fldCharType="end"/>
      </w:r>
    </w:p>
    <w:p>
      <w:pPr>
        <w:pStyle w:val="36"/>
        <w:tabs>
          <w:tab w:val="right" w:leader="dot" w:pos="8640"/>
        </w:tabs>
        <w:ind w:firstLine="31680"/>
        <w:rPr>
          <w:rFonts w:ascii="仿宋" w:hAnsi="仿宋" w:eastAsia="仿宋" w:cs="仿宋"/>
        </w:rPr>
      </w:pPr>
      <w:r>
        <w:fldChar w:fldCharType="begin"/>
      </w:r>
      <w:r>
        <w:instrText xml:space="preserve"> HYPERLINK \l "_Toc18975" </w:instrText>
      </w:r>
      <w:r>
        <w:fldChar w:fldCharType="separate"/>
      </w:r>
      <w:r>
        <w:rPr>
          <w:rFonts w:hint="eastAsia" w:ascii="仿宋" w:hAnsi="仿宋" w:eastAsia="仿宋" w:cs="仿宋"/>
        </w:rPr>
        <w:t>五、</w:t>
      </w:r>
      <w:r>
        <w:rPr>
          <w:rFonts w:hint="eastAsia" w:ascii="仿宋" w:hAnsi="仿宋" w:eastAsia="仿宋" w:cs="仿宋"/>
          <w:lang w:val="en-US"/>
        </w:rPr>
        <w:t>社会参与</w:t>
      </w:r>
      <w:r>
        <w:rPr>
          <w:rFonts w:ascii="仿宋" w:hAnsi="仿宋" w:eastAsia="仿宋" w:cs="仿宋"/>
        </w:rPr>
        <w:tab/>
      </w:r>
      <w:r>
        <w:rPr>
          <w:rFonts w:ascii="仿宋" w:hAnsi="仿宋" w:eastAsia="仿宋" w:cs="仿宋"/>
        </w:rPr>
        <w:fldChar w:fldCharType="begin"/>
      </w:r>
      <w:r>
        <w:rPr>
          <w:rFonts w:ascii="仿宋" w:hAnsi="仿宋" w:eastAsia="仿宋" w:cs="仿宋"/>
        </w:rPr>
        <w:instrText xml:space="preserve"> PAGEREF _Toc18975 </w:instrText>
      </w:r>
      <w:r>
        <w:rPr>
          <w:rFonts w:ascii="仿宋" w:hAnsi="仿宋" w:eastAsia="仿宋" w:cs="仿宋"/>
        </w:rPr>
        <w:fldChar w:fldCharType="separate"/>
      </w:r>
      <w:r>
        <w:rPr>
          <w:rFonts w:ascii="仿宋" w:hAnsi="仿宋" w:eastAsia="仿宋" w:cs="仿宋"/>
        </w:rPr>
        <w:t>42</w:t>
      </w:r>
      <w:r>
        <w:rPr>
          <w:rFonts w:ascii="仿宋" w:hAnsi="仿宋" w:eastAsia="仿宋" w:cs="仿宋"/>
        </w:rPr>
        <w:fldChar w:fldCharType="end"/>
      </w:r>
      <w:r>
        <w:rPr>
          <w:rFonts w:ascii="仿宋" w:hAnsi="仿宋" w:eastAsia="仿宋" w:cs="仿宋"/>
        </w:rPr>
        <w:fldChar w:fldCharType="end"/>
      </w:r>
    </w:p>
    <w:p>
      <w:pPr>
        <w:spacing w:line="460" w:lineRule="exact"/>
        <w:ind w:firstLine="171" w:firstLineChars="71"/>
        <w:jc w:val="left"/>
        <w:rPr>
          <w:rFonts w:eastAsia="仿宋" w:cs="仿宋"/>
          <w:bCs/>
          <w:smallCaps/>
          <w:kern w:val="0"/>
          <w:szCs w:val="28"/>
        </w:rPr>
      </w:pPr>
      <w:r>
        <w:rPr>
          <w:rStyle w:val="51"/>
          <w:rFonts w:eastAsia="仿宋" w:cs="仿宋"/>
          <w:b/>
          <w:smallCaps/>
          <w:color w:val="auto"/>
          <w:kern w:val="0"/>
          <w:szCs w:val="28"/>
        </w:rPr>
        <w:fldChar w:fldCharType="end"/>
      </w:r>
    </w:p>
    <w:p>
      <w:pPr>
        <w:spacing w:line="460" w:lineRule="exact"/>
        <w:ind w:firstLine="170" w:firstLineChars="71"/>
        <w:jc w:val="left"/>
        <w:rPr>
          <w:rFonts w:eastAsia="仿宋" w:cs="仿宋"/>
          <w:bCs/>
          <w:smallCaps/>
          <w:kern w:val="0"/>
          <w:szCs w:val="28"/>
        </w:rPr>
      </w:pPr>
    </w:p>
    <w:p>
      <w:pPr>
        <w:spacing w:line="460" w:lineRule="exact"/>
        <w:ind w:firstLine="200" w:firstLineChars="71"/>
        <w:jc w:val="left"/>
        <w:rPr>
          <w:rStyle w:val="51"/>
          <w:rFonts w:eastAsia="仿宋" w:cs="仿宋"/>
          <w:b/>
          <w:bCs/>
          <w:smallCaps/>
          <w:color w:val="auto"/>
          <w:kern w:val="0"/>
          <w:sz w:val="28"/>
          <w:szCs w:val="28"/>
        </w:rPr>
      </w:pPr>
    </w:p>
    <w:p>
      <w:pPr>
        <w:ind w:firstLine="240" w:firstLineChars="100"/>
        <w:sectPr>
          <w:headerReference r:id="rId11" w:type="default"/>
          <w:pgSz w:w="12240" w:h="15840"/>
          <w:pgMar w:top="1440" w:right="1800" w:bottom="1440" w:left="1800" w:header="624" w:footer="720" w:gutter="0"/>
          <w:cols w:space="720" w:num="1"/>
          <w:docGrid w:linePitch="326" w:charSpace="0"/>
        </w:sectPr>
      </w:pPr>
    </w:p>
    <w:p>
      <w:pPr>
        <w:pStyle w:val="3"/>
        <w:numPr>
          <w:ilvl w:val="0"/>
          <w:numId w:val="0"/>
        </w:numPr>
        <w:spacing w:line="520" w:lineRule="exact"/>
        <w:ind w:left="567" w:hanging="567"/>
        <w:jc w:val="center"/>
        <w:rPr>
          <w:rFonts w:ascii="黑体" w:hAnsi="黑体" w:eastAsia="黑体" w:cs="黑体"/>
          <w:b w:val="0"/>
          <w:bCs w:val="0"/>
          <w:sz w:val="32"/>
        </w:rPr>
      </w:pPr>
      <w:bookmarkStart w:id="9" w:name="_Toc13282"/>
      <w:r>
        <w:rPr>
          <w:rFonts w:hint="eastAsia" w:ascii="黑体" w:hAnsi="黑体" w:eastAsia="黑体" w:cs="黑体"/>
          <w:b w:val="0"/>
          <w:bCs w:val="0"/>
          <w:sz w:val="32"/>
        </w:rPr>
        <w:t>第一章</w:t>
      </w:r>
      <w:r>
        <w:rPr>
          <w:rFonts w:ascii="黑体" w:hAnsi="黑体" w:eastAsia="黑体" w:cs="黑体"/>
          <w:b w:val="0"/>
          <w:bCs w:val="0"/>
          <w:sz w:val="32"/>
        </w:rPr>
        <w:t xml:space="preserve"> </w:t>
      </w:r>
      <w:r>
        <w:rPr>
          <w:rFonts w:hint="eastAsia" w:ascii="黑体" w:hAnsi="黑体" w:eastAsia="黑体" w:cs="黑体"/>
          <w:b w:val="0"/>
          <w:bCs w:val="0"/>
          <w:sz w:val="32"/>
        </w:rPr>
        <w:t>水利发展现状与形势</w:t>
      </w:r>
      <w:bookmarkEnd w:id="9"/>
    </w:p>
    <w:p>
      <w:pPr>
        <w:pStyle w:val="4"/>
        <w:numPr>
          <w:ilvl w:val="0"/>
          <w:numId w:val="0"/>
        </w:numPr>
        <w:spacing w:line="520" w:lineRule="exact"/>
        <w:ind w:firstLine="560" w:firstLineChars="200"/>
        <w:rPr>
          <w:rFonts w:ascii="黑体" w:hAnsi="黑体" w:eastAsia="黑体" w:cs="黑体"/>
          <w:b w:val="0"/>
          <w:bCs w:val="0"/>
        </w:rPr>
      </w:pPr>
      <w:bookmarkStart w:id="10" w:name="_Toc6255"/>
      <w:r>
        <w:rPr>
          <w:rFonts w:hint="eastAsia" w:ascii="黑体" w:hAnsi="黑体" w:eastAsia="黑体" w:cs="黑体"/>
          <w:b w:val="0"/>
          <w:bCs w:val="0"/>
        </w:rPr>
        <w:t>一、水利“十三五”发展主要成就</w:t>
      </w:r>
      <w:bookmarkEnd w:id="10"/>
    </w:p>
    <w:p>
      <w:pPr>
        <w:ind w:firstLine="31680"/>
        <w:rPr>
          <w:rFonts w:eastAsia="仿宋" w:cs="仿宋"/>
        </w:rPr>
      </w:pPr>
      <w:r>
        <w:rPr>
          <w:rFonts w:hint="eastAsia" w:eastAsia="仿宋" w:cs="仿宋"/>
        </w:rPr>
        <w:t>“十三五”期间，昌吉州水利工作在州党委、人民政府的坚强领导下，自治区水利厅的悉心指导下，深入贯彻习近平总书记关于“节水优先、空间均衡、系统治理、两手发力”的治水方针，紧紧围绕“水利工程补短板、水利行业强监管”总基调，着力解决水利发展不平衡、不充分的突出问题。以最严格水资源管理制度为统领，打好节约用水、河湖管理、水生态环境保护、农村饮水安全巩固提升、水利脱贫等攻坚战，逐步实现由重工程建设向水资源管理、由农业节水向全社会节水、由传统水利管理向行业信息化全过程监管的转变，全面提升昌吉州水资源的引领力、支撑力和保障力，逐步构建起与全面建成小康社会相适应的水安全保障体系，为昌吉州经济社会高质量发展提供坚实的水利支撑。</w:t>
      </w:r>
    </w:p>
    <w:p>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（一）最严格水资源管理制度全面落实</w:t>
      </w:r>
    </w:p>
    <w:p>
      <w:pPr>
        <w:ind w:firstLine="31680"/>
        <w:rPr>
          <w:rFonts w:eastAsia="仿宋" w:cs="仿宋"/>
        </w:rPr>
      </w:pPr>
      <w:r>
        <w:rPr>
          <w:rFonts w:hint="eastAsia" w:eastAsia="仿宋" w:cs="仿宋"/>
          <w:b/>
          <w:bCs/>
        </w:rPr>
        <w:t>一是</w:t>
      </w:r>
      <w:r>
        <w:rPr>
          <w:rFonts w:hint="eastAsia" w:eastAsia="仿宋" w:cs="仿宋"/>
        </w:rPr>
        <w:t>建立健全考核机制。昌吉州印发考核办法、成立领导小组、明确考核评分细则，构建起横向覆盖州直主要部门，纵向联系各县（市）和用水单位的责任分工体系。</w:t>
      </w:r>
      <w:r>
        <w:rPr>
          <w:rFonts w:hint="eastAsia" w:eastAsia="仿宋" w:cs="仿宋"/>
          <w:b/>
          <w:bCs/>
        </w:rPr>
        <w:t>二是</w:t>
      </w:r>
      <w:r>
        <w:rPr>
          <w:rFonts w:hint="eastAsia" w:eastAsia="仿宋" w:cs="仿宋"/>
        </w:rPr>
        <w:t>严控用水总量。根据昌吉州主体功能区规划和水资源承载能力，优化产业结构，实行最严格水资源管理考核制度，促进水资源合理开发利用和节约保护，保障经济社会可持续发展。</w:t>
      </w:r>
      <w:r>
        <w:rPr>
          <w:rFonts w:hint="eastAsia" w:eastAsia="仿宋" w:cs="仿宋"/>
          <w:b/>
          <w:bCs/>
        </w:rPr>
        <w:t>三是</w:t>
      </w:r>
      <w:r>
        <w:rPr>
          <w:rFonts w:hint="eastAsia" w:eastAsia="仿宋" w:cs="仿宋"/>
        </w:rPr>
        <w:t>严把用水效率关。严禁“三高”项目进昌吉，实施水资源消耗总量和强度双控。</w:t>
      </w:r>
      <w:r>
        <w:rPr>
          <w:rFonts w:hint="eastAsia" w:eastAsia="仿宋" w:cs="仿宋"/>
          <w:b/>
          <w:bCs/>
        </w:rPr>
        <w:t>四是</w:t>
      </w:r>
      <w:r>
        <w:rPr>
          <w:rFonts w:hint="eastAsia" w:eastAsia="仿宋" w:cs="仿宋"/>
        </w:rPr>
        <w:t>严控水功能区限制纳污。对全州入河排污口进行摸底调查和清理整顿，制定重要水源地保护措施，定期开展水质监测、扎实做好日常监管、形成长效管理机制，全部实现达标排放。</w:t>
      </w:r>
    </w:p>
    <w:p>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（二）地下水超采治理持续推进</w:t>
      </w:r>
    </w:p>
    <w:p>
      <w:pPr>
        <w:ind w:firstLine="31680"/>
        <w:rPr>
          <w:rFonts w:eastAsia="仿宋" w:cs="仿宋"/>
        </w:rPr>
      </w:pPr>
      <w:r>
        <w:rPr>
          <w:rFonts w:hint="eastAsia" w:eastAsia="仿宋" w:cs="仿宋"/>
          <w:b/>
          <w:bCs/>
        </w:rPr>
        <w:t>一是</w:t>
      </w:r>
      <w:r>
        <w:rPr>
          <w:rFonts w:hint="eastAsia" w:eastAsia="仿宋" w:cs="仿宋"/>
        </w:rPr>
        <w:t>落实政策法规，完善制度建设。制定地下水超采区划定报告、治理方案</w:t>
      </w:r>
      <w:r>
        <w:rPr>
          <w:rFonts w:hint="eastAsia" w:eastAsia="仿宋" w:cs="仿宋"/>
          <w:lang w:eastAsia="zh-CN"/>
        </w:rPr>
        <w:t>，</w:t>
      </w:r>
      <w:r>
        <w:rPr>
          <w:rFonts w:hint="eastAsia" w:eastAsia="仿宋" w:cs="仿宋"/>
        </w:rPr>
        <w:t>建立长效机制</w:t>
      </w:r>
      <w:r>
        <w:rPr>
          <w:rFonts w:hint="eastAsia" w:eastAsia="仿宋" w:cs="仿宋"/>
          <w:lang w:eastAsia="zh-CN"/>
        </w:rPr>
        <w:t>，</w:t>
      </w:r>
      <w:r>
        <w:rPr>
          <w:rFonts w:hint="eastAsia" w:eastAsia="仿宋" w:cs="仿宋"/>
        </w:rPr>
        <w:t>激发和调动了群众举报违法线索的积极性，形成全社会积极参与地下水水资源管理与监督的良好格局。</w:t>
      </w:r>
      <w:r>
        <w:rPr>
          <w:rFonts w:hint="eastAsia" w:eastAsia="仿宋" w:cs="仿宋"/>
          <w:b/>
          <w:bCs/>
        </w:rPr>
        <w:t>二是</w:t>
      </w:r>
      <w:r>
        <w:rPr>
          <w:rFonts w:hint="eastAsia" w:eastAsia="仿宋" w:cs="仿宋"/>
        </w:rPr>
        <w:t>明确治理措施，狠抓责任落实，摸清机电井底数。建立机电井“身份证”，每眼机电井均经过“四级认定公示”。关停非法机电井，强化水行政执法、打击非法取水。机电井全部实现了“井电双控”、“在线监测”。严格水资源论证，各级工业（产业）园区编制规划水资源论证，开展规划和建设项目节水评价，依法规范建设项目水资源论证制度。规范取水许可，规范取水许可权限。规范机电井更新审批</w:t>
      </w:r>
      <w:r>
        <w:rPr>
          <w:rFonts w:hint="eastAsia" w:eastAsia="仿宋" w:cs="仿宋"/>
          <w:lang w:eastAsia="zh-CN"/>
        </w:rPr>
        <w:t>，</w:t>
      </w:r>
      <w:r>
        <w:rPr>
          <w:rFonts w:hint="eastAsia" w:eastAsia="仿宋" w:cs="仿宋"/>
        </w:rPr>
        <w:t>加强用水监督管理</w:t>
      </w:r>
      <w:r>
        <w:rPr>
          <w:rFonts w:hint="eastAsia" w:eastAsia="仿宋" w:cs="仿宋"/>
          <w:lang w:eastAsia="zh-CN"/>
        </w:rPr>
        <w:t>，</w:t>
      </w:r>
      <w:r>
        <w:rPr>
          <w:rFonts w:hint="eastAsia" w:eastAsia="仿宋" w:cs="仿宋"/>
        </w:rPr>
        <w:t>强化地下水动态监测分析，落实生态补水，分批次开展主要河湖生态基流与最低生态水位（面）确定，保持河湖对地下水的自然补充，不断修复水生态环境。</w:t>
      </w:r>
    </w:p>
    <w:p>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（三）节水型社会全面推行</w:t>
      </w:r>
    </w:p>
    <w:p>
      <w:pPr>
        <w:ind w:firstLine="31680"/>
        <w:rPr>
          <w:rFonts w:eastAsia="仿宋" w:cs="仿宋"/>
          <w:kern w:val="0"/>
        </w:rPr>
      </w:pPr>
      <w:r>
        <w:rPr>
          <w:rFonts w:hint="eastAsia" w:eastAsia="仿宋" w:cs="仿宋"/>
          <w:kern w:val="0"/>
        </w:rPr>
        <w:t>制定《昌吉州节水行动实施方案》，把节约用水贯穿于经济社会发展全过程各领域。科学制定用水计划，健全州、县、乡三级行政区域用水总量和强度双控体系，强化节水约束性指标管理。指导昌吉市率先通过全疆首批县域节水型社会达标建设，带动全州共创节水型社会，玛纳斯县、阜康市、奇台县启动节水型社会达标建设</w:t>
      </w:r>
      <w:r>
        <w:rPr>
          <w:rFonts w:hint="eastAsia" w:eastAsia="仿宋" w:cs="仿宋"/>
          <w:kern w:val="0"/>
          <w:lang w:eastAsia="zh-CN"/>
        </w:rPr>
        <w:t>，</w:t>
      </w:r>
      <w:r>
        <w:rPr>
          <w:rFonts w:hint="eastAsia" w:eastAsia="仿宋" w:cs="仿宋"/>
          <w:kern w:val="0"/>
        </w:rPr>
        <w:t>全社会节水意识逐步提升。</w:t>
      </w:r>
    </w:p>
    <w:p>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（四）农业水权水价综合改革有序推进</w:t>
      </w:r>
    </w:p>
    <w:p>
      <w:pPr>
        <w:ind w:firstLine="31680"/>
        <w:rPr>
          <w:rFonts w:eastAsia="仿宋" w:cs="仿宋"/>
        </w:rPr>
      </w:pPr>
      <w:r>
        <w:rPr>
          <w:rFonts w:hint="eastAsia" w:eastAsia="仿宋" w:cs="仿宋"/>
          <w:b/>
        </w:rPr>
        <w:t>一是</w:t>
      </w:r>
      <w:r>
        <w:rPr>
          <w:rFonts w:hint="eastAsia" w:eastAsia="仿宋" w:cs="仿宋"/>
        </w:rPr>
        <w:t>经过六年探索和实践，全州农业水价综合改革面积达</w:t>
      </w:r>
      <w:r>
        <w:rPr>
          <w:rFonts w:eastAsia="仿宋" w:cs="仿宋"/>
        </w:rPr>
        <w:t>709</w:t>
      </w:r>
      <w:r>
        <w:rPr>
          <w:rFonts w:hint="eastAsia" w:eastAsia="仿宋" w:cs="仿宋"/>
        </w:rPr>
        <w:t>万亩，如期完成国家、自治区下达的改革任务。</w:t>
      </w:r>
      <w:r>
        <w:rPr>
          <w:rFonts w:hint="eastAsia" w:eastAsia="仿宋" w:cs="仿宋"/>
          <w:b/>
        </w:rPr>
        <w:t>二是</w:t>
      </w:r>
      <w:r>
        <w:rPr>
          <w:rFonts w:eastAsia="仿宋" w:cs="仿宋"/>
        </w:rPr>
        <w:t>2020</w:t>
      </w:r>
      <w:r>
        <w:rPr>
          <w:rFonts w:hint="eastAsia" w:eastAsia="仿宋" w:cs="仿宋"/>
        </w:rPr>
        <w:t>年全州农业水价已达到</w:t>
      </w:r>
      <w:r>
        <w:rPr>
          <w:rFonts w:eastAsia="仿宋" w:cs="仿宋"/>
        </w:rPr>
        <w:t>2015</w:t>
      </w:r>
      <w:r>
        <w:rPr>
          <w:rFonts w:hint="eastAsia" w:eastAsia="仿宋" w:cs="仿宋"/>
        </w:rPr>
        <w:t>年运行维护水价。灌溉水有效利用系数由</w:t>
      </w:r>
      <w:r>
        <w:rPr>
          <w:rFonts w:eastAsia="仿宋" w:cs="仿宋"/>
        </w:rPr>
        <w:t>2015</w:t>
      </w:r>
      <w:r>
        <w:rPr>
          <w:rFonts w:hint="eastAsia" w:eastAsia="仿宋" w:cs="仿宋"/>
        </w:rPr>
        <w:t>年的</w:t>
      </w:r>
      <w:r>
        <w:rPr>
          <w:rFonts w:eastAsia="仿宋" w:cs="仿宋"/>
        </w:rPr>
        <w:t>0.59</w:t>
      </w:r>
      <w:r>
        <w:rPr>
          <w:rFonts w:hint="eastAsia" w:eastAsia="仿宋" w:cs="仿宋"/>
        </w:rPr>
        <w:t>提高到</w:t>
      </w:r>
      <w:r>
        <w:rPr>
          <w:rFonts w:eastAsia="仿宋" w:cs="仿宋"/>
        </w:rPr>
        <w:t>2020</w:t>
      </w:r>
      <w:r>
        <w:rPr>
          <w:rFonts w:hint="eastAsia" w:eastAsia="仿宋" w:cs="仿宋"/>
        </w:rPr>
        <w:t>年的</w:t>
      </w:r>
      <w:r>
        <w:rPr>
          <w:rFonts w:eastAsia="仿宋" w:cs="仿宋"/>
        </w:rPr>
        <w:t>0.65</w:t>
      </w:r>
      <w:r>
        <w:rPr>
          <w:rFonts w:hint="eastAsia" w:eastAsia="仿宋" w:cs="仿宋"/>
        </w:rPr>
        <w:t>，水资源支撑经济社会发展能力进一步提升。</w:t>
      </w:r>
      <w:r>
        <w:rPr>
          <w:rFonts w:hint="eastAsia" w:eastAsia="仿宋" w:cs="仿宋"/>
          <w:b/>
        </w:rPr>
        <w:t>三是</w:t>
      </w:r>
      <w:r>
        <w:rPr>
          <w:rFonts w:eastAsia="仿宋" w:cs="仿宋"/>
        </w:rPr>
        <w:t>2019</w:t>
      </w:r>
      <w:r>
        <w:rPr>
          <w:rFonts w:hint="eastAsia" w:eastAsia="仿宋" w:cs="仿宋"/>
        </w:rPr>
        <w:t>年全疆农业水价综合改革推进会在昌吉州召开，被自治区誉为“破冰之举”和新疆水利改革耀眼的亮点，被国家水利部誉为全国水权水价改革“昌吉样板”。</w:t>
      </w:r>
    </w:p>
    <w:p>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（五）推动河（湖）长制“有名”“有实”</w:t>
      </w:r>
    </w:p>
    <w:p>
      <w:pPr>
        <w:ind w:firstLine="31680"/>
      </w:pPr>
      <w:r>
        <w:rPr>
          <w:rFonts w:hint="eastAsia" w:eastAsia="仿宋" w:cs="仿宋"/>
          <w:b/>
          <w:bCs/>
        </w:rPr>
        <w:t>一是</w:t>
      </w:r>
      <w:r>
        <w:rPr>
          <w:rFonts w:hint="eastAsia" w:eastAsia="仿宋" w:cs="仿宋"/>
        </w:rPr>
        <w:t>河（湖）长制全面建立。制定印发《自治州全面实施河长制工作方案》《自治州全面落实湖长制实施方案》，全州</w:t>
      </w:r>
      <w:r>
        <w:rPr>
          <w:rFonts w:eastAsia="仿宋" w:cs="仿宋"/>
        </w:rPr>
        <w:t>120</w:t>
      </w:r>
      <w:r>
        <w:rPr>
          <w:rFonts w:hint="eastAsia" w:eastAsia="仿宋" w:cs="仿宋"/>
        </w:rPr>
        <w:t>条河流、</w:t>
      </w:r>
      <w:r>
        <w:rPr>
          <w:rFonts w:eastAsia="仿宋" w:cs="仿宋"/>
        </w:rPr>
        <w:t>84</w:t>
      </w:r>
      <w:r>
        <w:rPr>
          <w:rFonts w:hint="eastAsia" w:eastAsia="仿宋" w:cs="仿宋"/>
        </w:rPr>
        <w:t>座水库、</w:t>
      </w:r>
      <w:r>
        <w:rPr>
          <w:rFonts w:eastAsia="仿宋" w:cs="仿宋"/>
        </w:rPr>
        <w:t>6</w:t>
      </w:r>
      <w:r>
        <w:rPr>
          <w:rFonts w:hint="eastAsia" w:eastAsia="仿宋" w:cs="仿宋"/>
        </w:rPr>
        <w:t>个人工湖全部纳入河（湖）长制管理，建立四级河（湖）长制组织体系。</w:t>
      </w:r>
      <w:r>
        <w:rPr>
          <w:rFonts w:hint="eastAsia" w:eastAsia="仿宋" w:cs="仿宋"/>
          <w:b/>
          <w:bCs/>
        </w:rPr>
        <w:t>二是</w:t>
      </w:r>
      <w:r>
        <w:rPr>
          <w:rFonts w:hint="eastAsia" w:eastAsia="仿宋" w:cs="仿宋"/>
        </w:rPr>
        <w:t>体制机制不断完善。配套出台</w:t>
      </w:r>
      <w:r>
        <w:rPr>
          <w:rFonts w:eastAsia="仿宋" w:cs="仿宋"/>
        </w:rPr>
        <w:t>8</w:t>
      </w:r>
      <w:r>
        <w:rPr>
          <w:rFonts w:hint="eastAsia" w:eastAsia="仿宋" w:cs="仿宋"/>
        </w:rPr>
        <w:t>项制度，在全疆首次开展了自然资源审计工作，为河湖生态环境保护提供了坚实的机制保障。</w:t>
      </w:r>
      <w:r>
        <w:rPr>
          <w:rFonts w:hint="eastAsia" w:eastAsia="仿宋" w:cs="仿宋"/>
          <w:b/>
          <w:bCs/>
        </w:rPr>
        <w:t>三是</w:t>
      </w:r>
      <w:r>
        <w:rPr>
          <w:rFonts w:hint="eastAsia" w:eastAsia="仿宋" w:cs="仿宋"/>
        </w:rPr>
        <w:t>河湖治理保护成效显著。全面开展河道采砂、“清四乱”、入河排污口清查等专项行动，河湖生态环境逐渐好转。</w:t>
      </w:r>
      <w:r>
        <w:rPr>
          <w:rFonts w:hint="eastAsia" w:eastAsia="仿宋" w:cs="仿宋"/>
          <w:b/>
          <w:bCs/>
        </w:rPr>
        <w:t>四是</w:t>
      </w:r>
      <w:r>
        <w:rPr>
          <w:rFonts w:hint="eastAsia" w:eastAsia="仿宋" w:cs="仿宋"/>
        </w:rPr>
        <w:t>率先启动河湖水域岸线及水利工程划界确权。</w:t>
      </w:r>
      <w:r>
        <w:rPr>
          <w:rFonts w:hint="eastAsia" w:eastAsia="仿宋" w:cs="仿宋"/>
          <w:b/>
          <w:bCs/>
        </w:rPr>
        <w:t>五是</w:t>
      </w:r>
      <w:r>
        <w:rPr>
          <w:rFonts w:hint="eastAsia" w:eastAsia="仿宋" w:cs="仿宋"/>
        </w:rPr>
        <w:t>生态基流逐步落实。重点河湖水生态环境自我修复能力逐步提升，河（湖）长制基本实现从“建机制”到“见成效”，从“有名”到“有实”的转变。</w:t>
      </w:r>
    </w:p>
    <w:p>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（六）农村饮水安全取得新进展，民生水利发展惠及群众</w:t>
      </w:r>
    </w:p>
    <w:p>
      <w:pPr>
        <w:ind w:firstLine="31680"/>
        <w:rPr>
          <w:rFonts w:eastAsia="仿宋" w:cs="仿宋"/>
        </w:rPr>
      </w:pPr>
      <w:r>
        <w:rPr>
          <w:rFonts w:hint="eastAsia" w:eastAsia="仿宋" w:cs="仿宋"/>
          <w:b/>
        </w:rPr>
        <w:t>一是</w:t>
      </w:r>
      <w:r>
        <w:rPr>
          <w:rFonts w:hint="eastAsia" w:eastAsia="仿宋" w:cs="仿宋"/>
        </w:rPr>
        <w:t>建立健全管理责任体系。全面落实农村饮水安全管理“三个责任”、“三项制度”，全州建档立卡贫困户农村饮水水量、用水方便程度、供水保证率、水质四项指标全部达标。</w:t>
      </w:r>
      <w:r>
        <w:rPr>
          <w:rFonts w:hint="eastAsia" w:eastAsia="仿宋" w:cs="仿宋"/>
          <w:b/>
        </w:rPr>
        <w:t>二是</w:t>
      </w:r>
      <w:r>
        <w:rPr>
          <w:rFonts w:hint="eastAsia" w:eastAsia="仿宋" w:cs="仿宋"/>
        </w:rPr>
        <w:t>全力推进农村供水水价改革。全面完成农村供水水价改革任务，农村供水工程水费收缴率均达到</w:t>
      </w:r>
      <w:r>
        <w:rPr>
          <w:rFonts w:eastAsia="仿宋" w:cs="仿宋"/>
        </w:rPr>
        <w:t>90%</w:t>
      </w:r>
      <w:r>
        <w:rPr>
          <w:rFonts w:hint="eastAsia" w:eastAsia="仿宋" w:cs="仿宋"/>
        </w:rPr>
        <w:t>以上。</w:t>
      </w:r>
      <w:r>
        <w:rPr>
          <w:rFonts w:hint="eastAsia" w:eastAsia="仿宋" w:cs="仿宋"/>
          <w:b/>
        </w:rPr>
        <w:t>三是</w:t>
      </w:r>
      <w:r>
        <w:rPr>
          <w:rFonts w:hint="eastAsia" w:eastAsia="仿宋" w:cs="仿宋"/>
        </w:rPr>
        <w:t>持续做好生态扶贫</w:t>
      </w:r>
      <w:r>
        <w:rPr>
          <w:rFonts w:hint="eastAsia" w:eastAsia="仿宋" w:cs="仿宋"/>
          <w:lang w:eastAsia="zh-CN"/>
        </w:rPr>
        <w:t>，</w:t>
      </w:r>
      <w:r>
        <w:rPr>
          <w:rFonts w:hint="eastAsia" w:eastAsia="仿宋" w:cs="仿宋"/>
        </w:rPr>
        <w:t>全面完成了脱贫攻坚农村饮水安全各项工作任务。</w:t>
      </w:r>
      <w:r>
        <w:rPr>
          <w:rFonts w:hint="eastAsia" w:eastAsia="仿宋" w:cs="仿宋"/>
          <w:b/>
        </w:rPr>
        <w:t>四是</w:t>
      </w:r>
      <w:r>
        <w:rPr>
          <w:rFonts w:hint="eastAsia" w:eastAsia="仿宋" w:cs="仿宋"/>
        </w:rPr>
        <w:t>奇台县选派工作人员进驻博斯坦乡农村饮水工程管理站，负责博斯坦乡农村饮水工程运行管理工作</w:t>
      </w:r>
    </w:p>
    <w:p>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（七）水旱灾害防御能力不断加强</w:t>
      </w:r>
    </w:p>
    <w:p>
      <w:pPr>
        <w:ind w:firstLine="31680"/>
        <w:rPr>
          <w:rFonts w:eastAsia="仿宋" w:cs="仿宋"/>
        </w:rPr>
      </w:pPr>
      <w:r>
        <w:rPr>
          <w:rFonts w:hint="eastAsia" w:eastAsia="仿宋" w:cs="仿宋"/>
          <w:b/>
        </w:rPr>
        <w:t>一是</w:t>
      </w:r>
      <w:r>
        <w:rPr>
          <w:rFonts w:hint="eastAsia" w:eastAsia="仿宋" w:cs="仿宋"/>
        </w:rPr>
        <w:t>对玛纳斯河玛纳斯段进行了系统治理，有效缓解了当地防洪压力；“十三五”</w:t>
      </w:r>
      <w:r>
        <w:rPr>
          <w:rFonts w:hint="eastAsia" w:eastAsia="仿宋" w:cs="仿宋"/>
          <w:lang w:val="zh-CN"/>
        </w:rPr>
        <w:t>期间，全州流域面积</w:t>
      </w:r>
      <w:r>
        <w:rPr>
          <w:rFonts w:eastAsia="仿宋" w:cs="仿宋"/>
          <w:lang w:val="zh-CN"/>
        </w:rPr>
        <w:t>200</w:t>
      </w:r>
      <w:r>
        <w:rPr>
          <w:rFonts w:hint="eastAsia" w:eastAsia="仿宋" w:cs="仿宋"/>
          <w:lang w:val="zh-CN"/>
        </w:rPr>
        <w:t>～</w:t>
      </w:r>
      <w:r>
        <w:rPr>
          <w:rFonts w:eastAsia="仿宋" w:cs="仿宋"/>
          <w:lang w:val="zh-CN"/>
        </w:rPr>
        <w:t>3000km</w:t>
      </w:r>
      <w:r>
        <w:rPr>
          <w:rFonts w:eastAsia="仿宋" w:cs="仿宋"/>
          <w:vertAlign w:val="superscript"/>
          <w:lang w:val="zh-CN"/>
        </w:rPr>
        <w:t>2</w:t>
      </w:r>
      <w:r>
        <w:rPr>
          <w:rFonts w:hint="eastAsia" w:eastAsia="仿宋" w:cs="仿宋"/>
          <w:lang w:val="zh-CN"/>
        </w:rPr>
        <w:t>中小河流有</w:t>
      </w:r>
      <w:r>
        <w:rPr>
          <w:rFonts w:eastAsia="仿宋" w:cs="仿宋"/>
          <w:lang w:val="zh-CN"/>
        </w:rPr>
        <w:t>17</w:t>
      </w:r>
      <w:r>
        <w:rPr>
          <w:rFonts w:hint="eastAsia" w:eastAsia="仿宋" w:cs="仿宋"/>
          <w:lang w:val="zh-CN"/>
        </w:rPr>
        <w:t>条得到有效治理，共实施中小河流治理项目</w:t>
      </w:r>
      <w:r>
        <w:rPr>
          <w:rFonts w:eastAsia="仿宋" w:cs="仿宋"/>
          <w:lang w:val="zh-CN"/>
        </w:rPr>
        <w:t>26</w:t>
      </w:r>
      <w:r>
        <w:rPr>
          <w:rFonts w:hint="eastAsia" w:eastAsia="仿宋" w:cs="仿宋"/>
          <w:lang w:val="zh-CN"/>
        </w:rPr>
        <w:t>个，综合治理河长</w:t>
      </w:r>
      <w:r>
        <w:rPr>
          <w:rFonts w:eastAsia="仿宋" w:cs="仿宋"/>
          <w:lang w:val="zh-CN"/>
        </w:rPr>
        <w:t>165.92km</w:t>
      </w:r>
      <w:r>
        <w:rPr>
          <w:rFonts w:hint="eastAsia" w:eastAsia="仿宋" w:cs="仿宋"/>
          <w:lang w:val="zh-CN"/>
        </w:rPr>
        <w:t>。</w:t>
      </w:r>
      <w:r>
        <w:rPr>
          <w:rFonts w:hint="eastAsia" w:eastAsia="仿宋" w:cs="仿宋"/>
        </w:rPr>
        <w:t>全州塔西河、四工河、开垦河、木垒河等</w:t>
      </w:r>
      <w:r>
        <w:rPr>
          <w:rFonts w:eastAsia="仿宋" w:cs="仿宋"/>
        </w:rPr>
        <w:t>17</w:t>
      </w:r>
      <w:r>
        <w:rPr>
          <w:rFonts w:hint="eastAsia" w:eastAsia="仿宋" w:cs="仿宋"/>
        </w:rPr>
        <w:t>条中小河流得到有效治理，防洪标准提高到</w:t>
      </w:r>
      <w:r>
        <w:rPr>
          <w:rFonts w:eastAsia="仿宋" w:cs="仿宋"/>
        </w:rPr>
        <w:t>10</w:t>
      </w:r>
      <w:r>
        <w:rPr>
          <w:rFonts w:hint="eastAsia" w:eastAsia="仿宋" w:cs="仿宋"/>
        </w:rPr>
        <w:t>～</w:t>
      </w:r>
      <w:r>
        <w:rPr>
          <w:rFonts w:eastAsia="仿宋" w:cs="仿宋"/>
        </w:rPr>
        <w:t>20</w:t>
      </w:r>
      <w:r>
        <w:rPr>
          <w:rFonts w:hint="eastAsia" w:eastAsia="仿宋" w:cs="仿宋"/>
        </w:rPr>
        <w:t>年一遇，质量达标、管理规范的防洪工程体系基本建成，重要河流和山洪沟得到有效防治，城市和防洪保护区防洪能力明显提高、防洪安全得到保证。</w:t>
      </w:r>
      <w:r>
        <w:rPr>
          <w:rFonts w:hint="eastAsia" w:eastAsia="仿宋" w:cs="仿宋"/>
          <w:b/>
        </w:rPr>
        <w:t>二是</w:t>
      </w:r>
      <w:r>
        <w:rPr>
          <w:rFonts w:hint="eastAsia" w:eastAsia="仿宋" w:cs="仿宋"/>
        </w:rPr>
        <w:t>建立“</w:t>
      </w:r>
      <w:r>
        <w:rPr>
          <w:rFonts w:eastAsia="仿宋" w:cs="仿宋"/>
        </w:rPr>
        <w:t>111843</w:t>
      </w:r>
      <w:r>
        <w:rPr>
          <w:rFonts w:hint="eastAsia" w:eastAsia="仿宋" w:cs="仿宋"/>
        </w:rPr>
        <w:t>”管理机制，健全“三个责任人”与“河湖（库）长”相结合的防汛责任体系，设立“三个责任人”与“库长”公示牌。</w:t>
      </w:r>
      <w:r>
        <w:rPr>
          <w:rFonts w:hint="eastAsia" w:eastAsia="仿宋" w:cs="仿宋"/>
          <w:b/>
        </w:rPr>
        <w:t>三是</w:t>
      </w:r>
      <w:r>
        <w:rPr>
          <w:rFonts w:hint="eastAsia" w:eastAsia="仿宋" w:cs="仿宋"/>
        </w:rPr>
        <w:t>利用信息化技术手段实现预警预报，采用无人机开展巡河，实现无线传输技术在应急抢险中得到有效应用。</w:t>
      </w:r>
      <w:r>
        <w:rPr>
          <w:rFonts w:hint="eastAsia" w:eastAsia="仿宋" w:cs="仿宋"/>
          <w:b/>
        </w:rPr>
        <w:t>四是</w:t>
      </w:r>
      <w:r>
        <w:rPr>
          <w:rFonts w:hint="eastAsia" w:eastAsia="仿宋" w:cs="仿宋"/>
        </w:rPr>
        <w:t>在</w:t>
      </w:r>
      <w:r>
        <w:rPr>
          <w:rFonts w:eastAsia="仿宋" w:cs="仿宋"/>
        </w:rPr>
        <w:t>2020</w:t>
      </w:r>
      <w:r>
        <w:rPr>
          <w:rFonts w:hint="eastAsia" w:eastAsia="仿宋" w:cs="仿宋"/>
        </w:rPr>
        <w:t>年春夏连旱、百年不遇的特大干旱情况下，争取抗旱主动权，科学合理调配用水定额，加强水库调度运行管理，推行“少量多次”灌溉用水，启动井河混灌区抗旱应急取水，有效保障粮食作物、林业及人畜饮水需求，为夺取农业丰产丰收奠定了坚实基础。</w:t>
      </w:r>
    </w:p>
    <w:p>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（八）重大水利工程建设全面提速，水资源调控能力大幅提升</w:t>
      </w:r>
    </w:p>
    <w:p>
      <w:pPr>
        <w:ind w:firstLine="31680"/>
        <w:rPr>
          <w:rFonts w:eastAsia="仿宋" w:cs="仿宋"/>
        </w:rPr>
      </w:pPr>
      <w:r>
        <w:rPr>
          <w:rFonts w:hint="eastAsia" w:eastAsia="仿宋" w:cs="仿宋"/>
        </w:rPr>
        <w:t>“十三五”期间，昌吉州</w:t>
      </w:r>
      <w:r>
        <w:rPr>
          <w:rFonts w:hint="eastAsia" w:eastAsia="仿宋" w:cs="仿宋"/>
          <w:snapToGrid w:val="0"/>
        </w:rPr>
        <w:t>续</w:t>
      </w:r>
      <w:r>
        <w:rPr>
          <w:rFonts w:hint="eastAsia" w:eastAsia="仿宋" w:cs="仿宋"/>
        </w:rPr>
        <w:t>建完成中型水库</w:t>
      </w:r>
      <w:r>
        <w:rPr>
          <w:rFonts w:eastAsia="仿宋" w:cs="仿宋"/>
        </w:rPr>
        <w:t>2</w:t>
      </w:r>
      <w:r>
        <w:rPr>
          <w:rFonts w:hint="eastAsia" w:eastAsia="仿宋" w:cs="仿宋"/>
        </w:rPr>
        <w:t>座，建成小（</w:t>
      </w:r>
      <w:r>
        <w:rPr>
          <w:rFonts w:eastAsia="仿宋" w:cs="仿宋"/>
        </w:rPr>
        <w:t>1</w:t>
      </w:r>
      <w:r>
        <w:rPr>
          <w:rFonts w:hint="eastAsia" w:eastAsia="仿宋" w:cs="仿宋"/>
        </w:rPr>
        <w:t>）型水库</w:t>
      </w:r>
      <w:r>
        <w:rPr>
          <w:rFonts w:eastAsia="仿宋" w:cs="仿宋"/>
        </w:rPr>
        <w:t>2</w:t>
      </w:r>
      <w:r>
        <w:rPr>
          <w:rFonts w:hint="eastAsia" w:eastAsia="仿宋" w:cs="仿宋"/>
        </w:rPr>
        <w:t>座，开工建设呼图壁县红山下水库；完成小型水库除险加固</w:t>
      </w:r>
      <w:r>
        <w:rPr>
          <w:rFonts w:eastAsia="仿宋" w:cs="仿宋"/>
        </w:rPr>
        <w:t>2</w:t>
      </w:r>
      <w:r>
        <w:rPr>
          <w:rFonts w:hint="eastAsia" w:eastAsia="仿宋" w:cs="仿宋"/>
        </w:rPr>
        <w:t>座。先后组织实施奇台县河湖水系连通工程（一期）、努尔加水库周边提水工程等引调水工程。持续加快准东水利基础设施建设，实施完成准东经济开发区重点建设项目二级供水管网工程等，进一步健全了准东供水管网体系。重大水利工程的建设有效增强了水资源调控能力，提高了供水保证率和下游河道的防洪能力，为昌吉州社会稳定和长治久安、推动经济社会发展提供了有力的水资源支撑和保障。</w:t>
      </w:r>
    </w:p>
    <w:p>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（九）农田水利建设稳步推进</w:t>
      </w:r>
    </w:p>
    <w:p>
      <w:pPr>
        <w:ind w:firstLine="31680"/>
        <w:rPr>
          <w:rFonts w:eastAsia="仿宋" w:cs="仿宋"/>
        </w:rPr>
      </w:pPr>
      <w:r>
        <w:rPr>
          <w:rFonts w:hint="eastAsia" w:eastAsia="仿宋" w:cs="仿宋"/>
        </w:rPr>
        <w:t>“十三五”以来，实施了北六灌区、西大龙口灌区、木垒河灌区等</w:t>
      </w:r>
      <w:r>
        <w:rPr>
          <w:rFonts w:eastAsia="仿宋" w:cs="仿宋"/>
        </w:rPr>
        <w:t>14</w:t>
      </w:r>
      <w:r>
        <w:rPr>
          <w:rFonts w:hint="eastAsia" w:eastAsia="仿宋" w:cs="仿宋"/>
        </w:rPr>
        <w:t>个大中型灌区续建配套与节水改造项目；对塔西河石建房渠首水闸、木垒县三眼泉渠首水闸等</w:t>
      </w:r>
      <w:r>
        <w:rPr>
          <w:rFonts w:eastAsia="仿宋" w:cs="仿宋"/>
        </w:rPr>
        <w:t>4</w:t>
      </w:r>
      <w:r>
        <w:rPr>
          <w:rFonts w:hint="eastAsia" w:eastAsia="仿宋" w:cs="仿宋"/>
        </w:rPr>
        <w:t>座病险水闸进行了除险加固；实施高效节水示范县项目</w:t>
      </w:r>
      <w:r>
        <w:rPr>
          <w:rFonts w:eastAsia="仿宋" w:cs="仿宋"/>
        </w:rPr>
        <w:t>5</w:t>
      </w:r>
      <w:r>
        <w:rPr>
          <w:rFonts w:hint="eastAsia" w:eastAsia="仿宋" w:cs="仿宋"/>
        </w:rPr>
        <w:t>个，现代化灌区示范区项目</w:t>
      </w:r>
      <w:r>
        <w:rPr>
          <w:rFonts w:eastAsia="仿宋" w:cs="仿宋"/>
        </w:rPr>
        <w:t>2</w:t>
      </w:r>
      <w:r>
        <w:rPr>
          <w:rFonts w:hint="eastAsia" w:eastAsia="仿宋" w:cs="仿宋"/>
        </w:rPr>
        <w:t>个；实施牧区水利与渠道工程</w:t>
      </w:r>
      <w:r>
        <w:rPr>
          <w:rFonts w:eastAsia="仿宋" w:cs="仿宋"/>
        </w:rPr>
        <w:t>14</w:t>
      </w:r>
      <w:r>
        <w:rPr>
          <w:rFonts w:hint="eastAsia" w:eastAsia="仿宋" w:cs="仿宋"/>
        </w:rPr>
        <w:t>个、小型农田水利工程</w:t>
      </w:r>
      <w:r>
        <w:rPr>
          <w:rFonts w:eastAsia="仿宋" w:cs="仿宋"/>
        </w:rPr>
        <w:t>58</w:t>
      </w:r>
      <w:r>
        <w:rPr>
          <w:rFonts w:hint="eastAsia" w:eastAsia="仿宋" w:cs="仿宋"/>
        </w:rPr>
        <w:t>个。通过渠首水闸、灌区等工程建设，农田基础设施日趋完善，农牧民的生产、生活用水条件不断提升，为农村经济发展、农民收入增加、顺利实现脱贫攻坚提供了水利支撑。</w:t>
      </w:r>
    </w:p>
    <w:p>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（十）水利工程建设管理取得新进展</w:t>
      </w:r>
    </w:p>
    <w:p>
      <w:pPr>
        <w:ind w:firstLine="31680"/>
        <w:rPr>
          <w:rFonts w:eastAsia="仿宋" w:cs="仿宋"/>
        </w:rPr>
      </w:pPr>
      <w:r>
        <w:rPr>
          <w:rFonts w:hint="eastAsia" w:eastAsia="仿宋" w:cs="仿宋"/>
          <w:b/>
          <w:bCs/>
        </w:rPr>
        <w:t>一是</w:t>
      </w:r>
      <w:r>
        <w:rPr>
          <w:rFonts w:hint="eastAsia" w:eastAsia="仿宋" w:cs="仿宋"/>
        </w:rPr>
        <w:t>项目法人全过程质量检测全面推行。自</w:t>
      </w:r>
      <w:r>
        <w:rPr>
          <w:rFonts w:eastAsia="仿宋" w:cs="仿宋"/>
        </w:rPr>
        <w:t>2019</w:t>
      </w:r>
      <w:r>
        <w:rPr>
          <w:rFonts w:hint="eastAsia" w:eastAsia="仿宋" w:cs="仿宋"/>
        </w:rPr>
        <w:t>年起，河道治理、中型灌区等重点项目全部开展项目法人全过程质量检测，初步建立了施工单位自检、监理单位平行或跟踪检测、项目法人全过程检测和质量监督部门质量抽检的质量检测体系。</w:t>
      </w:r>
      <w:r>
        <w:rPr>
          <w:rFonts w:hint="eastAsia" w:eastAsia="仿宋" w:cs="仿宋"/>
          <w:b/>
          <w:bCs/>
        </w:rPr>
        <w:t>二是</w:t>
      </w:r>
      <w:r>
        <w:rPr>
          <w:rFonts w:hint="eastAsia" w:eastAsia="仿宋" w:cs="仿宋"/>
        </w:rPr>
        <w:t>自</w:t>
      </w:r>
      <w:r>
        <w:rPr>
          <w:rFonts w:eastAsia="仿宋" w:cs="仿宋"/>
        </w:rPr>
        <w:t>2019</w:t>
      </w:r>
      <w:r>
        <w:rPr>
          <w:rFonts w:hint="eastAsia" w:eastAsia="仿宋" w:cs="仿宋"/>
        </w:rPr>
        <w:t>年</w:t>
      </w:r>
      <w:r>
        <w:rPr>
          <w:rFonts w:eastAsia="仿宋" w:cs="仿宋"/>
        </w:rPr>
        <w:t>9</w:t>
      </w:r>
      <w:r>
        <w:rPr>
          <w:rFonts w:hint="eastAsia" w:eastAsia="仿宋" w:cs="仿宋"/>
        </w:rPr>
        <w:t>月起，全州水利建设项目实行全流程电子化招投标。</w:t>
      </w:r>
      <w:r>
        <w:rPr>
          <w:rFonts w:hint="eastAsia" w:eastAsia="仿宋" w:cs="仿宋"/>
          <w:b/>
          <w:bCs/>
        </w:rPr>
        <w:t>三是</w:t>
      </w:r>
      <w:r>
        <w:rPr>
          <w:rFonts w:hint="eastAsia" w:eastAsia="仿宋" w:cs="仿宋"/>
        </w:rPr>
        <w:t>全面梳理</w:t>
      </w:r>
      <w:r>
        <w:rPr>
          <w:rFonts w:eastAsia="仿宋" w:cs="仿宋"/>
        </w:rPr>
        <w:t>2011</w:t>
      </w:r>
      <w:r>
        <w:rPr>
          <w:rFonts w:hint="eastAsia" w:eastAsia="仿宋" w:cs="仿宋"/>
        </w:rPr>
        <w:t>年以来项目建设情况，加快验收进程，确保工程效益发挥。</w:t>
      </w:r>
      <w:r>
        <w:rPr>
          <w:rFonts w:hint="eastAsia" w:eastAsia="仿宋" w:cs="仿宋"/>
          <w:b/>
          <w:bCs/>
        </w:rPr>
        <w:t>四是</w:t>
      </w:r>
      <w:r>
        <w:rPr>
          <w:rFonts w:hint="eastAsia" w:eastAsia="仿宋" w:cs="仿宋"/>
        </w:rPr>
        <w:t>在水利安全生产日常监管中，积极引入第三方安全生产咨询机构，在重要节点选取水库、河道、农村饮水安全、建设项目等进行安全生产隐患排查治理，有力确保了水利安全生产形势持续稳定。</w:t>
      </w:r>
    </w:p>
    <w:p>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（十一）水利信息化管理不断提升</w:t>
      </w:r>
    </w:p>
    <w:p>
      <w:pPr>
        <w:ind w:firstLine="31680"/>
        <w:rPr>
          <w:rFonts w:eastAsia="仿宋" w:cs="仿宋"/>
        </w:rPr>
      </w:pPr>
      <w:r>
        <w:rPr>
          <w:rFonts w:hint="eastAsia" w:eastAsia="仿宋" w:cs="仿宋"/>
          <w:b/>
          <w:bCs/>
        </w:rPr>
        <w:t>一是</w:t>
      </w:r>
      <w:r>
        <w:rPr>
          <w:rFonts w:hint="eastAsia" w:eastAsia="仿宋" w:cs="仿宋"/>
        </w:rPr>
        <w:t>完成了昌吉州水利信息化综合平台建设项目（一期）工程建设，开发了井电双控、地下水监测、地表水计量、水库安全管理</w:t>
      </w:r>
      <w:r>
        <w:rPr>
          <w:rFonts w:hint="eastAsia" w:eastAsia="仿宋" w:cs="仿宋"/>
          <w:lang w:val="en-US" w:eastAsia="zh-CN"/>
        </w:rPr>
        <w:t>等</w:t>
      </w:r>
      <w:r>
        <w:rPr>
          <w:rFonts w:hint="eastAsia" w:eastAsia="仿宋" w:cs="仿宋"/>
        </w:rPr>
        <w:t>七大业务系统。</w:t>
      </w:r>
      <w:r>
        <w:rPr>
          <w:rFonts w:hint="eastAsia" w:eastAsia="仿宋" w:cs="仿宋"/>
          <w:b/>
          <w:bCs/>
        </w:rPr>
        <w:t>二是</w:t>
      </w:r>
      <w:r>
        <w:rPr>
          <w:rFonts w:hint="eastAsia" w:eastAsia="仿宋" w:cs="仿宋"/>
        </w:rPr>
        <w:t>规范技术标准。</w:t>
      </w:r>
    </w:p>
    <w:p>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（十二）依法治水工作得到加强</w:t>
      </w:r>
    </w:p>
    <w:p>
      <w:pPr>
        <w:ind w:firstLine="31680"/>
        <w:rPr>
          <w:rFonts w:eastAsia="仿宋" w:cs="仿宋"/>
        </w:rPr>
      </w:pPr>
      <w:r>
        <w:rPr>
          <w:rFonts w:hint="eastAsia" w:eastAsia="仿宋" w:cs="仿宋"/>
        </w:rPr>
        <w:t>“十三五”期间，昌吉州不断完善水行政执法体制和制度，强化执法，保证水法的有效实施；完善水事纠纷预防和调处机制，保障水事秩序和谐有序；完善执法机制，开展兵地联合执法行动；加强水法规宣传教育培训，不断提升执法人员素质和执法水平。</w:t>
      </w:r>
    </w:p>
    <w:p>
      <w:pPr>
        <w:pStyle w:val="4"/>
        <w:numPr>
          <w:ilvl w:val="0"/>
          <w:numId w:val="0"/>
        </w:numPr>
        <w:spacing w:line="520" w:lineRule="exact"/>
        <w:ind w:firstLine="560" w:firstLineChars="200"/>
        <w:rPr>
          <w:rFonts w:ascii="黑体" w:hAnsi="黑体" w:eastAsia="黑体" w:cs="黑体"/>
          <w:b w:val="0"/>
          <w:bCs w:val="0"/>
        </w:rPr>
      </w:pPr>
      <w:bookmarkStart w:id="11" w:name="_Toc6337"/>
      <w:r>
        <w:rPr>
          <w:rFonts w:hint="eastAsia" w:ascii="黑体" w:hAnsi="黑体" w:eastAsia="黑体" w:cs="黑体"/>
          <w:b w:val="0"/>
          <w:bCs w:val="0"/>
        </w:rPr>
        <w:t>二、水利发展存在的主要问题</w:t>
      </w:r>
      <w:bookmarkEnd w:id="11"/>
    </w:p>
    <w:p>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w:t>
      </w:r>
      <w:r>
        <w:rPr>
          <w:rFonts w:hint="eastAsia" w:ascii="楷体" w:hAnsi="楷体" w:eastAsia="楷体" w:cs="楷体"/>
          <w:lang w:val="en-US"/>
        </w:rPr>
        <w:t>一</w:t>
      </w:r>
      <w:r>
        <w:rPr>
          <w:rFonts w:hint="eastAsia" w:ascii="楷体" w:hAnsi="楷体" w:eastAsia="楷体" w:cs="楷体"/>
        </w:rPr>
        <w:t>）水资源优化配置格局尚未完全形成</w:t>
      </w:r>
      <w:r>
        <w:rPr>
          <w:rFonts w:ascii="楷体" w:hAnsi="楷体" w:eastAsia="楷体" w:cs="楷体"/>
        </w:rPr>
        <w:t>,</w:t>
      </w:r>
      <w:r>
        <w:rPr>
          <w:rFonts w:hint="eastAsia" w:ascii="楷体" w:hAnsi="楷体" w:eastAsia="楷体" w:cs="楷体"/>
        </w:rPr>
        <w:t>供水安全保障程度仍有待提高</w:t>
      </w:r>
    </w:p>
    <w:p>
      <w:pPr>
        <w:ind w:firstLine="31680"/>
        <w:rPr>
          <w:rFonts w:eastAsia="仿宋" w:cs="仿宋"/>
        </w:rPr>
      </w:pPr>
      <w:r>
        <w:rPr>
          <w:rFonts w:hint="eastAsia" w:eastAsia="仿宋" w:cs="仿宋"/>
        </w:rPr>
        <w:t>昌吉州一批重点水资源调配工程控制性工程全面建成，昌吉州初步形成以河系为主、水库为骨干、外调水为补充、大中型灌区设施为支撑，渠道田间节水为基础的大、中、小相结合，蓄、引、调、灌相配套的水资源配置格局。昌吉市、昌吉国家农业科技园区每年需与昌吉州水利管理总站签订一次临时供水协议，无长期供水承诺，加之受水灌区仅昌吉市、昌吉国家农业科技园区建有部分引水工程，其他受水灌区无系统配套引水工程，农业供水价格相对偏高，致使昌吉州受水区用水量不高，调水工程效益未得到充分发挥。灌区供水保障程度有待提高。</w:t>
      </w:r>
    </w:p>
    <w:p>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w:t>
      </w:r>
      <w:r>
        <w:rPr>
          <w:rFonts w:hint="eastAsia" w:ascii="楷体" w:hAnsi="楷体" w:eastAsia="楷体" w:cs="楷体"/>
          <w:lang w:val="en-US"/>
        </w:rPr>
        <w:t>二</w:t>
      </w:r>
      <w:r>
        <w:rPr>
          <w:rFonts w:hint="eastAsia" w:ascii="楷体" w:hAnsi="楷体" w:eastAsia="楷体" w:cs="楷体"/>
        </w:rPr>
        <w:t>）防洪工程存在短板，防汛抗旱减灾体系仍不健全</w:t>
      </w:r>
    </w:p>
    <w:p>
      <w:pPr>
        <w:ind w:firstLine="31680"/>
        <w:rPr>
          <w:rFonts w:eastAsia="仿宋" w:cs="仿宋"/>
        </w:rPr>
      </w:pPr>
      <w:r>
        <w:rPr>
          <w:rFonts w:hint="eastAsia" w:eastAsia="仿宋" w:cs="仿宋"/>
        </w:rPr>
        <w:t>昌吉州河流、山洪沟众多，治理的河段远远低于需要治理的险工险段，工程建设整体滞后，河流防洪体系不完善。塔西河、呼图壁河、水磨河、开垦河等重要河流防洪设施建设缓慢，已建防洪工程标准较低，部分河段河道不满足行洪要求，存在安全隐患；同时，</w:t>
      </w:r>
      <w:r>
        <w:rPr>
          <w:rFonts w:eastAsia="仿宋" w:cs="仿宋"/>
        </w:rPr>
        <w:t>20</w:t>
      </w:r>
      <w:r>
        <w:rPr>
          <w:rFonts w:hint="eastAsia" w:eastAsia="仿宋" w:cs="仿宋"/>
        </w:rPr>
        <w:t>余条山洪沟中仅有昌吉市三工滩和阿苇滩等</w:t>
      </w:r>
      <w:r>
        <w:rPr>
          <w:rFonts w:eastAsia="仿宋" w:cs="仿宋"/>
        </w:rPr>
        <w:t>4</w:t>
      </w:r>
      <w:r>
        <w:rPr>
          <w:rFonts w:hint="eastAsia" w:eastAsia="仿宋" w:cs="仿宋"/>
        </w:rPr>
        <w:t>条得到工程治理，远不能满足山洪灾害防御需求。主要河流和山洪灾害预警预报能力仍有待提升，水文测报体系尚不完善，水文应急监测能力薄弱，抗旱调度系统等有待完善。</w:t>
      </w:r>
    </w:p>
    <w:p>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w:t>
      </w:r>
      <w:r>
        <w:rPr>
          <w:rFonts w:hint="eastAsia" w:ascii="楷体" w:hAnsi="楷体" w:eastAsia="楷体" w:cs="楷体"/>
          <w:lang w:val="en-US"/>
        </w:rPr>
        <w:t>三</w:t>
      </w:r>
      <w:r>
        <w:rPr>
          <w:rFonts w:hint="eastAsia" w:ascii="楷体" w:hAnsi="楷体" w:eastAsia="楷体" w:cs="楷体"/>
        </w:rPr>
        <w:t>）水生态和水文化体系短板明显</w:t>
      </w:r>
    </w:p>
    <w:p>
      <w:pPr>
        <w:ind w:firstLine="31680"/>
        <w:rPr>
          <w:rFonts w:eastAsia="仿宋" w:cs="仿宋"/>
        </w:rPr>
      </w:pPr>
      <w:r>
        <w:rPr>
          <w:rFonts w:hint="eastAsia" w:eastAsia="仿宋" w:cs="仿宋"/>
        </w:rPr>
        <w:t>昌吉州地下水位多年来持续下降，沿</w:t>
      </w:r>
      <w:r>
        <w:rPr>
          <w:rFonts w:eastAsia="仿宋" w:cs="仿宋"/>
        </w:rPr>
        <w:t>312</w:t>
      </w:r>
      <w:r>
        <w:rPr>
          <w:rFonts w:hint="eastAsia" w:eastAsia="仿宋" w:cs="仿宋"/>
        </w:rPr>
        <w:t>国道两侧的冲洪积扇，地下水位普遍下降，是各县（市）地下水的主要超采区。地下水位持续下降，不但使平原泉水逐渐消失，还危及荒草地植被。受灌溉影响，河流引水量大，灌溉高峰期出现河道断流情况，影响水生态平衡。</w:t>
      </w:r>
    </w:p>
    <w:p>
      <w:pPr>
        <w:pStyle w:val="5"/>
        <w:numPr>
          <w:ilvl w:val="0"/>
          <w:numId w:val="0"/>
        </w:numPr>
        <w:spacing w:line="520" w:lineRule="exact"/>
        <w:ind w:firstLine="562" w:firstLineChars="200"/>
        <w:rPr>
          <w:rFonts w:ascii="楷体" w:hAnsi="楷体" w:eastAsia="楷体" w:cs="楷体"/>
          <w:lang w:val="en-US"/>
        </w:rPr>
      </w:pPr>
      <w:r>
        <w:rPr>
          <w:rFonts w:hint="eastAsia" w:ascii="楷体" w:hAnsi="楷体" w:eastAsia="楷体" w:cs="楷体"/>
          <w:lang w:val="en-US"/>
        </w:rPr>
        <w:t>（四）</w:t>
      </w:r>
      <w:r>
        <w:rPr>
          <w:rFonts w:hint="eastAsia" w:ascii="楷体" w:hAnsi="楷体" w:eastAsia="楷体" w:cs="楷体"/>
        </w:rPr>
        <w:t>水利信息化工作有待提高</w:t>
      </w:r>
    </w:p>
    <w:p>
      <w:pPr>
        <w:ind w:firstLine="31680"/>
        <w:rPr>
          <w:rFonts w:eastAsia="仿宋" w:cs="仿宋"/>
        </w:rPr>
      </w:pPr>
      <w:r>
        <w:rPr>
          <w:rFonts w:hint="eastAsia" w:eastAsia="仿宋" w:cs="仿宋"/>
        </w:rPr>
        <w:t>近年来，昌吉州的水利信息化建设得到了长足的发展，已建成并投入使用的灌区信息化系统、地下水动态监测系统、水库自动化监测系统、山洪灾害监测预警系统等水利信息化系统，给全州水利业务工作提供了科技支撑。受技术条件、承建单位技术能力等多方因素的限制，现有的各个系统相对独立，共享困难、效能低下等问题极为突出。各业务系统在建设之初缺乏统一规划，建成后自成体系，在使用、管理、维护中造成了极大的不便，很难完全发挥系统的作用。</w:t>
      </w:r>
    </w:p>
    <w:p>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w:t>
      </w:r>
      <w:r>
        <w:rPr>
          <w:rFonts w:hint="eastAsia" w:ascii="楷体" w:hAnsi="楷体" w:eastAsia="楷体" w:cs="楷体"/>
          <w:lang w:val="en-US"/>
        </w:rPr>
        <w:t>五</w:t>
      </w:r>
      <w:r>
        <w:rPr>
          <w:rFonts w:hint="eastAsia" w:ascii="楷体" w:hAnsi="楷体" w:eastAsia="楷体" w:cs="楷体"/>
        </w:rPr>
        <w:t>）水利监管仍待加强</w:t>
      </w:r>
    </w:p>
    <w:p>
      <w:pPr>
        <w:ind w:firstLine="31680"/>
        <w:rPr>
          <w:rFonts w:eastAsia="仿宋" w:cs="仿宋"/>
        </w:rPr>
      </w:pPr>
      <w:r>
        <w:rPr>
          <w:rFonts w:hint="eastAsia" w:eastAsia="仿宋" w:cs="仿宋"/>
        </w:rPr>
        <w:t>昌吉州水利工作存在监管不到位现象，如河湖监管缺位，“四乱”现象频发；水资源监管不实，最严格的水资源管理制度已建立，具体落实措施不到位，不能体现水资源管理“最严格”的要求；水利工程监管不全，重建设轻管理；水利资金监管不畅，只管申请资金，不管资金拨付；水土保持监管不强，对“未批先建”、水土保持设施“未验先投”等行为查处不够。现有水利信息化对行业强监管支持能力明显不足，基层水利人才十分匮乏，现有的技术人才力量无法满足加快水利工程建设的需要。</w:t>
      </w:r>
    </w:p>
    <w:p>
      <w:pPr>
        <w:pStyle w:val="4"/>
        <w:numPr>
          <w:ilvl w:val="0"/>
          <w:numId w:val="0"/>
        </w:numPr>
        <w:spacing w:line="520" w:lineRule="exact"/>
        <w:ind w:firstLine="560" w:firstLineChars="200"/>
        <w:rPr>
          <w:rFonts w:ascii="黑体" w:hAnsi="黑体" w:eastAsia="黑体" w:cs="黑体"/>
          <w:b w:val="0"/>
          <w:bCs w:val="0"/>
        </w:rPr>
      </w:pPr>
      <w:bookmarkStart w:id="12" w:name="_Toc31502"/>
      <w:r>
        <w:rPr>
          <w:rFonts w:hint="eastAsia" w:ascii="黑体" w:hAnsi="黑体" w:eastAsia="黑体" w:cs="黑体"/>
          <w:b w:val="0"/>
          <w:bCs w:val="0"/>
        </w:rPr>
        <w:t>三、面临形势</w:t>
      </w:r>
      <w:bookmarkEnd w:id="12"/>
    </w:p>
    <w:p>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（一）全面建成小康社会，要求切实增强水资源供给能力，保障经济社会用水安全</w:t>
      </w:r>
    </w:p>
    <w:p>
      <w:pPr>
        <w:ind w:firstLine="31680"/>
        <w:rPr>
          <w:rFonts w:eastAsia="仿宋" w:cs="仿宋"/>
        </w:rPr>
      </w:pPr>
      <w:r>
        <w:rPr>
          <w:rFonts w:hint="eastAsia" w:eastAsia="仿宋" w:cs="仿宋"/>
        </w:rPr>
        <w:t>经测算，</w:t>
      </w:r>
      <w:r>
        <w:rPr>
          <w:rFonts w:eastAsia="仿宋" w:cs="仿宋"/>
        </w:rPr>
        <w:t>2025</w:t>
      </w:r>
      <w:r>
        <w:rPr>
          <w:rFonts w:hint="eastAsia" w:eastAsia="仿宋" w:cs="仿宋"/>
        </w:rPr>
        <w:t>年昌吉州总需水量为</w:t>
      </w:r>
      <w:r>
        <w:rPr>
          <w:rFonts w:eastAsia="仿宋" w:cs="仿宋"/>
        </w:rPr>
        <w:t>24.26</w:t>
      </w:r>
      <w:r>
        <w:rPr>
          <w:rFonts w:hint="eastAsia" w:eastAsia="仿宋" w:cs="仿宋"/>
        </w:rPr>
        <w:t>亿</w:t>
      </w:r>
      <w:r>
        <w:rPr>
          <w:rFonts w:eastAsia="仿宋" w:cs="仿宋"/>
        </w:rPr>
        <w:t>m</w:t>
      </w:r>
      <w:r>
        <w:rPr>
          <w:rFonts w:eastAsia="仿宋" w:cs="仿宋"/>
          <w:vertAlign w:val="superscript"/>
        </w:rPr>
        <w:t>3</w:t>
      </w:r>
      <w:r>
        <w:rPr>
          <w:rFonts w:hint="eastAsia" w:eastAsia="仿宋" w:cs="仿宋"/>
        </w:rPr>
        <w:t>，农业用水总体稳中有降，由于“十四五”期间用水总量逐年递减，农业节水量远不能满足其他业的发展需求。在二产、三产及生态用水方面，节水虽有潜力可挖，但节水量远小于新增发展用水需求。</w:t>
      </w:r>
      <w:r>
        <w:rPr>
          <w:rFonts w:eastAsia="仿宋" w:cs="仿宋"/>
        </w:rPr>
        <w:t>2025</w:t>
      </w:r>
      <w:r>
        <w:rPr>
          <w:rFonts w:hint="eastAsia" w:eastAsia="仿宋" w:cs="仿宋"/>
        </w:rPr>
        <w:t>年农田灌溉水利用系数达</w:t>
      </w:r>
      <w:r>
        <w:rPr>
          <w:rFonts w:eastAsia="仿宋" w:cs="仿宋"/>
        </w:rPr>
        <w:t>0.67</w:t>
      </w:r>
      <w:r>
        <w:rPr>
          <w:rFonts w:hint="eastAsia" w:eastAsia="仿宋" w:cs="仿宋"/>
        </w:rPr>
        <w:t>，农业节水已达极限，昌吉州现有水资源无法保障各业用水需求。为保障昌吉州经济社会可持续、高质量发展，“十四五”期间必须加快谋划推进一批重大水利工程，补齐水利基础设施短板，提升水资源供给保障能力。</w:t>
      </w:r>
    </w:p>
    <w:p>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（二）保障国家和新疆重大战略实施及国家生态安全屏障</w:t>
      </w:r>
    </w:p>
    <w:p>
      <w:pPr>
        <w:ind w:firstLine="31680"/>
        <w:rPr>
          <w:rFonts w:eastAsia="仿宋" w:cs="仿宋"/>
        </w:rPr>
      </w:pPr>
      <w:r>
        <w:rPr>
          <w:rFonts w:hint="eastAsia" w:eastAsia="仿宋" w:cs="仿宋"/>
        </w:rPr>
        <w:t>昌吉州是多民族聚居的地区，也是一个兵地共建地区，需要切实完善水利基础设施网络，要求水利基础设施更加注重高质量，更加关注绿色生态，统筹做好水灾害防治、水资源节约、水生态保护修复、水环境治理工作。推动高质量发展，做好天山北坡经济带建设，要求补齐水利基础设施短板，完善水资源优化配置格局。</w:t>
      </w:r>
    </w:p>
    <w:p>
      <w:pPr>
        <w:ind w:firstLine="31680"/>
        <w:rPr>
          <w:rFonts w:eastAsia="仿宋" w:cs="仿宋"/>
        </w:rPr>
      </w:pPr>
      <w:r>
        <w:rPr>
          <w:rFonts w:hint="eastAsia" w:eastAsia="仿宋" w:cs="仿宋"/>
        </w:rPr>
        <w:t>为保障昌吉州生态环境可持续发展，必须科学配置水资源、全面节约、有效保护和综合管理，合理的确定生态保护区的范围、目标和需水总量，明晰生态用水，还水于生态。</w:t>
      </w:r>
    </w:p>
    <w:p>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（三）新老水问题交织</w:t>
      </w:r>
    </w:p>
    <w:p>
      <w:pPr>
        <w:ind w:firstLine="31680"/>
        <w:rPr>
          <w:rFonts w:eastAsia="仿宋" w:cs="仿宋"/>
        </w:rPr>
      </w:pPr>
      <w:r>
        <w:rPr>
          <w:rFonts w:hint="eastAsia" w:eastAsia="仿宋" w:cs="仿宋"/>
          <w:b/>
          <w:bCs/>
        </w:rPr>
        <w:t>一是</w:t>
      </w:r>
      <w:r>
        <w:rPr>
          <w:rFonts w:hint="eastAsia" w:eastAsia="仿宋" w:cs="仿宋"/>
        </w:rPr>
        <w:t>州域境内主要河流主要依靠冰川和融雪补给，</w:t>
      </w:r>
      <w:r>
        <w:rPr>
          <w:rFonts w:eastAsia="仿宋" w:cs="仿宋"/>
        </w:rPr>
        <w:t>20</w:t>
      </w:r>
      <w:r>
        <w:rPr>
          <w:rFonts w:hint="eastAsia" w:eastAsia="仿宋" w:cs="仿宋"/>
        </w:rPr>
        <w:t>世纪</w:t>
      </w:r>
      <w:r>
        <w:rPr>
          <w:rFonts w:eastAsia="仿宋" w:cs="仿宋"/>
        </w:rPr>
        <w:t>80</w:t>
      </w:r>
      <w:r>
        <w:rPr>
          <w:rFonts w:hint="eastAsia" w:eastAsia="仿宋" w:cs="仿宋"/>
        </w:rPr>
        <w:t>年代中后期以来，新疆气候出现变暖趋势，气候变暖加速了冰川的消融，冰川和积雪的“固体水库”的调节减弱；</w:t>
      </w:r>
      <w:r>
        <w:rPr>
          <w:rFonts w:hint="eastAsia" w:eastAsia="仿宋" w:cs="仿宋"/>
          <w:b/>
          <w:bCs/>
        </w:rPr>
        <w:t>二是</w:t>
      </w:r>
      <w:r>
        <w:rPr>
          <w:rFonts w:hint="eastAsia" w:eastAsia="仿宋" w:cs="仿宋"/>
        </w:rPr>
        <w:t>水利基础设施分布不均衡不充分。</w:t>
      </w:r>
    </w:p>
    <w:p>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（四）新时代治水理念及主要矛盾发生转变</w:t>
      </w:r>
    </w:p>
    <w:p>
      <w:pPr>
        <w:ind w:firstLine="31680"/>
        <w:rPr>
          <w:rFonts w:eastAsia="仿宋" w:cs="仿宋"/>
        </w:rPr>
      </w:pPr>
      <w:r>
        <w:rPr>
          <w:rFonts w:hint="eastAsia" w:eastAsia="仿宋" w:cs="仿宋"/>
        </w:rPr>
        <w:t>当前我国治水的主要矛盾已经从人民群众对除水害兴水利的需求与水利工程能力不足之间的矛盾，转化为人民群众对水资源水生态水环境的需求与水利行业监管能力不足之间的矛盾，这一科学判断意义重大，深刻洞察了国情变化对水利改革发展的要求，具有鲜明的问题导向，必将对今后水利工作重心和重点任务产生重大影响。新的治水形势和治水理念转变给昌吉州水利工作提出了新要求和发展机遇。</w:t>
      </w:r>
    </w:p>
    <w:p>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（五）推进治理体系和治理能力现代化</w:t>
      </w:r>
    </w:p>
    <w:p>
      <w:pPr>
        <w:ind w:firstLine="31680"/>
        <w:rPr>
          <w:rFonts w:eastAsia="仿宋" w:cs="仿宋"/>
        </w:rPr>
      </w:pPr>
      <w:r>
        <w:rPr>
          <w:rFonts w:hint="eastAsia" w:eastAsia="仿宋" w:cs="仿宋"/>
        </w:rPr>
        <w:t>水治理体系与治理能力现代化是国家治理体系和治理能力现代化的重要组成部分。现代化治理体系需不断提高水利治理手段和能力的精准化、精细化、精深化水平，加快完善监测、处理、决策、调控等水治理手段现代化建设。构建有利于实现水利创新、协调、绿色、开放、共享发展的现代化治水体系，完善水利管理与制度体系，保障水利行业的可持续发展。</w:t>
      </w:r>
      <w:bookmarkStart w:id="13" w:name="_Toc436220146"/>
      <w:bookmarkStart w:id="14" w:name="_Toc435613288"/>
      <w:bookmarkStart w:id="15" w:name="_Toc436220154"/>
    </w:p>
    <w:bookmarkEnd w:id="13"/>
    <w:p>
      <w:pPr>
        <w:ind w:firstLine="31680"/>
        <w:rPr>
          <w:rFonts w:eastAsia="仿宋" w:cs="仿宋"/>
        </w:rPr>
        <w:sectPr>
          <w:footerReference r:id="rId12" w:type="default"/>
          <w:pgSz w:w="12240" w:h="15840"/>
          <w:pgMar w:top="1440" w:right="1800" w:bottom="1440" w:left="1800" w:header="720" w:footer="720" w:gutter="0"/>
          <w:pgNumType w:start="1"/>
          <w:cols w:space="720" w:num="1"/>
        </w:sectPr>
      </w:pPr>
    </w:p>
    <w:bookmarkEnd w:id="14"/>
    <w:bookmarkEnd w:id="15"/>
    <w:p>
      <w:pPr>
        <w:pStyle w:val="3"/>
        <w:numPr>
          <w:ilvl w:val="0"/>
          <w:numId w:val="0"/>
        </w:numPr>
        <w:spacing w:line="520" w:lineRule="exact"/>
        <w:ind w:left="567" w:hanging="567"/>
        <w:jc w:val="center"/>
        <w:rPr>
          <w:rFonts w:ascii="黑体" w:hAnsi="黑体" w:eastAsia="黑体" w:cs="黑体"/>
          <w:b w:val="0"/>
          <w:bCs w:val="0"/>
          <w:sz w:val="32"/>
        </w:rPr>
      </w:pPr>
      <w:bookmarkStart w:id="16" w:name="_Toc8907"/>
      <w:r>
        <w:rPr>
          <w:rFonts w:hint="eastAsia" w:ascii="黑体" w:hAnsi="黑体" w:eastAsia="黑体" w:cs="黑体"/>
          <w:b w:val="0"/>
          <w:bCs w:val="0"/>
          <w:sz w:val="32"/>
        </w:rPr>
        <w:t>第二章</w:t>
      </w:r>
      <w:r>
        <w:rPr>
          <w:rFonts w:ascii="黑体" w:hAnsi="黑体" w:eastAsia="黑体" w:cs="黑体"/>
          <w:b w:val="0"/>
          <w:bCs w:val="0"/>
          <w:sz w:val="32"/>
        </w:rPr>
        <w:t xml:space="preserve"> </w:t>
      </w:r>
      <w:r>
        <w:rPr>
          <w:rFonts w:hint="eastAsia" w:ascii="黑体" w:hAnsi="黑体" w:eastAsia="黑体" w:cs="黑体"/>
          <w:b w:val="0"/>
          <w:bCs w:val="0"/>
          <w:sz w:val="32"/>
        </w:rPr>
        <w:t>总体思路</w:t>
      </w:r>
      <w:bookmarkEnd w:id="16"/>
    </w:p>
    <w:p>
      <w:pPr>
        <w:pStyle w:val="4"/>
        <w:numPr>
          <w:ilvl w:val="0"/>
          <w:numId w:val="0"/>
        </w:numPr>
        <w:spacing w:line="520" w:lineRule="exact"/>
        <w:ind w:firstLine="560" w:firstLineChars="200"/>
        <w:rPr>
          <w:rFonts w:ascii="黑体" w:hAnsi="黑体" w:eastAsia="黑体" w:cs="黑体"/>
          <w:b w:val="0"/>
          <w:bCs w:val="0"/>
        </w:rPr>
      </w:pPr>
      <w:bookmarkStart w:id="17" w:name="_Toc5715"/>
      <w:r>
        <w:rPr>
          <w:rFonts w:hint="eastAsia" w:ascii="黑体" w:hAnsi="黑体" w:eastAsia="黑体" w:cs="黑体"/>
          <w:b w:val="0"/>
          <w:bCs w:val="0"/>
        </w:rPr>
        <w:t>一、指导思想</w:t>
      </w:r>
      <w:bookmarkEnd w:id="17"/>
    </w:p>
    <w:p>
      <w:pPr>
        <w:ind w:firstLine="31680"/>
        <w:rPr>
          <w:rFonts w:eastAsia="仿宋" w:cs="仿宋"/>
        </w:rPr>
      </w:pPr>
      <w:r>
        <w:rPr>
          <w:rFonts w:hint="eastAsia" w:eastAsia="仿宋" w:cs="仿宋"/>
        </w:rPr>
        <w:t>以习近平新时代中国特色社会主义思想为指导，深入贯彻落实党的十九大和十九届二中、三中、四中、五中、六中全会精神，贯彻落实习近平总书记关于新疆工作的重要讲话和第三次中央新疆工作座谈会精神，贯彻落实新时代党的治疆方略</w:t>
      </w:r>
      <w:r>
        <w:rPr>
          <w:rFonts w:hint="eastAsia" w:eastAsia="仿宋" w:cs="仿宋"/>
          <w:snapToGrid w:val="0"/>
        </w:rPr>
        <w:t>和治疆方</w:t>
      </w:r>
      <w:r>
        <w:rPr>
          <w:rFonts w:hint="eastAsia" w:eastAsia="仿宋" w:cs="仿宋"/>
        </w:rPr>
        <w:t>针，牢牢扭住新疆工作总目标，积极践行“节水优先、空间均衡、系统治理、两手发力”治水思路，围绕“一个中心”（深入践行“水利工程补短板、水利行业强监管”总基调），抓好两个统筹（统筹蓄水节水调水，统筹生产生活生态用水），推进“三个转变”（由重工程建设向水资源管理、由农业节水向全社会节水、由传统水利管理向行业信息化全过程监管转变），谋划四项工程（重大水利工程、农村饮水安全巩固提升工程、现代化灌区建设工程、信息化建设工程），全力推进水利治理体系和治理能力现代化。</w:t>
      </w:r>
    </w:p>
    <w:p>
      <w:pPr>
        <w:pStyle w:val="4"/>
        <w:numPr>
          <w:ilvl w:val="0"/>
          <w:numId w:val="0"/>
        </w:numPr>
        <w:spacing w:line="520" w:lineRule="exact"/>
        <w:ind w:firstLine="560" w:firstLineChars="200"/>
        <w:rPr>
          <w:rFonts w:ascii="黑体" w:hAnsi="黑体" w:eastAsia="黑体" w:cs="黑体"/>
          <w:b w:val="0"/>
          <w:bCs w:val="0"/>
        </w:rPr>
      </w:pPr>
      <w:bookmarkStart w:id="18" w:name="_Toc14193"/>
      <w:r>
        <w:rPr>
          <w:rFonts w:hint="eastAsia" w:ascii="黑体" w:hAnsi="黑体" w:eastAsia="黑体" w:cs="黑体"/>
          <w:b w:val="0"/>
          <w:bCs w:val="0"/>
        </w:rPr>
        <w:t>二、基本原则</w:t>
      </w:r>
      <w:bookmarkEnd w:id="18"/>
    </w:p>
    <w:p>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（一）节水优先，高效利用</w:t>
      </w:r>
    </w:p>
    <w:p>
      <w:pPr>
        <w:ind w:firstLine="31680"/>
        <w:rPr>
          <w:rFonts w:eastAsia="仿宋" w:cs="仿宋"/>
        </w:rPr>
      </w:pPr>
      <w:r>
        <w:rPr>
          <w:rFonts w:hint="eastAsia" w:eastAsia="仿宋" w:cs="仿宋"/>
        </w:rPr>
        <w:t>针对昌吉州水资源特点，用水结构不合理、用水方式粗放的实际情况，大力推进节水型社会建设，把节约用水贯穿于昌吉州水利规划“十四五”全过程，强化结构节水、源头节水，严格用水总量控制，深挖农业节水潜力，推进产业结构调整。</w:t>
      </w:r>
    </w:p>
    <w:p>
      <w:pPr>
        <w:ind w:firstLine="31680"/>
        <w:rPr>
          <w:rFonts w:eastAsia="仿宋" w:cs="仿宋"/>
        </w:rPr>
      </w:pPr>
      <w:r>
        <w:rPr>
          <w:rFonts w:hint="eastAsia" w:eastAsia="仿宋" w:cs="仿宋"/>
        </w:rPr>
        <w:t>新建、改建、扩建地下水取水工程，应当同时安装计量设施。落实地下水用水总量控制和地下水水位管控目标，遵守取水总量控制和定额管理要求，加强节水型社会建设，降低用水消耗，持续加大水行政处罚力度，逐步恢复水生态环境。</w:t>
      </w:r>
    </w:p>
    <w:p>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（二）空间均衡，协调发展</w:t>
      </w:r>
    </w:p>
    <w:p>
      <w:pPr>
        <w:ind w:firstLine="31680"/>
        <w:rPr>
          <w:rFonts w:eastAsia="仿宋" w:cs="仿宋"/>
        </w:rPr>
      </w:pPr>
      <w:r>
        <w:rPr>
          <w:rFonts w:hint="eastAsia" w:eastAsia="仿宋" w:cs="仿宋"/>
        </w:rPr>
        <w:t>结合昌吉州区域水资源分布情况，强化需求管理，以水定需、量水而行，合理引导产业布局和产业结构调整。统筹流域之间、城乡之间、区域之间，完善水资源配置工程格局，促进城乡协调发展，促进生态环境健康。</w:t>
      </w:r>
    </w:p>
    <w:p>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（三）系统治理，绿色生态</w:t>
      </w:r>
    </w:p>
    <w:p>
      <w:pPr>
        <w:ind w:firstLine="31680"/>
        <w:rPr>
          <w:rFonts w:eastAsia="仿宋" w:cs="仿宋"/>
        </w:rPr>
      </w:pPr>
      <w:r>
        <w:rPr>
          <w:rFonts w:hint="eastAsia" w:eastAsia="仿宋" w:cs="仿宋"/>
        </w:rPr>
        <w:t>牢固树立和践行绿水青山就是金山银山的理念，坚持生态优先、绿色发展，将山水田林湖作为一个生命共同体，统筹推进山水林田湖草沙系统治理。坚持流域区域协调，统筹水灾害防治、水资源节约、水生态保护修复、水环境治理，综合布局，系统整治，有效保护。</w:t>
      </w:r>
    </w:p>
    <w:p>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（四）两手发力，改革创新</w:t>
      </w:r>
    </w:p>
    <w:p>
      <w:pPr>
        <w:ind w:firstLine="31680"/>
        <w:rPr>
          <w:rFonts w:eastAsia="仿宋" w:cs="仿宋"/>
        </w:rPr>
      </w:pPr>
      <w:r>
        <w:rPr>
          <w:rFonts w:hint="eastAsia" w:eastAsia="仿宋" w:cs="仿宋"/>
        </w:rPr>
        <w:t>深化水利改革，创新体制机制，从水的公共产品属性出发，充分发挥市场机制对水资源配置的决定性作用，调动全社会力量；完善政府宏观调控手段，着力推进水利重点领域和关键环节改革攻坚，形成政府主导的全社会协同治水兴水合力。</w:t>
      </w:r>
    </w:p>
    <w:p>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（五）以人为本，保障民生</w:t>
      </w:r>
    </w:p>
    <w:p>
      <w:pPr>
        <w:ind w:firstLine="31680"/>
        <w:rPr>
          <w:rFonts w:eastAsia="仿宋" w:cs="仿宋"/>
        </w:rPr>
      </w:pPr>
      <w:r>
        <w:rPr>
          <w:rFonts w:hint="eastAsia" w:eastAsia="仿宋" w:cs="仿宋"/>
        </w:rPr>
        <w:t>牢固树立以人民为中心的发展理念，把人民对美好生活的向往作为出发点和落脚点，加快解决民众最关心最直接最现实的饮水、防洪、生态环境等问题，提升水安全公共服务均等化水平，不断增强人民群众的获得感、幸福感、安全感。</w:t>
      </w:r>
    </w:p>
    <w:p>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（六）科技创新，智慧水利</w:t>
      </w:r>
    </w:p>
    <w:p>
      <w:pPr>
        <w:ind w:firstLine="31680"/>
        <w:rPr>
          <w:rFonts w:eastAsia="仿宋" w:cs="仿宋"/>
        </w:rPr>
      </w:pPr>
      <w:r>
        <w:rPr>
          <w:rFonts w:hint="eastAsia" w:eastAsia="仿宋" w:cs="仿宋"/>
        </w:rPr>
        <w:t>充分利用互联网、云计算、大数据等先进技术，提升水利建设管理信息化水平，实现对水资源、河湖水域岸线、各类水利工程、水生态环境等涉水信息动态监测和全面感知，提升水利智慧化管理和服务水平。</w:t>
      </w:r>
    </w:p>
    <w:p>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（七）完善机制，强化监管</w:t>
      </w:r>
    </w:p>
    <w:p>
      <w:pPr>
        <w:ind w:firstLine="31680"/>
        <w:rPr>
          <w:rFonts w:eastAsia="仿宋" w:cs="仿宋"/>
        </w:rPr>
      </w:pPr>
      <w:r>
        <w:rPr>
          <w:rFonts w:hint="eastAsia" w:eastAsia="仿宋" w:cs="仿宋"/>
        </w:rPr>
        <w:t>建立健全水利行业强监管体系，完善监管机制，运用现代科技手段，从注重事后监管向事前、事情中、事后监督转变，做到事前要“堵住”、事中要“卡住”、事后要“查处”，保持整个监督过程首尾有机联系，从整体上提高监督效果，确保水利行业监管得到有效加强。</w:t>
      </w:r>
    </w:p>
    <w:p>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（八）立足实际，适度超前</w:t>
      </w:r>
    </w:p>
    <w:p>
      <w:pPr>
        <w:ind w:firstLine="31680"/>
        <w:rPr>
          <w:rFonts w:eastAsia="仿宋" w:cs="仿宋"/>
        </w:rPr>
      </w:pPr>
      <w:r>
        <w:rPr>
          <w:rFonts w:hint="eastAsia" w:eastAsia="仿宋" w:cs="仿宋"/>
        </w:rPr>
        <w:t>立足州情水情，以问题为导向，准确判断昌吉州水安全的现状水平，结合实际拟定可操作的行动方案。统筹考虑长远发展需求，科学谋划，超前部署，对昌吉州未来较长一段时期的水利发展进行统筹规划。</w:t>
      </w:r>
    </w:p>
    <w:p>
      <w:pPr>
        <w:pStyle w:val="4"/>
        <w:numPr>
          <w:ilvl w:val="0"/>
          <w:numId w:val="0"/>
        </w:numPr>
        <w:spacing w:line="520" w:lineRule="exact"/>
        <w:ind w:firstLine="560" w:firstLineChars="200"/>
        <w:rPr>
          <w:rFonts w:ascii="黑体" w:hAnsi="黑体" w:eastAsia="黑体" w:cs="黑体"/>
          <w:b w:val="0"/>
          <w:bCs w:val="0"/>
        </w:rPr>
      </w:pPr>
      <w:bookmarkStart w:id="19" w:name="_Toc27944"/>
      <w:r>
        <w:rPr>
          <w:rFonts w:hint="eastAsia" w:ascii="黑体" w:hAnsi="黑体" w:eastAsia="黑体" w:cs="黑体"/>
          <w:b w:val="0"/>
          <w:bCs w:val="0"/>
        </w:rPr>
        <w:t>三、目标任务</w:t>
      </w:r>
      <w:bookmarkEnd w:id="19"/>
    </w:p>
    <w:p>
      <w:pPr>
        <w:ind w:firstLine="31680"/>
        <w:rPr>
          <w:rFonts w:eastAsia="仿宋" w:cs="仿宋"/>
        </w:rPr>
      </w:pPr>
      <w:r>
        <w:rPr>
          <w:rFonts w:hint="eastAsia" w:eastAsia="仿宋" w:cs="仿宋"/>
        </w:rPr>
        <w:t>立足昌吉州实际，着眼长远，以维护社会稳定和实现长治久安，满足各族人民日益增长的美好生活需</w:t>
      </w:r>
      <w:r>
        <w:rPr>
          <w:rFonts w:hint="eastAsia" w:eastAsia="仿宋" w:cs="仿宋"/>
          <w:lang w:val="en-US" w:eastAsia="zh-CN"/>
        </w:rPr>
        <w:t>要</w:t>
      </w:r>
      <w:bookmarkStart w:id="125" w:name="_GoBack"/>
      <w:bookmarkEnd w:id="125"/>
      <w:r>
        <w:rPr>
          <w:rFonts w:hint="eastAsia" w:eastAsia="仿宋" w:cs="仿宋"/>
        </w:rPr>
        <w:t>为目标，着眼于水利改革发展中不平衡不充分的矛盾和问题，着眼于供给侧结构性改革和高质量发展对水利基础设施网络建设需求，着眼于生态文明建设对水治理体系和治理能力建设需求，突出水利改革理念创新、水利发展战略创新、水生态保护路径创新，全面提升水安全保障能力，谋划昌吉州水利“十四五”发展布局。通过水利“十四五”规划的实施，节水型社会体系更加完善，水利设施能力和标准大幅提高，防洪抗旱减灾能力及水生态保护和修复能力进一步提高，城乡供水保障能力和应急抗旱能力明显增强，城乡饮水安全得到全面保障，水利基本公共服务均等化水平显著提高，初步建成现代水治理体系。</w:t>
      </w:r>
    </w:p>
    <w:p>
      <w:pPr>
        <w:ind w:firstLine="31680"/>
        <w:rPr>
          <w:rFonts w:eastAsia="仿宋" w:cs="仿宋"/>
        </w:rPr>
      </w:pPr>
      <w:r>
        <w:rPr>
          <w:rFonts w:hint="eastAsia" w:eastAsia="仿宋" w:cs="仿宋"/>
        </w:rPr>
        <w:t>经过</w:t>
      </w:r>
      <w:r>
        <w:rPr>
          <w:rFonts w:eastAsia="仿宋" w:cs="仿宋"/>
        </w:rPr>
        <w:t>5</w:t>
      </w:r>
      <w:r>
        <w:rPr>
          <w:rFonts w:hint="eastAsia" w:eastAsia="仿宋" w:cs="仿宋"/>
        </w:rPr>
        <w:t>年的努力，到</w:t>
      </w:r>
      <w:r>
        <w:rPr>
          <w:rFonts w:eastAsia="仿宋" w:cs="仿宋"/>
        </w:rPr>
        <w:t>2025</w:t>
      </w:r>
      <w:r>
        <w:rPr>
          <w:rFonts w:hint="eastAsia" w:eastAsia="仿宋" w:cs="仿宋"/>
        </w:rPr>
        <w:t>年要努力实现以下发展目标：</w:t>
      </w:r>
    </w:p>
    <w:p>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（一）节水</w:t>
      </w:r>
    </w:p>
    <w:p>
      <w:pPr>
        <w:ind w:firstLine="31680"/>
        <w:rPr>
          <w:rFonts w:eastAsia="仿宋" w:cs="仿宋"/>
          <w:kern w:val="0"/>
        </w:rPr>
      </w:pPr>
      <w:r>
        <w:rPr>
          <w:rFonts w:eastAsia="仿宋" w:cs="仿宋"/>
          <w:b/>
          <w:snapToGrid w:val="0"/>
          <w:kern w:val="0"/>
        </w:rPr>
        <w:t>——</w:t>
      </w:r>
      <w:r>
        <w:rPr>
          <w:rFonts w:hint="eastAsia" w:eastAsia="仿宋" w:cs="仿宋"/>
          <w:b/>
          <w:snapToGrid w:val="0"/>
          <w:kern w:val="0"/>
        </w:rPr>
        <w:t>节水管理成效显著，水资源利用效率和效益大幅提升。</w:t>
      </w:r>
      <w:r>
        <w:rPr>
          <w:rFonts w:hint="eastAsia" w:eastAsia="仿宋" w:cs="仿宋"/>
          <w:kern w:val="0"/>
        </w:rPr>
        <w:t>严格总量和强度双控，强化用水指标刚性约束、严格用水全过程管理。优化农业种植结构，推广畜牧渔业节水方式，推进农村生活节水。积极推行水循环梯级利用。推进工业节水改造，推动高耗水行业节水增效。深入推进节水型城市建设，大幅降低供水管网漏损，深入开展公共领域节水，严控高耗水服务业用水，鼓励使用非常规水源。以县域为单元，全面开展节水型社会达标建设，带动全州县域节水型社会全面发展。</w:t>
      </w:r>
    </w:p>
    <w:p>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（二）工程补短板</w:t>
      </w:r>
    </w:p>
    <w:p>
      <w:pPr>
        <w:ind w:firstLine="31680"/>
        <w:rPr>
          <w:rFonts w:eastAsia="仿宋" w:cs="仿宋"/>
          <w:snapToGrid w:val="0"/>
          <w:kern w:val="0"/>
        </w:rPr>
      </w:pPr>
      <w:r>
        <w:rPr>
          <w:rFonts w:eastAsia="仿宋" w:cs="仿宋"/>
          <w:b/>
          <w:snapToGrid w:val="0"/>
          <w:kern w:val="0"/>
        </w:rPr>
        <w:t>——</w:t>
      </w:r>
      <w:r>
        <w:rPr>
          <w:rFonts w:hint="eastAsia" w:eastAsia="仿宋" w:cs="仿宋"/>
          <w:b/>
          <w:snapToGrid w:val="0"/>
          <w:kern w:val="0"/>
        </w:rPr>
        <w:t>防洪抗旱减灾能力全面提升。</w:t>
      </w:r>
      <w:r>
        <w:rPr>
          <w:rFonts w:hint="eastAsia" w:eastAsia="仿宋" w:cs="仿宋"/>
          <w:kern w:val="0"/>
        </w:rPr>
        <w:t>加强病险水库除险加固、中小河流治理和山洪灾害防治，开展堤防加固、河道治理、控制性工程、蓄滞洪区等建设，提升水文监测预警能力，完善城镇防洪排涝基础设施，全面提升水旱灾害综合防治能力。</w:t>
      </w:r>
      <w:r>
        <w:rPr>
          <w:rFonts w:hint="eastAsia" w:eastAsia="仿宋" w:cs="仿宋"/>
          <w:snapToGrid w:val="0"/>
          <w:kern w:val="0"/>
        </w:rPr>
        <w:t>中小河流重要河段防洪标准达到</w:t>
      </w:r>
      <w:r>
        <w:rPr>
          <w:rFonts w:eastAsia="仿宋" w:cs="仿宋"/>
          <w:snapToGrid w:val="0"/>
          <w:kern w:val="0"/>
        </w:rPr>
        <w:t>10</w:t>
      </w:r>
      <w:r>
        <w:rPr>
          <w:rFonts w:hint="eastAsia" w:eastAsia="仿宋" w:cs="仿宋"/>
          <w:snapToGrid w:val="0"/>
          <w:kern w:val="0"/>
        </w:rPr>
        <w:t>～</w:t>
      </w:r>
      <w:r>
        <w:rPr>
          <w:rFonts w:eastAsia="仿宋" w:cs="仿宋"/>
          <w:snapToGrid w:val="0"/>
          <w:kern w:val="0"/>
        </w:rPr>
        <w:t>20</w:t>
      </w:r>
      <w:r>
        <w:rPr>
          <w:rFonts w:hint="eastAsia" w:eastAsia="仿宋" w:cs="仿宋"/>
          <w:snapToGrid w:val="0"/>
          <w:kern w:val="0"/>
        </w:rPr>
        <w:t>年一遇，</w:t>
      </w:r>
      <w:r>
        <w:rPr>
          <w:rFonts w:hint="eastAsia" w:eastAsia="仿宋" w:cs="仿宋"/>
          <w:kern w:val="0"/>
        </w:rPr>
        <w:t>城市防洪标准达到</w:t>
      </w:r>
      <w:r>
        <w:rPr>
          <w:rFonts w:eastAsia="仿宋" w:cs="仿宋"/>
          <w:snapToGrid w:val="0"/>
          <w:kern w:val="0"/>
        </w:rPr>
        <w:t>20</w:t>
      </w:r>
      <w:r>
        <w:rPr>
          <w:rFonts w:hint="eastAsia" w:eastAsia="仿宋" w:cs="仿宋"/>
          <w:snapToGrid w:val="0"/>
          <w:kern w:val="0"/>
        </w:rPr>
        <w:t>～</w:t>
      </w:r>
      <w:r>
        <w:rPr>
          <w:rFonts w:eastAsia="仿宋" w:cs="仿宋"/>
          <w:snapToGrid w:val="0"/>
          <w:kern w:val="0"/>
        </w:rPr>
        <w:t>50</w:t>
      </w:r>
      <w:r>
        <w:rPr>
          <w:rFonts w:hint="eastAsia" w:eastAsia="仿宋" w:cs="仿宋"/>
          <w:snapToGrid w:val="0"/>
          <w:kern w:val="0"/>
        </w:rPr>
        <w:t>年一遇，山洪灾害重点区域基本形成非工程措施与工程措施相结合的综合防御体系。通过全州防洪工程“补短板”建设，结合建立预警预报信息化系统，初步构建“防</w:t>
      </w:r>
      <w:r>
        <w:rPr>
          <w:rFonts w:eastAsia="仿宋" w:cs="仿宋"/>
          <w:snapToGrid w:val="0"/>
          <w:kern w:val="0"/>
        </w:rPr>
        <w:t>+</w:t>
      </w:r>
      <w:r>
        <w:rPr>
          <w:rFonts w:hint="eastAsia" w:eastAsia="仿宋" w:cs="仿宋"/>
          <w:snapToGrid w:val="0"/>
          <w:kern w:val="0"/>
        </w:rPr>
        <w:t>管</w:t>
      </w:r>
      <w:r>
        <w:rPr>
          <w:rFonts w:eastAsia="仿宋" w:cs="仿宋"/>
          <w:snapToGrid w:val="0"/>
          <w:kern w:val="0"/>
        </w:rPr>
        <w:t>+</w:t>
      </w:r>
      <w:r>
        <w:rPr>
          <w:rFonts w:hint="eastAsia" w:eastAsia="仿宋" w:cs="仿宋"/>
          <w:snapToGrid w:val="0"/>
          <w:kern w:val="0"/>
        </w:rPr>
        <w:t>控</w:t>
      </w:r>
      <w:r>
        <w:rPr>
          <w:rFonts w:eastAsia="仿宋" w:cs="仿宋"/>
          <w:snapToGrid w:val="0"/>
          <w:kern w:val="0"/>
        </w:rPr>
        <w:t>+</w:t>
      </w:r>
      <w:r>
        <w:rPr>
          <w:rFonts w:hint="eastAsia" w:eastAsia="仿宋" w:cs="仿宋"/>
          <w:snapToGrid w:val="0"/>
          <w:kern w:val="0"/>
        </w:rPr>
        <w:t>输”的防洪体系布局。</w:t>
      </w:r>
    </w:p>
    <w:p>
      <w:pPr>
        <w:ind w:firstLine="31680"/>
        <w:rPr>
          <w:rFonts w:eastAsia="仿宋" w:cs="仿宋"/>
        </w:rPr>
      </w:pPr>
      <w:r>
        <w:rPr>
          <w:rFonts w:eastAsia="仿宋" w:cs="仿宋"/>
          <w:b/>
        </w:rPr>
        <w:t>——</w:t>
      </w:r>
      <w:r>
        <w:rPr>
          <w:rFonts w:hint="eastAsia" w:eastAsia="仿宋" w:cs="仿宋"/>
          <w:b/>
        </w:rPr>
        <w:t>重大战略工程加快实施。</w:t>
      </w:r>
      <w:r>
        <w:rPr>
          <w:rFonts w:hint="eastAsia" w:eastAsia="仿宋" w:cs="仿宋"/>
        </w:rPr>
        <w:t>加快实施引调水工程，争取引调客水，逐步解决木垒县、奇台县、吉木萨尔县城市供水、二三产用水。实施一批中小型水库建设，实现供水能力的有效提升，有力解决水资源时空分布不均的“瓶颈”问题，实现水资源在空间上的合理配置。加快构建以“蓄水为基础、节水为关键、调水为补充”的水利工程布局。</w:t>
      </w:r>
    </w:p>
    <w:p>
      <w:pPr>
        <w:ind w:firstLine="31680"/>
        <w:rPr>
          <w:rFonts w:hint="eastAsia" w:eastAsia="仿宋" w:cs="仿宋"/>
        </w:rPr>
      </w:pPr>
      <w:r>
        <w:rPr>
          <w:rFonts w:eastAsia="仿宋" w:cs="仿宋"/>
          <w:b/>
        </w:rPr>
        <w:t>——</w:t>
      </w:r>
      <w:r>
        <w:rPr>
          <w:rFonts w:hint="eastAsia" w:eastAsia="仿宋" w:cs="仿宋"/>
          <w:b/>
        </w:rPr>
        <w:t>城乡供水安全保障程度明显增强。</w:t>
      </w:r>
      <w:r>
        <w:rPr>
          <w:rFonts w:hint="eastAsia" w:eastAsia="仿宋" w:cs="仿宋"/>
        </w:rPr>
        <w:t>持续推进城乡供水一体化、农村供水规模化标准化建设，全面提高农村饮水安全保障水平，建立“从源头到龙头”的农村饮水安全工程建设和运行管护体系，进一步提高农村集中供水率、自来水普及率、供水保证率和水质达标率。</w:t>
      </w:r>
    </w:p>
    <w:p>
      <w:pPr>
        <w:ind w:firstLine="31680"/>
        <w:rPr>
          <w:rFonts w:eastAsia="仿宋" w:cs="仿宋"/>
          <w:snapToGrid w:val="0"/>
          <w:kern w:val="0"/>
        </w:rPr>
      </w:pPr>
      <w:r>
        <w:rPr>
          <w:rFonts w:eastAsia="仿宋" w:cs="仿宋"/>
          <w:b/>
          <w:kern w:val="0"/>
        </w:rPr>
        <w:t>——</w:t>
      </w:r>
      <w:r>
        <w:rPr>
          <w:rFonts w:hint="eastAsia" w:eastAsia="仿宋" w:cs="仿宋"/>
          <w:b/>
          <w:kern w:val="0"/>
        </w:rPr>
        <w:t>水生态状况明显改善。</w:t>
      </w:r>
      <w:r>
        <w:rPr>
          <w:rFonts w:hint="eastAsia" w:eastAsia="仿宋" w:cs="仿宋"/>
          <w:kern w:val="0"/>
        </w:rPr>
        <w:t>水生态空间得到有效保护，河湖生态廊道加快建设，河湖生态水量有效保障，水生生物多样性逐步恢复。水土流失得到有效控制，使绿洲内和周边的局部区域人为水土流失基本得到遏制。地下水超采得到严格控制，超采区得到有效治理，</w:t>
      </w:r>
      <w:r>
        <w:rPr>
          <w:rFonts w:hint="eastAsia" w:eastAsia="仿宋" w:cs="仿宋"/>
        </w:rPr>
        <w:t>城镇区域全面实现采补平衡。</w:t>
      </w:r>
    </w:p>
    <w:p>
      <w:pPr>
        <w:ind w:firstLine="31680"/>
        <w:rPr>
          <w:rFonts w:eastAsia="仿宋" w:cs="仿宋"/>
          <w:snapToGrid w:val="0"/>
          <w:kern w:val="0"/>
        </w:rPr>
      </w:pPr>
      <w:r>
        <w:rPr>
          <w:rFonts w:eastAsia="仿宋" w:cs="仿宋"/>
          <w:b/>
          <w:kern w:val="0"/>
        </w:rPr>
        <w:t>——</w:t>
      </w:r>
      <w:r>
        <w:rPr>
          <w:rFonts w:hint="eastAsia" w:eastAsia="仿宋" w:cs="仿宋"/>
          <w:b/>
          <w:kern w:val="0"/>
        </w:rPr>
        <w:t>水环境状况明显改善。</w:t>
      </w:r>
      <w:r>
        <w:rPr>
          <w:rFonts w:hint="eastAsia" w:eastAsia="仿宋" w:cs="仿宋"/>
        </w:rPr>
        <w:t>水功能区水质全部达标，饮用水水源地水质达标率达到</w:t>
      </w:r>
      <w:r>
        <w:rPr>
          <w:rFonts w:eastAsia="仿宋" w:cs="仿宋"/>
        </w:rPr>
        <w:t>100%</w:t>
      </w:r>
      <w:r>
        <w:rPr>
          <w:rFonts w:hint="eastAsia" w:eastAsia="仿宋" w:cs="仿宋"/>
        </w:rPr>
        <w:t>。</w:t>
      </w:r>
    </w:p>
    <w:p>
      <w:pPr>
        <w:ind w:firstLine="31680"/>
        <w:rPr>
          <w:rFonts w:eastAsia="仿宋" w:cs="仿宋"/>
          <w:kern w:val="0"/>
          <w:szCs w:val="21"/>
        </w:rPr>
      </w:pPr>
      <w:r>
        <w:rPr>
          <w:rFonts w:eastAsia="仿宋" w:cs="仿宋"/>
          <w:b/>
          <w:kern w:val="0"/>
          <w:szCs w:val="21"/>
        </w:rPr>
        <w:t>——</w:t>
      </w:r>
      <w:r>
        <w:rPr>
          <w:rFonts w:hint="eastAsia" w:eastAsia="仿宋" w:cs="仿宋"/>
          <w:b/>
          <w:kern w:val="0"/>
          <w:szCs w:val="21"/>
        </w:rPr>
        <w:t>水利信息化水平进一步提升。</w:t>
      </w:r>
      <w:r>
        <w:rPr>
          <w:rFonts w:hint="eastAsia" w:eastAsia="仿宋" w:cs="仿宋"/>
        </w:rPr>
        <w:t>以水利信息化带动水利现代化。</w:t>
      </w:r>
      <w:r>
        <w:rPr>
          <w:rFonts w:hint="eastAsia" w:eastAsia="仿宋" w:cs="仿宋"/>
          <w:kern w:val="0"/>
          <w:szCs w:val="21"/>
        </w:rPr>
        <w:t>依托现有水利信息化建设项目，优先推进防汛抗旱、水资源管理、大坝安全监测、河湖管理等智慧建设。</w:t>
      </w:r>
    </w:p>
    <w:p>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（三）水利强监管</w:t>
      </w:r>
    </w:p>
    <w:p>
      <w:pPr>
        <w:ind w:firstLine="31680"/>
        <w:rPr>
          <w:rFonts w:eastAsia="仿宋" w:cs="仿宋"/>
          <w:snapToGrid w:val="0"/>
          <w:kern w:val="0"/>
        </w:rPr>
      </w:pPr>
      <w:r>
        <w:rPr>
          <w:rFonts w:hint="eastAsia" w:eastAsia="仿宋" w:cs="仿宋"/>
          <w:snapToGrid w:val="0"/>
          <w:kern w:val="0"/>
        </w:rPr>
        <w:t>到</w:t>
      </w:r>
      <w:r>
        <w:rPr>
          <w:rFonts w:eastAsia="仿宋" w:cs="仿宋"/>
          <w:snapToGrid w:val="0"/>
          <w:kern w:val="0"/>
        </w:rPr>
        <w:t>2025</w:t>
      </w:r>
      <w:r>
        <w:rPr>
          <w:rFonts w:hint="eastAsia" w:eastAsia="仿宋" w:cs="仿宋"/>
          <w:snapToGrid w:val="0"/>
          <w:kern w:val="0"/>
        </w:rPr>
        <w:t>年，按照“优化、协同、高效”的原则，理顺监督管理体制，重点抓好对河湖、水资源、水利工程、水旱灾害防御、水土流失等工作监管。</w:t>
      </w:r>
    </w:p>
    <w:p>
      <w:pPr>
        <w:ind w:firstLine="31680"/>
        <w:rPr>
          <w:rFonts w:eastAsia="仿宋" w:cs="仿宋"/>
          <w:b/>
          <w:snapToGrid w:val="0"/>
          <w:kern w:val="0"/>
        </w:rPr>
      </w:pPr>
      <w:r>
        <w:rPr>
          <w:rFonts w:eastAsia="仿宋" w:cs="仿宋"/>
          <w:b/>
          <w:snapToGrid w:val="0"/>
          <w:kern w:val="0"/>
        </w:rPr>
        <w:t>1.</w:t>
      </w:r>
      <w:r>
        <w:rPr>
          <w:rFonts w:hint="eastAsia" w:eastAsia="仿宋" w:cs="仿宋"/>
          <w:b/>
          <w:snapToGrid w:val="0"/>
          <w:kern w:val="0"/>
        </w:rPr>
        <w:t>加强水法规制度体系建设</w:t>
      </w:r>
    </w:p>
    <w:p>
      <w:pPr>
        <w:ind w:firstLine="31680"/>
        <w:rPr>
          <w:rFonts w:eastAsia="仿宋" w:cs="仿宋"/>
          <w:snapToGrid w:val="0"/>
          <w:kern w:val="0"/>
        </w:rPr>
      </w:pPr>
      <w:r>
        <w:rPr>
          <w:rFonts w:hint="eastAsia" w:eastAsia="仿宋" w:cs="仿宋"/>
          <w:snapToGrid w:val="0"/>
          <w:kern w:val="0"/>
        </w:rPr>
        <w:t>全面梳理涉水法律法规，修订完善系统完备的规章制度保障体系，构建科学有效的行业监管标准体系。推进水利综合执法改革，加强水行政执法</w:t>
      </w:r>
      <w:r>
        <w:rPr>
          <w:rFonts w:eastAsia="仿宋" w:cs="仿宋"/>
          <w:snapToGrid w:val="0"/>
          <w:kern w:val="0"/>
        </w:rPr>
        <w:t>,</w:t>
      </w:r>
      <w:r>
        <w:rPr>
          <w:rFonts w:hint="eastAsia" w:eastAsia="仿宋" w:cs="仿宋"/>
          <w:snapToGrid w:val="0"/>
          <w:kern w:val="0"/>
        </w:rPr>
        <w:t>维护水法规权威。完善水行政执法制度，加快整合执法职能和执法力量。完善执法工作机制，推进综合执法，加强水行政执法能力建设。完善行政执法程序，提高执法人员素质，加强水法治队伍建设。</w:t>
      </w:r>
    </w:p>
    <w:p>
      <w:pPr>
        <w:ind w:firstLine="31680"/>
        <w:rPr>
          <w:rFonts w:eastAsia="仿宋" w:cs="仿宋"/>
          <w:b/>
          <w:snapToGrid w:val="0"/>
        </w:rPr>
      </w:pPr>
      <w:r>
        <w:rPr>
          <w:rFonts w:eastAsia="仿宋" w:cs="仿宋"/>
          <w:b/>
          <w:snapToGrid w:val="0"/>
        </w:rPr>
        <w:t>2.</w:t>
      </w:r>
      <w:r>
        <w:rPr>
          <w:rFonts w:hint="eastAsia" w:eastAsia="仿宋" w:cs="仿宋"/>
          <w:b/>
          <w:snapToGrid w:val="0"/>
        </w:rPr>
        <w:t>加强水资源监管</w:t>
      </w:r>
    </w:p>
    <w:p>
      <w:pPr>
        <w:ind w:firstLine="31680"/>
        <w:rPr>
          <w:rFonts w:eastAsia="仿宋" w:cs="仿宋"/>
          <w:snapToGrid w:val="0"/>
        </w:rPr>
      </w:pPr>
      <w:r>
        <w:rPr>
          <w:rFonts w:hint="eastAsia" w:eastAsia="仿宋" w:cs="仿宋"/>
          <w:snapToGrid w:val="0"/>
        </w:rPr>
        <w:t>“十四五”期间，坚持“节水优先”，落实新疆节水行动实施方案，按照“把水资源作为最大的刚性约束”的要求，强化水资源监管。出台“强化地下水管控”规范性文件，实施用水统计调查制度，加快调整水文站网布局，强化水资源监测体系建设，组织做好水生态水环境监测评价，加强江河水量分水水文水资源监测与分析。</w:t>
      </w:r>
    </w:p>
    <w:p>
      <w:pPr>
        <w:ind w:firstLine="31680"/>
        <w:rPr>
          <w:rFonts w:eastAsia="仿宋" w:cs="仿宋"/>
          <w:b/>
          <w:snapToGrid w:val="0"/>
        </w:rPr>
      </w:pPr>
      <w:r>
        <w:rPr>
          <w:rFonts w:eastAsia="仿宋" w:cs="仿宋"/>
          <w:b/>
          <w:snapToGrid w:val="0"/>
        </w:rPr>
        <w:t>3.</w:t>
      </w:r>
      <w:r>
        <w:rPr>
          <w:rFonts w:hint="eastAsia" w:eastAsia="仿宋" w:cs="仿宋"/>
          <w:b/>
          <w:snapToGrid w:val="0"/>
        </w:rPr>
        <w:t>强化河湖监管</w:t>
      </w:r>
    </w:p>
    <w:p>
      <w:pPr>
        <w:ind w:firstLine="31680"/>
        <w:rPr>
          <w:rFonts w:eastAsia="仿宋" w:cs="仿宋"/>
        </w:rPr>
      </w:pPr>
      <w:r>
        <w:rPr>
          <w:rFonts w:hint="eastAsia" w:eastAsia="仿宋" w:cs="仿宋"/>
          <w:snapToGrid w:val="0"/>
        </w:rPr>
        <w:t>“十四五”期间，进一步强化河长湖长履职尽责，推动河长制湖长制</w:t>
      </w:r>
      <w:r>
        <w:rPr>
          <w:rFonts w:hint="eastAsia" w:eastAsia="仿宋" w:cs="仿宋"/>
        </w:rPr>
        <w:t>从“有名”、“有实”向“有能”、“有效”提升</w:t>
      </w:r>
      <w:r>
        <w:rPr>
          <w:rFonts w:hint="eastAsia" w:eastAsia="仿宋" w:cs="仿宋"/>
          <w:snapToGrid w:val="0"/>
        </w:rPr>
        <w:t>，促进河湖治理体系和治理能力现</w:t>
      </w:r>
      <w:r>
        <w:rPr>
          <w:rFonts w:hint="eastAsia" w:eastAsia="仿宋" w:cs="仿宋"/>
        </w:rPr>
        <w:t>代化，持续改善河湖面貌。遵照河湖岸线保护与利用及河道采砂管理规划，强化河湖岸线保护利用及河道采砂管理。持续开展河湖“四乱”问题清理整治，河湖“清四乱”工作实现规范化、常态化。加强河道综合整治，严厉打击非法采砂，未编制采砂规划的河道全面实行禁采。实行河湖最低生态基流和最低生态水位保障工作，维系河湖生态健康。</w:t>
      </w:r>
    </w:p>
    <w:p>
      <w:pPr>
        <w:ind w:firstLine="31680"/>
        <w:rPr>
          <w:rFonts w:eastAsia="仿宋" w:cs="仿宋"/>
          <w:b/>
          <w:snapToGrid w:val="0"/>
        </w:rPr>
      </w:pPr>
      <w:r>
        <w:rPr>
          <w:rFonts w:eastAsia="仿宋" w:cs="仿宋"/>
          <w:b/>
          <w:snapToGrid w:val="0"/>
        </w:rPr>
        <w:t>4.</w:t>
      </w:r>
      <w:r>
        <w:rPr>
          <w:rFonts w:hint="eastAsia" w:eastAsia="仿宋" w:cs="仿宋"/>
          <w:b/>
          <w:snapToGrid w:val="0"/>
        </w:rPr>
        <w:t>加强水土保持监管</w:t>
      </w:r>
    </w:p>
    <w:p>
      <w:pPr>
        <w:ind w:firstLine="31680"/>
        <w:rPr>
          <w:rFonts w:eastAsia="仿宋" w:cs="仿宋"/>
          <w:snapToGrid w:val="0"/>
        </w:rPr>
      </w:pPr>
      <w:r>
        <w:rPr>
          <w:rFonts w:hint="eastAsia" w:eastAsia="仿宋" w:cs="仿宋"/>
          <w:snapToGrid w:val="0"/>
        </w:rPr>
        <w:t>“十四五”期间，全面落实生产建设项目水土保持“三同时”制度，健全水土保持方案承诺、区域评估等制度，制定生产建设项目水土保持监测“三色”评价管理办法，建立水土保持信用评价机制，实施联合惩戒</w:t>
      </w:r>
      <w:r>
        <w:rPr>
          <w:rFonts w:eastAsia="仿宋" w:cs="仿宋"/>
          <w:snapToGrid w:val="0"/>
        </w:rPr>
        <w:t>;</w:t>
      </w:r>
      <w:r>
        <w:rPr>
          <w:rFonts w:hint="eastAsia" w:eastAsia="仿宋" w:cs="仿宋"/>
          <w:snapToGrid w:val="0"/>
        </w:rPr>
        <w:t>开展水土保持履职情况逐级督査，确保监管责任落实到位，切实履行生产建设活动监管责任，严肃查处人为水土流失违法违规行为</w:t>
      </w:r>
      <w:r>
        <w:rPr>
          <w:rFonts w:eastAsia="仿宋" w:cs="仿宋"/>
          <w:snapToGrid w:val="0"/>
        </w:rPr>
        <w:t>;</w:t>
      </w:r>
      <w:r>
        <w:rPr>
          <w:rFonts w:hint="eastAsia" w:eastAsia="仿宋" w:cs="仿宋"/>
          <w:snapToGrid w:val="0"/>
        </w:rPr>
        <w:t>继续开展水土流失动态监测，推进监测点优化布局</w:t>
      </w:r>
      <w:r>
        <w:rPr>
          <w:rFonts w:eastAsia="仿宋" w:cs="仿宋"/>
          <w:snapToGrid w:val="0"/>
        </w:rPr>
        <w:t>;</w:t>
      </w:r>
      <w:r>
        <w:rPr>
          <w:rFonts w:hint="eastAsia" w:eastAsia="仿宋" w:cs="仿宋"/>
          <w:snapToGrid w:val="0"/>
        </w:rPr>
        <w:t>抓好人为水土流失卫星遥感常态化监管，组织开展覆盖全区范围的生产建设活动卫星遥感监管，确保人为水土流失违法违规行为都能及时发现并依法查处。</w:t>
      </w:r>
    </w:p>
    <w:p>
      <w:pPr>
        <w:ind w:firstLine="31680"/>
        <w:rPr>
          <w:rFonts w:eastAsia="仿宋" w:cs="仿宋"/>
          <w:b/>
          <w:snapToGrid w:val="0"/>
        </w:rPr>
      </w:pPr>
      <w:r>
        <w:rPr>
          <w:rFonts w:eastAsia="仿宋" w:cs="仿宋"/>
          <w:b/>
          <w:snapToGrid w:val="0"/>
        </w:rPr>
        <w:t>5.</w:t>
      </w:r>
      <w:r>
        <w:rPr>
          <w:rFonts w:hint="eastAsia" w:eastAsia="仿宋" w:cs="仿宋"/>
          <w:b/>
          <w:snapToGrid w:val="0"/>
        </w:rPr>
        <w:t>加强水利工程监管</w:t>
      </w:r>
    </w:p>
    <w:p>
      <w:pPr>
        <w:ind w:firstLine="31680"/>
        <w:rPr>
          <w:rFonts w:eastAsia="仿宋" w:cs="仿宋"/>
          <w:snapToGrid w:val="0"/>
        </w:rPr>
      </w:pPr>
      <w:r>
        <w:rPr>
          <w:rFonts w:hint="eastAsia" w:eastAsia="仿宋" w:cs="仿宋"/>
          <w:snapToGrid w:val="0"/>
        </w:rPr>
        <w:t>“十四五”期间，加强水利工程运行管理，全面落实小型水库防汛“三个责任人”和“三个重点环节”，做好水库专项督査发现问题整改</w:t>
      </w:r>
      <w:r>
        <w:rPr>
          <w:rFonts w:eastAsia="仿宋" w:cs="仿宋"/>
          <w:snapToGrid w:val="0"/>
        </w:rPr>
        <w:t>;</w:t>
      </w:r>
      <w:r>
        <w:rPr>
          <w:rFonts w:hint="eastAsia" w:eastAsia="仿宋" w:cs="仿宋"/>
          <w:snapToGrid w:val="0"/>
        </w:rPr>
        <w:t>加强农村饮水工程运行管理，到</w:t>
      </w:r>
      <w:r>
        <w:rPr>
          <w:rFonts w:eastAsia="仿宋" w:cs="仿宋"/>
          <w:snapToGrid w:val="0"/>
        </w:rPr>
        <w:t>2025</w:t>
      </w:r>
      <w:r>
        <w:rPr>
          <w:rFonts w:hint="eastAsia" w:eastAsia="仿宋" w:cs="仿宋"/>
          <w:snapToGrid w:val="0"/>
        </w:rPr>
        <w:t>年农村集中供水工程收费处数比例和水费收缴率均实现全覆盖</w:t>
      </w:r>
      <w:r>
        <w:rPr>
          <w:rFonts w:eastAsia="仿宋" w:cs="仿宋"/>
          <w:snapToGrid w:val="0"/>
        </w:rPr>
        <w:t>;</w:t>
      </w:r>
      <w:r>
        <w:rPr>
          <w:rFonts w:hint="eastAsia" w:eastAsia="仿宋" w:cs="仿宋"/>
          <w:snapToGrid w:val="0"/>
        </w:rPr>
        <w:t>加强灌区末端运行管理</w:t>
      </w:r>
      <w:r>
        <w:rPr>
          <w:rFonts w:eastAsia="仿宋" w:cs="仿宋"/>
          <w:snapToGrid w:val="0"/>
        </w:rPr>
        <w:t>;</w:t>
      </w:r>
      <w:r>
        <w:rPr>
          <w:rFonts w:hint="eastAsia" w:eastAsia="仿宋" w:cs="仿宋"/>
          <w:snapToGrid w:val="0"/>
        </w:rPr>
        <w:t>深入研究灌区“最后一公里”管理方面的难题。</w:t>
      </w:r>
    </w:p>
    <w:p>
      <w:pPr>
        <w:ind w:firstLine="31680"/>
        <w:rPr>
          <w:rFonts w:eastAsia="仿宋" w:cs="仿宋"/>
          <w:b/>
          <w:snapToGrid w:val="0"/>
        </w:rPr>
      </w:pPr>
      <w:r>
        <w:rPr>
          <w:rFonts w:eastAsia="仿宋" w:cs="仿宋"/>
          <w:b/>
          <w:snapToGrid w:val="0"/>
        </w:rPr>
        <w:t>6.</w:t>
      </w:r>
      <w:r>
        <w:rPr>
          <w:rFonts w:hint="eastAsia" w:eastAsia="仿宋" w:cs="仿宋"/>
          <w:b/>
          <w:snapToGrid w:val="0"/>
        </w:rPr>
        <w:t>加强水早灾害防御监管</w:t>
      </w:r>
    </w:p>
    <w:p>
      <w:pPr>
        <w:ind w:firstLine="31680"/>
        <w:rPr>
          <w:rFonts w:eastAsia="仿宋" w:cs="仿宋"/>
          <w:snapToGrid w:val="0"/>
        </w:rPr>
      </w:pPr>
      <w:r>
        <w:rPr>
          <w:rFonts w:hint="eastAsia" w:eastAsia="仿宋" w:cs="仿宋"/>
          <w:snapToGrid w:val="0"/>
        </w:rPr>
        <w:t>“十四五”期间，加强工程调度监管，加强线上线下全方位监管；继续推进水工程防灾联合调度系统建设，修订完善水工程防洪抗旱联合调度及应急水量调度方案，开展防洪调度演练；抓好监测预报预警，确保山洪灾害监测预警平台运行正常；做好灾害防范应对，深入研究河流特大洪水致灾风险，提出现状防御体系下的应对措施。</w:t>
      </w:r>
    </w:p>
    <w:p>
      <w:pPr>
        <w:ind w:firstLine="31680"/>
        <w:rPr>
          <w:rFonts w:eastAsia="仿宋" w:cs="仿宋"/>
          <w:b/>
          <w:snapToGrid w:val="0"/>
        </w:rPr>
      </w:pPr>
      <w:r>
        <w:rPr>
          <w:rFonts w:eastAsia="仿宋" w:cs="仿宋"/>
          <w:b/>
          <w:snapToGrid w:val="0"/>
        </w:rPr>
        <w:t>7.</w:t>
      </w:r>
      <w:r>
        <w:rPr>
          <w:rFonts w:hint="eastAsia" w:eastAsia="仿宋" w:cs="仿宋"/>
          <w:b/>
          <w:snapToGrid w:val="0"/>
        </w:rPr>
        <w:t>加强重点工程建设监管</w:t>
      </w:r>
    </w:p>
    <w:p>
      <w:pPr>
        <w:ind w:firstLine="31680"/>
        <w:rPr>
          <w:rFonts w:eastAsia="仿宋" w:cs="仿宋"/>
          <w:snapToGrid w:val="0"/>
        </w:rPr>
      </w:pPr>
      <w:r>
        <w:rPr>
          <w:rFonts w:hint="eastAsia" w:eastAsia="仿宋" w:cs="仿宋"/>
          <w:snapToGrid w:val="0"/>
        </w:rPr>
        <w:t>“十四五”期间，按照“部门指导，分级管理，分工负责”原则，切实加强对水利工程建设的监管，认真落实“项目法人负责、监理单位控制、施工单位保证、政府部门监督”四位一体的质量保证制度体系，强化质量、资金、安全督查、巡查，确保工程质量安全、资金安全、生产安全。</w:t>
      </w:r>
    </w:p>
    <w:p>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（四）改革和管理</w:t>
      </w:r>
    </w:p>
    <w:p>
      <w:pPr>
        <w:ind w:firstLine="31680"/>
        <w:rPr>
          <w:rFonts w:eastAsia="仿宋" w:cs="仿宋"/>
          <w:snapToGrid w:val="0"/>
        </w:rPr>
      </w:pPr>
      <w:r>
        <w:rPr>
          <w:rFonts w:hint="eastAsia" w:eastAsia="仿宋" w:cs="仿宋"/>
          <w:snapToGrid w:val="0"/>
        </w:rPr>
        <w:t>加快水利发展的体制改革和机制创新，到</w:t>
      </w:r>
      <w:r>
        <w:rPr>
          <w:rFonts w:eastAsia="仿宋" w:cs="仿宋"/>
          <w:snapToGrid w:val="0"/>
        </w:rPr>
        <w:t>2025</w:t>
      </w:r>
      <w:r>
        <w:rPr>
          <w:rFonts w:hint="eastAsia" w:eastAsia="仿宋" w:cs="仿宋"/>
          <w:snapToGrid w:val="0"/>
        </w:rPr>
        <w:t>年，在农业水价综合改革、水利工程产权、水利投融资机制改革等方面取得突破性成果，加强政策引导，推动形成节水内生动力，加强创新引领，提升水利能力建设水平。</w:t>
      </w:r>
    </w:p>
    <w:p>
      <w:pPr>
        <w:ind w:firstLine="31680"/>
        <w:rPr>
          <w:rFonts w:eastAsia="仿宋" w:cs="仿宋"/>
          <w:snapToGrid w:val="0"/>
        </w:rPr>
      </w:pPr>
      <w:r>
        <w:rPr>
          <w:rFonts w:hint="eastAsia" w:eastAsia="仿宋" w:cs="仿宋"/>
          <w:b/>
          <w:bCs/>
          <w:snapToGrid w:val="0"/>
        </w:rPr>
        <w:t>深化价税改革。</w:t>
      </w:r>
      <w:r>
        <w:rPr>
          <w:rFonts w:hint="eastAsia" w:eastAsia="仿宋" w:cs="仿宋"/>
          <w:snapToGrid w:val="0"/>
        </w:rPr>
        <w:t>深化农业水价综合改革</w:t>
      </w:r>
      <w:r>
        <w:rPr>
          <w:rFonts w:eastAsia="仿宋" w:cs="仿宋"/>
          <w:snapToGrid w:val="0"/>
        </w:rPr>
        <w:t>,</w:t>
      </w:r>
      <w:r>
        <w:rPr>
          <w:rFonts w:hint="eastAsia" w:eastAsia="仿宋" w:cs="仿宋"/>
          <w:snapToGrid w:val="0"/>
        </w:rPr>
        <w:t>充分发水价杠杆作用</w:t>
      </w:r>
      <w:r>
        <w:rPr>
          <w:rFonts w:eastAsia="仿宋" w:cs="仿宋"/>
          <w:snapToGrid w:val="0"/>
        </w:rPr>
        <w:t>,</w:t>
      </w:r>
      <w:r>
        <w:rPr>
          <w:rFonts w:hint="eastAsia" w:eastAsia="仿宋" w:cs="仿宋"/>
          <w:snapToGrid w:val="0"/>
        </w:rPr>
        <w:t>城乡生活用水实行阶梯式水价</w:t>
      </w:r>
      <w:r>
        <w:rPr>
          <w:rFonts w:eastAsia="仿宋" w:cs="仿宋"/>
          <w:snapToGrid w:val="0"/>
        </w:rPr>
        <w:t>,</w:t>
      </w:r>
      <w:r>
        <w:rPr>
          <w:rFonts w:hint="eastAsia" w:eastAsia="仿宋" w:cs="仿宋"/>
          <w:snapToGrid w:val="0"/>
        </w:rPr>
        <w:t>农业用水实行超定额累进加价。</w:t>
      </w:r>
    </w:p>
    <w:p>
      <w:pPr>
        <w:ind w:firstLine="31680"/>
        <w:rPr>
          <w:rFonts w:eastAsia="仿宋" w:cs="仿宋"/>
          <w:snapToGrid w:val="0"/>
        </w:rPr>
      </w:pPr>
      <w:r>
        <w:rPr>
          <w:rFonts w:hint="eastAsia" w:eastAsia="仿宋" w:cs="仿宋"/>
          <w:b/>
          <w:bCs/>
          <w:snapToGrid w:val="0"/>
        </w:rPr>
        <w:t>推动产权改革。</w:t>
      </w:r>
      <w:r>
        <w:rPr>
          <w:rFonts w:hint="eastAsia" w:eastAsia="仿宋" w:cs="仿宋"/>
          <w:snapToGrid w:val="0"/>
        </w:rPr>
        <w:t>探索研究水资源所有权、使用权及使用量，探索多种形式的水权交易。编制小型水利工程产权制度改革实施方案，</w:t>
      </w:r>
      <w:r>
        <w:rPr>
          <w:rFonts w:eastAsia="仿宋" w:cs="仿宋"/>
          <w:snapToGrid w:val="0"/>
        </w:rPr>
        <w:t>2025</w:t>
      </w:r>
      <w:r>
        <w:rPr>
          <w:rFonts w:hint="eastAsia" w:eastAsia="仿宋" w:cs="仿宋"/>
          <w:snapToGrid w:val="0"/>
        </w:rPr>
        <w:t>年底前全面完成小型水利工程管理体制改革，建立健全管护制度，提升水利工程管理效能。</w:t>
      </w:r>
    </w:p>
    <w:p>
      <w:pPr>
        <w:ind w:firstLine="31680"/>
        <w:rPr>
          <w:rFonts w:eastAsia="仿宋" w:cs="仿宋"/>
          <w:snapToGrid w:val="0"/>
        </w:rPr>
      </w:pPr>
      <w:r>
        <w:rPr>
          <w:rFonts w:hint="eastAsia" w:eastAsia="仿宋" w:cs="仿宋"/>
          <w:b/>
          <w:bCs/>
          <w:snapToGrid w:val="0"/>
        </w:rPr>
        <w:t>深化水利投融资机制改革。</w:t>
      </w:r>
      <w:r>
        <w:rPr>
          <w:rFonts w:hint="eastAsia" w:eastAsia="仿宋" w:cs="仿宋"/>
          <w:snapToGrid w:val="0"/>
        </w:rPr>
        <w:t>充分发挥公共财政资金的引导撬动和聚集放大作用</w:t>
      </w:r>
      <w:r>
        <w:rPr>
          <w:rFonts w:eastAsia="仿宋" w:cs="仿宋"/>
          <w:snapToGrid w:val="0"/>
        </w:rPr>
        <w:t>,</w:t>
      </w:r>
      <w:r>
        <w:rPr>
          <w:rFonts w:hint="eastAsia" w:eastAsia="仿宋" w:cs="仿宋"/>
          <w:snapToGrid w:val="0"/>
        </w:rPr>
        <w:t>加大开发性金融支持力度</w:t>
      </w:r>
      <w:r>
        <w:rPr>
          <w:rFonts w:eastAsia="仿宋" w:cs="仿宋"/>
          <w:snapToGrid w:val="0"/>
        </w:rPr>
        <w:t>,</w:t>
      </w:r>
      <w:r>
        <w:rPr>
          <w:rFonts w:hint="eastAsia" w:eastAsia="仿宋" w:cs="仿宋"/>
          <w:snapToGrid w:val="0"/>
        </w:rPr>
        <w:t>坚持公益性和经营性水利建设分离</w:t>
      </w:r>
      <w:r>
        <w:rPr>
          <w:rFonts w:eastAsia="仿宋" w:cs="仿宋"/>
          <w:snapToGrid w:val="0"/>
        </w:rPr>
        <w:t>,</w:t>
      </w:r>
      <w:r>
        <w:rPr>
          <w:rFonts w:hint="eastAsia" w:eastAsia="仿宋" w:cs="仿宋"/>
          <w:snapToGrid w:val="0"/>
        </w:rPr>
        <w:t>创新水利建设投入机制</w:t>
      </w:r>
      <w:r>
        <w:rPr>
          <w:rFonts w:eastAsia="仿宋" w:cs="仿宋"/>
          <w:snapToGrid w:val="0"/>
        </w:rPr>
        <w:t>,</w:t>
      </w:r>
      <w:r>
        <w:rPr>
          <w:rFonts w:hint="eastAsia" w:eastAsia="仿宋" w:cs="仿宋"/>
          <w:snapToGrid w:val="0"/>
        </w:rPr>
        <w:t>通过特许经营等方式</w:t>
      </w:r>
      <w:r>
        <w:rPr>
          <w:rFonts w:eastAsia="仿宋" w:cs="仿宋"/>
          <w:snapToGrid w:val="0"/>
        </w:rPr>
        <w:t>,</w:t>
      </w:r>
      <w:r>
        <w:rPr>
          <w:rFonts w:hint="eastAsia" w:eastAsia="仿宋" w:cs="仿宋"/>
          <w:snapToGrid w:val="0"/>
        </w:rPr>
        <w:t>吸引企业和社会资金参与水利项目建设、管理、运营</w:t>
      </w:r>
      <w:r>
        <w:rPr>
          <w:rFonts w:eastAsia="仿宋" w:cs="仿宋"/>
          <w:snapToGrid w:val="0"/>
        </w:rPr>
        <w:t>,</w:t>
      </w:r>
      <w:r>
        <w:rPr>
          <w:rFonts w:hint="eastAsia" w:eastAsia="仿宋" w:cs="仿宋"/>
          <w:snapToGrid w:val="0"/>
        </w:rPr>
        <w:t>引导经营性水利逐步走向市场</w:t>
      </w:r>
      <w:r>
        <w:rPr>
          <w:rFonts w:eastAsia="仿宋" w:cs="仿宋"/>
          <w:snapToGrid w:val="0"/>
        </w:rPr>
        <w:t>,</w:t>
      </w:r>
      <w:r>
        <w:rPr>
          <w:rFonts w:hint="eastAsia" w:eastAsia="仿宋" w:cs="仿宋"/>
          <w:snapToGrid w:val="0"/>
        </w:rPr>
        <w:t>使水资源变成资本。</w:t>
      </w:r>
    </w:p>
    <w:p>
      <w:pPr>
        <w:ind w:firstLine="31680"/>
        <w:rPr>
          <w:rFonts w:eastAsia="仿宋" w:cs="仿宋"/>
          <w:snapToGrid w:val="0"/>
        </w:rPr>
      </w:pPr>
      <w:r>
        <w:rPr>
          <w:rFonts w:hint="eastAsia" w:eastAsia="仿宋" w:cs="仿宋"/>
          <w:b/>
          <w:bCs/>
          <w:snapToGrid w:val="0"/>
        </w:rPr>
        <w:t>加强节水管理。</w:t>
      </w:r>
      <w:r>
        <w:rPr>
          <w:rFonts w:hint="eastAsia" w:eastAsia="仿宋" w:cs="仿宋"/>
          <w:snapToGrid w:val="0"/>
        </w:rPr>
        <w:t>将农业节水作为节水主战场。全面落实《新疆维吾尔自治区节水行动实施方案》</w:t>
      </w:r>
      <w:r>
        <w:rPr>
          <w:rFonts w:eastAsia="仿宋" w:cs="仿宋"/>
          <w:snapToGrid w:val="0"/>
        </w:rPr>
        <w:t>,</w:t>
      </w:r>
      <w:r>
        <w:rPr>
          <w:rFonts w:hint="eastAsia" w:eastAsia="仿宋" w:cs="仿宋"/>
          <w:snapToGrid w:val="0"/>
        </w:rPr>
        <w:t>加强政策制度的推动作用、市场机制的创新作用</w:t>
      </w:r>
      <w:r>
        <w:rPr>
          <w:rFonts w:eastAsia="仿宋" w:cs="仿宋"/>
          <w:snapToGrid w:val="0"/>
        </w:rPr>
        <w:t>,</w:t>
      </w:r>
      <w:r>
        <w:rPr>
          <w:rFonts w:hint="eastAsia" w:eastAsia="仿宋" w:cs="仿宋"/>
          <w:snapToGrid w:val="0"/>
        </w:rPr>
        <w:t>推动形成全社会节水内生动力，实现县级行政区“县域节水型社会达标建设”目标。</w:t>
      </w:r>
    </w:p>
    <w:p>
      <w:pPr>
        <w:ind w:firstLine="31680"/>
        <w:rPr>
          <w:rFonts w:eastAsia="仿宋" w:cs="仿宋"/>
          <w:snapToGrid w:val="0"/>
        </w:rPr>
      </w:pPr>
      <w:r>
        <w:rPr>
          <w:rFonts w:hint="eastAsia" w:eastAsia="仿宋" w:cs="仿宋"/>
          <w:b/>
          <w:bCs/>
          <w:snapToGrid w:val="0"/>
        </w:rPr>
        <w:t>加强创新</w:t>
      </w:r>
      <w:r>
        <w:rPr>
          <w:rFonts w:eastAsia="仿宋" w:cs="仿宋"/>
          <w:b/>
          <w:bCs/>
          <w:snapToGrid w:val="0"/>
        </w:rPr>
        <w:t>,</w:t>
      </w:r>
      <w:r>
        <w:rPr>
          <w:rFonts w:hint="eastAsia" w:eastAsia="仿宋" w:cs="仿宋"/>
          <w:b/>
          <w:bCs/>
          <w:snapToGrid w:val="0"/>
        </w:rPr>
        <w:t>提升水利能力建设。</w:t>
      </w:r>
      <w:r>
        <w:rPr>
          <w:rFonts w:hint="eastAsia" w:eastAsia="仿宋" w:cs="仿宋"/>
          <w:snapToGrid w:val="0"/>
        </w:rPr>
        <w:t>加强科技创新</w:t>
      </w:r>
      <w:r>
        <w:rPr>
          <w:rFonts w:eastAsia="仿宋" w:cs="仿宋"/>
          <w:snapToGrid w:val="0"/>
        </w:rPr>
        <w:t>,</w:t>
      </w:r>
      <w:r>
        <w:rPr>
          <w:rFonts w:hint="eastAsia" w:eastAsia="仿宋" w:cs="仿宋"/>
          <w:snapToGrid w:val="0"/>
        </w:rPr>
        <w:t>健全水利科技发展体制机制</w:t>
      </w:r>
      <w:r>
        <w:rPr>
          <w:rFonts w:eastAsia="仿宋" w:cs="仿宋"/>
          <w:snapToGrid w:val="0"/>
        </w:rPr>
        <w:t>,</w:t>
      </w:r>
      <w:r>
        <w:rPr>
          <w:rFonts w:hint="eastAsia" w:eastAsia="仿宋" w:cs="仿宋"/>
          <w:snapToGrid w:val="0"/>
        </w:rPr>
        <w:t>加强重大科技问题研究</w:t>
      </w:r>
      <w:r>
        <w:rPr>
          <w:rFonts w:eastAsia="仿宋" w:cs="仿宋"/>
          <w:snapToGrid w:val="0"/>
        </w:rPr>
        <w:t>,</w:t>
      </w:r>
      <w:r>
        <w:rPr>
          <w:rFonts w:hint="eastAsia" w:eastAsia="仿宋" w:cs="仿宋"/>
          <w:snapToGrid w:val="0"/>
        </w:rPr>
        <w:t>增强水利能力建设动力</w:t>
      </w:r>
      <w:r>
        <w:rPr>
          <w:rFonts w:eastAsia="仿宋" w:cs="仿宋"/>
          <w:snapToGrid w:val="0"/>
        </w:rPr>
        <w:t>;</w:t>
      </w:r>
      <w:r>
        <w:rPr>
          <w:rFonts w:hint="eastAsia" w:eastAsia="仿宋" w:cs="仿宋"/>
          <w:snapToGrid w:val="0"/>
        </w:rPr>
        <w:t>创新系统思维</w:t>
      </w:r>
      <w:r>
        <w:rPr>
          <w:rFonts w:eastAsia="仿宋" w:cs="仿宋"/>
          <w:snapToGrid w:val="0"/>
        </w:rPr>
        <w:t>,</w:t>
      </w:r>
      <w:r>
        <w:rPr>
          <w:rFonts w:hint="eastAsia" w:eastAsia="仿宋" w:cs="仿宋"/>
          <w:snapToGrid w:val="0"/>
        </w:rPr>
        <w:t>加强水利重大战略问题、关键技术等研究</w:t>
      </w:r>
      <w:r>
        <w:rPr>
          <w:rFonts w:eastAsia="仿宋" w:cs="仿宋"/>
          <w:snapToGrid w:val="0"/>
        </w:rPr>
        <w:t>,</w:t>
      </w:r>
      <w:r>
        <w:rPr>
          <w:rFonts w:hint="eastAsia" w:eastAsia="仿宋" w:cs="仿宋"/>
          <w:snapToGrid w:val="0"/>
        </w:rPr>
        <w:t>探索系统治水新途径</w:t>
      </w:r>
      <w:r>
        <w:rPr>
          <w:rFonts w:eastAsia="仿宋" w:cs="仿宋"/>
          <w:snapToGrid w:val="0"/>
        </w:rPr>
        <w:t>,</w:t>
      </w:r>
      <w:r>
        <w:rPr>
          <w:rFonts w:hint="eastAsia" w:eastAsia="仿宋" w:cs="仿宋"/>
          <w:snapToGrid w:val="0"/>
        </w:rPr>
        <w:t>推动水治理管理、效率、动力变革</w:t>
      </w:r>
      <w:r>
        <w:rPr>
          <w:rFonts w:eastAsia="仿宋" w:cs="仿宋"/>
          <w:snapToGrid w:val="0"/>
        </w:rPr>
        <w:t>,</w:t>
      </w:r>
      <w:r>
        <w:rPr>
          <w:rFonts w:hint="eastAsia" w:eastAsia="仿宋" w:cs="仿宋"/>
          <w:snapToGrid w:val="0"/>
        </w:rPr>
        <w:t>促进水利能力建设升级转型</w:t>
      </w:r>
      <w:r>
        <w:rPr>
          <w:rFonts w:eastAsia="仿宋" w:cs="仿宋"/>
          <w:snapToGrid w:val="0"/>
        </w:rPr>
        <w:t>;</w:t>
      </w:r>
      <w:r>
        <w:rPr>
          <w:rFonts w:hint="eastAsia" w:eastAsia="仿宋" w:cs="仿宋"/>
          <w:snapToGrid w:val="0"/>
        </w:rPr>
        <w:t>加强水利信息化建设</w:t>
      </w:r>
      <w:r>
        <w:rPr>
          <w:rFonts w:eastAsia="仿宋" w:cs="仿宋"/>
          <w:snapToGrid w:val="0"/>
        </w:rPr>
        <w:t>,</w:t>
      </w:r>
      <w:r>
        <w:rPr>
          <w:rFonts w:hint="eastAsia" w:eastAsia="仿宋" w:cs="仿宋"/>
          <w:snapToGrid w:val="0"/>
        </w:rPr>
        <w:t>驱动智慧水利，全面提升水利能力建设水平</w:t>
      </w:r>
      <w:r>
        <w:rPr>
          <w:rFonts w:eastAsia="仿宋" w:cs="仿宋"/>
          <w:snapToGrid w:val="0"/>
        </w:rPr>
        <w:t>;</w:t>
      </w:r>
      <w:r>
        <w:rPr>
          <w:rFonts w:hint="eastAsia" w:eastAsia="仿宋" w:cs="仿宋"/>
          <w:snapToGrid w:val="0"/>
        </w:rPr>
        <w:t>建立健全水利科技人才培养和引进机制，完善人才队伍建设，保障水利能力水平提升。</w:t>
      </w:r>
    </w:p>
    <w:p>
      <w:pPr>
        <w:pStyle w:val="90"/>
        <w:rPr>
          <w:rFonts w:ascii="仿宋" w:hAnsi="仿宋" w:eastAsia="仿宋" w:cs="仿宋"/>
        </w:rPr>
      </w:pPr>
      <w:r>
        <w:rPr>
          <w:rFonts w:hint="eastAsia" w:ascii="仿宋" w:hAnsi="仿宋" w:eastAsia="仿宋" w:cs="仿宋"/>
        </w:rPr>
        <w:t>昌吉州水利“十四五”发展目标体系表</w:t>
      </w:r>
    </w:p>
    <w:p>
      <w:pPr>
        <w:pStyle w:val="94"/>
        <w:ind w:firstLine="31680"/>
        <w:rPr>
          <w:rFonts w:ascii="仿宋" w:hAnsi="仿宋" w:eastAsia="仿宋" w:cs="仿宋"/>
          <w:snapToGrid w:val="0"/>
        </w:rPr>
      </w:pPr>
      <w:r>
        <w:rPr>
          <w:rFonts w:hint="eastAsia" w:ascii="仿宋" w:hAnsi="仿宋" w:eastAsia="仿宋" w:cs="仿宋"/>
          <w:snapToGrid w:val="0"/>
        </w:rPr>
        <w:t>表</w:t>
      </w:r>
      <w:r>
        <w:rPr>
          <w:rFonts w:ascii="仿宋" w:hAnsi="仿宋" w:eastAsia="仿宋" w:cs="仿宋"/>
          <w:snapToGrid w:val="0"/>
        </w:rPr>
        <w:t>2.5-1</w:t>
      </w:r>
    </w:p>
    <w:tbl>
      <w:tblPr>
        <w:tblStyle w:val="45"/>
        <w:tblW w:w="8528" w:type="dxa"/>
        <w:tblInd w:w="0" w:type="dxa"/>
        <w:tblLayout w:type="fixed"/>
        <w:tblCellMar>
          <w:top w:w="0" w:type="dxa"/>
          <w:left w:w="108" w:type="dxa"/>
          <w:bottom w:w="0" w:type="dxa"/>
          <w:right w:w="108" w:type="dxa"/>
        </w:tblCellMar>
      </w:tblPr>
      <w:tblGrid>
        <w:gridCol w:w="1242"/>
        <w:gridCol w:w="709"/>
        <w:gridCol w:w="2268"/>
        <w:gridCol w:w="992"/>
        <w:gridCol w:w="1276"/>
        <w:gridCol w:w="1285"/>
        <w:gridCol w:w="756"/>
      </w:tblGrid>
      <w:tr>
        <w:tblPrEx>
          <w:tblLayout w:type="fixed"/>
          <w:tblCellMar>
            <w:top w:w="0" w:type="dxa"/>
            <w:left w:w="108" w:type="dxa"/>
            <w:bottom w:w="0" w:type="dxa"/>
            <w:right w:w="108" w:type="dxa"/>
          </w:tblCellMar>
        </w:tblPrEx>
        <w:trPr>
          <w:trHeight w:val="270" w:hRule="atLeast"/>
        </w:trPr>
        <w:tc>
          <w:tcPr>
            <w:tcW w:w="1242" w:type="dxa"/>
            <w:tcBorders>
              <w:top w:val="single" w:color="auto" w:sz="4" w:space="0"/>
              <w:left w:val="single" w:color="auto" w:sz="4" w:space="0"/>
              <w:bottom w:val="single" w:color="auto" w:sz="4" w:space="0"/>
              <w:right w:val="single" w:color="auto" w:sz="4" w:space="0"/>
            </w:tcBorders>
            <w:noWrap/>
            <w:vAlign w:val="center"/>
          </w:tcPr>
          <w:p>
            <w:pPr>
              <w:pStyle w:val="162"/>
              <w:rPr>
                <w:rFonts w:ascii="仿宋" w:hAnsi="仿宋" w:eastAsia="仿宋" w:cs="仿宋"/>
                <w:b/>
              </w:rPr>
            </w:pPr>
            <w:r>
              <w:rPr>
                <w:rFonts w:hint="eastAsia" w:ascii="仿宋" w:hAnsi="仿宋" w:eastAsia="仿宋" w:cs="仿宋"/>
                <w:b/>
              </w:rPr>
              <w:t>目标领域</w:t>
            </w:r>
          </w:p>
        </w:tc>
        <w:tc>
          <w:tcPr>
            <w:tcW w:w="709" w:type="dxa"/>
            <w:tcBorders>
              <w:top w:val="single" w:color="auto" w:sz="4" w:space="0"/>
              <w:left w:val="nil"/>
              <w:bottom w:val="single" w:color="auto" w:sz="4" w:space="0"/>
              <w:right w:val="single" w:color="auto" w:sz="4" w:space="0"/>
            </w:tcBorders>
            <w:vAlign w:val="center"/>
          </w:tcPr>
          <w:p>
            <w:pPr>
              <w:pStyle w:val="162"/>
              <w:rPr>
                <w:rFonts w:ascii="仿宋" w:hAnsi="仿宋" w:eastAsia="仿宋" w:cs="仿宋"/>
                <w:b/>
              </w:rPr>
            </w:pPr>
            <w:r>
              <w:rPr>
                <w:rFonts w:hint="eastAsia" w:ascii="仿宋" w:hAnsi="仿宋" w:eastAsia="仿宋" w:cs="仿宋"/>
                <w:b/>
              </w:rPr>
              <w:t>序号</w:t>
            </w:r>
          </w:p>
        </w:tc>
        <w:tc>
          <w:tcPr>
            <w:tcW w:w="2268" w:type="dxa"/>
            <w:tcBorders>
              <w:top w:val="single" w:color="auto" w:sz="4" w:space="0"/>
              <w:left w:val="nil"/>
              <w:bottom w:val="single" w:color="auto" w:sz="4" w:space="0"/>
              <w:right w:val="single" w:color="auto" w:sz="4" w:space="0"/>
            </w:tcBorders>
            <w:vAlign w:val="center"/>
          </w:tcPr>
          <w:p>
            <w:pPr>
              <w:pStyle w:val="162"/>
              <w:rPr>
                <w:rFonts w:ascii="仿宋" w:hAnsi="仿宋" w:eastAsia="仿宋" w:cs="仿宋"/>
                <w:b/>
              </w:rPr>
            </w:pPr>
            <w:r>
              <w:rPr>
                <w:rFonts w:hint="eastAsia" w:ascii="仿宋" w:hAnsi="仿宋" w:eastAsia="仿宋" w:cs="仿宋"/>
                <w:b/>
              </w:rPr>
              <w:t>主要指标</w:t>
            </w:r>
          </w:p>
        </w:tc>
        <w:tc>
          <w:tcPr>
            <w:tcW w:w="992" w:type="dxa"/>
            <w:tcBorders>
              <w:top w:val="single" w:color="auto" w:sz="4" w:space="0"/>
              <w:left w:val="nil"/>
              <w:bottom w:val="single" w:color="auto" w:sz="4" w:space="0"/>
              <w:right w:val="single" w:color="auto" w:sz="4" w:space="0"/>
            </w:tcBorders>
            <w:vAlign w:val="center"/>
          </w:tcPr>
          <w:p>
            <w:pPr>
              <w:pStyle w:val="162"/>
              <w:rPr>
                <w:rFonts w:ascii="仿宋" w:hAnsi="仿宋" w:eastAsia="仿宋" w:cs="仿宋"/>
                <w:b/>
              </w:rPr>
            </w:pPr>
            <w:r>
              <w:rPr>
                <w:rFonts w:ascii="仿宋" w:hAnsi="仿宋" w:eastAsia="仿宋" w:cs="仿宋"/>
                <w:b/>
              </w:rPr>
              <w:t>2020</w:t>
            </w:r>
            <w:r>
              <w:rPr>
                <w:rFonts w:hint="eastAsia" w:ascii="仿宋" w:hAnsi="仿宋" w:eastAsia="仿宋" w:cs="仿宋"/>
                <w:b/>
              </w:rPr>
              <w:t>年完成情况</w:t>
            </w:r>
          </w:p>
        </w:tc>
        <w:tc>
          <w:tcPr>
            <w:tcW w:w="1276" w:type="dxa"/>
            <w:tcBorders>
              <w:top w:val="single" w:color="auto" w:sz="4" w:space="0"/>
              <w:left w:val="nil"/>
              <w:bottom w:val="single" w:color="auto" w:sz="4" w:space="0"/>
              <w:right w:val="single" w:color="auto" w:sz="4" w:space="0"/>
            </w:tcBorders>
            <w:vAlign w:val="center"/>
          </w:tcPr>
          <w:p>
            <w:pPr>
              <w:pStyle w:val="162"/>
              <w:rPr>
                <w:rFonts w:ascii="仿宋" w:hAnsi="仿宋" w:eastAsia="仿宋" w:cs="仿宋"/>
                <w:b/>
              </w:rPr>
            </w:pPr>
            <w:r>
              <w:rPr>
                <w:rFonts w:hint="eastAsia" w:ascii="仿宋" w:hAnsi="仿宋" w:eastAsia="仿宋" w:cs="仿宋"/>
                <w:b/>
              </w:rPr>
              <w:t>“十四五”规划指标</w:t>
            </w:r>
          </w:p>
        </w:tc>
        <w:tc>
          <w:tcPr>
            <w:tcW w:w="1285" w:type="dxa"/>
            <w:tcBorders>
              <w:top w:val="single" w:color="auto" w:sz="4" w:space="0"/>
              <w:left w:val="nil"/>
              <w:bottom w:val="single" w:color="auto" w:sz="4" w:space="0"/>
              <w:right w:val="single" w:color="auto" w:sz="4" w:space="0"/>
            </w:tcBorders>
            <w:vAlign w:val="center"/>
          </w:tcPr>
          <w:p>
            <w:pPr>
              <w:pStyle w:val="162"/>
              <w:rPr>
                <w:rFonts w:ascii="仿宋" w:hAnsi="仿宋" w:eastAsia="仿宋" w:cs="仿宋"/>
                <w:b/>
              </w:rPr>
            </w:pPr>
            <w:r>
              <w:rPr>
                <w:rFonts w:hint="eastAsia" w:ascii="仿宋" w:hAnsi="仿宋" w:eastAsia="仿宋" w:cs="仿宋"/>
                <w:b/>
              </w:rPr>
              <w:t>备注</w:t>
            </w:r>
          </w:p>
        </w:tc>
        <w:tc>
          <w:tcPr>
            <w:tcW w:w="756" w:type="dxa"/>
            <w:tcBorders>
              <w:top w:val="single" w:color="auto" w:sz="4" w:space="0"/>
              <w:left w:val="nil"/>
              <w:bottom w:val="single" w:color="auto" w:sz="4" w:space="0"/>
              <w:right w:val="single" w:color="auto" w:sz="4" w:space="0"/>
            </w:tcBorders>
            <w:vAlign w:val="center"/>
          </w:tcPr>
          <w:p>
            <w:pPr>
              <w:pStyle w:val="162"/>
              <w:rPr>
                <w:rFonts w:ascii="仿宋" w:hAnsi="仿宋" w:eastAsia="仿宋" w:cs="仿宋"/>
                <w:b/>
              </w:rPr>
            </w:pPr>
            <w:r>
              <w:rPr>
                <w:rFonts w:hint="eastAsia" w:ascii="仿宋" w:hAnsi="仿宋" w:eastAsia="仿宋" w:cs="仿宋"/>
                <w:b/>
              </w:rPr>
              <w:t>性质</w:t>
            </w:r>
          </w:p>
        </w:tc>
      </w:tr>
      <w:tr>
        <w:tblPrEx>
          <w:tblLayout w:type="fixed"/>
          <w:tblCellMar>
            <w:top w:w="0" w:type="dxa"/>
            <w:left w:w="108" w:type="dxa"/>
            <w:bottom w:w="0" w:type="dxa"/>
            <w:right w:w="108" w:type="dxa"/>
          </w:tblCellMar>
        </w:tblPrEx>
        <w:trPr>
          <w:trHeight w:val="270" w:hRule="atLeast"/>
        </w:trPr>
        <w:tc>
          <w:tcPr>
            <w:tcW w:w="1242" w:type="dxa"/>
            <w:vMerge w:val="restart"/>
            <w:tcBorders>
              <w:top w:val="nil"/>
              <w:left w:val="single" w:color="auto" w:sz="4" w:space="0"/>
              <w:bottom w:val="single" w:color="auto" w:sz="4" w:space="0"/>
              <w:right w:val="single" w:color="auto" w:sz="4" w:space="0"/>
            </w:tcBorders>
            <w:noWrap/>
            <w:vAlign w:val="center"/>
          </w:tcPr>
          <w:p>
            <w:pPr>
              <w:pStyle w:val="162"/>
              <w:rPr>
                <w:rFonts w:ascii="仿宋" w:hAnsi="仿宋" w:eastAsia="仿宋" w:cs="仿宋"/>
              </w:rPr>
            </w:pPr>
            <w:r>
              <w:rPr>
                <w:rFonts w:hint="eastAsia" w:ascii="仿宋" w:hAnsi="仿宋" w:eastAsia="仿宋" w:cs="仿宋"/>
              </w:rPr>
              <w:t>水资源节约集约利用</w:t>
            </w:r>
          </w:p>
        </w:tc>
        <w:tc>
          <w:tcPr>
            <w:tcW w:w="709" w:type="dxa"/>
            <w:tcBorders>
              <w:top w:val="nil"/>
              <w:left w:val="nil"/>
              <w:bottom w:val="single" w:color="auto" w:sz="4" w:space="0"/>
              <w:right w:val="single" w:color="auto" w:sz="4" w:space="0"/>
            </w:tcBorders>
            <w:vAlign w:val="center"/>
          </w:tcPr>
          <w:p>
            <w:pPr>
              <w:pStyle w:val="162"/>
              <w:rPr>
                <w:rFonts w:ascii="仿宋" w:hAnsi="仿宋" w:eastAsia="仿宋" w:cs="仿宋"/>
              </w:rPr>
            </w:pPr>
            <w:r>
              <w:rPr>
                <w:rFonts w:ascii="仿宋" w:hAnsi="仿宋" w:eastAsia="仿宋" w:cs="仿宋"/>
              </w:rPr>
              <w:t>1</w:t>
            </w:r>
          </w:p>
        </w:tc>
        <w:tc>
          <w:tcPr>
            <w:tcW w:w="2268" w:type="dxa"/>
            <w:tcBorders>
              <w:top w:val="nil"/>
              <w:left w:val="nil"/>
              <w:bottom w:val="single" w:color="auto" w:sz="4" w:space="0"/>
              <w:right w:val="single" w:color="auto" w:sz="4" w:space="0"/>
            </w:tcBorders>
            <w:vAlign w:val="center"/>
          </w:tcPr>
          <w:p>
            <w:pPr>
              <w:pStyle w:val="162"/>
              <w:rPr>
                <w:rFonts w:ascii="仿宋" w:hAnsi="仿宋" w:eastAsia="仿宋" w:cs="仿宋"/>
              </w:rPr>
            </w:pPr>
            <w:r>
              <w:rPr>
                <w:rFonts w:hint="eastAsia" w:ascii="仿宋" w:hAnsi="仿宋" w:eastAsia="仿宋" w:cs="仿宋"/>
              </w:rPr>
              <w:t>用水总量（亿</w:t>
            </w:r>
            <w:r>
              <w:rPr>
                <w:rFonts w:ascii="仿宋" w:hAnsi="仿宋" w:eastAsia="仿宋" w:cs="仿宋"/>
              </w:rPr>
              <w:t>m</w:t>
            </w:r>
            <w:r>
              <w:rPr>
                <w:rFonts w:ascii="仿宋" w:hAnsi="仿宋" w:eastAsia="仿宋" w:cs="仿宋"/>
                <w:vertAlign w:val="superscript"/>
              </w:rPr>
              <w:t>3</w:t>
            </w:r>
            <w:r>
              <w:rPr>
                <w:rFonts w:hint="eastAsia" w:ascii="仿宋" w:hAnsi="仿宋" w:eastAsia="仿宋" w:cs="仿宋"/>
              </w:rPr>
              <w:t>）</w:t>
            </w:r>
          </w:p>
        </w:tc>
        <w:tc>
          <w:tcPr>
            <w:tcW w:w="992" w:type="dxa"/>
            <w:tcBorders>
              <w:top w:val="nil"/>
              <w:left w:val="nil"/>
              <w:bottom w:val="single" w:color="auto" w:sz="4" w:space="0"/>
              <w:right w:val="single" w:color="auto" w:sz="4" w:space="0"/>
            </w:tcBorders>
            <w:vAlign w:val="center"/>
          </w:tcPr>
          <w:p>
            <w:pPr>
              <w:pStyle w:val="162"/>
              <w:rPr>
                <w:rFonts w:ascii="仿宋" w:hAnsi="仿宋" w:eastAsia="仿宋" w:cs="仿宋"/>
              </w:rPr>
            </w:pPr>
            <w:r>
              <w:rPr>
                <w:rFonts w:ascii="仿宋" w:hAnsi="仿宋" w:eastAsia="仿宋" w:cs="仿宋"/>
              </w:rPr>
              <w:t>25.48</w:t>
            </w:r>
          </w:p>
        </w:tc>
        <w:tc>
          <w:tcPr>
            <w:tcW w:w="1276" w:type="dxa"/>
            <w:tcBorders>
              <w:top w:val="nil"/>
              <w:left w:val="nil"/>
              <w:bottom w:val="single" w:color="auto" w:sz="4" w:space="0"/>
              <w:right w:val="single" w:color="auto" w:sz="4" w:space="0"/>
            </w:tcBorders>
            <w:vAlign w:val="center"/>
          </w:tcPr>
          <w:p>
            <w:pPr>
              <w:pStyle w:val="162"/>
              <w:rPr>
                <w:rFonts w:ascii="仿宋" w:hAnsi="仿宋" w:eastAsia="仿宋" w:cs="仿宋"/>
              </w:rPr>
            </w:pPr>
            <w:r>
              <w:rPr>
                <w:rFonts w:ascii="仿宋" w:hAnsi="仿宋" w:eastAsia="仿宋" w:cs="仿宋"/>
              </w:rPr>
              <w:t>[24.26]</w:t>
            </w:r>
          </w:p>
        </w:tc>
        <w:tc>
          <w:tcPr>
            <w:tcW w:w="1285" w:type="dxa"/>
            <w:tcBorders>
              <w:top w:val="nil"/>
              <w:left w:val="nil"/>
              <w:bottom w:val="single" w:color="auto" w:sz="4" w:space="0"/>
              <w:right w:val="single" w:color="auto" w:sz="4" w:space="0"/>
            </w:tcBorders>
            <w:vAlign w:val="center"/>
          </w:tcPr>
          <w:p>
            <w:pPr>
              <w:pStyle w:val="162"/>
              <w:rPr>
                <w:rFonts w:ascii="仿宋" w:hAnsi="仿宋" w:eastAsia="仿宋" w:cs="仿宋"/>
              </w:rPr>
            </w:pPr>
            <w:r>
              <w:rPr>
                <w:rFonts w:hint="eastAsia" w:ascii="仿宋" w:hAnsi="仿宋" w:eastAsia="仿宋" w:cs="仿宋"/>
              </w:rPr>
              <w:t>　</w:t>
            </w:r>
          </w:p>
        </w:tc>
        <w:tc>
          <w:tcPr>
            <w:tcW w:w="756" w:type="dxa"/>
            <w:vMerge w:val="restart"/>
            <w:tcBorders>
              <w:top w:val="nil"/>
              <w:left w:val="single" w:color="auto" w:sz="4" w:space="0"/>
              <w:bottom w:val="single" w:color="auto" w:sz="4" w:space="0"/>
              <w:right w:val="single" w:color="auto" w:sz="4" w:space="0"/>
            </w:tcBorders>
            <w:noWrap/>
            <w:vAlign w:val="center"/>
          </w:tcPr>
          <w:p>
            <w:pPr>
              <w:pStyle w:val="162"/>
              <w:rPr>
                <w:rFonts w:ascii="仿宋" w:hAnsi="仿宋" w:eastAsia="仿宋" w:cs="仿宋"/>
              </w:rPr>
            </w:pPr>
            <w:r>
              <w:rPr>
                <w:rFonts w:hint="eastAsia" w:ascii="仿宋" w:hAnsi="仿宋" w:eastAsia="仿宋" w:cs="仿宋"/>
              </w:rPr>
              <w:t>约束性</w:t>
            </w:r>
          </w:p>
        </w:tc>
      </w:tr>
      <w:tr>
        <w:tblPrEx>
          <w:tblLayout w:type="fixed"/>
          <w:tblCellMar>
            <w:top w:w="0" w:type="dxa"/>
            <w:left w:w="108" w:type="dxa"/>
            <w:bottom w:w="0" w:type="dxa"/>
            <w:right w:w="108" w:type="dxa"/>
          </w:tblCellMar>
        </w:tblPrEx>
        <w:trPr>
          <w:trHeight w:val="270" w:hRule="atLeast"/>
        </w:trPr>
        <w:tc>
          <w:tcPr>
            <w:tcW w:w="1242" w:type="dxa"/>
            <w:vMerge w:val="continue"/>
            <w:tcBorders>
              <w:top w:val="nil"/>
              <w:left w:val="single" w:color="auto" w:sz="4" w:space="0"/>
              <w:bottom w:val="single" w:color="auto" w:sz="4" w:space="0"/>
              <w:right w:val="single" w:color="auto" w:sz="4" w:space="0"/>
            </w:tcBorders>
            <w:vAlign w:val="center"/>
          </w:tcPr>
          <w:p>
            <w:pPr>
              <w:pStyle w:val="162"/>
              <w:rPr>
                <w:rFonts w:ascii="仿宋" w:hAnsi="仿宋" w:eastAsia="仿宋" w:cs="仿宋"/>
              </w:rPr>
            </w:pPr>
          </w:p>
        </w:tc>
        <w:tc>
          <w:tcPr>
            <w:tcW w:w="709" w:type="dxa"/>
            <w:tcBorders>
              <w:top w:val="nil"/>
              <w:left w:val="nil"/>
              <w:bottom w:val="single" w:color="auto" w:sz="4" w:space="0"/>
              <w:right w:val="single" w:color="auto" w:sz="4" w:space="0"/>
            </w:tcBorders>
            <w:vAlign w:val="center"/>
          </w:tcPr>
          <w:p>
            <w:pPr>
              <w:pStyle w:val="162"/>
              <w:rPr>
                <w:rFonts w:ascii="仿宋" w:hAnsi="仿宋" w:eastAsia="仿宋" w:cs="仿宋"/>
              </w:rPr>
            </w:pPr>
            <w:r>
              <w:rPr>
                <w:rFonts w:ascii="仿宋" w:hAnsi="仿宋" w:eastAsia="仿宋" w:cs="仿宋"/>
              </w:rPr>
              <w:t>2</w:t>
            </w:r>
          </w:p>
        </w:tc>
        <w:tc>
          <w:tcPr>
            <w:tcW w:w="2268" w:type="dxa"/>
            <w:tcBorders>
              <w:top w:val="nil"/>
              <w:left w:val="nil"/>
              <w:bottom w:val="single" w:color="auto" w:sz="4" w:space="0"/>
              <w:right w:val="single" w:color="auto" w:sz="4" w:space="0"/>
            </w:tcBorders>
            <w:vAlign w:val="center"/>
          </w:tcPr>
          <w:p>
            <w:pPr>
              <w:pStyle w:val="162"/>
              <w:rPr>
                <w:rFonts w:ascii="仿宋" w:hAnsi="仿宋" w:eastAsia="仿宋" w:cs="仿宋"/>
              </w:rPr>
            </w:pPr>
            <w:r>
              <w:rPr>
                <w:rFonts w:hint="eastAsia" w:ascii="仿宋" w:hAnsi="仿宋" w:eastAsia="仿宋" w:cs="仿宋"/>
              </w:rPr>
              <w:t>地下水控制开采量</w:t>
            </w:r>
          </w:p>
          <w:p>
            <w:pPr>
              <w:pStyle w:val="162"/>
              <w:rPr>
                <w:rFonts w:ascii="仿宋" w:hAnsi="仿宋" w:eastAsia="仿宋" w:cs="仿宋"/>
              </w:rPr>
            </w:pPr>
            <w:r>
              <w:rPr>
                <w:rFonts w:hint="eastAsia" w:ascii="仿宋" w:hAnsi="仿宋" w:eastAsia="仿宋" w:cs="仿宋"/>
              </w:rPr>
              <w:t>（亿</w:t>
            </w:r>
            <w:r>
              <w:rPr>
                <w:rFonts w:ascii="仿宋" w:hAnsi="仿宋" w:eastAsia="仿宋" w:cs="仿宋"/>
              </w:rPr>
              <w:t>m</w:t>
            </w:r>
            <w:r>
              <w:rPr>
                <w:rFonts w:ascii="仿宋" w:hAnsi="仿宋" w:eastAsia="仿宋" w:cs="仿宋"/>
                <w:vertAlign w:val="superscript"/>
              </w:rPr>
              <w:t>3</w:t>
            </w:r>
            <w:r>
              <w:rPr>
                <w:rFonts w:hint="eastAsia" w:ascii="仿宋" w:hAnsi="仿宋" w:eastAsia="仿宋" w:cs="仿宋"/>
              </w:rPr>
              <w:t>）</w:t>
            </w:r>
          </w:p>
        </w:tc>
        <w:tc>
          <w:tcPr>
            <w:tcW w:w="992" w:type="dxa"/>
            <w:tcBorders>
              <w:top w:val="nil"/>
              <w:left w:val="nil"/>
              <w:bottom w:val="single" w:color="auto" w:sz="4" w:space="0"/>
              <w:right w:val="single" w:color="auto" w:sz="4" w:space="0"/>
            </w:tcBorders>
            <w:vAlign w:val="center"/>
          </w:tcPr>
          <w:p>
            <w:pPr>
              <w:pStyle w:val="162"/>
              <w:rPr>
                <w:rFonts w:ascii="仿宋" w:hAnsi="仿宋" w:eastAsia="仿宋" w:cs="仿宋"/>
              </w:rPr>
            </w:pPr>
            <w:r>
              <w:rPr>
                <w:rFonts w:ascii="仿宋" w:hAnsi="仿宋" w:eastAsia="仿宋" w:cs="仿宋"/>
              </w:rPr>
              <w:t>9.39</w:t>
            </w:r>
          </w:p>
        </w:tc>
        <w:tc>
          <w:tcPr>
            <w:tcW w:w="1276" w:type="dxa"/>
            <w:tcBorders>
              <w:top w:val="nil"/>
              <w:left w:val="nil"/>
              <w:bottom w:val="single" w:color="auto" w:sz="4" w:space="0"/>
              <w:right w:val="single" w:color="auto" w:sz="4" w:space="0"/>
            </w:tcBorders>
            <w:vAlign w:val="center"/>
          </w:tcPr>
          <w:p>
            <w:pPr>
              <w:pStyle w:val="162"/>
              <w:rPr>
                <w:rFonts w:ascii="仿宋" w:hAnsi="仿宋" w:eastAsia="仿宋" w:cs="仿宋"/>
              </w:rPr>
            </w:pPr>
            <w:r>
              <w:rPr>
                <w:rFonts w:ascii="仿宋" w:hAnsi="仿宋" w:eastAsia="仿宋" w:cs="仿宋"/>
              </w:rPr>
              <w:t>[7.64]</w:t>
            </w:r>
          </w:p>
        </w:tc>
        <w:tc>
          <w:tcPr>
            <w:tcW w:w="1285" w:type="dxa"/>
            <w:tcBorders>
              <w:top w:val="nil"/>
              <w:left w:val="nil"/>
              <w:bottom w:val="single" w:color="auto" w:sz="4" w:space="0"/>
              <w:right w:val="single" w:color="auto" w:sz="4" w:space="0"/>
            </w:tcBorders>
            <w:vAlign w:val="center"/>
          </w:tcPr>
          <w:p>
            <w:pPr>
              <w:pStyle w:val="162"/>
              <w:rPr>
                <w:rFonts w:ascii="仿宋" w:hAnsi="仿宋" w:eastAsia="仿宋" w:cs="仿宋"/>
              </w:rPr>
            </w:pPr>
            <w:r>
              <w:rPr>
                <w:rFonts w:hint="eastAsia" w:ascii="仿宋" w:hAnsi="仿宋" w:eastAsia="仿宋" w:cs="仿宋"/>
              </w:rPr>
              <w:t>　</w:t>
            </w:r>
          </w:p>
        </w:tc>
        <w:tc>
          <w:tcPr>
            <w:tcW w:w="756" w:type="dxa"/>
            <w:vMerge w:val="continue"/>
            <w:tcBorders>
              <w:top w:val="nil"/>
              <w:left w:val="single" w:color="auto" w:sz="4" w:space="0"/>
              <w:bottom w:val="single" w:color="auto" w:sz="4" w:space="0"/>
              <w:right w:val="single" w:color="auto" w:sz="4" w:space="0"/>
            </w:tcBorders>
            <w:vAlign w:val="center"/>
          </w:tcPr>
          <w:p>
            <w:pPr>
              <w:pStyle w:val="162"/>
              <w:rPr>
                <w:rFonts w:ascii="仿宋" w:hAnsi="仿宋" w:eastAsia="仿宋" w:cs="仿宋"/>
              </w:rPr>
            </w:pPr>
          </w:p>
        </w:tc>
      </w:tr>
      <w:tr>
        <w:tblPrEx>
          <w:tblLayout w:type="fixed"/>
          <w:tblCellMar>
            <w:top w:w="0" w:type="dxa"/>
            <w:left w:w="108" w:type="dxa"/>
            <w:bottom w:w="0" w:type="dxa"/>
            <w:right w:w="108" w:type="dxa"/>
          </w:tblCellMar>
        </w:tblPrEx>
        <w:trPr>
          <w:trHeight w:val="270" w:hRule="atLeast"/>
        </w:trPr>
        <w:tc>
          <w:tcPr>
            <w:tcW w:w="1242" w:type="dxa"/>
            <w:vMerge w:val="continue"/>
            <w:tcBorders>
              <w:top w:val="nil"/>
              <w:left w:val="single" w:color="auto" w:sz="4" w:space="0"/>
              <w:bottom w:val="single" w:color="auto" w:sz="4" w:space="0"/>
              <w:right w:val="single" w:color="auto" w:sz="4" w:space="0"/>
            </w:tcBorders>
            <w:vAlign w:val="center"/>
          </w:tcPr>
          <w:p>
            <w:pPr>
              <w:pStyle w:val="162"/>
              <w:rPr>
                <w:rFonts w:ascii="仿宋" w:hAnsi="仿宋" w:eastAsia="仿宋" w:cs="仿宋"/>
              </w:rPr>
            </w:pPr>
          </w:p>
        </w:tc>
        <w:tc>
          <w:tcPr>
            <w:tcW w:w="709" w:type="dxa"/>
            <w:tcBorders>
              <w:top w:val="nil"/>
              <w:left w:val="nil"/>
              <w:bottom w:val="single" w:color="auto" w:sz="4" w:space="0"/>
              <w:right w:val="single" w:color="auto" w:sz="4" w:space="0"/>
            </w:tcBorders>
            <w:vAlign w:val="center"/>
          </w:tcPr>
          <w:p>
            <w:pPr>
              <w:pStyle w:val="162"/>
              <w:rPr>
                <w:rFonts w:ascii="仿宋" w:hAnsi="仿宋" w:eastAsia="仿宋" w:cs="仿宋"/>
              </w:rPr>
            </w:pPr>
            <w:r>
              <w:rPr>
                <w:rFonts w:ascii="仿宋" w:hAnsi="仿宋" w:eastAsia="仿宋" w:cs="仿宋"/>
              </w:rPr>
              <w:t>3</w:t>
            </w:r>
          </w:p>
        </w:tc>
        <w:tc>
          <w:tcPr>
            <w:tcW w:w="2268" w:type="dxa"/>
            <w:tcBorders>
              <w:top w:val="nil"/>
              <w:left w:val="nil"/>
              <w:bottom w:val="single" w:color="auto" w:sz="4" w:space="0"/>
              <w:right w:val="single" w:color="auto" w:sz="4" w:space="0"/>
            </w:tcBorders>
            <w:vAlign w:val="center"/>
          </w:tcPr>
          <w:p>
            <w:pPr>
              <w:pStyle w:val="162"/>
              <w:rPr>
                <w:rFonts w:ascii="仿宋" w:hAnsi="仿宋" w:eastAsia="仿宋" w:cs="仿宋"/>
              </w:rPr>
            </w:pPr>
            <w:r>
              <w:rPr>
                <w:rFonts w:hint="eastAsia" w:ascii="仿宋" w:hAnsi="仿宋" w:eastAsia="仿宋" w:cs="仿宋"/>
              </w:rPr>
              <w:t>万元</w:t>
            </w:r>
            <w:r>
              <w:rPr>
                <w:rFonts w:ascii="仿宋" w:hAnsi="仿宋" w:eastAsia="仿宋" w:cs="仿宋"/>
              </w:rPr>
              <w:t>GDP</w:t>
            </w:r>
            <w:r>
              <w:rPr>
                <w:rFonts w:hint="eastAsia" w:ascii="仿宋" w:hAnsi="仿宋" w:eastAsia="仿宋" w:cs="仿宋"/>
              </w:rPr>
              <w:t>用水量</w:t>
            </w:r>
          </w:p>
          <w:p>
            <w:pPr>
              <w:pStyle w:val="162"/>
              <w:rPr>
                <w:rFonts w:ascii="仿宋" w:hAnsi="仿宋" w:eastAsia="仿宋" w:cs="仿宋"/>
              </w:rPr>
            </w:pPr>
            <w:r>
              <w:rPr>
                <w:rFonts w:hint="eastAsia" w:ascii="仿宋" w:hAnsi="仿宋" w:eastAsia="仿宋" w:cs="仿宋"/>
              </w:rPr>
              <w:t>（</w:t>
            </w:r>
            <w:r>
              <w:rPr>
                <w:rFonts w:ascii="仿宋" w:hAnsi="仿宋" w:eastAsia="仿宋" w:cs="仿宋"/>
              </w:rPr>
              <w:t>m</w:t>
            </w:r>
            <w:r>
              <w:rPr>
                <w:rFonts w:ascii="仿宋" w:hAnsi="仿宋" w:eastAsia="仿宋" w:cs="仿宋"/>
                <w:vertAlign w:val="superscript"/>
              </w:rPr>
              <w:t>3</w:t>
            </w:r>
            <w:r>
              <w:rPr>
                <w:rFonts w:ascii="仿宋" w:hAnsi="仿宋" w:eastAsia="仿宋" w:cs="仿宋"/>
              </w:rPr>
              <w:t>/</w:t>
            </w:r>
            <w:r>
              <w:rPr>
                <w:rFonts w:hint="eastAsia" w:ascii="仿宋" w:hAnsi="仿宋" w:eastAsia="仿宋" w:cs="仿宋"/>
              </w:rPr>
              <w:t>万元）</w:t>
            </w:r>
          </w:p>
        </w:tc>
        <w:tc>
          <w:tcPr>
            <w:tcW w:w="992" w:type="dxa"/>
            <w:tcBorders>
              <w:top w:val="nil"/>
              <w:left w:val="nil"/>
              <w:bottom w:val="single" w:color="auto" w:sz="4" w:space="0"/>
              <w:right w:val="single" w:color="auto" w:sz="4" w:space="0"/>
            </w:tcBorders>
            <w:vAlign w:val="center"/>
          </w:tcPr>
          <w:p>
            <w:pPr>
              <w:pStyle w:val="162"/>
              <w:rPr>
                <w:rFonts w:ascii="仿宋" w:hAnsi="仿宋" w:eastAsia="仿宋" w:cs="仿宋"/>
              </w:rPr>
            </w:pPr>
            <w:r>
              <w:rPr>
                <w:rFonts w:ascii="仿宋" w:hAnsi="仿宋" w:eastAsia="仿宋" w:cs="仿宋"/>
              </w:rPr>
              <w:t>273.54</w:t>
            </w:r>
          </w:p>
        </w:tc>
        <w:tc>
          <w:tcPr>
            <w:tcW w:w="1276" w:type="dxa"/>
            <w:tcBorders>
              <w:top w:val="nil"/>
              <w:left w:val="nil"/>
              <w:bottom w:val="single" w:color="auto" w:sz="4" w:space="0"/>
              <w:right w:val="single" w:color="auto" w:sz="4" w:space="0"/>
            </w:tcBorders>
            <w:vAlign w:val="center"/>
          </w:tcPr>
          <w:p>
            <w:pPr>
              <w:pStyle w:val="162"/>
              <w:rPr>
                <w:rFonts w:ascii="仿宋" w:hAnsi="仿宋" w:eastAsia="仿宋" w:cs="仿宋"/>
              </w:rPr>
            </w:pPr>
            <w:r>
              <w:rPr>
                <w:rFonts w:ascii="仿宋" w:hAnsi="仿宋" w:eastAsia="仿宋" w:cs="仿宋"/>
              </w:rPr>
              <w:t>246.19</w:t>
            </w:r>
          </w:p>
        </w:tc>
        <w:tc>
          <w:tcPr>
            <w:tcW w:w="1285" w:type="dxa"/>
            <w:tcBorders>
              <w:top w:val="nil"/>
              <w:left w:val="nil"/>
              <w:bottom w:val="single" w:color="auto" w:sz="4" w:space="0"/>
              <w:right w:val="single" w:color="auto" w:sz="4" w:space="0"/>
            </w:tcBorders>
            <w:vAlign w:val="center"/>
          </w:tcPr>
          <w:p>
            <w:pPr>
              <w:pStyle w:val="162"/>
              <w:rPr>
                <w:rFonts w:ascii="仿宋" w:hAnsi="仿宋" w:eastAsia="仿宋" w:cs="仿宋"/>
              </w:rPr>
            </w:pPr>
            <w:r>
              <w:rPr>
                <w:rFonts w:hint="eastAsia" w:ascii="仿宋" w:hAnsi="仿宋" w:eastAsia="仿宋" w:cs="仿宋"/>
                <w:lang w:val="en-US"/>
              </w:rPr>
              <w:t>“</w:t>
            </w:r>
            <w:r>
              <w:rPr>
                <w:rFonts w:hint="eastAsia" w:ascii="仿宋" w:hAnsi="仿宋" w:eastAsia="仿宋" w:cs="仿宋"/>
              </w:rPr>
              <w:t>十四五</w:t>
            </w:r>
            <w:r>
              <w:rPr>
                <w:rFonts w:hint="eastAsia" w:ascii="仿宋" w:hAnsi="仿宋" w:eastAsia="仿宋" w:cs="仿宋"/>
                <w:lang w:val="en-US"/>
              </w:rPr>
              <w:t>”</w:t>
            </w:r>
            <w:r>
              <w:rPr>
                <w:rFonts w:hint="eastAsia" w:ascii="仿宋" w:hAnsi="仿宋" w:eastAsia="仿宋" w:cs="仿宋"/>
              </w:rPr>
              <w:t>末较</w:t>
            </w:r>
            <w:r>
              <w:rPr>
                <w:rFonts w:ascii="仿宋" w:hAnsi="仿宋" w:eastAsia="仿宋" w:cs="仿宋"/>
              </w:rPr>
              <w:t>2020</w:t>
            </w:r>
            <w:r>
              <w:rPr>
                <w:rFonts w:hint="eastAsia" w:ascii="仿宋" w:hAnsi="仿宋" w:eastAsia="仿宋" w:cs="仿宋"/>
              </w:rPr>
              <w:t>年下降</w:t>
            </w:r>
            <w:r>
              <w:rPr>
                <w:rFonts w:ascii="仿宋" w:hAnsi="仿宋" w:eastAsia="仿宋" w:cs="仿宋"/>
              </w:rPr>
              <w:t>10%</w:t>
            </w:r>
          </w:p>
        </w:tc>
        <w:tc>
          <w:tcPr>
            <w:tcW w:w="756" w:type="dxa"/>
            <w:vMerge w:val="continue"/>
            <w:tcBorders>
              <w:top w:val="nil"/>
              <w:left w:val="single" w:color="auto" w:sz="4" w:space="0"/>
              <w:bottom w:val="single" w:color="auto" w:sz="4" w:space="0"/>
              <w:right w:val="single" w:color="auto" w:sz="4" w:space="0"/>
            </w:tcBorders>
            <w:vAlign w:val="center"/>
          </w:tcPr>
          <w:p>
            <w:pPr>
              <w:pStyle w:val="162"/>
              <w:rPr>
                <w:rFonts w:ascii="仿宋" w:hAnsi="仿宋" w:eastAsia="仿宋" w:cs="仿宋"/>
              </w:rPr>
            </w:pPr>
          </w:p>
        </w:tc>
      </w:tr>
      <w:tr>
        <w:tblPrEx>
          <w:tblLayout w:type="fixed"/>
          <w:tblCellMar>
            <w:top w:w="0" w:type="dxa"/>
            <w:left w:w="108" w:type="dxa"/>
            <w:bottom w:w="0" w:type="dxa"/>
            <w:right w:w="108" w:type="dxa"/>
          </w:tblCellMar>
        </w:tblPrEx>
        <w:trPr>
          <w:trHeight w:val="270" w:hRule="atLeast"/>
        </w:trPr>
        <w:tc>
          <w:tcPr>
            <w:tcW w:w="1242" w:type="dxa"/>
            <w:vMerge w:val="continue"/>
            <w:tcBorders>
              <w:top w:val="nil"/>
              <w:left w:val="single" w:color="auto" w:sz="4" w:space="0"/>
              <w:bottom w:val="single" w:color="auto" w:sz="4" w:space="0"/>
              <w:right w:val="single" w:color="auto" w:sz="4" w:space="0"/>
            </w:tcBorders>
            <w:vAlign w:val="center"/>
          </w:tcPr>
          <w:p>
            <w:pPr>
              <w:pStyle w:val="162"/>
              <w:rPr>
                <w:rFonts w:ascii="仿宋" w:hAnsi="仿宋" w:eastAsia="仿宋" w:cs="仿宋"/>
              </w:rPr>
            </w:pPr>
          </w:p>
        </w:tc>
        <w:tc>
          <w:tcPr>
            <w:tcW w:w="709" w:type="dxa"/>
            <w:tcBorders>
              <w:top w:val="nil"/>
              <w:left w:val="nil"/>
              <w:bottom w:val="single" w:color="auto" w:sz="4" w:space="0"/>
              <w:right w:val="single" w:color="auto" w:sz="4" w:space="0"/>
            </w:tcBorders>
            <w:vAlign w:val="center"/>
          </w:tcPr>
          <w:p>
            <w:pPr>
              <w:pStyle w:val="162"/>
              <w:rPr>
                <w:rFonts w:ascii="仿宋" w:hAnsi="仿宋" w:eastAsia="仿宋" w:cs="仿宋"/>
              </w:rPr>
            </w:pPr>
            <w:r>
              <w:rPr>
                <w:rFonts w:ascii="仿宋" w:hAnsi="仿宋" w:eastAsia="仿宋" w:cs="仿宋"/>
              </w:rPr>
              <w:t>4</w:t>
            </w:r>
          </w:p>
        </w:tc>
        <w:tc>
          <w:tcPr>
            <w:tcW w:w="2268" w:type="dxa"/>
            <w:tcBorders>
              <w:top w:val="nil"/>
              <w:left w:val="nil"/>
              <w:bottom w:val="single" w:color="auto" w:sz="4" w:space="0"/>
              <w:right w:val="single" w:color="auto" w:sz="4" w:space="0"/>
            </w:tcBorders>
            <w:vAlign w:val="center"/>
          </w:tcPr>
          <w:p>
            <w:pPr>
              <w:pStyle w:val="162"/>
              <w:rPr>
                <w:rFonts w:ascii="仿宋" w:hAnsi="仿宋" w:eastAsia="仿宋" w:cs="仿宋"/>
              </w:rPr>
            </w:pPr>
            <w:r>
              <w:rPr>
                <w:rFonts w:hint="eastAsia" w:ascii="仿宋" w:hAnsi="仿宋" w:eastAsia="仿宋" w:cs="仿宋"/>
              </w:rPr>
              <w:t>万元工业增加值用水量（</w:t>
            </w:r>
            <w:r>
              <w:rPr>
                <w:rFonts w:ascii="仿宋" w:hAnsi="仿宋" w:eastAsia="仿宋" w:cs="仿宋"/>
              </w:rPr>
              <w:t>m</w:t>
            </w:r>
            <w:r>
              <w:rPr>
                <w:rFonts w:ascii="仿宋" w:hAnsi="仿宋" w:eastAsia="仿宋" w:cs="仿宋"/>
                <w:vertAlign w:val="superscript"/>
              </w:rPr>
              <w:t>3</w:t>
            </w:r>
            <w:r>
              <w:rPr>
                <w:rFonts w:ascii="仿宋" w:hAnsi="仿宋" w:eastAsia="仿宋" w:cs="仿宋"/>
              </w:rPr>
              <w:t>/</w:t>
            </w:r>
            <w:r>
              <w:rPr>
                <w:rFonts w:hint="eastAsia" w:ascii="仿宋" w:hAnsi="仿宋" w:eastAsia="仿宋" w:cs="仿宋"/>
              </w:rPr>
              <w:t>万元）</w:t>
            </w:r>
          </w:p>
        </w:tc>
        <w:tc>
          <w:tcPr>
            <w:tcW w:w="992" w:type="dxa"/>
            <w:tcBorders>
              <w:top w:val="nil"/>
              <w:left w:val="nil"/>
              <w:bottom w:val="single" w:color="auto" w:sz="4" w:space="0"/>
              <w:right w:val="single" w:color="auto" w:sz="4" w:space="0"/>
            </w:tcBorders>
            <w:vAlign w:val="center"/>
          </w:tcPr>
          <w:p>
            <w:pPr>
              <w:pStyle w:val="162"/>
              <w:rPr>
                <w:rFonts w:ascii="仿宋" w:hAnsi="仿宋" w:eastAsia="仿宋" w:cs="仿宋"/>
              </w:rPr>
            </w:pPr>
            <w:r>
              <w:rPr>
                <w:rFonts w:ascii="仿宋" w:hAnsi="仿宋" w:eastAsia="仿宋" w:cs="仿宋"/>
              </w:rPr>
              <w:t>40.55</w:t>
            </w:r>
          </w:p>
        </w:tc>
        <w:tc>
          <w:tcPr>
            <w:tcW w:w="1276" w:type="dxa"/>
            <w:tcBorders>
              <w:top w:val="nil"/>
              <w:left w:val="nil"/>
              <w:bottom w:val="single" w:color="auto" w:sz="4" w:space="0"/>
              <w:right w:val="single" w:color="auto" w:sz="4" w:space="0"/>
            </w:tcBorders>
            <w:vAlign w:val="center"/>
          </w:tcPr>
          <w:p>
            <w:pPr>
              <w:pStyle w:val="162"/>
              <w:rPr>
                <w:rFonts w:ascii="仿宋" w:hAnsi="仿宋" w:eastAsia="仿宋" w:cs="仿宋"/>
              </w:rPr>
            </w:pPr>
            <w:r>
              <w:rPr>
                <w:rFonts w:ascii="仿宋" w:hAnsi="仿宋" w:eastAsia="仿宋" w:cs="仿宋"/>
              </w:rPr>
              <w:t>38.12</w:t>
            </w:r>
          </w:p>
        </w:tc>
        <w:tc>
          <w:tcPr>
            <w:tcW w:w="1285" w:type="dxa"/>
            <w:tcBorders>
              <w:top w:val="nil"/>
              <w:left w:val="nil"/>
              <w:bottom w:val="single" w:color="auto" w:sz="4" w:space="0"/>
              <w:right w:val="single" w:color="auto" w:sz="4" w:space="0"/>
            </w:tcBorders>
            <w:vAlign w:val="center"/>
          </w:tcPr>
          <w:p>
            <w:pPr>
              <w:pStyle w:val="162"/>
              <w:rPr>
                <w:rFonts w:ascii="仿宋" w:hAnsi="仿宋" w:eastAsia="仿宋" w:cs="仿宋"/>
              </w:rPr>
            </w:pPr>
            <w:r>
              <w:rPr>
                <w:rFonts w:hint="eastAsia" w:ascii="仿宋" w:hAnsi="仿宋" w:eastAsia="仿宋" w:cs="仿宋"/>
                <w:lang w:val="en-US"/>
              </w:rPr>
              <w:t>“</w:t>
            </w:r>
            <w:r>
              <w:rPr>
                <w:rFonts w:hint="eastAsia" w:ascii="仿宋" w:hAnsi="仿宋" w:eastAsia="仿宋" w:cs="仿宋"/>
              </w:rPr>
              <w:t>十四五</w:t>
            </w:r>
            <w:r>
              <w:rPr>
                <w:rFonts w:hint="eastAsia" w:ascii="仿宋" w:hAnsi="仿宋" w:eastAsia="仿宋" w:cs="仿宋"/>
                <w:lang w:val="en-US"/>
              </w:rPr>
              <w:t>”</w:t>
            </w:r>
            <w:r>
              <w:rPr>
                <w:rFonts w:hint="eastAsia" w:ascii="仿宋" w:hAnsi="仿宋" w:eastAsia="仿宋" w:cs="仿宋"/>
              </w:rPr>
              <w:t>末较</w:t>
            </w:r>
            <w:r>
              <w:rPr>
                <w:rFonts w:ascii="仿宋" w:hAnsi="仿宋" w:eastAsia="仿宋" w:cs="仿宋"/>
              </w:rPr>
              <w:t>2020</w:t>
            </w:r>
            <w:r>
              <w:rPr>
                <w:rFonts w:hint="eastAsia" w:ascii="仿宋" w:hAnsi="仿宋" w:eastAsia="仿宋" w:cs="仿宋"/>
              </w:rPr>
              <w:t>年下降</w:t>
            </w:r>
            <w:r>
              <w:rPr>
                <w:rFonts w:ascii="仿宋" w:hAnsi="仿宋" w:eastAsia="仿宋" w:cs="仿宋"/>
              </w:rPr>
              <w:t>6%</w:t>
            </w:r>
          </w:p>
        </w:tc>
        <w:tc>
          <w:tcPr>
            <w:tcW w:w="756" w:type="dxa"/>
            <w:vMerge w:val="continue"/>
            <w:tcBorders>
              <w:top w:val="nil"/>
              <w:left w:val="single" w:color="auto" w:sz="4" w:space="0"/>
              <w:bottom w:val="single" w:color="auto" w:sz="4" w:space="0"/>
              <w:right w:val="single" w:color="auto" w:sz="4" w:space="0"/>
            </w:tcBorders>
            <w:vAlign w:val="center"/>
          </w:tcPr>
          <w:p>
            <w:pPr>
              <w:pStyle w:val="162"/>
              <w:rPr>
                <w:rFonts w:ascii="仿宋" w:hAnsi="仿宋" w:eastAsia="仿宋" w:cs="仿宋"/>
              </w:rPr>
            </w:pPr>
          </w:p>
        </w:tc>
      </w:tr>
      <w:tr>
        <w:tblPrEx>
          <w:tblLayout w:type="fixed"/>
          <w:tblCellMar>
            <w:top w:w="0" w:type="dxa"/>
            <w:left w:w="108" w:type="dxa"/>
            <w:bottom w:w="0" w:type="dxa"/>
            <w:right w:w="108" w:type="dxa"/>
          </w:tblCellMar>
        </w:tblPrEx>
        <w:trPr>
          <w:trHeight w:val="270" w:hRule="atLeast"/>
        </w:trPr>
        <w:tc>
          <w:tcPr>
            <w:tcW w:w="1242" w:type="dxa"/>
            <w:vMerge w:val="continue"/>
            <w:tcBorders>
              <w:top w:val="nil"/>
              <w:left w:val="single" w:color="auto" w:sz="4" w:space="0"/>
              <w:bottom w:val="single" w:color="auto" w:sz="4" w:space="0"/>
              <w:right w:val="single" w:color="auto" w:sz="4" w:space="0"/>
            </w:tcBorders>
            <w:vAlign w:val="center"/>
          </w:tcPr>
          <w:p>
            <w:pPr>
              <w:pStyle w:val="162"/>
              <w:rPr>
                <w:rFonts w:ascii="仿宋" w:hAnsi="仿宋" w:eastAsia="仿宋" w:cs="仿宋"/>
              </w:rPr>
            </w:pPr>
          </w:p>
        </w:tc>
        <w:tc>
          <w:tcPr>
            <w:tcW w:w="709" w:type="dxa"/>
            <w:tcBorders>
              <w:top w:val="nil"/>
              <w:left w:val="nil"/>
              <w:bottom w:val="single" w:color="auto" w:sz="4" w:space="0"/>
              <w:right w:val="single" w:color="auto" w:sz="4" w:space="0"/>
            </w:tcBorders>
            <w:vAlign w:val="center"/>
          </w:tcPr>
          <w:p>
            <w:pPr>
              <w:pStyle w:val="162"/>
              <w:rPr>
                <w:rFonts w:ascii="仿宋" w:hAnsi="仿宋" w:eastAsia="仿宋" w:cs="仿宋"/>
              </w:rPr>
            </w:pPr>
            <w:r>
              <w:rPr>
                <w:rFonts w:ascii="仿宋" w:hAnsi="仿宋" w:eastAsia="仿宋" w:cs="仿宋"/>
              </w:rPr>
              <w:t>5</w:t>
            </w:r>
          </w:p>
        </w:tc>
        <w:tc>
          <w:tcPr>
            <w:tcW w:w="2268" w:type="dxa"/>
            <w:tcBorders>
              <w:top w:val="nil"/>
              <w:left w:val="nil"/>
              <w:bottom w:val="single" w:color="auto" w:sz="4" w:space="0"/>
              <w:right w:val="single" w:color="auto" w:sz="4" w:space="0"/>
            </w:tcBorders>
            <w:vAlign w:val="center"/>
          </w:tcPr>
          <w:p>
            <w:pPr>
              <w:pStyle w:val="162"/>
              <w:rPr>
                <w:rFonts w:ascii="仿宋" w:hAnsi="仿宋" w:eastAsia="仿宋" w:cs="仿宋"/>
              </w:rPr>
            </w:pPr>
            <w:r>
              <w:rPr>
                <w:rFonts w:hint="eastAsia" w:ascii="仿宋" w:hAnsi="仿宋" w:eastAsia="仿宋" w:cs="仿宋"/>
              </w:rPr>
              <w:t>农业灌溉水有效利用系数</w:t>
            </w:r>
          </w:p>
        </w:tc>
        <w:tc>
          <w:tcPr>
            <w:tcW w:w="992" w:type="dxa"/>
            <w:tcBorders>
              <w:top w:val="nil"/>
              <w:left w:val="nil"/>
              <w:bottom w:val="single" w:color="auto" w:sz="4" w:space="0"/>
              <w:right w:val="single" w:color="auto" w:sz="4" w:space="0"/>
            </w:tcBorders>
            <w:vAlign w:val="center"/>
          </w:tcPr>
          <w:p>
            <w:pPr>
              <w:pStyle w:val="162"/>
              <w:rPr>
                <w:rFonts w:ascii="仿宋" w:hAnsi="仿宋" w:eastAsia="仿宋" w:cs="仿宋"/>
              </w:rPr>
            </w:pPr>
            <w:r>
              <w:rPr>
                <w:rFonts w:ascii="仿宋" w:hAnsi="仿宋" w:eastAsia="仿宋" w:cs="仿宋"/>
              </w:rPr>
              <w:t>0.65</w:t>
            </w:r>
          </w:p>
        </w:tc>
        <w:tc>
          <w:tcPr>
            <w:tcW w:w="1276" w:type="dxa"/>
            <w:tcBorders>
              <w:top w:val="nil"/>
              <w:left w:val="nil"/>
              <w:bottom w:val="single" w:color="auto" w:sz="4" w:space="0"/>
              <w:right w:val="single" w:color="auto" w:sz="4" w:space="0"/>
            </w:tcBorders>
            <w:vAlign w:val="center"/>
          </w:tcPr>
          <w:p>
            <w:pPr>
              <w:pStyle w:val="162"/>
              <w:rPr>
                <w:rFonts w:ascii="仿宋" w:hAnsi="仿宋" w:eastAsia="仿宋" w:cs="仿宋"/>
              </w:rPr>
            </w:pPr>
            <w:r>
              <w:rPr>
                <w:rFonts w:ascii="仿宋" w:hAnsi="仿宋" w:eastAsia="仿宋" w:cs="仿宋"/>
              </w:rPr>
              <w:t>[0.67]</w:t>
            </w:r>
          </w:p>
        </w:tc>
        <w:tc>
          <w:tcPr>
            <w:tcW w:w="1285" w:type="dxa"/>
            <w:tcBorders>
              <w:top w:val="nil"/>
              <w:left w:val="nil"/>
              <w:bottom w:val="single" w:color="auto" w:sz="4" w:space="0"/>
              <w:right w:val="single" w:color="auto" w:sz="4" w:space="0"/>
            </w:tcBorders>
            <w:vAlign w:val="center"/>
          </w:tcPr>
          <w:p>
            <w:pPr>
              <w:pStyle w:val="162"/>
              <w:rPr>
                <w:rFonts w:ascii="仿宋" w:hAnsi="仿宋" w:eastAsia="仿宋" w:cs="仿宋"/>
              </w:rPr>
            </w:pPr>
            <w:r>
              <w:rPr>
                <w:rFonts w:hint="eastAsia" w:ascii="仿宋" w:hAnsi="仿宋" w:eastAsia="仿宋" w:cs="仿宋"/>
              </w:rPr>
              <w:t>　</w:t>
            </w:r>
          </w:p>
        </w:tc>
        <w:tc>
          <w:tcPr>
            <w:tcW w:w="756" w:type="dxa"/>
            <w:vMerge w:val="continue"/>
            <w:tcBorders>
              <w:top w:val="nil"/>
              <w:left w:val="single" w:color="auto" w:sz="4" w:space="0"/>
              <w:bottom w:val="single" w:color="auto" w:sz="4" w:space="0"/>
              <w:right w:val="single" w:color="auto" w:sz="4" w:space="0"/>
            </w:tcBorders>
            <w:vAlign w:val="center"/>
          </w:tcPr>
          <w:p>
            <w:pPr>
              <w:pStyle w:val="162"/>
              <w:rPr>
                <w:rFonts w:ascii="仿宋" w:hAnsi="仿宋" w:eastAsia="仿宋" w:cs="仿宋"/>
              </w:rPr>
            </w:pPr>
          </w:p>
        </w:tc>
      </w:tr>
      <w:tr>
        <w:tblPrEx>
          <w:tblLayout w:type="fixed"/>
          <w:tblCellMar>
            <w:top w:w="0" w:type="dxa"/>
            <w:left w:w="108" w:type="dxa"/>
            <w:bottom w:w="0" w:type="dxa"/>
            <w:right w:w="108" w:type="dxa"/>
          </w:tblCellMar>
        </w:tblPrEx>
        <w:trPr>
          <w:trHeight w:val="270" w:hRule="atLeast"/>
        </w:trPr>
        <w:tc>
          <w:tcPr>
            <w:tcW w:w="1242" w:type="dxa"/>
            <w:vMerge w:val="continue"/>
            <w:tcBorders>
              <w:top w:val="nil"/>
              <w:left w:val="single" w:color="auto" w:sz="4" w:space="0"/>
              <w:bottom w:val="single" w:color="auto" w:sz="4" w:space="0"/>
              <w:right w:val="single" w:color="auto" w:sz="4" w:space="0"/>
            </w:tcBorders>
            <w:vAlign w:val="center"/>
          </w:tcPr>
          <w:p>
            <w:pPr>
              <w:pStyle w:val="162"/>
              <w:rPr>
                <w:rFonts w:ascii="仿宋" w:hAnsi="仿宋" w:eastAsia="仿宋" w:cs="仿宋"/>
              </w:rPr>
            </w:pPr>
          </w:p>
        </w:tc>
        <w:tc>
          <w:tcPr>
            <w:tcW w:w="709" w:type="dxa"/>
            <w:tcBorders>
              <w:top w:val="nil"/>
              <w:left w:val="nil"/>
              <w:bottom w:val="single" w:color="auto" w:sz="4" w:space="0"/>
              <w:right w:val="single" w:color="auto" w:sz="4" w:space="0"/>
            </w:tcBorders>
            <w:vAlign w:val="center"/>
          </w:tcPr>
          <w:p>
            <w:pPr>
              <w:pStyle w:val="162"/>
              <w:rPr>
                <w:rFonts w:ascii="仿宋" w:hAnsi="仿宋" w:eastAsia="仿宋" w:cs="仿宋"/>
              </w:rPr>
            </w:pPr>
            <w:r>
              <w:rPr>
                <w:rFonts w:ascii="仿宋" w:hAnsi="仿宋" w:eastAsia="仿宋" w:cs="仿宋"/>
              </w:rPr>
              <w:t>6</w:t>
            </w:r>
          </w:p>
        </w:tc>
        <w:tc>
          <w:tcPr>
            <w:tcW w:w="2268" w:type="dxa"/>
            <w:tcBorders>
              <w:top w:val="nil"/>
              <w:left w:val="nil"/>
              <w:bottom w:val="single" w:color="auto" w:sz="4" w:space="0"/>
              <w:right w:val="single" w:color="auto" w:sz="4" w:space="0"/>
            </w:tcBorders>
            <w:vAlign w:val="center"/>
          </w:tcPr>
          <w:p>
            <w:pPr>
              <w:pStyle w:val="162"/>
              <w:rPr>
                <w:rFonts w:ascii="仿宋" w:hAnsi="仿宋" w:eastAsia="仿宋" w:cs="仿宋"/>
              </w:rPr>
            </w:pPr>
            <w:r>
              <w:rPr>
                <w:rFonts w:hint="eastAsia" w:ascii="仿宋" w:hAnsi="仿宋" w:eastAsia="仿宋" w:cs="仿宋"/>
              </w:rPr>
              <w:t>农村自来水普及率（</w:t>
            </w:r>
            <w:r>
              <w:rPr>
                <w:rFonts w:ascii="仿宋" w:hAnsi="仿宋" w:eastAsia="仿宋" w:cs="仿宋"/>
              </w:rPr>
              <w:t>%</w:t>
            </w:r>
            <w:r>
              <w:rPr>
                <w:rFonts w:hint="eastAsia" w:ascii="仿宋" w:hAnsi="仿宋" w:eastAsia="仿宋" w:cs="仿宋"/>
              </w:rPr>
              <w:t>）</w:t>
            </w:r>
          </w:p>
        </w:tc>
        <w:tc>
          <w:tcPr>
            <w:tcW w:w="992" w:type="dxa"/>
            <w:tcBorders>
              <w:top w:val="nil"/>
              <w:left w:val="nil"/>
              <w:bottom w:val="single" w:color="auto" w:sz="4" w:space="0"/>
              <w:right w:val="single" w:color="auto" w:sz="4" w:space="0"/>
            </w:tcBorders>
            <w:vAlign w:val="center"/>
          </w:tcPr>
          <w:p>
            <w:pPr>
              <w:pStyle w:val="162"/>
              <w:rPr>
                <w:rFonts w:ascii="仿宋" w:hAnsi="仿宋" w:eastAsia="仿宋" w:cs="仿宋"/>
              </w:rPr>
            </w:pPr>
            <w:r>
              <w:rPr>
                <w:rFonts w:ascii="仿宋" w:hAnsi="仿宋" w:eastAsia="仿宋" w:cs="仿宋"/>
              </w:rPr>
              <w:t>96</w:t>
            </w:r>
          </w:p>
        </w:tc>
        <w:tc>
          <w:tcPr>
            <w:tcW w:w="1276" w:type="dxa"/>
            <w:tcBorders>
              <w:top w:val="nil"/>
              <w:left w:val="nil"/>
              <w:bottom w:val="single" w:color="auto" w:sz="4" w:space="0"/>
              <w:right w:val="single" w:color="auto" w:sz="4" w:space="0"/>
            </w:tcBorders>
            <w:vAlign w:val="center"/>
          </w:tcPr>
          <w:p>
            <w:pPr>
              <w:pStyle w:val="162"/>
              <w:rPr>
                <w:rFonts w:ascii="仿宋" w:hAnsi="仿宋" w:eastAsia="仿宋" w:cs="仿宋"/>
              </w:rPr>
            </w:pPr>
            <w:r>
              <w:rPr>
                <w:rFonts w:ascii="仿宋" w:hAnsi="仿宋" w:eastAsia="仿宋" w:cs="仿宋"/>
              </w:rPr>
              <w:t>99.29</w:t>
            </w:r>
          </w:p>
        </w:tc>
        <w:tc>
          <w:tcPr>
            <w:tcW w:w="1285" w:type="dxa"/>
            <w:tcBorders>
              <w:top w:val="nil"/>
              <w:left w:val="nil"/>
              <w:bottom w:val="single" w:color="auto" w:sz="4" w:space="0"/>
              <w:right w:val="single" w:color="auto" w:sz="4" w:space="0"/>
            </w:tcBorders>
            <w:vAlign w:val="center"/>
          </w:tcPr>
          <w:p>
            <w:pPr>
              <w:pStyle w:val="162"/>
              <w:rPr>
                <w:rFonts w:ascii="仿宋" w:hAnsi="仿宋" w:eastAsia="仿宋" w:cs="仿宋"/>
              </w:rPr>
            </w:pPr>
            <w:r>
              <w:rPr>
                <w:rFonts w:hint="eastAsia" w:ascii="仿宋" w:hAnsi="仿宋" w:eastAsia="仿宋" w:cs="仿宋"/>
              </w:rPr>
              <w:t>　</w:t>
            </w:r>
          </w:p>
        </w:tc>
        <w:tc>
          <w:tcPr>
            <w:tcW w:w="756" w:type="dxa"/>
            <w:vMerge w:val="restart"/>
            <w:tcBorders>
              <w:top w:val="nil"/>
              <w:left w:val="single" w:color="auto" w:sz="4" w:space="0"/>
              <w:bottom w:val="single" w:color="auto" w:sz="4" w:space="0"/>
              <w:right w:val="single" w:color="auto" w:sz="4" w:space="0"/>
            </w:tcBorders>
            <w:noWrap/>
            <w:vAlign w:val="center"/>
          </w:tcPr>
          <w:p>
            <w:pPr>
              <w:pStyle w:val="162"/>
              <w:rPr>
                <w:rFonts w:ascii="仿宋" w:hAnsi="仿宋" w:eastAsia="仿宋" w:cs="仿宋"/>
              </w:rPr>
            </w:pPr>
            <w:r>
              <w:rPr>
                <w:rFonts w:hint="eastAsia" w:ascii="仿宋" w:hAnsi="仿宋" w:eastAsia="仿宋" w:cs="仿宋"/>
              </w:rPr>
              <w:t>预期性</w:t>
            </w:r>
          </w:p>
        </w:tc>
      </w:tr>
      <w:tr>
        <w:tblPrEx>
          <w:tblLayout w:type="fixed"/>
          <w:tblCellMar>
            <w:top w:w="0" w:type="dxa"/>
            <w:left w:w="108" w:type="dxa"/>
            <w:bottom w:w="0" w:type="dxa"/>
            <w:right w:w="108" w:type="dxa"/>
          </w:tblCellMar>
        </w:tblPrEx>
        <w:trPr>
          <w:trHeight w:val="270" w:hRule="atLeast"/>
        </w:trPr>
        <w:tc>
          <w:tcPr>
            <w:tcW w:w="1242" w:type="dxa"/>
            <w:vMerge w:val="continue"/>
            <w:tcBorders>
              <w:top w:val="nil"/>
              <w:left w:val="single" w:color="auto" w:sz="4" w:space="0"/>
              <w:bottom w:val="single" w:color="auto" w:sz="4" w:space="0"/>
              <w:right w:val="single" w:color="auto" w:sz="4" w:space="0"/>
            </w:tcBorders>
            <w:vAlign w:val="center"/>
          </w:tcPr>
          <w:p>
            <w:pPr>
              <w:pStyle w:val="162"/>
              <w:rPr>
                <w:rFonts w:ascii="仿宋" w:hAnsi="仿宋" w:eastAsia="仿宋" w:cs="仿宋"/>
              </w:rPr>
            </w:pPr>
          </w:p>
        </w:tc>
        <w:tc>
          <w:tcPr>
            <w:tcW w:w="709" w:type="dxa"/>
            <w:tcBorders>
              <w:top w:val="nil"/>
              <w:left w:val="nil"/>
              <w:bottom w:val="single" w:color="auto" w:sz="4" w:space="0"/>
              <w:right w:val="single" w:color="auto" w:sz="4" w:space="0"/>
            </w:tcBorders>
            <w:vAlign w:val="center"/>
          </w:tcPr>
          <w:p>
            <w:pPr>
              <w:pStyle w:val="162"/>
              <w:rPr>
                <w:rFonts w:ascii="仿宋" w:hAnsi="仿宋" w:eastAsia="仿宋" w:cs="仿宋"/>
              </w:rPr>
            </w:pPr>
            <w:r>
              <w:rPr>
                <w:rFonts w:ascii="仿宋" w:hAnsi="仿宋" w:eastAsia="仿宋" w:cs="仿宋"/>
              </w:rPr>
              <w:t>7</w:t>
            </w:r>
          </w:p>
        </w:tc>
        <w:tc>
          <w:tcPr>
            <w:tcW w:w="2268" w:type="dxa"/>
            <w:tcBorders>
              <w:top w:val="nil"/>
              <w:left w:val="nil"/>
              <w:bottom w:val="single" w:color="auto" w:sz="4" w:space="0"/>
              <w:right w:val="single" w:color="auto" w:sz="4" w:space="0"/>
            </w:tcBorders>
            <w:vAlign w:val="center"/>
          </w:tcPr>
          <w:p>
            <w:pPr>
              <w:pStyle w:val="162"/>
              <w:rPr>
                <w:rFonts w:ascii="仿宋" w:hAnsi="仿宋" w:eastAsia="仿宋" w:cs="仿宋"/>
              </w:rPr>
            </w:pPr>
            <w:r>
              <w:rPr>
                <w:rFonts w:hint="eastAsia" w:ascii="仿宋" w:hAnsi="仿宋" w:eastAsia="仿宋" w:cs="仿宋"/>
              </w:rPr>
              <w:t>农村集中供水率（</w:t>
            </w:r>
            <w:r>
              <w:rPr>
                <w:rFonts w:ascii="仿宋" w:hAnsi="仿宋" w:eastAsia="仿宋" w:cs="仿宋"/>
              </w:rPr>
              <w:t>%</w:t>
            </w:r>
            <w:r>
              <w:rPr>
                <w:rFonts w:hint="eastAsia" w:ascii="仿宋" w:hAnsi="仿宋" w:eastAsia="仿宋" w:cs="仿宋"/>
              </w:rPr>
              <w:t>）</w:t>
            </w:r>
          </w:p>
        </w:tc>
        <w:tc>
          <w:tcPr>
            <w:tcW w:w="992" w:type="dxa"/>
            <w:tcBorders>
              <w:top w:val="nil"/>
              <w:left w:val="nil"/>
              <w:bottom w:val="single" w:color="auto" w:sz="4" w:space="0"/>
              <w:right w:val="single" w:color="auto" w:sz="4" w:space="0"/>
            </w:tcBorders>
            <w:vAlign w:val="center"/>
          </w:tcPr>
          <w:p>
            <w:pPr>
              <w:pStyle w:val="162"/>
              <w:rPr>
                <w:rFonts w:ascii="仿宋" w:hAnsi="仿宋" w:eastAsia="仿宋" w:cs="仿宋"/>
              </w:rPr>
            </w:pPr>
            <w:r>
              <w:rPr>
                <w:rFonts w:ascii="仿宋" w:hAnsi="仿宋" w:eastAsia="仿宋" w:cs="仿宋"/>
              </w:rPr>
              <w:t>96</w:t>
            </w:r>
          </w:p>
        </w:tc>
        <w:tc>
          <w:tcPr>
            <w:tcW w:w="1276" w:type="dxa"/>
            <w:tcBorders>
              <w:top w:val="nil"/>
              <w:left w:val="nil"/>
              <w:bottom w:val="single" w:color="auto" w:sz="4" w:space="0"/>
              <w:right w:val="single" w:color="auto" w:sz="4" w:space="0"/>
            </w:tcBorders>
            <w:vAlign w:val="center"/>
          </w:tcPr>
          <w:p>
            <w:pPr>
              <w:pStyle w:val="162"/>
              <w:rPr>
                <w:rFonts w:ascii="仿宋" w:hAnsi="仿宋" w:eastAsia="仿宋" w:cs="仿宋"/>
              </w:rPr>
            </w:pPr>
            <w:r>
              <w:rPr>
                <w:rFonts w:ascii="仿宋" w:hAnsi="仿宋" w:eastAsia="仿宋" w:cs="仿宋"/>
              </w:rPr>
              <w:t>99.29</w:t>
            </w:r>
          </w:p>
        </w:tc>
        <w:tc>
          <w:tcPr>
            <w:tcW w:w="1285" w:type="dxa"/>
            <w:tcBorders>
              <w:top w:val="nil"/>
              <w:left w:val="nil"/>
              <w:bottom w:val="single" w:color="auto" w:sz="4" w:space="0"/>
              <w:right w:val="single" w:color="auto" w:sz="4" w:space="0"/>
            </w:tcBorders>
            <w:vAlign w:val="center"/>
          </w:tcPr>
          <w:p>
            <w:pPr>
              <w:pStyle w:val="162"/>
              <w:rPr>
                <w:rFonts w:ascii="仿宋" w:hAnsi="仿宋" w:eastAsia="仿宋" w:cs="仿宋"/>
              </w:rPr>
            </w:pPr>
            <w:r>
              <w:rPr>
                <w:rFonts w:hint="eastAsia" w:ascii="仿宋" w:hAnsi="仿宋" w:eastAsia="仿宋" w:cs="仿宋"/>
              </w:rPr>
              <w:t>　</w:t>
            </w:r>
          </w:p>
        </w:tc>
        <w:tc>
          <w:tcPr>
            <w:tcW w:w="756" w:type="dxa"/>
            <w:vMerge w:val="continue"/>
            <w:tcBorders>
              <w:top w:val="nil"/>
              <w:left w:val="single" w:color="auto" w:sz="4" w:space="0"/>
              <w:bottom w:val="single" w:color="auto" w:sz="4" w:space="0"/>
              <w:right w:val="single" w:color="auto" w:sz="4" w:space="0"/>
            </w:tcBorders>
            <w:vAlign w:val="center"/>
          </w:tcPr>
          <w:p>
            <w:pPr>
              <w:pStyle w:val="162"/>
              <w:rPr>
                <w:rFonts w:ascii="仿宋" w:hAnsi="仿宋" w:eastAsia="仿宋" w:cs="仿宋"/>
              </w:rPr>
            </w:pPr>
          </w:p>
        </w:tc>
      </w:tr>
      <w:tr>
        <w:tblPrEx>
          <w:tblLayout w:type="fixed"/>
          <w:tblCellMar>
            <w:top w:w="0" w:type="dxa"/>
            <w:left w:w="108" w:type="dxa"/>
            <w:bottom w:w="0" w:type="dxa"/>
            <w:right w:w="108" w:type="dxa"/>
          </w:tblCellMar>
        </w:tblPrEx>
        <w:trPr>
          <w:trHeight w:val="270" w:hRule="atLeast"/>
        </w:trPr>
        <w:tc>
          <w:tcPr>
            <w:tcW w:w="1242" w:type="dxa"/>
            <w:vMerge w:val="restart"/>
            <w:tcBorders>
              <w:top w:val="nil"/>
              <w:left w:val="single" w:color="auto" w:sz="4" w:space="0"/>
              <w:bottom w:val="single" w:color="auto" w:sz="4" w:space="0"/>
              <w:right w:val="single" w:color="auto" w:sz="4" w:space="0"/>
            </w:tcBorders>
            <w:noWrap/>
            <w:vAlign w:val="center"/>
          </w:tcPr>
          <w:p>
            <w:pPr>
              <w:pStyle w:val="162"/>
              <w:rPr>
                <w:rFonts w:ascii="仿宋" w:hAnsi="仿宋" w:eastAsia="仿宋" w:cs="仿宋"/>
              </w:rPr>
            </w:pPr>
            <w:r>
              <w:rPr>
                <w:rFonts w:hint="eastAsia" w:ascii="仿宋" w:hAnsi="仿宋" w:eastAsia="仿宋" w:cs="仿宋"/>
              </w:rPr>
              <w:t>水资源与水生态保护</w:t>
            </w:r>
          </w:p>
        </w:tc>
        <w:tc>
          <w:tcPr>
            <w:tcW w:w="709" w:type="dxa"/>
            <w:tcBorders>
              <w:top w:val="nil"/>
              <w:left w:val="nil"/>
              <w:bottom w:val="single" w:color="auto" w:sz="4" w:space="0"/>
              <w:right w:val="single" w:color="auto" w:sz="4" w:space="0"/>
            </w:tcBorders>
            <w:vAlign w:val="center"/>
          </w:tcPr>
          <w:p>
            <w:pPr>
              <w:pStyle w:val="162"/>
              <w:rPr>
                <w:rFonts w:ascii="仿宋" w:hAnsi="仿宋" w:eastAsia="仿宋" w:cs="仿宋"/>
              </w:rPr>
            </w:pPr>
            <w:r>
              <w:rPr>
                <w:rFonts w:ascii="仿宋" w:hAnsi="仿宋" w:eastAsia="仿宋" w:cs="仿宋"/>
              </w:rPr>
              <w:t>8</w:t>
            </w:r>
          </w:p>
        </w:tc>
        <w:tc>
          <w:tcPr>
            <w:tcW w:w="2268" w:type="dxa"/>
            <w:tcBorders>
              <w:top w:val="nil"/>
              <w:left w:val="nil"/>
              <w:bottom w:val="single" w:color="auto" w:sz="4" w:space="0"/>
              <w:right w:val="single" w:color="auto" w:sz="4" w:space="0"/>
            </w:tcBorders>
            <w:vAlign w:val="center"/>
          </w:tcPr>
          <w:p>
            <w:pPr>
              <w:pStyle w:val="162"/>
              <w:rPr>
                <w:rFonts w:ascii="仿宋" w:hAnsi="仿宋" w:eastAsia="仿宋" w:cs="仿宋"/>
              </w:rPr>
            </w:pPr>
            <w:r>
              <w:rPr>
                <w:rFonts w:hint="eastAsia" w:ascii="仿宋" w:hAnsi="仿宋" w:eastAsia="仿宋" w:cs="仿宋"/>
              </w:rPr>
              <w:t>水功能区达标率（</w:t>
            </w:r>
            <w:r>
              <w:rPr>
                <w:rFonts w:ascii="仿宋" w:hAnsi="仿宋" w:eastAsia="仿宋" w:cs="仿宋"/>
              </w:rPr>
              <w:t>%</w:t>
            </w:r>
            <w:r>
              <w:rPr>
                <w:rFonts w:hint="eastAsia" w:ascii="仿宋" w:hAnsi="仿宋" w:eastAsia="仿宋" w:cs="仿宋"/>
              </w:rPr>
              <w:t>）</w:t>
            </w:r>
          </w:p>
        </w:tc>
        <w:tc>
          <w:tcPr>
            <w:tcW w:w="992" w:type="dxa"/>
            <w:tcBorders>
              <w:top w:val="nil"/>
              <w:left w:val="nil"/>
              <w:bottom w:val="single" w:color="auto" w:sz="4" w:space="0"/>
              <w:right w:val="single" w:color="auto" w:sz="4" w:space="0"/>
            </w:tcBorders>
            <w:vAlign w:val="center"/>
          </w:tcPr>
          <w:p>
            <w:pPr>
              <w:pStyle w:val="162"/>
              <w:rPr>
                <w:rFonts w:ascii="仿宋" w:hAnsi="仿宋" w:eastAsia="仿宋" w:cs="仿宋"/>
              </w:rPr>
            </w:pPr>
            <w:r>
              <w:rPr>
                <w:rFonts w:ascii="仿宋" w:hAnsi="仿宋" w:eastAsia="仿宋" w:cs="仿宋"/>
              </w:rPr>
              <w:t>100</w:t>
            </w:r>
          </w:p>
        </w:tc>
        <w:tc>
          <w:tcPr>
            <w:tcW w:w="1276" w:type="dxa"/>
            <w:tcBorders>
              <w:top w:val="nil"/>
              <w:left w:val="nil"/>
              <w:bottom w:val="single" w:color="auto" w:sz="4" w:space="0"/>
              <w:right w:val="single" w:color="auto" w:sz="4" w:space="0"/>
            </w:tcBorders>
            <w:vAlign w:val="center"/>
          </w:tcPr>
          <w:p>
            <w:pPr>
              <w:pStyle w:val="162"/>
              <w:rPr>
                <w:rFonts w:ascii="仿宋" w:hAnsi="仿宋" w:eastAsia="仿宋" w:cs="仿宋"/>
              </w:rPr>
            </w:pPr>
            <w:r>
              <w:rPr>
                <w:rFonts w:ascii="仿宋" w:hAnsi="仿宋" w:eastAsia="仿宋" w:cs="仿宋"/>
              </w:rPr>
              <w:t>[100]</w:t>
            </w:r>
          </w:p>
        </w:tc>
        <w:tc>
          <w:tcPr>
            <w:tcW w:w="1285" w:type="dxa"/>
            <w:tcBorders>
              <w:top w:val="nil"/>
              <w:left w:val="nil"/>
              <w:bottom w:val="single" w:color="auto" w:sz="4" w:space="0"/>
              <w:right w:val="single" w:color="auto" w:sz="4" w:space="0"/>
            </w:tcBorders>
            <w:vAlign w:val="center"/>
          </w:tcPr>
          <w:p>
            <w:pPr>
              <w:pStyle w:val="162"/>
              <w:rPr>
                <w:rFonts w:ascii="仿宋" w:hAnsi="仿宋" w:eastAsia="仿宋" w:cs="仿宋"/>
              </w:rPr>
            </w:pPr>
            <w:r>
              <w:rPr>
                <w:rFonts w:hint="eastAsia" w:ascii="仿宋" w:hAnsi="仿宋" w:eastAsia="仿宋" w:cs="仿宋"/>
              </w:rPr>
              <w:t>　</w:t>
            </w:r>
          </w:p>
        </w:tc>
        <w:tc>
          <w:tcPr>
            <w:tcW w:w="756" w:type="dxa"/>
            <w:vMerge w:val="continue"/>
            <w:tcBorders>
              <w:top w:val="nil"/>
              <w:left w:val="single" w:color="auto" w:sz="4" w:space="0"/>
              <w:bottom w:val="single" w:color="auto" w:sz="4" w:space="0"/>
              <w:right w:val="single" w:color="auto" w:sz="4" w:space="0"/>
            </w:tcBorders>
            <w:vAlign w:val="center"/>
          </w:tcPr>
          <w:p>
            <w:pPr>
              <w:pStyle w:val="162"/>
              <w:rPr>
                <w:rFonts w:ascii="仿宋" w:hAnsi="仿宋" w:eastAsia="仿宋" w:cs="仿宋"/>
              </w:rPr>
            </w:pPr>
          </w:p>
        </w:tc>
      </w:tr>
      <w:tr>
        <w:tblPrEx>
          <w:tblLayout w:type="fixed"/>
          <w:tblCellMar>
            <w:top w:w="0" w:type="dxa"/>
            <w:left w:w="108" w:type="dxa"/>
            <w:bottom w:w="0" w:type="dxa"/>
            <w:right w:w="108" w:type="dxa"/>
          </w:tblCellMar>
        </w:tblPrEx>
        <w:trPr>
          <w:trHeight w:val="270" w:hRule="atLeast"/>
        </w:trPr>
        <w:tc>
          <w:tcPr>
            <w:tcW w:w="1242" w:type="dxa"/>
            <w:vMerge w:val="continue"/>
            <w:tcBorders>
              <w:top w:val="nil"/>
              <w:left w:val="single" w:color="auto" w:sz="4" w:space="0"/>
              <w:bottom w:val="single" w:color="auto" w:sz="4" w:space="0"/>
              <w:right w:val="single" w:color="auto" w:sz="4" w:space="0"/>
            </w:tcBorders>
            <w:vAlign w:val="center"/>
          </w:tcPr>
          <w:p>
            <w:pPr>
              <w:pStyle w:val="162"/>
              <w:rPr>
                <w:rFonts w:ascii="仿宋" w:hAnsi="仿宋" w:eastAsia="仿宋" w:cs="仿宋"/>
              </w:rPr>
            </w:pPr>
          </w:p>
        </w:tc>
        <w:tc>
          <w:tcPr>
            <w:tcW w:w="709" w:type="dxa"/>
            <w:tcBorders>
              <w:top w:val="nil"/>
              <w:left w:val="nil"/>
              <w:bottom w:val="single" w:color="auto" w:sz="4" w:space="0"/>
              <w:right w:val="single" w:color="auto" w:sz="4" w:space="0"/>
            </w:tcBorders>
            <w:vAlign w:val="center"/>
          </w:tcPr>
          <w:p>
            <w:pPr>
              <w:pStyle w:val="162"/>
              <w:rPr>
                <w:rFonts w:ascii="仿宋" w:hAnsi="仿宋" w:eastAsia="仿宋" w:cs="仿宋"/>
              </w:rPr>
            </w:pPr>
            <w:r>
              <w:rPr>
                <w:rFonts w:ascii="仿宋" w:hAnsi="仿宋" w:eastAsia="仿宋" w:cs="仿宋"/>
              </w:rPr>
              <w:t>9</w:t>
            </w:r>
          </w:p>
        </w:tc>
        <w:tc>
          <w:tcPr>
            <w:tcW w:w="2268" w:type="dxa"/>
            <w:tcBorders>
              <w:top w:val="nil"/>
              <w:left w:val="nil"/>
              <w:bottom w:val="single" w:color="auto" w:sz="4" w:space="0"/>
              <w:right w:val="single" w:color="auto" w:sz="4" w:space="0"/>
            </w:tcBorders>
            <w:vAlign w:val="center"/>
          </w:tcPr>
          <w:p>
            <w:pPr>
              <w:pStyle w:val="162"/>
              <w:rPr>
                <w:rFonts w:ascii="仿宋" w:hAnsi="仿宋" w:eastAsia="仿宋" w:cs="仿宋"/>
              </w:rPr>
            </w:pPr>
            <w:r>
              <w:rPr>
                <w:rFonts w:hint="eastAsia" w:ascii="仿宋" w:hAnsi="仿宋" w:eastAsia="仿宋" w:cs="仿宋"/>
              </w:rPr>
              <w:t>水土流失治理面积（</w:t>
            </w:r>
            <w:r>
              <w:rPr>
                <w:rFonts w:ascii="仿宋" w:hAnsi="仿宋" w:eastAsia="仿宋" w:cs="仿宋"/>
              </w:rPr>
              <w:t>km</w:t>
            </w:r>
            <w:r>
              <w:rPr>
                <w:rFonts w:ascii="仿宋" w:hAnsi="仿宋" w:eastAsia="仿宋" w:cs="仿宋"/>
                <w:vertAlign w:val="superscript"/>
              </w:rPr>
              <w:t>2</w:t>
            </w:r>
            <w:r>
              <w:rPr>
                <w:rFonts w:ascii="仿宋" w:hAnsi="仿宋" w:eastAsia="仿宋" w:cs="仿宋"/>
              </w:rPr>
              <w:t>)</w:t>
            </w:r>
          </w:p>
        </w:tc>
        <w:tc>
          <w:tcPr>
            <w:tcW w:w="992" w:type="dxa"/>
            <w:tcBorders>
              <w:top w:val="nil"/>
              <w:left w:val="nil"/>
              <w:bottom w:val="single" w:color="auto" w:sz="4" w:space="0"/>
              <w:right w:val="single" w:color="auto" w:sz="4" w:space="0"/>
            </w:tcBorders>
            <w:vAlign w:val="center"/>
          </w:tcPr>
          <w:p>
            <w:pPr>
              <w:pStyle w:val="162"/>
              <w:rPr>
                <w:rFonts w:ascii="仿宋" w:hAnsi="仿宋" w:eastAsia="仿宋" w:cs="仿宋"/>
              </w:rPr>
            </w:pPr>
            <w:r>
              <w:rPr>
                <w:rFonts w:ascii="仿宋" w:hAnsi="仿宋" w:eastAsia="仿宋" w:cs="仿宋"/>
              </w:rPr>
              <w:t>105</w:t>
            </w:r>
          </w:p>
        </w:tc>
        <w:tc>
          <w:tcPr>
            <w:tcW w:w="1276" w:type="dxa"/>
            <w:tcBorders>
              <w:top w:val="nil"/>
              <w:left w:val="nil"/>
              <w:bottom w:val="single" w:color="auto" w:sz="4" w:space="0"/>
              <w:right w:val="single" w:color="auto" w:sz="4" w:space="0"/>
            </w:tcBorders>
            <w:vAlign w:val="center"/>
          </w:tcPr>
          <w:p>
            <w:pPr>
              <w:pStyle w:val="162"/>
              <w:rPr>
                <w:rFonts w:ascii="仿宋" w:hAnsi="仿宋" w:eastAsia="仿宋" w:cs="仿宋"/>
              </w:rPr>
            </w:pPr>
            <w:r>
              <w:rPr>
                <w:rFonts w:ascii="仿宋" w:hAnsi="仿宋" w:eastAsia="仿宋" w:cs="仿宋"/>
              </w:rPr>
              <w:t>411.08</w:t>
            </w:r>
          </w:p>
        </w:tc>
        <w:tc>
          <w:tcPr>
            <w:tcW w:w="1285" w:type="dxa"/>
            <w:tcBorders>
              <w:top w:val="nil"/>
              <w:left w:val="nil"/>
              <w:bottom w:val="single" w:color="auto" w:sz="4" w:space="0"/>
              <w:right w:val="single" w:color="auto" w:sz="4" w:space="0"/>
            </w:tcBorders>
            <w:vAlign w:val="center"/>
          </w:tcPr>
          <w:p>
            <w:pPr>
              <w:pStyle w:val="162"/>
              <w:rPr>
                <w:rFonts w:ascii="仿宋" w:hAnsi="仿宋" w:eastAsia="仿宋" w:cs="仿宋"/>
              </w:rPr>
            </w:pPr>
            <w:r>
              <w:rPr>
                <w:rFonts w:hint="eastAsia" w:ascii="仿宋" w:hAnsi="仿宋" w:eastAsia="仿宋" w:cs="仿宋"/>
              </w:rPr>
              <w:t>　</w:t>
            </w:r>
          </w:p>
        </w:tc>
        <w:tc>
          <w:tcPr>
            <w:tcW w:w="756" w:type="dxa"/>
            <w:vMerge w:val="continue"/>
            <w:tcBorders>
              <w:top w:val="nil"/>
              <w:left w:val="single" w:color="auto" w:sz="4" w:space="0"/>
              <w:bottom w:val="single" w:color="auto" w:sz="4" w:space="0"/>
              <w:right w:val="single" w:color="auto" w:sz="4" w:space="0"/>
            </w:tcBorders>
            <w:vAlign w:val="center"/>
          </w:tcPr>
          <w:p>
            <w:pPr>
              <w:pStyle w:val="162"/>
              <w:rPr>
                <w:rFonts w:ascii="仿宋" w:hAnsi="仿宋" w:eastAsia="仿宋" w:cs="仿宋"/>
              </w:rPr>
            </w:pPr>
          </w:p>
        </w:tc>
      </w:tr>
      <w:tr>
        <w:tblPrEx>
          <w:tblLayout w:type="fixed"/>
          <w:tblCellMar>
            <w:top w:w="0" w:type="dxa"/>
            <w:left w:w="108" w:type="dxa"/>
            <w:bottom w:w="0" w:type="dxa"/>
            <w:right w:w="108" w:type="dxa"/>
          </w:tblCellMar>
        </w:tblPrEx>
        <w:trPr>
          <w:trHeight w:val="270" w:hRule="atLeast"/>
        </w:trPr>
        <w:tc>
          <w:tcPr>
            <w:tcW w:w="1242" w:type="dxa"/>
            <w:tcBorders>
              <w:top w:val="nil"/>
              <w:left w:val="single" w:color="auto" w:sz="4" w:space="0"/>
              <w:bottom w:val="single" w:color="auto" w:sz="4" w:space="0"/>
              <w:right w:val="single" w:color="auto" w:sz="4" w:space="0"/>
            </w:tcBorders>
            <w:noWrap/>
            <w:vAlign w:val="center"/>
          </w:tcPr>
          <w:p>
            <w:pPr>
              <w:pStyle w:val="162"/>
              <w:rPr>
                <w:rFonts w:ascii="仿宋" w:hAnsi="仿宋" w:eastAsia="仿宋" w:cs="仿宋"/>
              </w:rPr>
            </w:pPr>
            <w:r>
              <w:rPr>
                <w:rFonts w:hint="eastAsia" w:ascii="仿宋" w:hAnsi="仿宋" w:eastAsia="仿宋" w:cs="仿宋"/>
              </w:rPr>
              <w:t>涉水事务监管</w:t>
            </w:r>
          </w:p>
        </w:tc>
        <w:tc>
          <w:tcPr>
            <w:tcW w:w="709" w:type="dxa"/>
            <w:tcBorders>
              <w:top w:val="nil"/>
              <w:left w:val="nil"/>
              <w:bottom w:val="single" w:color="auto" w:sz="4" w:space="0"/>
              <w:right w:val="single" w:color="auto" w:sz="4" w:space="0"/>
            </w:tcBorders>
            <w:vAlign w:val="center"/>
          </w:tcPr>
          <w:p>
            <w:pPr>
              <w:pStyle w:val="162"/>
              <w:rPr>
                <w:rFonts w:ascii="仿宋" w:hAnsi="仿宋" w:eastAsia="仿宋" w:cs="仿宋"/>
              </w:rPr>
            </w:pPr>
            <w:r>
              <w:rPr>
                <w:rFonts w:ascii="仿宋" w:hAnsi="仿宋" w:eastAsia="仿宋" w:cs="仿宋"/>
              </w:rPr>
              <w:t>10</w:t>
            </w:r>
          </w:p>
        </w:tc>
        <w:tc>
          <w:tcPr>
            <w:tcW w:w="2268" w:type="dxa"/>
            <w:tcBorders>
              <w:top w:val="nil"/>
              <w:left w:val="nil"/>
              <w:bottom w:val="single" w:color="auto" w:sz="4" w:space="0"/>
              <w:right w:val="single" w:color="auto" w:sz="4" w:space="0"/>
            </w:tcBorders>
            <w:vAlign w:val="center"/>
          </w:tcPr>
          <w:p>
            <w:pPr>
              <w:pStyle w:val="162"/>
              <w:rPr>
                <w:rFonts w:ascii="仿宋" w:hAnsi="仿宋" w:eastAsia="仿宋" w:cs="仿宋"/>
              </w:rPr>
            </w:pPr>
            <w:r>
              <w:rPr>
                <w:rFonts w:hint="eastAsia" w:ascii="仿宋" w:hAnsi="仿宋" w:eastAsia="仿宋" w:cs="仿宋"/>
              </w:rPr>
              <w:t>重点取用水户计量率（</w:t>
            </w:r>
            <w:r>
              <w:rPr>
                <w:rFonts w:ascii="仿宋" w:hAnsi="仿宋" w:eastAsia="仿宋" w:cs="仿宋"/>
              </w:rPr>
              <w:t>%</w:t>
            </w:r>
            <w:r>
              <w:rPr>
                <w:rFonts w:hint="eastAsia" w:ascii="仿宋" w:hAnsi="仿宋" w:eastAsia="仿宋" w:cs="仿宋"/>
              </w:rPr>
              <w:t>）</w:t>
            </w:r>
          </w:p>
        </w:tc>
        <w:tc>
          <w:tcPr>
            <w:tcW w:w="992" w:type="dxa"/>
            <w:tcBorders>
              <w:top w:val="nil"/>
              <w:left w:val="nil"/>
              <w:bottom w:val="single" w:color="auto" w:sz="4" w:space="0"/>
              <w:right w:val="single" w:color="auto" w:sz="4" w:space="0"/>
            </w:tcBorders>
            <w:noWrap/>
            <w:vAlign w:val="center"/>
          </w:tcPr>
          <w:p>
            <w:pPr>
              <w:pStyle w:val="162"/>
              <w:rPr>
                <w:rFonts w:ascii="仿宋" w:hAnsi="仿宋" w:eastAsia="仿宋" w:cs="仿宋"/>
              </w:rPr>
            </w:pPr>
            <w:r>
              <w:rPr>
                <w:rFonts w:ascii="仿宋" w:hAnsi="仿宋" w:eastAsia="仿宋" w:cs="仿宋"/>
              </w:rPr>
              <w:t>-</w:t>
            </w:r>
          </w:p>
        </w:tc>
        <w:tc>
          <w:tcPr>
            <w:tcW w:w="1276" w:type="dxa"/>
            <w:tcBorders>
              <w:top w:val="nil"/>
              <w:left w:val="nil"/>
              <w:bottom w:val="single" w:color="auto" w:sz="4" w:space="0"/>
              <w:right w:val="single" w:color="auto" w:sz="4" w:space="0"/>
            </w:tcBorders>
            <w:noWrap/>
            <w:vAlign w:val="center"/>
          </w:tcPr>
          <w:p>
            <w:pPr>
              <w:pStyle w:val="162"/>
              <w:rPr>
                <w:rFonts w:ascii="仿宋" w:hAnsi="仿宋" w:eastAsia="仿宋" w:cs="仿宋"/>
              </w:rPr>
            </w:pPr>
            <w:r>
              <w:rPr>
                <w:rFonts w:ascii="仿宋" w:hAnsi="仿宋" w:eastAsia="仿宋" w:cs="仿宋"/>
              </w:rPr>
              <w:t>[</w:t>
            </w:r>
            <w:r>
              <w:rPr>
                <w:rFonts w:hint="eastAsia" w:ascii="仿宋" w:hAnsi="仿宋" w:eastAsia="仿宋" w:cs="仿宋"/>
              </w:rPr>
              <w:t>＞</w:t>
            </w:r>
            <w:r>
              <w:rPr>
                <w:rFonts w:ascii="仿宋" w:hAnsi="仿宋" w:eastAsia="仿宋" w:cs="仿宋"/>
              </w:rPr>
              <w:t>80]</w:t>
            </w:r>
          </w:p>
        </w:tc>
        <w:tc>
          <w:tcPr>
            <w:tcW w:w="1285" w:type="dxa"/>
            <w:tcBorders>
              <w:top w:val="nil"/>
              <w:left w:val="nil"/>
              <w:bottom w:val="single" w:color="auto" w:sz="4" w:space="0"/>
              <w:right w:val="single" w:color="auto" w:sz="4" w:space="0"/>
            </w:tcBorders>
            <w:noWrap/>
            <w:vAlign w:val="center"/>
          </w:tcPr>
          <w:p>
            <w:pPr>
              <w:pStyle w:val="162"/>
              <w:rPr>
                <w:rFonts w:ascii="仿宋" w:hAnsi="仿宋" w:eastAsia="仿宋" w:cs="仿宋"/>
              </w:rPr>
            </w:pPr>
            <w:r>
              <w:rPr>
                <w:rFonts w:hint="eastAsia" w:ascii="仿宋" w:hAnsi="仿宋" w:eastAsia="仿宋" w:cs="仿宋"/>
              </w:rPr>
              <w:t>参考自治区</w:t>
            </w:r>
            <w:r>
              <w:rPr>
                <w:rFonts w:hint="eastAsia" w:ascii="仿宋" w:hAnsi="仿宋" w:eastAsia="仿宋" w:cs="仿宋"/>
                <w:lang w:val="en-US"/>
              </w:rPr>
              <w:t>“</w:t>
            </w:r>
            <w:r>
              <w:rPr>
                <w:rFonts w:hint="eastAsia" w:ascii="仿宋" w:hAnsi="仿宋" w:eastAsia="仿宋" w:cs="仿宋"/>
              </w:rPr>
              <w:t>十四五</w:t>
            </w:r>
            <w:r>
              <w:rPr>
                <w:rFonts w:hint="eastAsia" w:ascii="仿宋" w:hAnsi="仿宋" w:eastAsia="仿宋" w:cs="仿宋"/>
                <w:lang w:val="en-US"/>
              </w:rPr>
              <w:t>”</w:t>
            </w:r>
            <w:r>
              <w:rPr>
                <w:rFonts w:hint="eastAsia" w:ascii="仿宋" w:hAnsi="仿宋" w:eastAsia="仿宋" w:cs="仿宋"/>
              </w:rPr>
              <w:t>指标</w:t>
            </w:r>
          </w:p>
        </w:tc>
        <w:tc>
          <w:tcPr>
            <w:tcW w:w="756" w:type="dxa"/>
            <w:vMerge w:val="continue"/>
            <w:tcBorders>
              <w:top w:val="nil"/>
              <w:left w:val="single" w:color="auto" w:sz="4" w:space="0"/>
              <w:bottom w:val="single" w:color="auto" w:sz="4" w:space="0"/>
              <w:right w:val="single" w:color="auto" w:sz="4" w:space="0"/>
            </w:tcBorders>
            <w:vAlign w:val="center"/>
          </w:tcPr>
          <w:p>
            <w:pPr>
              <w:pStyle w:val="162"/>
              <w:rPr>
                <w:rFonts w:ascii="仿宋" w:hAnsi="仿宋" w:eastAsia="仿宋" w:cs="仿宋"/>
              </w:rPr>
            </w:pPr>
          </w:p>
        </w:tc>
      </w:tr>
    </w:tbl>
    <w:p>
      <w:pPr>
        <w:pStyle w:val="162"/>
        <w:jc w:val="both"/>
        <w:rPr>
          <w:rFonts w:ascii="仿宋" w:hAnsi="仿宋" w:eastAsia="仿宋" w:cs="仿宋"/>
          <w:b/>
        </w:rPr>
      </w:pPr>
      <w:r>
        <w:rPr>
          <w:rFonts w:hint="eastAsia" w:ascii="仿宋" w:hAnsi="仿宋" w:eastAsia="仿宋" w:cs="仿宋"/>
          <w:b/>
        </w:rPr>
        <w:t>注：规划指标带</w:t>
      </w:r>
      <w:r>
        <w:rPr>
          <w:rFonts w:ascii="仿宋" w:hAnsi="仿宋" w:eastAsia="仿宋" w:cs="仿宋"/>
          <w:b/>
        </w:rPr>
        <w:t>[ ]</w:t>
      </w:r>
      <w:r>
        <w:rPr>
          <w:rFonts w:hint="eastAsia" w:ascii="仿宋" w:hAnsi="仿宋" w:eastAsia="仿宋" w:cs="仿宋"/>
          <w:b/>
        </w:rPr>
        <w:t>为期末达到数，其余为五年累计数，现状为</w:t>
      </w:r>
      <w:r>
        <w:rPr>
          <w:rFonts w:ascii="仿宋" w:hAnsi="仿宋" w:eastAsia="仿宋" w:cs="仿宋"/>
          <w:b/>
        </w:rPr>
        <w:t>2020</w:t>
      </w:r>
      <w:r>
        <w:rPr>
          <w:rFonts w:hint="eastAsia" w:ascii="仿宋" w:hAnsi="仿宋" w:eastAsia="仿宋" w:cs="仿宋"/>
          <w:b/>
        </w:rPr>
        <w:t>年底数据。</w:t>
      </w:r>
    </w:p>
    <w:p>
      <w:pPr>
        <w:pStyle w:val="4"/>
        <w:numPr>
          <w:ilvl w:val="0"/>
          <w:numId w:val="0"/>
        </w:numPr>
        <w:spacing w:line="520" w:lineRule="exact"/>
        <w:ind w:firstLine="560" w:firstLineChars="200"/>
        <w:rPr>
          <w:rFonts w:ascii="黑体" w:hAnsi="黑体" w:eastAsia="黑体" w:cs="黑体"/>
          <w:b w:val="0"/>
          <w:bCs w:val="0"/>
        </w:rPr>
      </w:pPr>
      <w:bookmarkStart w:id="20" w:name="_Toc7233"/>
      <w:r>
        <w:rPr>
          <w:rFonts w:hint="eastAsia" w:ascii="黑体" w:hAnsi="黑体" w:eastAsia="黑体" w:cs="黑体"/>
          <w:b w:val="0"/>
          <w:bCs w:val="0"/>
        </w:rPr>
        <w:t>四、总体布局</w:t>
      </w:r>
      <w:bookmarkEnd w:id="20"/>
    </w:p>
    <w:p>
      <w:pPr>
        <w:ind w:firstLine="31680"/>
        <w:rPr>
          <w:rFonts w:eastAsia="仿宋" w:cs="仿宋"/>
          <w:snapToGrid w:val="0"/>
          <w:kern w:val="0"/>
        </w:rPr>
      </w:pPr>
      <w:r>
        <w:rPr>
          <w:rFonts w:hint="eastAsia" w:eastAsia="仿宋" w:cs="仿宋"/>
          <w:snapToGrid w:val="0"/>
        </w:rPr>
        <w:t>结合昌吉州河湖水系、水资源分布特点及空间需求特征，</w:t>
      </w:r>
      <w:r>
        <w:rPr>
          <w:rFonts w:hint="eastAsia" w:eastAsia="仿宋" w:cs="仿宋"/>
          <w:snapToGrid w:val="0"/>
          <w:kern w:val="0"/>
        </w:rPr>
        <w:t>围绕生态保护和高质量发展战略，按照空间均衡，系统治理的要求，遵循把</w:t>
      </w:r>
      <w:r>
        <w:rPr>
          <w:rFonts w:hint="eastAsia" w:eastAsia="仿宋" w:cs="仿宋"/>
        </w:rPr>
        <w:t>水资源作为产业发展、城镇建设的刚性约束</w:t>
      </w:r>
      <w:r>
        <w:rPr>
          <w:rFonts w:hint="eastAsia" w:eastAsia="仿宋" w:cs="仿宋"/>
          <w:snapToGrid w:val="0"/>
          <w:kern w:val="0"/>
        </w:rPr>
        <w:t>的原则，</w:t>
      </w:r>
      <w:r>
        <w:rPr>
          <w:rFonts w:hint="eastAsia" w:eastAsia="仿宋" w:cs="仿宋"/>
        </w:rPr>
        <w:t>加强水资源集约节约利用，</w:t>
      </w:r>
      <w:r>
        <w:rPr>
          <w:rFonts w:hint="eastAsia" w:eastAsia="仿宋" w:cs="仿宋"/>
          <w:snapToGrid w:val="0"/>
          <w:kern w:val="0"/>
        </w:rPr>
        <w:t>协调经济社会开发利用与生态保护、水资源承载能力与经济产业布局、本区域水资源利用与外调水利用，按照优先发展节水、加大使用再生水、合理开发当地水、科学适当补充外调水的策略，在现有水资源配置工程基础上，构建昌吉州“十四五”水安全保障网络工程体系。</w:t>
      </w:r>
    </w:p>
    <w:p>
      <w:pPr>
        <w:pStyle w:val="157"/>
        <w:ind w:firstLine="31680"/>
        <w:rPr>
          <w:rFonts w:ascii="仿宋" w:hAnsi="仿宋" w:eastAsia="仿宋" w:cs="仿宋"/>
        </w:rPr>
      </w:pPr>
      <w:r>
        <w:rPr>
          <w:rFonts w:hint="eastAsia" w:ascii="仿宋" w:hAnsi="仿宋" w:eastAsia="仿宋" w:cs="仿宋"/>
        </w:rPr>
        <w:t>构建现代水利支撑体系，以水利工程及配套设施建设为重点，加快建设一批水利枢纽、水利骨干工程和大中型灌区续建配套与节水改造工程，重点推进水库工程等控制性水利枢纽工程以及引调水工程，构建以“蓄水为基础、节水为关键、调水为补充”的工程网络体系，切实解决工程性、结构性缺水问题，为昌吉州经济社会发展提供可靠的水资源安全保障。</w:t>
      </w:r>
    </w:p>
    <w:p>
      <w:pPr>
        <w:ind w:firstLine="31680"/>
        <w:rPr>
          <w:rFonts w:eastAsia="仿宋" w:cs="仿宋"/>
        </w:rPr>
      </w:pPr>
      <w:r>
        <w:rPr>
          <w:rFonts w:hint="eastAsia" w:eastAsia="仿宋" w:cs="仿宋"/>
        </w:rPr>
        <w:t>结合昌吉州现有水利工程布局，“十四五”期间拟构建“</w:t>
      </w:r>
      <w:r>
        <w:rPr>
          <w:rFonts w:eastAsia="仿宋" w:cs="仿宋"/>
        </w:rPr>
        <w:t>4321</w:t>
      </w:r>
      <w:r>
        <w:rPr>
          <w:rFonts w:hint="eastAsia" w:eastAsia="仿宋" w:cs="仿宋"/>
        </w:rPr>
        <w:t>”的水资源调配利用格局：</w:t>
      </w:r>
    </w:p>
    <w:p>
      <w:pPr>
        <w:ind w:firstLine="31680"/>
        <w:rPr>
          <w:rFonts w:eastAsia="仿宋" w:cs="仿宋"/>
          <w:b/>
        </w:rPr>
      </w:pPr>
      <w:r>
        <w:rPr>
          <w:rFonts w:hint="eastAsia" w:eastAsia="仿宋" w:cs="仿宋"/>
          <w:b/>
        </w:rPr>
        <w:t>“四”</w:t>
      </w:r>
      <w:r>
        <w:rPr>
          <w:rFonts w:eastAsia="仿宋" w:cs="仿宋"/>
          <w:b/>
        </w:rPr>
        <w:t>——</w:t>
      </w:r>
      <w:r>
        <w:rPr>
          <w:rFonts w:hint="eastAsia" w:eastAsia="仿宋" w:cs="仿宋"/>
          <w:b/>
        </w:rPr>
        <w:t>实施四项重点工程，即重大水利工程、农村饮水安全巩固提升工程、现代化灌区建设工程、信息化建设工程</w:t>
      </w:r>
      <w:r>
        <w:rPr>
          <w:rFonts w:hint="eastAsia" w:eastAsia="仿宋" w:cs="仿宋"/>
          <w:b/>
          <w:lang w:val="zh-CN"/>
        </w:rPr>
        <w:t>。</w:t>
      </w:r>
    </w:p>
    <w:p>
      <w:pPr>
        <w:ind w:firstLine="31680"/>
        <w:contextualSpacing/>
        <w:rPr>
          <w:rFonts w:eastAsia="仿宋" w:cs="仿宋"/>
        </w:rPr>
      </w:pPr>
      <w:r>
        <w:rPr>
          <w:rFonts w:hint="eastAsia" w:eastAsia="仿宋" w:cs="仿宋"/>
          <w:b/>
        </w:rPr>
        <w:t>推进重大水利工程建设。</w:t>
      </w:r>
      <w:r>
        <w:rPr>
          <w:rFonts w:hint="eastAsia" w:eastAsia="仿宋" w:cs="仿宋"/>
        </w:rPr>
        <w:t>昌吉州作为水资源严重短缺地区，“十四五”用水总量逐年递减，尽快启动引调水工程，夯实水资源要素支撑。</w:t>
      </w:r>
    </w:p>
    <w:p>
      <w:pPr>
        <w:ind w:firstLine="31680"/>
        <w:contextualSpacing/>
        <w:rPr>
          <w:rFonts w:hint="eastAsia" w:eastAsia="仿宋" w:cs="仿宋"/>
        </w:rPr>
      </w:pPr>
      <w:r>
        <w:rPr>
          <w:rFonts w:hint="eastAsia" w:eastAsia="仿宋" w:cs="仿宋"/>
          <w:b/>
        </w:rPr>
        <w:t>加快农村饮水安全提升工程建设。</w:t>
      </w:r>
      <w:r>
        <w:rPr>
          <w:rFonts w:hint="eastAsia" w:eastAsia="仿宋" w:cs="仿宋"/>
        </w:rPr>
        <w:t>围绕乡村振兴战略，加快推进城乡供水一体化，建设一批重点供水工程，促进城乡供水同质、同量、同标、同服务。依托老旧工程改造，强化供水水源保护，有序推进各类村庄供水工程规模化发展。</w:t>
      </w:r>
    </w:p>
    <w:p>
      <w:pPr>
        <w:ind w:firstLine="31680"/>
        <w:contextualSpacing/>
        <w:rPr>
          <w:rFonts w:eastAsia="仿宋" w:cs="仿宋"/>
        </w:rPr>
      </w:pPr>
      <w:r>
        <w:rPr>
          <w:rFonts w:hint="eastAsia" w:eastAsia="仿宋" w:cs="仿宋"/>
          <w:b/>
        </w:rPr>
        <w:t>加快现代化灌区建设。</w:t>
      </w:r>
      <w:r>
        <w:rPr>
          <w:rFonts w:hint="eastAsia" w:eastAsia="仿宋" w:cs="仿宋"/>
        </w:rPr>
        <w:t>深入推进干支渠系管道化、自动化的建设工程，进一步提升用水效率、优化用水结构已成为必由之路。</w:t>
      </w:r>
    </w:p>
    <w:p>
      <w:pPr>
        <w:ind w:firstLine="31680"/>
        <w:rPr>
          <w:rFonts w:eastAsia="仿宋" w:cs="仿宋"/>
        </w:rPr>
      </w:pPr>
      <w:r>
        <w:rPr>
          <w:rFonts w:hint="eastAsia" w:eastAsia="仿宋" w:cs="仿宋"/>
          <w:b/>
        </w:rPr>
        <w:t>加快智慧水利平台建设。</w:t>
      </w:r>
      <w:r>
        <w:rPr>
          <w:rFonts w:hint="eastAsia" w:eastAsia="仿宋" w:cs="仿宋"/>
        </w:rPr>
        <w:t>加快水资源供水、用水全过程信息化建设，实现供水、用水全过程计量的全覆盖。初步建成覆盖整个昌吉州水利信息化系统工程，最终实现以“采集自动化、传输网络化、集成标准化、管控一体化、决策智能化”水利信息化总目标，进一步提升昌吉州水利业务管理的效率和效能。</w:t>
      </w:r>
    </w:p>
    <w:p>
      <w:pPr>
        <w:ind w:firstLine="31680"/>
        <w:rPr>
          <w:rFonts w:eastAsia="仿宋" w:cs="仿宋"/>
          <w:b/>
        </w:rPr>
      </w:pPr>
      <w:bookmarkStart w:id="21" w:name="_Toc3049"/>
      <w:r>
        <w:rPr>
          <w:rFonts w:hint="eastAsia" w:eastAsia="仿宋" w:cs="仿宋"/>
          <w:b/>
        </w:rPr>
        <w:t>“三”</w:t>
      </w:r>
      <w:r>
        <w:rPr>
          <w:rFonts w:eastAsia="仿宋" w:cs="仿宋"/>
          <w:b/>
        </w:rPr>
        <w:t xml:space="preserve">—— </w:t>
      </w:r>
      <w:r>
        <w:rPr>
          <w:rFonts w:hint="eastAsia" w:eastAsia="仿宋" w:cs="仿宋"/>
          <w:b/>
        </w:rPr>
        <w:t>三大体系，即夯实昌吉州水安全保障基础设施网络、河湖生态健康安全保障、现代化的水治理能力与管理三大体系，</w:t>
      </w:r>
    </w:p>
    <w:p>
      <w:pPr>
        <w:ind w:firstLine="31680"/>
        <w:rPr>
          <w:rFonts w:eastAsia="仿宋" w:cs="仿宋"/>
          <w:b/>
        </w:rPr>
      </w:pPr>
      <w:r>
        <w:rPr>
          <w:rFonts w:hint="eastAsia" w:eastAsia="仿宋" w:cs="仿宋"/>
          <w:b/>
        </w:rPr>
        <w:t>“二”</w:t>
      </w:r>
      <w:r>
        <w:rPr>
          <w:rFonts w:eastAsia="仿宋" w:cs="仿宋"/>
          <w:b/>
        </w:rPr>
        <w:t xml:space="preserve">—— </w:t>
      </w:r>
      <w:r>
        <w:rPr>
          <w:rFonts w:hint="eastAsia" w:eastAsia="仿宋" w:cs="仿宋"/>
          <w:b/>
        </w:rPr>
        <w:t>实现水利工程补短板、水利行业强监管两个目标。</w:t>
      </w:r>
    </w:p>
    <w:p>
      <w:pPr>
        <w:ind w:firstLine="31680"/>
        <w:rPr>
          <w:rFonts w:eastAsia="仿宋" w:cs="仿宋"/>
          <w:b/>
        </w:rPr>
      </w:pPr>
      <w:r>
        <w:rPr>
          <w:rFonts w:hint="eastAsia" w:eastAsia="仿宋" w:cs="仿宋"/>
          <w:b/>
        </w:rPr>
        <w:t>“一”</w:t>
      </w:r>
      <w:r>
        <w:rPr>
          <w:rFonts w:eastAsia="仿宋" w:cs="仿宋"/>
          <w:b/>
        </w:rPr>
        <w:t xml:space="preserve">—— </w:t>
      </w:r>
      <w:r>
        <w:rPr>
          <w:rFonts w:hint="eastAsia" w:eastAsia="仿宋" w:cs="仿宋"/>
          <w:b/>
        </w:rPr>
        <w:t>构建一张水网，即地表水、地下水、非常规水、外调水四水共享。</w:t>
      </w:r>
    </w:p>
    <w:p>
      <w:pPr>
        <w:ind w:firstLine="31680"/>
        <w:rPr>
          <w:lang w:val="zh-CN"/>
        </w:rPr>
      </w:pPr>
    </w:p>
    <w:p>
      <w:pPr>
        <w:ind w:firstLine="31680"/>
        <w:rPr>
          <w:lang w:val="zh-CN"/>
        </w:rPr>
      </w:pPr>
    </w:p>
    <w:p>
      <w:pPr>
        <w:pStyle w:val="90"/>
        <w:ind w:firstLine="480"/>
        <w:rPr>
          <w:rFonts w:ascii="仿宋" w:hAnsi="仿宋" w:eastAsia="仿宋" w:cs="仿宋"/>
        </w:rPr>
      </w:pPr>
    </w:p>
    <w:p>
      <w:pPr>
        <w:ind w:firstLine="0" w:firstLineChars="0"/>
      </w:pPr>
    </w:p>
    <w:p>
      <w:pPr>
        <w:ind w:firstLine="31680"/>
        <w:sectPr>
          <w:pgSz w:w="12240" w:h="15840"/>
          <w:pgMar w:top="1440" w:right="1800" w:bottom="1440" w:left="1800" w:header="720" w:footer="720" w:gutter="0"/>
          <w:cols w:space="720" w:num="1"/>
        </w:sectPr>
      </w:pPr>
    </w:p>
    <w:p>
      <w:pPr>
        <w:pStyle w:val="3"/>
        <w:numPr>
          <w:ilvl w:val="0"/>
          <w:numId w:val="0"/>
        </w:numPr>
        <w:spacing w:line="520" w:lineRule="exact"/>
        <w:ind w:left="567" w:hanging="567"/>
        <w:jc w:val="center"/>
        <w:rPr>
          <w:rFonts w:ascii="黑体" w:hAnsi="黑体" w:eastAsia="黑体" w:cs="黑体"/>
          <w:b w:val="0"/>
          <w:bCs w:val="0"/>
          <w:sz w:val="32"/>
        </w:rPr>
      </w:pPr>
      <w:r>
        <w:rPr>
          <w:rFonts w:hint="eastAsia" w:ascii="黑体" w:hAnsi="黑体" w:eastAsia="黑体" w:cs="黑体"/>
          <w:b w:val="0"/>
          <w:bCs w:val="0"/>
          <w:sz w:val="32"/>
        </w:rPr>
        <w:t>第三章</w:t>
      </w:r>
      <w:r>
        <w:rPr>
          <w:rFonts w:ascii="黑体" w:hAnsi="黑体" w:eastAsia="黑体" w:cs="黑体"/>
          <w:b w:val="0"/>
          <w:bCs w:val="0"/>
          <w:sz w:val="32"/>
        </w:rPr>
        <w:t xml:space="preserve"> </w:t>
      </w:r>
      <w:r>
        <w:rPr>
          <w:rFonts w:hint="eastAsia" w:ascii="黑体" w:hAnsi="黑体" w:eastAsia="黑体" w:cs="黑体"/>
          <w:b w:val="0"/>
          <w:bCs w:val="0"/>
          <w:sz w:val="32"/>
        </w:rPr>
        <w:t>水资源供需分析与配置</w:t>
      </w:r>
      <w:bookmarkEnd w:id="21"/>
    </w:p>
    <w:p>
      <w:pPr>
        <w:pStyle w:val="4"/>
        <w:numPr>
          <w:ilvl w:val="0"/>
          <w:numId w:val="0"/>
        </w:numPr>
        <w:spacing w:line="520" w:lineRule="exact"/>
        <w:ind w:firstLine="560" w:firstLineChars="200"/>
        <w:rPr>
          <w:rFonts w:ascii="黑体" w:hAnsi="黑体" w:eastAsia="黑体" w:cs="仿宋"/>
          <w:b w:val="0"/>
          <w:bCs w:val="0"/>
          <w:szCs w:val="28"/>
          <w:lang w:val="en-US"/>
        </w:rPr>
      </w:pPr>
      <w:bookmarkStart w:id="22" w:name="_Toc15629"/>
      <w:bookmarkStart w:id="23" w:name="_Toc60690987"/>
      <w:r>
        <w:rPr>
          <w:rFonts w:hint="eastAsia" w:ascii="黑体" w:hAnsi="黑体" w:eastAsia="黑体" w:cs="仿宋"/>
          <w:b w:val="0"/>
          <w:bCs w:val="0"/>
          <w:szCs w:val="28"/>
          <w:lang w:val="en-US"/>
        </w:rPr>
        <w:t>一、水资源现状</w:t>
      </w:r>
      <w:bookmarkEnd w:id="22"/>
    </w:p>
    <w:p>
      <w:pPr>
        <w:ind w:firstLine="31680"/>
        <w:rPr>
          <w:rFonts w:eastAsia="仿宋" w:cs="仿宋"/>
        </w:rPr>
      </w:pPr>
      <w:r>
        <w:rPr>
          <w:rFonts w:hint="eastAsia" w:eastAsia="仿宋" w:cs="仿宋"/>
        </w:rPr>
        <w:t>截止</w:t>
      </w:r>
      <w:r>
        <w:rPr>
          <w:rFonts w:eastAsia="仿宋" w:cs="仿宋"/>
        </w:rPr>
        <w:t>2020</w:t>
      </w:r>
      <w:r>
        <w:rPr>
          <w:rFonts w:hint="eastAsia" w:eastAsia="仿宋" w:cs="仿宋"/>
        </w:rPr>
        <w:t>年</w:t>
      </w:r>
      <w:r>
        <w:rPr>
          <w:rFonts w:eastAsia="仿宋" w:cs="仿宋"/>
        </w:rPr>
        <w:t>12</w:t>
      </w:r>
      <w:r>
        <w:rPr>
          <w:rFonts w:hint="eastAsia" w:eastAsia="仿宋" w:cs="仿宋"/>
        </w:rPr>
        <w:t>月，我州实际用水总量</w:t>
      </w:r>
      <w:r>
        <w:rPr>
          <w:rFonts w:eastAsia="仿宋" w:cs="仿宋"/>
        </w:rPr>
        <w:t>25.48</w:t>
      </w:r>
      <w:r>
        <w:rPr>
          <w:rFonts w:hint="eastAsia" w:eastAsia="仿宋" w:cs="仿宋"/>
        </w:rPr>
        <w:t>亿</w:t>
      </w:r>
      <w:r>
        <w:rPr>
          <w:rFonts w:eastAsia="仿宋" w:cs="仿宋"/>
        </w:rPr>
        <w:t>m</w:t>
      </w:r>
      <w:r>
        <w:rPr>
          <w:rFonts w:eastAsia="仿宋" w:cs="仿宋"/>
          <w:vertAlign w:val="superscript"/>
        </w:rPr>
        <w:t>3</w:t>
      </w:r>
      <w:r>
        <w:rPr>
          <w:rFonts w:hint="eastAsia" w:eastAsia="仿宋" w:cs="仿宋"/>
        </w:rPr>
        <w:t>，其中：控制指标内用水总量</w:t>
      </w:r>
      <w:r>
        <w:rPr>
          <w:rFonts w:eastAsia="仿宋" w:cs="仿宋"/>
        </w:rPr>
        <w:t>23.84</w:t>
      </w:r>
      <w:r>
        <w:rPr>
          <w:rFonts w:hint="eastAsia" w:eastAsia="仿宋" w:cs="仿宋"/>
        </w:rPr>
        <w:t>亿</w:t>
      </w:r>
      <w:r>
        <w:rPr>
          <w:rFonts w:eastAsia="仿宋" w:cs="仿宋"/>
        </w:rPr>
        <w:t>m</w:t>
      </w:r>
      <w:r>
        <w:rPr>
          <w:rFonts w:eastAsia="仿宋" w:cs="仿宋"/>
          <w:vertAlign w:val="superscript"/>
        </w:rPr>
        <w:t>3</w:t>
      </w:r>
      <w:r>
        <w:rPr>
          <w:rFonts w:hint="eastAsia" w:eastAsia="仿宋" w:cs="仿宋"/>
        </w:rPr>
        <w:t>，引外调水</w:t>
      </w:r>
      <w:r>
        <w:rPr>
          <w:rFonts w:eastAsia="仿宋" w:cs="仿宋"/>
        </w:rPr>
        <w:t>1.64</w:t>
      </w:r>
      <w:r>
        <w:rPr>
          <w:rFonts w:hint="eastAsia" w:eastAsia="仿宋" w:cs="仿宋"/>
        </w:rPr>
        <w:t>亿</w:t>
      </w:r>
      <w:r>
        <w:rPr>
          <w:rFonts w:eastAsia="仿宋" w:cs="仿宋"/>
        </w:rPr>
        <w:t>m</w:t>
      </w:r>
      <w:r>
        <w:rPr>
          <w:rFonts w:eastAsia="仿宋" w:cs="仿宋"/>
          <w:vertAlign w:val="superscript"/>
        </w:rPr>
        <w:t>3</w:t>
      </w:r>
      <w:r>
        <w:rPr>
          <w:rFonts w:hint="eastAsia" w:eastAsia="仿宋" w:cs="仿宋"/>
        </w:rPr>
        <w:t>。一二三产用水比例约为</w:t>
      </w:r>
      <w:r>
        <w:rPr>
          <w:rFonts w:eastAsia="仿宋" w:cs="仿宋"/>
        </w:rPr>
        <w:t>87.76</w:t>
      </w:r>
      <w:r>
        <w:rPr>
          <w:rFonts w:hint="eastAsia" w:eastAsia="仿宋" w:cs="仿宋"/>
        </w:rPr>
        <w:t>：</w:t>
      </w:r>
      <w:r>
        <w:rPr>
          <w:rFonts w:eastAsia="仿宋" w:cs="仿宋"/>
        </w:rPr>
        <w:t>5.00</w:t>
      </w:r>
      <w:r>
        <w:rPr>
          <w:rFonts w:hint="eastAsia" w:eastAsia="仿宋" w:cs="仿宋"/>
        </w:rPr>
        <w:t>：</w:t>
      </w:r>
      <w:r>
        <w:rPr>
          <w:rFonts w:eastAsia="仿宋" w:cs="仿宋"/>
        </w:rPr>
        <w:t>7.24</w:t>
      </w:r>
      <w:r>
        <w:rPr>
          <w:rFonts w:hint="eastAsia" w:eastAsia="仿宋" w:cs="仿宋"/>
        </w:rPr>
        <w:t>，计划</w:t>
      </w:r>
      <w:r>
        <w:rPr>
          <w:rFonts w:eastAsia="仿宋" w:cs="仿宋"/>
        </w:rPr>
        <w:t>2025</w:t>
      </w:r>
      <w:r>
        <w:rPr>
          <w:rFonts w:hint="eastAsia" w:eastAsia="仿宋" w:cs="仿宋"/>
        </w:rPr>
        <w:t>年调整至</w:t>
      </w:r>
      <w:r>
        <w:rPr>
          <w:rFonts w:eastAsia="仿宋" w:cs="仿宋"/>
        </w:rPr>
        <w:t>85.08</w:t>
      </w:r>
      <w:r>
        <w:rPr>
          <w:rFonts w:hint="eastAsia" w:eastAsia="仿宋" w:cs="仿宋"/>
        </w:rPr>
        <w:t>：</w:t>
      </w:r>
      <w:r>
        <w:rPr>
          <w:rFonts w:eastAsia="仿宋" w:cs="仿宋"/>
        </w:rPr>
        <w:t>7.48</w:t>
      </w:r>
      <w:r>
        <w:rPr>
          <w:rFonts w:hint="eastAsia" w:eastAsia="仿宋" w:cs="仿宋"/>
        </w:rPr>
        <w:t>：</w:t>
      </w:r>
      <w:r>
        <w:rPr>
          <w:rFonts w:eastAsia="仿宋" w:cs="仿宋"/>
        </w:rPr>
        <w:t>7.44</w:t>
      </w:r>
      <w:r>
        <w:rPr>
          <w:rFonts w:hint="eastAsia" w:eastAsia="仿宋" w:cs="仿宋"/>
        </w:rPr>
        <w:t>，</w:t>
      </w:r>
      <w:r>
        <w:rPr>
          <w:rFonts w:eastAsia="仿宋" w:cs="仿宋"/>
        </w:rPr>
        <w:t>2030</w:t>
      </w:r>
      <w:r>
        <w:rPr>
          <w:rFonts w:hint="eastAsia" w:eastAsia="仿宋" w:cs="仿宋"/>
        </w:rPr>
        <w:t>年调整至</w:t>
      </w:r>
      <w:r>
        <w:rPr>
          <w:rFonts w:eastAsia="仿宋" w:cs="仿宋"/>
        </w:rPr>
        <w:t>82.49</w:t>
      </w:r>
      <w:r>
        <w:rPr>
          <w:rFonts w:hint="eastAsia" w:eastAsia="仿宋" w:cs="仿宋"/>
        </w:rPr>
        <w:t>：</w:t>
      </w:r>
      <w:r>
        <w:rPr>
          <w:rFonts w:eastAsia="仿宋" w:cs="仿宋"/>
        </w:rPr>
        <w:t>9.08</w:t>
      </w:r>
      <w:r>
        <w:rPr>
          <w:rFonts w:hint="eastAsia" w:eastAsia="仿宋" w:cs="仿宋"/>
        </w:rPr>
        <w:t>：</w:t>
      </w:r>
      <w:r>
        <w:rPr>
          <w:rFonts w:eastAsia="仿宋" w:cs="仿宋"/>
        </w:rPr>
        <w:t>8.43</w:t>
      </w:r>
      <w:r>
        <w:rPr>
          <w:rFonts w:hint="eastAsia" w:eastAsia="仿宋" w:cs="仿宋"/>
        </w:rPr>
        <w:t>，须通过加快种植结构调整，优化产业布局，降低农业用水量，提高水资源利用效率，促进水资源合理开发利用和节约保护，可保障经济社会可持续发展。</w:t>
      </w:r>
    </w:p>
    <w:p>
      <w:pPr>
        <w:pStyle w:val="4"/>
        <w:numPr>
          <w:ilvl w:val="0"/>
          <w:numId w:val="0"/>
        </w:numPr>
        <w:spacing w:line="520" w:lineRule="exact"/>
        <w:ind w:firstLine="560" w:firstLineChars="200"/>
        <w:rPr>
          <w:rFonts w:ascii="黑体" w:hAnsi="黑体" w:eastAsia="黑体" w:cs="仿宋"/>
          <w:b w:val="0"/>
          <w:bCs w:val="0"/>
          <w:szCs w:val="28"/>
          <w:lang w:val="en-US"/>
        </w:rPr>
      </w:pPr>
      <w:bookmarkStart w:id="24" w:name="_Toc1146"/>
      <w:r>
        <w:rPr>
          <w:rFonts w:hint="eastAsia" w:ascii="黑体" w:hAnsi="黑体" w:eastAsia="黑体" w:cs="仿宋"/>
          <w:b w:val="0"/>
          <w:bCs w:val="0"/>
          <w:szCs w:val="28"/>
          <w:lang w:val="en-US"/>
        </w:rPr>
        <w:t>二、用水总量控制方案</w:t>
      </w:r>
      <w:bookmarkEnd w:id="23"/>
      <w:bookmarkEnd w:id="24"/>
    </w:p>
    <w:p>
      <w:pPr>
        <w:ind w:firstLine="31680"/>
        <w:rPr>
          <w:rFonts w:eastAsia="仿宋" w:cs="仿宋"/>
        </w:rPr>
      </w:pPr>
      <w:r>
        <w:rPr>
          <w:rFonts w:hint="eastAsia" w:eastAsia="仿宋" w:cs="仿宋"/>
        </w:rPr>
        <w:t>根据《新疆昌吉州用水总量控制方案》，按照自治区下达的昌吉州用水总量控制指标，结合昌吉州实际情况，对昌吉州各行政单位的用水总量控制指标进行了分解，最终确定昌吉州</w:t>
      </w:r>
      <w:r>
        <w:rPr>
          <w:rFonts w:eastAsia="仿宋" w:cs="仿宋"/>
        </w:rPr>
        <w:t>2025</w:t>
      </w:r>
      <w:r>
        <w:rPr>
          <w:rFonts w:hint="eastAsia" w:eastAsia="仿宋" w:cs="仿宋"/>
        </w:rPr>
        <w:t>年用水总量指标是</w:t>
      </w:r>
      <w:r>
        <w:rPr>
          <w:rFonts w:eastAsia="仿宋" w:cs="仿宋"/>
        </w:rPr>
        <w:t>24.26</w:t>
      </w:r>
      <w:r>
        <w:rPr>
          <w:rFonts w:hint="eastAsia" w:eastAsia="仿宋" w:cs="仿宋"/>
        </w:rPr>
        <w:t>亿</w:t>
      </w:r>
      <w:r>
        <w:rPr>
          <w:rFonts w:eastAsia="仿宋" w:cs="仿宋"/>
        </w:rPr>
        <w:t>m</w:t>
      </w:r>
      <w:r>
        <w:rPr>
          <w:rFonts w:eastAsia="仿宋" w:cs="仿宋"/>
          <w:vertAlign w:val="superscript"/>
        </w:rPr>
        <w:t>3</w:t>
      </w:r>
      <w:r>
        <w:rPr>
          <w:rFonts w:hint="eastAsia" w:eastAsia="仿宋" w:cs="仿宋"/>
        </w:rPr>
        <w:t>，其中地表水</w:t>
      </w:r>
      <w:r>
        <w:rPr>
          <w:rFonts w:eastAsia="仿宋" w:cs="仿宋"/>
        </w:rPr>
        <w:t>16.06</w:t>
      </w:r>
      <w:r>
        <w:rPr>
          <w:rFonts w:hint="eastAsia" w:eastAsia="仿宋" w:cs="仿宋"/>
        </w:rPr>
        <w:t>亿</w:t>
      </w:r>
      <w:r>
        <w:rPr>
          <w:rFonts w:eastAsia="仿宋" w:cs="仿宋"/>
        </w:rPr>
        <w:t>m</w:t>
      </w:r>
      <w:r>
        <w:rPr>
          <w:rFonts w:eastAsia="仿宋" w:cs="仿宋"/>
          <w:vertAlign w:val="superscript"/>
        </w:rPr>
        <w:t>3</w:t>
      </w:r>
      <w:r>
        <w:rPr>
          <w:rFonts w:hint="eastAsia" w:eastAsia="仿宋" w:cs="仿宋"/>
        </w:rPr>
        <w:t>、地下水</w:t>
      </w:r>
      <w:r>
        <w:rPr>
          <w:rFonts w:eastAsia="仿宋" w:cs="仿宋"/>
        </w:rPr>
        <w:t>7.64</w:t>
      </w:r>
      <w:r>
        <w:rPr>
          <w:rFonts w:hint="eastAsia" w:eastAsia="仿宋" w:cs="仿宋"/>
        </w:rPr>
        <w:t>亿</w:t>
      </w:r>
      <w:r>
        <w:rPr>
          <w:rFonts w:eastAsia="仿宋" w:cs="仿宋"/>
        </w:rPr>
        <w:t>m</w:t>
      </w:r>
      <w:r>
        <w:rPr>
          <w:rFonts w:eastAsia="仿宋" w:cs="仿宋"/>
          <w:vertAlign w:val="superscript"/>
        </w:rPr>
        <w:t>3</w:t>
      </w:r>
      <w:r>
        <w:rPr>
          <w:rFonts w:hint="eastAsia" w:eastAsia="仿宋" w:cs="仿宋"/>
        </w:rPr>
        <w:t>、其他水源</w:t>
      </w:r>
      <w:r>
        <w:rPr>
          <w:rFonts w:eastAsia="仿宋" w:cs="仿宋"/>
        </w:rPr>
        <w:t>0.53</w:t>
      </w:r>
      <w:r>
        <w:rPr>
          <w:rFonts w:hint="eastAsia" w:eastAsia="仿宋" w:cs="仿宋"/>
        </w:rPr>
        <w:t>亿</w:t>
      </w:r>
      <w:r>
        <w:rPr>
          <w:rFonts w:eastAsia="仿宋" w:cs="仿宋"/>
        </w:rPr>
        <w:t>m</w:t>
      </w:r>
      <w:r>
        <w:rPr>
          <w:rFonts w:eastAsia="仿宋" w:cs="仿宋"/>
          <w:vertAlign w:val="superscript"/>
        </w:rPr>
        <w:t>3</w:t>
      </w:r>
      <w:r>
        <w:rPr>
          <w:rFonts w:hint="eastAsia" w:eastAsia="仿宋" w:cs="仿宋"/>
        </w:rPr>
        <w:t>。</w:t>
      </w:r>
    </w:p>
    <w:p>
      <w:pPr>
        <w:pStyle w:val="4"/>
        <w:numPr>
          <w:ilvl w:val="0"/>
          <w:numId w:val="0"/>
        </w:numPr>
        <w:spacing w:line="520" w:lineRule="exact"/>
        <w:ind w:firstLine="560" w:firstLineChars="200"/>
        <w:rPr>
          <w:rFonts w:ascii="黑体" w:hAnsi="黑体" w:eastAsia="黑体" w:cs="黑体"/>
          <w:b w:val="0"/>
          <w:bCs w:val="0"/>
        </w:rPr>
      </w:pPr>
      <w:bookmarkStart w:id="25" w:name="_Toc19479"/>
      <w:r>
        <w:rPr>
          <w:rFonts w:hint="eastAsia" w:ascii="黑体" w:hAnsi="黑体" w:eastAsia="黑体" w:cs="黑体"/>
          <w:b w:val="0"/>
          <w:bCs w:val="0"/>
        </w:rPr>
        <w:t>三、需水量预测</w:t>
      </w:r>
      <w:bookmarkEnd w:id="25"/>
    </w:p>
    <w:p>
      <w:pPr>
        <w:ind w:firstLine="31680"/>
        <w:rPr>
          <w:rFonts w:eastAsia="仿宋" w:cs="仿宋"/>
        </w:rPr>
      </w:pPr>
      <w:r>
        <w:rPr>
          <w:rFonts w:hint="eastAsia" w:eastAsia="仿宋" w:cs="仿宋"/>
        </w:rPr>
        <w:t>社会经济需水量包括居民生活用水（包含建筑业、三产需水以及城镇绿化、城市道路浇洒等用水）、工业用水、农业灌溉用水、牲畜用水和渔业用水，本次需水预测采用一、二、三产业进行预测，其中第一产业用水包括农业灌溉用水和牲畜用水，第二产业用水包括工业用水以及火电用水，第三产业主要是居民生活用水（包含建筑业、三产需水以及城镇绿化、城市道路浇洒等用水）和渔业用水。</w:t>
      </w:r>
    </w:p>
    <w:p>
      <w:pPr>
        <w:ind w:firstLine="31680"/>
        <w:rPr>
          <w:rFonts w:eastAsia="仿宋" w:cs="仿宋"/>
        </w:rPr>
      </w:pPr>
      <w:r>
        <w:rPr>
          <w:rFonts w:hint="eastAsia" w:eastAsia="仿宋" w:cs="仿宋"/>
        </w:rPr>
        <w:t>《昌吉州用水总量控制方案》将自治区下发的用水总量控制指标落实到各县（市），落实到地方乡级行政区，落实到供水水源，落实到年度计划安排，落实到水资源管理政策要求与保障措施，为今后一段时间内昌吉州生态文明建设和实行最严格水资源管理制度考核提供技术支撑。</w:t>
      </w:r>
    </w:p>
    <w:p>
      <w:pPr>
        <w:pStyle w:val="4"/>
        <w:numPr>
          <w:ilvl w:val="0"/>
          <w:numId w:val="0"/>
        </w:numPr>
        <w:spacing w:line="520" w:lineRule="exact"/>
        <w:ind w:firstLine="560" w:firstLineChars="200"/>
        <w:rPr>
          <w:rFonts w:ascii="黑体" w:hAnsi="黑体" w:eastAsia="黑体" w:cs="黑体"/>
          <w:b w:val="0"/>
          <w:bCs w:val="0"/>
        </w:rPr>
      </w:pPr>
      <w:bookmarkStart w:id="26" w:name="_Toc20544"/>
      <w:r>
        <w:rPr>
          <w:rFonts w:hint="eastAsia" w:ascii="黑体" w:hAnsi="黑体" w:eastAsia="黑体" w:cs="黑体"/>
          <w:b w:val="0"/>
          <w:bCs w:val="0"/>
        </w:rPr>
        <w:t>四、水资源配置方案</w:t>
      </w:r>
      <w:bookmarkEnd w:id="26"/>
    </w:p>
    <w:p>
      <w:pPr>
        <w:ind w:firstLine="31680"/>
        <w:rPr>
          <w:rFonts w:eastAsia="仿宋" w:cs="仿宋"/>
        </w:rPr>
      </w:pPr>
      <w:r>
        <w:rPr>
          <w:rFonts w:hint="eastAsia" w:eastAsia="仿宋" w:cs="仿宋"/>
        </w:rPr>
        <w:t>在本次水资源配置工作中，严格按照“用水总量控制方案”执行。目前全国均按最严格水资源政策在实施，且按照制定的“用水总量控制方案”指标进行考核，因此在供水总量不变的情况，各县（市）只能通过内部节水，即减少需水量来解决缺水问题。</w:t>
      </w:r>
    </w:p>
    <w:p>
      <w:pPr>
        <w:ind w:firstLine="31680"/>
        <w:sectPr>
          <w:pgSz w:w="12240" w:h="15840"/>
          <w:pgMar w:top="1440" w:right="1800" w:bottom="1440" w:left="1800" w:header="720" w:footer="720" w:gutter="0"/>
          <w:cols w:space="720" w:num="1"/>
        </w:sectPr>
      </w:pPr>
    </w:p>
    <w:p>
      <w:pPr>
        <w:pStyle w:val="3"/>
        <w:numPr>
          <w:ilvl w:val="0"/>
          <w:numId w:val="0"/>
        </w:numPr>
        <w:spacing w:line="520" w:lineRule="exact"/>
        <w:ind w:left="567" w:hanging="567"/>
        <w:jc w:val="center"/>
        <w:rPr>
          <w:rFonts w:ascii="黑体" w:hAnsi="黑体" w:eastAsia="黑体" w:cs="黑体"/>
          <w:b w:val="0"/>
          <w:bCs w:val="0"/>
          <w:sz w:val="32"/>
        </w:rPr>
      </w:pPr>
      <w:bookmarkStart w:id="27" w:name="_Toc21686"/>
      <w:r>
        <w:rPr>
          <w:rFonts w:hint="eastAsia" w:ascii="黑体" w:hAnsi="黑体" w:eastAsia="黑体" w:cs="黑体"/>
          <w:b w:val="0"/>
          <w:bCs w:val="0"/>
          <w:sz w:val="32"/>
        </w:rPr>
        <w:t>第四章</w:t>
      </w:r>
      <w:r>
        <w:rPr>
          <w:rFonts w:ascii="黑体" w:hAnsi="黑体" w:eastAsia="黑体" w:cs="黑体"/>
          <w:b w:val="0"/>
          <w:bCs w:val="0"/>
          <w:sz w:val="32"/>
        </w:rPr>
        <w:t xml:space="preserve"> </w:t>
      </w:r>
      <w:r>
        <w:rPr>
          <w:rFonts w:hint="eastAsia" w:ascii="黑体" w:hAnsi="黑体" w:eastAsia="黑体" w:cs="黑体"/>
          <w:b w:val="0"/>
          <w:bCs w:val="0"/>
          <w:sz w:val="32"/>
        </w:rPr>
        <w:t>补齐短板，完善水利基础设施网络</w:t>
      </w:r>
      <w:bookmarkEnd w:id="27"/>
    </w:p>
    <w:p>
      <w:pPr>
        <w:pStyle w:val="4"/>
        <w:numPr>
          <w:ilvl w:val="0"/>
          <w:numId w:val="0"/>
        </w:numPr>
        <w:spacing w:line="520" w:lineRule="exact"/>
        <w:ind w:firstLine="560" w:firstLineChars="200"/>
        <w:rPr>
          <w:rFonts w:ascii="黑体" w:hAnsi="黑体" w:eastAsia="黑体" w:cs="黑体"/>
          <w:b w:val="0"/>
          <w:bCs w:val="0"/>
        </w:rPr>
      </w:pPr>
      <w:bookmarkStart w:id="28" w:name="_Toc28339"/>
      <w:r>
        <w:rPr>
          <w:rFonts w:hint="eastAsia" w:ascii="黑体" w:hAnsi="黑体" w:eastAsia="黑体" w:cs="黑体"/>
          <w:b w:val="0"/>
          <w:bCs w:val="0"/>
        </w:rPr>
        <w:t>一、实施防洪提升工程，保障防洪安全</w:t>
      </w:r>
      <w:bookmarkEnd w:id="28"/>
    </w:p>
    <w:p>
      <w:pPr>
        <w:ind w:firstLine="31680"/>
        <w:rPr>
          <w:rFonts w:eastAsia="仿宋" w:cs="仿宋"/>
        </w:rPr>
      </w:pPr>
      <w:r>
        <w:rPr>
          <w:rFonts w:hint="eastAsia" w:eastAsia="仿宋" w:cs="仿宋"/>
        </w:rPr>
        <w:t>“十四五”期间通过实施中小河流治理、山洪沟治理、病险水库及水闸除险加固、城市防洪防涝等工程</w:t>
      </w:r>
      <w:r>
        <w:rPr>
          <w:rFonts w:eastAsia="仿宋" w:cs="仿宋"/>
        </w:rPr>
        <w:t>59</w:t>
      </w:r>
      <w:r>
        <w:rPr>
          <w:rFonts w:hint="eastAsia" w:eastAsia="仿宋" w:cs="仿宋"/>
        </w:rPr>
        <w:t>项，其中一类项目</w:t>
      </w:r>
      <w:r>
        <w:rPr>
          <w:rFonts w:eastAsia="仿宋" w:cs="仿宋"/>
        </w:rPr>
        <w:t>54</w:t>
      </w:r>
      <w:r>
        <w:rPr>
          <w:rFonts w:hint="eastAsia" w:eastAsia="仿宋" w:cs="仿宋"/>
        </w:rPr>
        <w:t>项，二类项目</w:t>
      </w:r>
      <w:r>
        <w:rPr>
          <w:rFonts w:eastAsia="仿宋" w:cs="仿宋"/>
        </w:rPr>
        <w:t>5</w:t>
      </w:r>
      <w:r>
        <w:rPr>
          <w:rFonts w:hint="eastAsia" w:eastAsia="仿宋" w:cs="仿宋"/>
        </w:rPr>
        <w:t>项。坚持工程措施和非工程措施相结合，全面提升防汛抗旱减灾能力</w:t>
      </w:r>
      <w:r>
        <w:rPr>
          <w:rFonts w:hint="eastAsia" w:eastAsia="仿宋" w:cs="仿宋"/>
          <w:lang w:eastAsia="zh-CN"/>
        </w:rPr>
        <w:t>。</w:t>
      </w:r>
      <w:r>
        <w:rPr>
          <w:rFonts w:hint="eastAsia" w:eastAsia="仿宋" w:cs="仿宋"/>
        </w:rPr>
        <w:t>上游山区段兴建水库，拦蓄调节洪水，减轻防洪压力；下游河段以修筑堤防护岸河道疏浚为主，提高涉及的主要城镇、农田保护区防洪标准；建立永久性防洪体系，在全河段建立预警预报系统，提高预见性，做好防洪调度。</w:t>
      </w:r>
    </w:p>
    <w:p>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（一）主要支流治理（流域面积</w:t>
      </w:r>
      <w:r>
        <w:rPr>
          <w:rFonts w:ascii="楷体" w:hAnsi="楷体" w:eastAsia="楷体" w:cs="楷体"/>
        </w:rPr>
        <w:t>3000km</w:t>
      </w:r>
      <w:r>
        <w:rPr>
          <w:rFonts w:ascii="楷体" w:hAnsi="楷体" w:eastAsia="楷体" w:cs="楷体"/>
          <w:vertAlign w:val="superscript"/>
        </w:rPr>
        <w:t>2</w:t>
      </w:r>
      <w:r>
        <w:rPr>
          <w:rFonts w:hint="eastAsia" w:ascii="楷体" w:hAnsi="楷体" w:eastAsia="楷体" w:cs="楷体"/>
        </w:rPr>
        <w:t>以上河流）</w:t>
      </w:r>
    </w:p>
    <w:p>
      <w:pPr>
        <w:ind w:firstLine="31680"/>
        <w:rPr>
          <w:rFonts w:hint="eastAsia" w:eastAsia="仿宋" w:cs="仿宋"/>
          <w:kern w:val="0"/>
          <w:lang w:eastAsia="zh-CN"/>
        </w:rPr>
        <w:sectPr>
          <w:pgSz w:w="12240" w:h="15840"/>
          <w:pgMar w:top="1440" w:right="1800" w:bottom="1440" w:left="1800" w:header="720" w:footer="720" w:gutter="0"/>
          <w:cols w:space="720" w:num="1"/>
        </w:sectPr>
      </w:pPr>
      <w:r>
        <w:rPr>
          <w:rFonts w:hint="eastAsia" w:eastAsia="仿宋" w:cs="仿宋"/>
          <w:kern w:val="0"/>
        </w:rPr>
        <w:t>规划实施主要支流治理项目</w:t>
      </w:r>
      <w:r>
        <w:rPr>
          <w:rFonts w:eastAsia="仿宋" w:cs="仿宋"/>
          <w:kern w:val="0"/>
        </w:rPr>
        <w:t>7</w:t>
      </w:r>
      <w:r>
        <w:rPr>
          <w:rFonts w:hint="eastAsia" w:eastAsia="仿宋" w:cs="仿宋"/>
          <w:kern w:val="0"/>
        </w:rPr>
        <w:t>项，其中一类项目</w:t>
      </w:r>
      <w:r>
        <w:rPr>
          <w:rFonts w:eastAsia="仿宋" w:cs="仿宋"/>
          <w:kern w:val="0"/>
        </w:rPr>
        <w:t>5</w:t>
      </w:r>
      <w:r>
        <w:rPr>
          <w:rFonts w:hint="eastAsia" w:eastAsia="仿宋" w:cs="仿宋"/>
          <w:kern w:val="0"/>
        </w:rPr>
        <w:t>项，二类项目</w:t>
      </w:r>
      <w:r>
        <w:rPr>
          <w:rFonts w:eastAsia="仿宋" w:cs="仿宋"/>
          <w:kern w:val="0"/>
        </w:rPr>
        <w:t>2</w:t>
      </w:r>
      <w:r>
        <w:rPr>
          <w:rFonts w:hint="eastAsia" w:eastAsia="仿宋" w:cs="仿宋"/>
          <w:kern w:val="0"/>
        </w:rPr>
        <w:t>项</w:t>
      </w:r>
      <w:r>
        <w:rPr>
          <w:rFonts w:hint="eastAsia" w:eastAsia="仿宋" w:cs="仿宋"/>
          <w:kern w:val="0"/>
          <w:lang w:eastAsia="zh-CN"/>
        </w:rPr>
        <w:t>。</w:t>
      </w:r>
    </w:p>
    <w:p>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（二）中小河流治理（流域面积</w:t>
      </w:r>
      <w:r>
        <w:rPr>
          <w:rFonts w:ascii="楷体" w:hAnsi="楷体" w:eastAsia="楷体" w:cs="楷体"/>
        </w:rPr>
        <w:t>200-3000km</w:t>
      </w:r>
      <w:r>
        <w:rPr>
          <w:rFonts w:ascii="楷体" w:hAnsi="楷体" w:eastAsia="楷体" w:cs="楷体"/>
          <w:vertAlign w:val="superscript"/>
        </w:rPr>
        <w:t>2</w:t>
      </w:r>
      <w:r>
        <w:rPr>
          <w:rFonts w:hint="eastAsia" w:ascii="楷体" w:hAnsi="楷体" w:eastAsia="楷体" w:cs="楷体"/>
        </w:rPr>
        <w:t>河流）</w:t>
      </w:r>
    </w:p>
    <w:p>
      <w:pPr>
        <w:ind w:firstLine="31680"/>
        <w:rPr>
          <w:rFonts w:eastAsia="仿宋" w:cs="仿宋"/>
        </w:rPr>
        <w:sectPr>
          <w:pgSz w:w="12240" w:h="15840"/>
          <w:pgMar w:top="1440" w:right="1800" w:bottom="1440" w:left="1800" w:header="720" w:footer="720" w:gutter="0"/>
          <w:cols w:space="720" w:num="1"/>
        </w:sectPr>
      </w:pPr>
      <w:r>
        <w:rPr>
          <w:rFonts w:hint="eastAsia" w:eastAsia="仿宋" w:cs="仿宋"/>
        </w:rPr>
        <w:t>规划实施</w:t>
      </w:r>
      <w:r>
        <w:rPr>
          <w:rFonts w:eastAsia="仿宋" w:cs="仿宋"/>
        </w:rPr>
        <w:t>29</w:t>
      </w:r>
      <w:r>
        <w:rPr>
          <w:rFonts w:hint="eastAsia" w:eastAsia="仿宋" w:cs="仿宋"/>
        </w:rPr>
        <w:t>项中小河流治理项目，均为一类项目，治理长度</w:t>
      </w:r>
      <w:r>
        <w:rPr>
          <w:rFonts w:eastAsia="仿宋" w:cs="仿宋"/>
        </w:rPr>
        <w:t>294.67km</w:t>
      </w:r>
      <w:r>
        <w:rPr>
          <w:rFonts w:hint="eastAsia" w:eastAsia="仿宋" w:cs="仿宋"/>
        </w:rPr>
        <w:t>。治理河流涉及塔西河、库尔阿根河、白杨河、四工河、大龙口河、开垦河、木垒河等</w:t>
      </w:r>
      <w:r>
        <w:rPr>
          <w:rFonts w:eastAsia="仿宋" w:cs="仿宋"/>
        </w:rPr>
        <w:t>17</w:t>
      </w:r>
      <w:r>
        <w:rPr>
          <w:rFonts w:hint="eastAsia" w:eastAsia="仿宋" w:cs="仿宋"/>
        </w:rPr>
        <w:t>条中小河流。中小河流治理工程措施主要为：在平原灌区的上、中游段修筑护岸防洪堤坝工程，稳定河岸提高河道过洪能力，保护沿岸城镇、农田、村庄、交通、水利工程安全；灌区下游主要是修筑堤防，防止淹没沿河农田村庄，结合引洪灌溉控制洪水，既保证水库蓄水又安排好洪水出路。</w:t>
      </w:r>
    </w:p>
    <w:p>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（三）山洪沟治理</w:t>
      </w:r>
    </w:p>
    <w:p>
      <w:pPr>
        <w:ind w:firstLine="31680"/>
        <w:jc w:val="left"/>
        <w:rPr>
          <w:rFonts w:eastAsia="仿宋" w:cs="仿宋"/>
        </w:rPr>
      </w:pPr>
      <w:r>
        <w:rPr>
          <w:rFonts w:hint="eastAsia" w:eastAsia="仿宋" w:cs="仿宋"/>
        </w:rPr>
        <w:t>规划实施木垒县东城孙家沟、吉木萨尔县水溪沟、玛纳斯县玛纳斯镇泄洪沟治理等山洪沟治理项目</w:t>
      </w:r>
      <w:r>
        <w:rPr>
          <w:rFonts w:eastAsia="仿宋" w:cs="仿宋"/>
        </w:rPr>
        <w:t>3</w:t>
      </w:r>
      <w:r>
        <w:rPr>
          <w:rFonts w:hint="eastAsia" w:eastAsia="仿宋" w:cs="仿宋"/>
        </w:rPr>
        <w:t>项，均为一类项目，新建防洪堤</w:t>
      </w:r>
      <w:r>
        <w:rPr>
          <w:rFonts w:eastAsia="仿宋" w:cs="仿宋"/>
        </w:rPr>
        <w:t>54.4km</w:t>
      </w:r>
      <w:r>
        <w:rPr>
          <w:rFonts w:hint="eastAsia" w:eastAsia="仿宋" w:cs="仿宋"/>
        </w:rPr>
        <w:t>。</w:t>
      </w:r>
    </w:p>
    <w:p>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（四）病险水库除险加固</w:t>
      </w:r>
    </w:p>
    <w:p>
      <w:pPr>
        <w:ind w:firstLine="31680"/>
        <w:jc w:val="left"/>
        <w:rPr>
          <w:rFonts w:eastAsia="仿宋" w:cs="仿宋"/>
        </w:rPr>
      </w:pPr>
      <w:r>
        <w:rPr>
          <w:rFonts w:hint="eastAsia" w:eastAsia="仿宋" w:cs="仿宋"/>
        </w:rPr>
        <w:t>规划对</w:t>
      </w:r>
      <w:r>
        <w:rPr>
          <w:rFonts w:eastAsia="仿宋" w:cs="仿宋"/>
        </w:rPr>
        <w:t>4</w:t>
      </w:r>
      <w:r>
        <w:rPr>
          <w:rFonts w:hint="eastAsia" w:eastAsia="仿宋" w:cs="仿宋"/>
        </w:rPr>
        <w:t>座中小型水库进行除险加固，</w:t>
      </w:r>
      <w:r>
        <w:rPr>
          <w:rFonts w:hint="eastAsia" w:eastAsia="仿宋" w:cs="仿宋"/>
          <w:lang w:val="en-US" w:eastAsia="zh-CN"/>
        </w:rPr>
        <w:t>其中</w:t>
      </w:r>
      <w:r>
        <w:rPr>
          <w:rFonts w:hint="eastAsia" w:eastAsia="仿宋" w:cs="仿宋"/>
        </w:rPr>
        <w:t>一类项目</w:t>
      </w:r>
      <w:r>
        <w:rPr>
          <w:rFonts w:eastAsia="仿宋" w:cs="仿宋"/>
        </w:rPr>
        <w:t>3</w:t>
      </w:r>
      <w:r>
        <w:rPr>
          <w:rFonts w:hint="eastAsia" w:eastAsia="仿宋" w:cs="仿宋"/>
        </w:rPr>
        <w:t>项</w:t>
      </w:r>
      <w:r>
        <w:rPr>
          <w:rFonts w:hint="eastAsia" w:eastAsia="仿宋" w:cs="仿宋"/>
          <w:lang w:eastAsia="zh-CN"/>
        </w:rPr>
        <w:t>，</w:t>
      </w:r>
      <w:r>
        <w:rPr>
          <w:rFonts w:hint="eastAsia" w:eastAsia="仿宋" w:cs="仿宋"/>
        </w:rPr>
        <w:t>二类项目</w:t>
      </w:r>
      <w:r>
        <w:rPr>
          <w:rFonts w:eastAsia="仿宋" w:cs="仿宋"/>
        </w:rPr>
        <w:t>1</w:t>
      </w:r>
      <w:r>
        <w:rPr>
          <w:rFonts w:hint="eastAsia" w:eastAsia="仿宋" w:cs="仿宋"/>
        </w:rPr>
        <w:t>项。</w:t>
      </w:r>
    </w:p>
    <w:p>
      <w:pPr>
        <w:pStyle w:val="5"/>
        <w:numPr>
          <w:ilvl w:val="0"/>
          <w:numId w:val="0"/>
        </w:numPr>
        <w:spacing w:line="520" w:lineRule="exact"/>
        <w:ind w:firstLine="562" w:firstLineChars="200"/>
        <w:rPr>
          <w:rFonts w:ascii="楷体" w:hAnsi="楷体" w:eastAsia="楷体" w:cs="楷体"/>
          <w:bCs w:val="0"/>
        </w:rPr>
      </w:pPr>
      <w:r>
        <w:rPr>
          <w:rFonts w:hint="eastAsia" w:ascii="楷体" w:hAnsi="楷体" w:eastAsia="楷体" w:cs="楷体"/>
          <w:bCs w:val="0"/>
        </w:rPr>
        <w:t>（五）中型病险渠首（水闸）除险加固</w:t>
      </w:r>
    </w:p>
    <w:p>
      <w:pPr>
        <w:ind w:firstLine="31680"/>
        <w:jc w:val="left"/>
        <w:rPr>
          <w:rFonts w:eastAsia="仿宋" w:cs="仿宋"/>
        </w:rPr>
      </w:pPr>
      <w:r>
        <w:rPr>
          <w:rFonts w:hint="eastAsia" w:eastAsia="仿宋" w:cs="仿宋"/>
        </w:rPr>
        <w:t>“十四五”期间规划对</w:t>
      </w:r>
      <w:r>
        <w:rPr>
          <w:rFonts w:eastAsia="仿宋" w:cs="仿宋"/>
        </w:rPr>
        <w:t>14</w:t>
      </w:r>
      <w:r>
        <w:rPr>
          <w:rFonts w:hint="eastAsia" w:eastAsia="仿宋" w:cs="仿宋"/>
        </w:rPr>
        <w:t>座中型病险渠首（水闸）进行改建，均为一类项目。</w:t>
      </w:r>
    </w:p>
    <w:p>
      <w:pPr>
        <w:pStyle w:val="5"/>
        <w:numPr>
          <w:ilvl w:val="0"/>
          <w:numId w:val="0"/>
        </w:numPr>
        <w:spacing w:line="520" w:lineRule="exact"/>
        <w:ind w:firstLine="562" w:firstLineChars="200"/>
        <w:rPr>
          <w:rFonts w:ascii="楷体" w:hAnsi="楷体" w:eastAsia="楷体" w:cs="楷体"/>
        </w:rPr>
      </w:pPr>
      <w:r>
        <w:rPr>
          <w:rFonts w:hint="eastAsia" w:ascii="楷体" w:hAnsi="楷体" w:eastAsia="楷体" w:cs="楷体"/>
        </w:rPr>
        <w:t>（六）城市防洪防涝能力建设</w:t>
      </w:r>
    </w:p>
    <w:p>
      <w:pPr>
        <w:ind w:firstLine="31680"/>
        <w:rPr>
          <w:rStyle w:val="91"/>
          <w:rFonts w:ascii="仿宋" w:eastAsia="仿宋" w:cs="仿宋"/>
        </w:rPr>
      </w:pPr>
      <w:r>
        <w:rPr>
          <w:rFonts w:hint="eastAsia" w:eastAsia="仿宋" w:cs="仿宋"/>
        </w:rPr>
        <w:t>“十四五”期间规划实施城市防洪工程共计</w:t>
      </w:r>
      <w:r>
        <w:rPr>
          <w:rFonts w:eastAsia="仿宋" w:cs="仿宋"/>
        </w:rPr>
        <w:t>2</w:t>
      </w:r>
      <w:r>
        <w:rPr>
          <w:rFonts w:hint="eastAsia" w:eastAsia="仿宋" w:cs="仿宋"/>
        </w:rPr>
        <w:t>项，均为二类项目。</w:t>
      </w:r>
    </w:p>
    <w:p>
      <w:pPr>
        <w:pStyle w:val="4"/>
        <w:numPr>
          <w:ilvl w:val="0"/>
          <w:numId w:val="0"/>
        </w:numPr>
        <w:spacing w:line="520" w:lineRule="exact"/>
        <w:ind w:firstLine="560" w:firstLineChars="200"/>
        <w:rPr>
          <w:rFonts w:ascii="黑体" w:hAnsi="黑体" w:eastAsia="黑体" w:cs="黑体"/>
          <w:b w:val="0"/>
          <w:bCs w:val="0"/>
        </w:rPr>
      </w:pPr>
      <w:bookmarkStart w:id="29" w:name="_Toc23572"/>
      <w:r>
        <w:rPr>
          <w:rFonts w:hint="eastAsia" w:ascii="黑体" w:hAnsi="黑体" w:eastAsia="黑体" w:cs="黑体"/>
          <w:b w:val="0"/>
          <w:bCs w:val="0"/>
        </w:rPr>
        <w:t>二、强化节水和水资源合理配置，保障供水安全</w:t>
      </w:r>
      <w:bookmarkEnd w:id="29"/>
    </w:p>
    <w:p>
      <w:pPr>
        <w:pStyle w:val="5"/>
        <w:numPr>
          <w:ilvl w:val="0"/>
          <w:numId w:val="0"/>
        </w:numPr>
        <w:spacing w:line="520" w:lineRule="exact"/>
        <w:ind w:firstLine="562" w:firstLineChars="200"/>
        <w:rPr>
          <w:rFonts w:ascii="楷体" w:hAnsi="楷体" w:eastAsia="楷体" w:cs="楷体"/>
          <w:bCs w:val="0"/>
        </w:rPr>
      </w:pPr>
      <w:r>
        <w:rPr>
          <w:rFonts w:hint="eastAsia" w:ascii="楷体" w:hAnsi="楷体" w:eastAsia="楷体" w:cs="楷体"/>
          <w:bCs w:val="0"/>
        </w:rPr>
        <w:t>（一）中型水库</w:t>
      </w:r>
    </w:p>
    <w:p>
      <w:pPr>
        <w:ind w:firstLine="31680"/>
        <w:rPr>
          <w:rFonts w:eastAsia="仿宋" w:cs="仿宋"/>
        </w:rPr>
      </w:pPr>
      <w:r>
        <w:rPr>
          <w:rFonts w:hint="eastAsia" w:eastAsia="仿宋" w:cs="仿宋"/>
        </w:rPr>
        <w:t>“十四五”期间，通过建设玛纳斯县塔西河红沙湾水库工程，实现供水能力的有效提升，有力解决现有水资源时空分布不均的“瓶颈”问题，进一步完善全州水资源优化配置体系。</w:t>
      </w:r>
    </w:p>
    <w:p>
      <w:pPr>
        <w:pStyle w:val="5"/>
        <w:numPr>
          <w:ilvl w:val="0"/>
          <w:numId w:val="0"/>
        </w:numPr>
        <w:spacing w:line="520" w:lineRule="exact"/>
        <w:ind w:firstLine="562" w:firstLineChars="200"/>
        <w:rPr>
          <w:rFonts w:ascii="楷体" w:hAnsi="楷体" w:eastAsia="楷体" w:cs="楷体"/>
          <w:bCs w:val="0"/>
        </w:rPr>
      </w:pPr>
      <w:r>
        <w:rPr>
          <w:rFonts w:hint="eastAsia" w:ascii="楷体" w:hAnsi="楷体" w:eastAsia="楷体" w:cs="楷体"/>
          <w:bCs w:val="0"/>
        </w:rPr>
        <w:t>（二）小型水库</w:t>
      </w:r>
    </w:p>
    <w:p>
      <w:pPr>
        <w:ind w:firstLine="31680"/>
        <w:rPr>
          <w:rFonts w:eastAsia="仿宋" w:cs="仿宋"/>
        </w:rPr>
      </w:pPr>
      <w:r>
        <w:rPr>
          <w:rFonts w:hint="eastAsia" w:eastAsia="仿宋" w:cs="仿宋"/>
        </w:rPr>
        <w:t>“十四五”期间，昌吉州拟续呼图壁县红山下水库，新建小型水库</w:t>
      </w:r>
      <w:r>
        <w:rPr>
          <w:rFonts w:eastAsia="仿宋" w:cs="仿宋"/>
        </w:rPr>
        <w:t>6</w:t>
      </w:r>
      <w:r>
        <w:rPr>
          <w:rFonts w:hint="eastAsia" w:eastAsia="仿宋" w:cs="仿宋"/>
        </w:rPr>
        <w:t>座。</w:t>
      </w:r>
    </w:p>
    <w:p>
      <w:pPr>
        <w:pStyle w:val="5"/>
        <w:numPr>
          <w:ilvl w:val="0"/>
          <w:numId w:val="0"/>
        </w:numPr>
        <w:spacing w:line="520" w:lineRule="exact"/>
        <w:ind w:firstLine="562" w:firstLineChars="200"/>
        <w:rPr>
          <w:rFonts w:ascii="楷体" w:hAnsi="楷体" w:eastAsia="楷体" w:cs="楷体"/>
          <w:bCs w:val="0"/>
        </w:rPr>
      </w:pPr>
      <w:r>
        <w:rPr>
          <w:rFonts w:hint="eastAsia" w:ascii="楷体" w:hAnsi="楷体" w:eastAsia="楷体" w:cs="楷体"/>
          <w:bCs w:val="0"/>
        </w:rPr>
        <w:t>（三）区域内引调水工程</w:t>
      </w:r>
    </w:p>
    <w:p>
      <w:pPr>
        <w:ind w:firstLine="31680"/>
        <w:rPr>
          <w:rFonts w:eastAsia="仿宋" w:cs="仿宋"/>
        </w:rPr>
      </w:pPr>
      <w:r>
        <w:rPr>
          <w:rFonts w:hint="eastAsia" w:eastAsia="仿宋" w:cs="仿宋"/>
        </w:rPr>
        <w:t>“十四五”期间，昌吉州拟建区域内引调水工程共</w:t>
      </w:r>
      <w:r>
        <w:rPr>
          <w:rFonts w:eastAsia="仿宋" w:cs="仿宋"/>
        </w:rPr>
        <w:t>10</w:t>
      </w:r>
      <w:r>
        <w:rPr>
          <w:rFonts w:hint="eastAsia" w:eastAsia="仿宋" w:cs="仿宋"/>
        </w:rPr>
        <w:t>项。</w:t>
      </w:r>
    </w:p>
    <w:p>
      <w:pPr>
        <w:pStyle w:val="5"/>
        <w:numPr>
          <w:ilvl w:val="0"/>
          <w:numId w:val="0"/>
        </w:numPr>
        <w:spacing w:line="520" w:lineRule="exact"/>
        <w:ind w:firstLine="562" w:firstLineChars="200"/>
        <w:rPr>
          <w:rFonts w:ascii="楷体" w:hAnsi="楷体" w:eastAsia="楷体" w:cs="楷体"/>
          <w:bCs w:val="0"/>
        </w:rPr>
      </w:pPr>
      <w:r>
        <w:rPr>
          <w:rFonts w:hint="eastAsia" w:ascii="楷体" w:hAnsi="楷体" w:eastAsia="楷体" w:cs="楷体"/>
          <w:bCs w:val="0"/>
        </w:rPr>
        <w:t>（四）农村供水工程</w:t>
      </w:r>
    </w:p>
    <w:p>
      <w:pPr>
        <w:ind w:firstLine="31680"/>
        <w:rPr>
          <w:rFonts w:ascii="仿宋" w:hAnsi="仿宋" w:eastAsia="仿宋" w:cs="仿宋"/>
        </w:rPr>
      </w:pPr>
      <w:r>
        <w:rPr>
          <w:rFonts w:hint="eastAsia" w:eastAsia="仿宋" w:cs="仿宋"/>
        </w:rPr>
        <w:t>“十四五”期间，昌吉州拟建农村供水工程共</w:t>
      </w:r>
      <w:r>
        <w:rPr>
          <w:rFonts w:eastAsia="仿宋" w:cs="仿宋"/>
        </w:rPr>
        <w:t>16</w:t>
      </w:r>
      <w:r>
        <w:rPr>
          <w:rFonts w:hint="eastAsia" w:eastAsia="仿宋" w:cs="仿宋"/>
        </w:rPr>
        <w:t>项，均为一类项目。</w:t>
      </w:r>
    </w:p>
    <w:p>
      <w:pPr>
        <w:pStyle w:val="5"/>
        <w:numPr>
          <w:ilvl w:val="0"/>
          <w:numId w:val="0"/>
        </w:numPr>
        <w:spacing w:line="520" w:lineRule="exact"/>
        <w:ind w:firstLine="562" w:firstLineChars="200"/>
        <w:rPr>
          <w:rFonts w:ascii="楷体" w:hAnsi="楷体" w:eastAsia="楷体" w:cs="楷体"/>
          <w:bCs w:val="0"/>
        </w:rPr>
      </w:pPr>
      <w:r>
        <w:rPr>
          <w:rFonts w:hint="eastAsia" w:ascii="楷体" w:hAnsi="楷体" w:eastAsia="楷体" w:cs="楷体"/>
          <w:bCs w:val="0"/>
        </w:rPr>
        <w:t>（五）大型灌区续建配套与现代化改造工程</w:t>
      </w:r>
    </w:p>
    <w:p>
      <w:pPr>
        <w:ind w:firstLine="31680"/>
        <w:rPr>
          <w:rFonts w:eastAsia="仿宋" w:cs="仿宋"/>
        </w:rPr>
      </w:pPr>
      <w:r>
        <w:rPr>
          <w:rFonts w:hint="eastAsia" w:eastAsia="仿宋" w:cs="仿宋"/>
        </w:rPr>
        <w:t>“十四五”期间，昌吉州拟实施大型灌区与现代化改造工程</w:t>
      </w:r>
      <w:r>
        <w:rPr>
          <w:rFonts w:eastAsia="仿宋" w:cs="仿宋"/>
        </w:rPr>
        <w:t>1</w:t>
      </w:r>
      <w:r>
        <w:rPr>
          <w:rFonts w:hint="eastAsia" w:eastAsia="仿宋" w:cs="仿宋"/>
        </w:rPr>
        <w:t>项，为一类项目。</w:t>
      </w:r>
    </w:p>
    <w:p>
      <w:pPr>
        <w:pStyle w:val="5"/>
        <w:numPr>
          <w:ilvl w:val="0"/>
          <w:numId w:val="0"/>
        </w:numPr>
        <w:spacing w:line="520" w:lineRule="exact"/>
        <w:ind w:firstLine="562" w:firstLineChars="200"/>
        <w:rPr>
          <w:rFonts w:ascii="楷体" w:hAnsi="楷体" w:eastAsia="楷体" w:cs="楷体"/>
          <w:bCs w:val="0"/>
        </w:rPr>
      </w:pPr>
      <w:r>
        <w:rPr>
          <w:rFonts w:hint="eastAsia" w:ascii="楷体" w:hAnsi="楷体" w:eastAsia="楷体" w:cs="楷体"/>
          <w:bCs w:val="0"/>
        </w:rPr>
        <w:t>（六）中型灌区续建配套与节水改造工程</w:t>
      </w:r>
    </w:p>
    <w:p>
      <w:pPr>
        <w:ind w:firstLine="31680"/>
        <w:rPr>
          <w:rFonts w:eastAsia="仿宋" w:cs="仿宋"/>
        </w:rPr>
      </w:pPr>
      <w:r>
        <w:rPr>
          <w:rFonts w:hint="eastAsia" w:eastAsia="仿宋" w:cs="仿宋"/>
        </w:rPr>
        <w:t>“十四五”期间，昌吉州拟实施中型灌区与现代化改造工程共</w:t>
      </w:r>
      <w:r>
        <w:rPr>
          <w:rFonts w:eastAsia="仿宋" w:cs="仿宋"/>
        </w:rPr>
        <w:t>15</w:t>
      </w:r>
      <w:r>
        <w:rPr>
          <w:rFonts w:hint="eastAsia" w:eastAsia="仿宋" w:cs="仿宋"/>
        </w:rPr>
        <w:t>项，其中一类项目</w:t>
      </w:r>
      <w:r>
        <w:rPr>
          <w:rFonts w:eastAsia="仿宋" w:cs="仿宋"/>
        </w:rPr>
        <w:t>6</w:t>
      </w:r>
      <w:r>
        <w:rPr>
          <w:rFonts w:hint="eastAsia" w:eastAsia="仿宋" w:cs="仿宋"/>
        </w:rPr>
        <w:t>项，二类项目</w:t>
      </w:r>
      <w:r>
        <w:rPr>
          <w:rFonts w:eastAsia="仿宋" w:cs="仿宋"/>
        </w:rPr>
        <w:t>9</w:t>
      </w:r>
      <w:r>
        <w:rPr>
          <w:rFonts w:hint="eastAsia" w:eastAsia="仿宋" w:cs="仿宋"/>
        </w:rPr>
        <w:t>项。</w:t>
      </w:r>
    </w:p>
    <w:p>
      <w:pPr>
        <w:pStyle w:val="5"/>
        <w:numPr>
          <w:ilvl w:val="0"/>
          <w:numId w:val="0"/>
        </w:numPr>
        <w:spacing w:line="520" w:lineRule="exact"/>
        <w:ind w:firstLine="562" w:firstLineChars="200"/>
        <w:rPr>
          <w:rFonts w:ascii="楷体" w:hAnsi="楷体" w:eastAsia="楷体" w:cs="楷体"/>
          <w:bCs w:val="0"/>
        </w:rPr>
      </w:pPr>
      <w:r>
        <w:rPr>
          <w:rFonts w:hint="eastAsia" w:ascii="楷体" w:hAnsi="楷体" w:eastAsia="楷体" w:cs="楷体"/>
        </w:rPr>
        <w:t>（七）牧区水利</w:t>
      </w:r>
    </w:p>
    <w:p>
      <w:pPr>
        <w:ind w:firstLine="31680"/>
        <w:rPr>
          <w:rFonts w:ascii="仿宋" w:hAnsi="仿宋" w:eastAsia="仿宋" w:cs="仿宋"/>
        </w:rPr>
      </w:pPr>
      <w:r>
        <w:rPr>
          <w:rFonts w:hint="eastAsia" w:eastAsia="仿宋" w:cs="仿宋"/>
        </w:rPr>
        <w:t>“十四五”期间，昌吉州拟实施牧区水利项目共</w:t>
      </w:r>
      <w:r>
        <w:rPr>
          <w:rFonts w:eastAsia="仿宋" w:cs="仿宋"/>
        </w:rPr>
        <w:t>6</w:t>
      </w:r>
      <w:r>
        <w:rPr>
          <w:rFonts w:hint="eastAsia" w:eastAsia="仿宋" w:cs="仿宋"/>
        </w:rPr>
        <w:t>项，均为二类项目。</w:t>
      </w:r>
    </w:p>
    <w:p>
      <w:pPr>
        <w:pStyle w:val="4"/>
        <w:numPr>
          <w:ilvl w:val="0"/>
          <w:numId w:val="0"/>
        </w:numPr>
        <w:spacing w:line="520" w:lineRule="exact"/>
        <w:ind w:firstLine="560" w:firstLineChars="200"/>
        <w:rPr>
          <w:rFonts w:ascii="黑体" w:hAnsi="黑体" w:eastAsia="黑体" w:cs="黑体"/>
          <w:b w:val="0"/>
          <w:bCs w:val="0"/>
        </w:rPr>
      </w:pPr>
      <w:bookmarkStart w:id="30" w:name="_Toc3483"/>
      <w:bookmarkStart w:id="31" w:name="_Toc82462215"/>
      <w:r>
        <w:rPr>
          <w:rFonts w:hint="eastAsia" w:ascii="黑体" w:hAnsi="黑体" w:eastAsia="黑体" w:cs="黑体"/>
          <w:b w:val="0"/>
          <w:bCs w:val="0"/>
        </w:rPr>
        <w:t>三、加强水生态环境修复，维护河湖健康</w:t>
      </w:r>
      <w:bookmarkEnd w:id="30"/>
      <w:bookmarkEnd w:id="31"/>
    </w:p>
    <w:p>
      <w:pPr>
        <w:pStyle w:val="5"/>
        <w:numPr>
          <w:ilvl w:val="0"/>
          <w:numId w:val="0"/>
        </w:numPr>
        <w:spacing w:line="520" w:lineRule="exact"/>
        <w:ind w:firstLine="562" w:firstLineChars="200"/>
        <w:rPr>
          <w:rFonts w:ascii="楷体" w:hAnsi="楷体" w:eastAsia="楷体" w:cs="楷体"/>
          <w:bCs w:val="0"/>
        </w:rPr>
      </w:pPr>
      <w:r>
        <w:rPr>
          <w:rFonts w:hint="eastAsia" w:ascii="楷体" w:hAnsi="楷体" w:eastAsia="楷体" w:cs="楷体"/>
          <w:bCs w:val="0"/>
        </w:rPr>
        <w:t>（一）小流域综合治理</w:t>
      </w:r>
    </w:p>
    <w:p>
      <w:pPr>
        <w:ind w:firstLine="472" w:firstLineChars="196"/>
        <w:rPr>
          <w:rFonts w:eastAsia="仿宋" w:cs="仿宋"/>
          <w:b/>
          <w:szCs w:val="28"/>
        </w:rPr>
      </w:pPr>
      <w:r>
        <w:rPr>
          <w:rFonts w:eastAsia="仿宋" w:cs="仿宋"/>
          <w:b/>
          <w:szCs w:val="28"/>
        </w:rPr>
        <w:t>1.</w:t>
      </w:r>
      <w:r>
        <w:rPr>
          <w:rFonts w:hint="eastAsia" w:eastAsia="仿宋" w:cs="仿宋"/>
          <w:b/>
          <w:szCs w:val="28"/>
        </w:rPr>
        <w:t>小流域综合治理工程</w:t>
      </w:r>
    </w:p>
    <w:p>
      <w:pPr>
        <w:ind w:firstLine="31680"/>
        <w:rPr>
          <w:rFonts w:hint="eastAsia" w:eastAsia="仿宋" w:cs="仿宋"/>
          <w:lang w:eastAsia="zh-CN"/>
        </w:rPr>
      </w:pPr>
      <w:r>
        <w:rPr>
          <w:rFonts w:hint="eastAsia" w:eastAsia="仿宋" w:cs="仿宋"/>
        </w:rPr>
        <w:t>“十四五”期间，昌吉州拟实施小流域综合治理项目</w:t>
      </w:r>
      <w:r>
        <w:rPr>
          <w:rFonts w:eastAsia="仿宋" w:cs="仿宋"/>
        </w:rPr>
        <w:t>18</w:t>
      </w:r>
      <w:r>
        <w:rPr>
          <w:rFonts w:hint="eastAsia" w:eastAsia="仿宋" w:cs="仿宋"/>
        </w:rPr>
        <w:t>项，其中一类项目</w:t>
      </w:r>
      <w:r>
        <w:rPr>
          <w:rFonts w:eastAsia="仿宋" w:cs="仿宋"/>
        </w:rPr>
        <w:t>13</w:t>
      </w:r>
      <w:r>
        <w:rPr>
          <w:rFonts w:hint="eastAsia" w:eastAsia="仿宋" w:cs="仿宋"/>
        </w:rPr>
        <w:t>项</w:t>
      </w:r>
      <w:r>
        <w:rPr>
          <w:rFonts w:hint="eastAsia" w:eastAsia="仿宋" w:cs="仿宋"/>
          <w:lang w:eastAsia="zh-CN"/>
        </w:rPr>
        <w:t>，</w:t>
      </w:r>
      <w:r>
        <w:rPr>
          <w:rFonts w:hint="eastAsia" w:eastAsia="仿宋" w:cs="仿宋"/>
        </w:rPr>
        <w:t>二类项目</w:t>
      </w:r>
      <w:r>
        <w:rPr>
          <w:rFonts w:eastAsia="仿宋" w:cs="仿宋"/>
        </w:rPr>
        <w:t>5</w:t>
      </w:r>
      <w:r>
        <w:rPr>
          <w:rFonts w:hint="eastAsia" w:eastAsia="仿宋" w:cs="仿宋"/>
        </w:rPr>
        <w:t>项。计划开展以小流域为单元的生态清洁小流域建设，通过有效保护使综合治理后的小流域实现山青、水秀、人富</w:t>
      </w:r>
      <w:r>
        <w:rPr>
          <w:rFonts w:hint="eastAsia" w:eastAsia="仿宋" w:cs="仿宋"/>
          <w:lang w:eastAsia="zh-CN"/>
        </w:rPr>
        <w:t>。</w:t>
      </w:r>
    </w:p>
    <w:p>
      <w:pPr>
        <w:ind w:firstLine="31680"/>
        <w:rPr>
          <w:rFonts w:eastAsia="仿宋" w:cs="仿宋"/>
          <w:b/>
          <w:szCs w:val="28"/>
        </w:rPr>
      </w:pPr>
      <w:r>
        <w:rPr>
          <w:rFonts w:eastAsia="仿宋" w:cs="仿宋"/>
          <w:b/>
          <w:szCs w:val="28"/>
        </w:rPr>
        <w:t xml:space="preserve">2. </w:t>
      </w:r>
      <w:r>
        <w:rPr>
          <w:rFonts w:hint="eastAsia" w:eastAsia="仿宋" w:cs="仿宋"/>
          <w:b/>
          <w:szCs w:val="28"/>
        </w:rPr>
        <w:t>水土保持监测点布设</w:t>
      </w:r>
    </w:p>
    <w:p>
      <w:pPr>
        <w:ind w:firstLine="31680"/>
        <w:rPr>
          <w:rFonts w:eastAsia="仿宋" w:cs="仿宋"/>
        </w:rPr>
      </w:pPr>
      <w:r>
        <w:rPr>
          <w:rFonts w:hint="eastAsia" w:eastAsia="仿宋" w:cs="仿宋"/>
        </w:rPr>
        <w:t>结合昌吉州现状监测点情况，在现有监测站网的基础上，升级改造</w:t>
      </w:r>
      <w:r>
        <w:rPr>
          <w:rFonts w:eastAsia="仿宋" w:cs="仿宋"/>
        </w:rPr>
        <w:t>2</w:t>
      </w:r>
      <w:r>
        <w:rPr>
          <w:rFonts w:hint="eastAsia" w:eastAsia="仿宋" w:cs="仿宋"/>
        </w:rPr>
        <w:t>处。新建</w:t>
      </w:r>
      <w:r>
        <w:rPr>
          <w:rFonts w:eastAsia="仿宋" w:cs="仿宋"/>
        </w:rPr>
        <w:t>2</w:t>
      </w:r>
      <w:r>
        <w:rPr>
          <w:rFonts w:hint="eastAsia" w:eastAsia="仿宋" w:cs="仿宋"/>
        </w:rPr>
        <w:t>处。规划实施后，位于昌吉州的各级水土保持监测点将达到</w:t>
      </w:r>
      <w:r>
        <w:rPr>
          <w:rFonts w:eastAsia="仿宋" w:cs="仿宋"/>
        </w:rPr>
        <w:t>4</w:t>
      </w:r>
      <w:r>
        <w:rPr>
          <w:rFonts w:hint="eastAsia" w:eastAsia="仿宋" w:cs="仿宋"/>
        </w:rPr>
        <w:t>个。按照监测点类型划分，</w:t>
      </w:r>
      <w:r>
        <w:rPr>
          <w:rFonts w:eastAsia="仿宋" w:cs="仿宋"/>
        </w:rPr>
        <w:t>2</w:t>
      </w:r>
      <w:r>
        <w:rPr>
          <w:rFonts w:hint="eastAsia" w:eastAsia="仿宋" w:cs="仿宋"/>
        </w:rPr>
        <w:t>个水蚀监测点，</w:t>
      </w:r>
      <w:r>
        <w:rPr>
          <w:rFonts w:eastAsia="仿宋" w:cs="仿宋"/>
        </w:rPr>
        <w:t>1</w:t>
      </w:r>
      <w:r>
        <w:rPr>
          <w:rFonts w:hint="eastAsia" w:eastAsia="仿宋" w:cs="仿宋"/>
        </w:rPr>
        <w:t>个风水复合监测点，</w:t>
      </w:r>
      <w:r>
        <w:rPr>
          <w:rFonts w:eastAsia="仿宋" w:cs="仿宋"/>
        </w:rPr>
        <w:t>1</w:t>
      </w:r>
      <w:r>
        <w:rPr>
          <w:rFonts w:hint="eastAsia" w:eastAsia="仿宋" w:cs="仿宋"/>
        </w:rPr>
        <w:t>个风蚀监测点。</w:t>
      </w:r>
    </w:p>
    <w:p>
      <w:pPr>
        <w:pStyle w:val="5"/>
        <w:numPr>
          <w:ilvl w:val="0"/>
          <w:numId w:val="0"/>
        </w:numPr>
        <w:spacing w:line="520" w:lineRule="exact"/>
        <w:ind w:firstLine="562" w:firstLineChars="200"/>
        <w:rPr>
          <w:rFonts w:ascii="楷体" w:hAnsi="楷体" w:eastAsia="楷体" w:cs="楷体"/>
          <w:bCs w:val="0"/>
        </w:rPr>
      </w:pPr>
      <w:r>
        <w:rPr>
          <w:rFonts w:hint="eastAsia" w:ascii="楷体" w:hAnsi="楷体" w:eastAsia="楷体" w:cs="楷体"/>
          <w:bCs w:val="0"/>
        </w:rPr>
        <w:t>（二）地下水超采综合治理</w:t>
      </w:r>
    </w:p>
    <w:p>
      <w:pPr>
        <w:ind w:firstLine="31680"/>
        <w:rPr>
          <w:rFonts w:hint="eastAsia" w:eastAsia="仿宋" w:cs="仿宋"/>
        </w:rPr>
      </w:pPr>
      <w:r>
        <w:rPr>
          <w:rFonts w:hint="eastAsia" w:eastAsia="仿宋" w:cs="仿宋"/>
        </w:rPr>
        <w:t>“十四五”期间，昌吉州严格执行地下水水量和水位双控制，强化地下水资源开发利用管理。</w:t>
      </w:r>
    </w:p>
    <w:p>
      <w:pPr>
        <w:ind w:firstLine="31680"/>
        <w:rPr>
          <w:rFonts w:eastAsia="仿宋" w:cs="仿宋"/>
          <w:b/>
          <w:szCs w:val="28"/>
        </w:rPr>
      </w:pPr>
      <w:r>
        <w:rPr>
          <w:rFonts w:eastAsia="仿宋" w:cs="仿宋"/>
          <w:b/>
          <w:szCs w:val="28"/>
        </w:rPr>
        <w:t>1.</w:t>
      </w:r>
      <w:r>
        <w:rPr>
          <w:rFonts w:hint="eastAsia" w:eastAsia="仿宋" w:cs="仿宋"/>
          <w:b/>
          <w:szCs w:val="28"/>
        </w:rPr>
        <w:t>“井电双控”计量设施升级改造</w:t>
      </w:r>
    </w:p>
    <w:p>
      <w:pPr>
        <w:ind w:firstLine="31680"/>
        <w:rPr>
          <w:rFonts w:eastAsia="仿宋" w:cs="仿宋"/>
          <w:szCs w:val="28"/>
        </w:rPr>
      </w:pPr>
      <w:r>
        <w:rPr>
          <w:rFonts w:hint="eastAsia" w:eastAsia="仿宋" w:cs="仿宋"/>
          <w:szCs w:val="28"/>
        </w:rPr>
        <w:t>“十四五”期间，计划对已实施的</w:t>
      </w:r>
      <w:r>
        <w:rPr>
          <w:rFonts w:eastAsia="仿宋" w:cs="仿宋"/>
          <w:szCs w:val="28"/>
        </w:rPr>
        <w:t>10867</w:t>
      </w:r>
      <w:r>
        <w:rPr>
          <w:rFonts w:hint="eastAsia" w:eastAsia="仿宋" w:cs="仿宋"/>
          <w:szCs w:val="28"/>
        </w:rPr>
        <w:t>眼“井电双控”计量设施进行提升改造，更新通讯设备，提高信号的传输率，实现高效运行、精确计量、精准收费的目标。</w:t>
      </w:r>
    </w:p>
    <w:p>
      <w:pPr>
        <w:ind w:firstLine="31680"/>
        <w:rPr>
          <w:rFonts w:eastAsia="仿宋" w:cs="仿宋"/>
          <w:b/>
          <w:szCs w:val="28"/>
        </w:rPr>
      </w:pPr>
      <w:r>
        <w:rPr>
          <w:rFonts w:eastAsia="仿宋" w:cs="仿宋"/>
          <w:b/>
          <w:szCs w:val="28"/>
        </w:rPr>
        <w:t>2.</w:t>
      </w:r>
      <w:r>
        <w:rPr>
          <w:rFonts w:hint="eastAsia" w:eastAsia="仿宋" w:cs="仿宋"/>
          <w:b/>
          <w:szCs w:val="28"/>
        </w:rPr>
        <w:t>地下水动态监测站网建设</w:t>
      </w:r>
    </w:p>
    <w:p>
      <w:pPr>
        <w:ind w:firstLine="31680"/>
        <w:rPr>
          <w:rFonts w:eastAsia="仿宋" w:cs="仿宋"/>
          <w:szCs w:val="28"/>
        </w:rPr>
      </w:pPr>
      <w:r>
        <w:rPr>
          <w:rFonts w:hint="eastAsia" w:eastAsia="仿宋" w:cs="仿宋"/>
          <w:szCs w:val="28"/>
        </w:rPr>
        <w:t>对昌吉州</w:t>
      </w:r>
      <w:r>
        <w:rPr>
          <w:rFonts w:eastAsia="仿宋" w:cs="仿宋"/>
          <w:szCs w:val="28"/>
        </w:rPr>
        <w:t>399</w:t>
      </w:r>
      <w:r>
        <w:rPr>
          <w:rFonts w:hint="eastAsia" w:eastAsia="仿宋" w:cs="仿宋"/>
          <w:szCs w:val="28"/>
        </w:rPr>
        <w:t>眼动态监测井进行改造升级。</w:t>
      </w:r>
    </w:p>
    <w:p>
      <w:pPr>
        <w:pStyle w:val="4"/>
        <w:numPr>
          <w:ilvl w:val="0"/>
          <w:numId w:val="0"/>
        </w:numPr>
        <w:spacing w:line="520" w:lineRule="exact"/>
        <w:ind w:firstLine="560" w:firstLineChars="200"/>
        <w:rPr>
          <w:rFonts w:ascii="黑体" w:hAnsi="黑体" w:eastAsia="黑体" w:cs="黑体"/>
          <w:b w:val="0"/>
          <w:bCs w:val="0"/>
        </w:rPr>
      </w:pPr>
      <w:bookmarkStart w:id="32" w:name="_Toc82462216"/>
      <w:bookmarkStart w:id="33" w:name="_Toc18678"/>
      <w:r>
        <w:rPr>
          <w:rFonts w:hint="eastAsia" w:ascii="黑体" w:hAnsi="黑体" w:eastAsia="黑体" w:cs="黑体"/>
          <w:b w:val="0"/>
          <w:bCs w:val="0"/>
        </w:rPr>
        <w:t>四、加强水利信息化建设，提升水利智慧化水平</w:t>
      </w:r>
      <w:bookmarkEnd w:id="32"/>
      <w:bookmarkEnd w:id="33"/>
    </w:p>
    <w:p>
      <w:pPr>
        <w:pStyle w:val="5"/>
        <w:numPr>
          <w:ilvl w:val="0"/>
          <w:numId w:val="0"/>
        </w:numPr>
        <w:spacing w:line="520" w:lineRule="exact"/>
        <w:ind w:firstLine="562" w:firstLineChars="200"/>
        <w:rPr>
          <w:rFonts w:ascii="楷体" w:hAnsi="楷体" w:eastAsia="楷体" w:cs="楷体"/>
          <w:bCs w:val="0"/>
        </w:rPr>
      </w:pPr>
      <w:r>
        <w:rPr>
          <w:rFonts w:hint="eastAsia" w:ascii="楷体" w:hAnsi="楷体" w:eastAsia="楷体" w:cs="楷体"/>
          <w:bCs w:val="0"/>
        </w:rPr>
        <w:t>（一）水利业务系统</w:t>
      </w:r>
    </w:p>
    <w:bookmarkEnd w:id="3"/>
    <w:bookmarkEnd w:id="4"/>
    <w:bookmarkEnd w:id="5"/>
    <w:bookmarkEnd w:id="6"/>
    <w:bookmarkEnd w:id="7"/>
    <w:bookmarkEnd w:id="8"/>
    <w:p>
      <w:pPr>
        <w:ind w:firstLine="31680"/>
        <w:rPr>
          <w:rFonts w:eastAsia="仿宋" w:cs="仿宋"/>
        </w:rPr>
      </w:pPr>
      <w:r>
        <w:rPr>
          <w:rFonts w:hint="eastAsia" w:eastAsia="仿宋" w:cs="仿宋"/>
        </w:rPr>
        <w:t>“十四五”期间，昌吉州水利信息化建设分两个阶段实施，建成覆盖整个昌吉州的水利信息化系统工程，初步完成昌吉州水利信息现代化建设，实现水利与防洪基本信息采集规范化、自动化和数字化，实现预警预报准确、及时和智能化，实现防汛、水资源综合利用、水环境保护等决策调度指挥电子化和科学化，构建水资源、水安全、水工程、水生态、水环境、水文化的信息化体系，达到“采集自动化、传输网络化、集成标准化、管控一体化、决策智能化”的总体目标。</w:t>
      </w:r>
    </w:p>
    <w:p>
      <w:pPr>
        <w:pStyle w:val="5"/>
        <w:numPr>
          <w:ilvl w:val="0"/>
          <w:numId w:val="0"/>
        </w:numPr>
        <w:spacing w:line="520" w:lineRule="exact"/>
        <w:ind w:firstLine="562" w:firstLineChars="200"/>
        <w:rPr>
          <w:rFonts w:ascii="楷体" w:hAnsi="楷体" w:eastAsia="楷体" w:cs="楷体"/>
          <w:bCs w:val="0"/>
        </w:rPr>
      </w:pPr>
      <w:r>
        <w:rPr>
          <w:rFonts w:hint="eastAsia" w:ascii="楷体" w:hAnsi="楷体" w:eastAsia="楷体" w:cs="楷体"/>
          <w:bCs w:val="0"/>
        </w:rPr>
        <w:t>（二）节水型社会达标建设</w:t>
      </w:r>
    </w:p>
    <w:p>
      <w:pPr>
        <w:ind w:firstLine="31680"/>
        <w:rPr>
          <w:rFonts w:eastAsia="仿宋" w:cs="仿宋"/>
        </w:rPr>
      </w:pPr>
      <w:r>
        <w:rPr>
          <w:rFonts w:hint="eastAsia" w:eastAsia="仿宋" w:cs="仿宋"/>
        </w:rPr>
        <w:t>开展昌吉州县域节水型社会达标建设，坚持节水优先方针，把节水作为解决昌吉州水资源短缺问题的重要举措，贯穿到经济社会发展全过程和各领域。通过</w:t>
      </w:r>
      <w:r>
        <w:rPr>
          <w:rFonts w:hint="eastAsia" w:eastAsia="仿宋" w:cs="仿宋"/>
          <w:spacing w:val="-8"/>
        </w:rPr>
        <w:t>制定节水行动实施方案、推进节水型载体建设、完成供水水厂出厂水和售水的计</w:t>
      </w:r>
      <w:r>
        <w:rPr>
          <w:rFonts w:hint="eastAsia" w:eastAsia="仿宋" w:cs="仿宋"/>
          <w:spacing w:val="-10"/>
        </w:rPr>
        <w:t>量监测、加强节水宣传教育等措施，全面推进节水型社会建设，形成一批示范成</w:t>
      </w:r>
      <w:r>
        <w:rPr>
          <w:rFonts w:hint="eastAsia" w:eastAsia="仿宋" w:cs="仿宋"/>
        </w:rPr>
        <w:t>果，为支撑经济社会高质量发展夯实水利基础。</w:t>
      </w:r>
    </w:p>
    <w:p>
      <w:pPr>
        <w:pStyle w:val="4"/>
        <w:numPr>
          <w:ilvl w:val="0"/>
          <w:numId w:val="0"/>
        </w:numPr>
        <w:spacing w:line="520" w:lineRule="exact"/>
        <w:ind w:firstLine="560" w:firstLineChars="200"/>
        <w:rPr>
          <w:rFonts w:ascii="黑体" w:hAnsi="黑体" w:eastAsia="黑体" w:cs="黑体"/>
          <w:b w:val="0"/>
          <w:bCs w:val="0"/>
        </w:rPr>
      </w:pPr>
      <w:bookmarkStart w:id="34" w:name="_Toc12356"/>
      <w:r>
        <w:rPr>
          <w:rFonts w:hint="eastAsia" w:ascii="黑体" w:hAnsi="黑体" w:eastAsia="黑体" w:cs="黑体"/>
          <w:b w:val="0"/>
          <w:bCs w:val="0"/>
        </w:rPr>
        <w:t>五、强化重大战略水安全保障，促进区域高质量发展</w:t>
      </w:r>
      <w:bookmarkEnd w:id="34"/>
    </w:p>
    <w:p>
      <w:pPr>
        <w:ind w:firstLine="31680"/>
        <w:rPr>
          <w:rFonts w:hint="eastAsia" w:eastAsia="仿宋" w:cs="仿宋"/>
        </w:rPr>
      </w:pPr>
      <w:r>
        <w:rPr>
          <w:rFonts w:hint="eastAsia" w:eastAsia="仿宋" w:cs="仿宋"/>
          <w:spacing w:val="-10"/>
        </w:rPr>
        <w:t>“十四五”时期要统筹做好节水、蓄水、调水文章，从根本上优化全州水资</w:t>
      </w:r>
      <w:r>
        <w:rPr>
          <w:rFonts w:hint="eastAsia" w:eastAsia="仿宋" w:cs="仿宋"/>
          <w:spacing w:val="-9"/>
        </w:rPr>
        <w:t>源配置格局、提升水资源调蓄能力。用好“调水”这个补充。就是落实好空间均衡的要求，坚持以水定需，根据可开发利用的水资源量，合理确定经济社会发展</w:t>
      </w:r>
      <w:r>
        <w:rPr>
          <w:rFonts w:hint="eastAsia" w:eastAsia="仿宋" w:cs="仿宋"/>
          <w:spacing w:val="-10"/>
        </w:rPr>
        <w:t>结构和规模。从国家、自治区及昌吉州区域发展的大战略出发，在充分节水的前提下，兴建必要的引提调水工程。实现水资源联调联控、互通互补，形成合理配</w:t>
      </w:r>
      <w:r>
        <w:rPr>
          <w:rFonts w:hint="eastAsia" w:eastAsia="仿宋" w:cs="仿宋"/>
        </w:rPr>
        <w:t>置和高效利用的水资源优化配置体系。</w:t>
      </w:r>
    </w:p>
    <w:p>
      <w:pPr>
        <w:pStyle w:val="2"/>
      </w:pPr>
    </w:p>
    <w:p>
      <w:pPr>
        <w:pStyle w:val="2"/>
      </w:pPr>
    </w:p>
    <w:p>
      <w:pPr>
        <w:pStyle w:val="2"/>
      </w:pPr>
    </w:p>
    <w:p>
      <w:pPr>
        <w:pStyle w:val="2"/>
      </w:pPr>
    </w:p>
    <w:p>
      <w:pPr>
        <w:pStyle w:val="2"/>
      </w:pPr>
    </w:p>
    <w:p>
      <w:pPr>
        <w:pStyle w:val="2"/>
      </w:pPr>
    </w:p>
    <w:p>
      <w:pPr>
        <w:pStyle w:val="3"/>
        <w:numPr>
          <w:ilvl w:val="0"/>
          <w:numId w:val="0"/>
        </w:numPr>
        <w:spacing w:line="520" w:lineRule="exact"/>
        <w:ind w:left="567" w:hanging="567"/>
        <w:jc w:val="center"/>
        <w:rPr>
          <w:rFonts w:ascii="黑体" w:hAnsi="黑体" w:eastAsia="黑体" w:cs="黑体"/>
          <w:b w:val="0"/>
          <w:bCs w:val="0"/>
          <w:sz w:val="32"/>
        </w:rPr>
      </w:pPr>
      <w:bookmarkStart w:id="35" w:name="_Toc21166"/>
      <w:bookmarkStart w:id="36" w:name="_Toc64655629"/>
      <w:r>
        <w:rPr>
          <w:rFonts w:hint="eastAsia" w:ascii="黑体" w:hAnsi="黑体" w:eastAsia="黑体" w:cs="黑体"/>
          <w:b w:val="0"/>
          <w:bCs w:val="0"/>
          <w:sz w:val="32"/>
        </w:rPr>
        <w:t>第五章</w:t>
      </w:r>
      <w:r>
        <w:rPr>
          <w:rFonts w:ascii="黑体" w:hAnsi="黑体" w:eastAsia="黑体" w:cs="黑体"/>
          <w:b w:val="0"/>
          <w:bCs w:val="0"/>
          <w:sz w:val="32"/>
        </w:rPr>
        <w:t xml:space="preserve"> </w:t>
      </w:r>
      <w:r>
        <w:rPr>
          <w:rFonts w:hint="eastAsia" w:ascii="黑体" w:hAnsi="黑体" w:eastAsia="黑体" w:cs="黑体"/>
          <w:b w:val="0"/>
          <w:bCs w:val="0"/>
          <w:sz w:val="32"/>
        </w:rPr>
        <w:t>强化监管，提升涉水事务监管水平</w:t>
      </w:r>
      <w:bookmarkEnd w:id="35"/>
      <w:bookmarkEnd w:id="36"/>
    </w:p>
    <w:p>
      <w:pPr>
        <w:ind w:firstLine="31680"/>
        <w:rPr>
          <w:rFonts w:eastAsia="仿宋" w:cs="仿宋"/>
        </w:rPr>
      </w:pPr>
      <w:r>
        <w:rPr>
          <w:rFonts w:hint="eastAsia" w:eastAsia="仿宋" w:cs="仿宋"/>
        </w:rPr>
        <w:t>坚持以问题为导向，以整改为目标，以问责为抓手，从法制、体制、机制入手，建立一整套务实高效管用的监管体系，从根本上让水利行业监管“强起来”，形成水利行业齐心协力、同频共振的监管格局。“十四五”期间，要重点完善监管法制体制机制，建立健全监管制度体系，全面强化江河湖泊、水资源、水利工程、水土保持四大重点领域监管制度实施，全面提升水事务监管水平，提升水安全保障能力，为生态文明建设和经济社会可持续发展提供支撑。</w:t>
      </w:r>
    </w:p>
    <w:p>
      <w:pPr>
        <w:pStyle w:val="4"/>
        <w:numPr>
          <w:ilvl w:val="0"/>
          <w:numId w:val="0"/>
        </w:numPr>
        <w:spacing w:line="520" w:lineRule="exact"/>
        <w:ind w:firstLine="560" w:firstLineChars="200"/>
        <w:rPr>
          <w:rFonts w:ascii="黑体" w:hAnsi="黑体" w:eastAsia="黑体" w:cs="黑体"/>
          <w:b w:val="0"/>
        </w:rPr>
      </w:pPr>
      <w:bookmarkStart w:id="37" w:name="_Toc13601"/>
      <w:bookmarkStart w:id="38" w:name="_Toc64655630"/>
      <w:r>
        <w:rPr>
          <w:rFonts w:hint="eastAsia" w:ascii="黑体" w:hAnsi="黑体" w:eastAsia="黑体" w:cs="黑体"/>
          <w:b w:val="0"/>
        </w:rPr>
        <w:t>一、完善监管法制体制机制，建立健全监管制度体系</w:t>
      </w:r>
      <w:bookmarkEnd w:id="37"/>
      <w:bookmarkEnd w:id="38"/>
    </w:p>
    <w:p>
      <w:pPr>
        <w:ind w:firstLine="31680"/>
        <w:rPr>
          <w:rFonts w:ascii="楷体" w:hAnsi="楷体" w:eastAsia="楷体" w:cs="楷体"/>
          <w:b/>
          <w:sz w:val="28"/>
          <w:szCs w:val="28"/>
        </w:rPr>
      </w:pPr>
      <w:r>
        <w:rPr>
          <w:rFonts w:hint="eastAsia" w:ascii="楷体" w:hAnsi="楷体" w:eastAsia="楷体" w:cs="楷体"/>
          <w:b/>
          <w:sz w:val="28"/>
          <w:szCs w:val="28"/>
        </w:rPr>
        <w:t>（一）完善监管法制</w:t>
      </w:r>
    </w:p>
    <w:p>
      <w:pPr>
        <w:ind w:firstLine="31680"/>
        <w:rPr>
          <w:rFonts w:eastAsia="仿宋" w:cs="仿宋"/>
        </w:rPr>
      </w:pPr>
      <w:r>
        <w:rPr>
          <w:rFonts w:hint="eastAsia" w:eastAsia="仿宋" w:cs="仿宋"/>
        </w:rPr>
        <w:t>全面梳理涉水法律法规，修订完善系统完备的规章制度保障体系，构建科学有效的行业监管标准体系，推进各项工作有法可依、有规可守、有章可循。</w:t>
      </w:r>
    </w:p>
    <w:p>
      <w:pPr>
        <w:ind w:firstLine="31680"/>
        <w:rPr>
          <w:rFonts w:ascii="楷体" w:hAnsi="楷体" w:eastAsia="楷体" w:cs="楷体"/>
          <w:b/>
          <w:sz w:val="28"/>
          <w:szCs w:val="28"/>
        </w:rPr>
      </w:pPr>
      <w:r>
        <w:rPr>
          <w:rFonts w:hint="eastAsia" w:ascii="楷体" w:hAnsi="楷体" w:eastAsia="楷体" w:cs="楷体"/>
          <w:b/>
          <w:sz w:val="28"/>
          <w:szCs w:val="28"/>
        </w:rPr>
        <w:t>（二）加强监管制度和标准体系建设</w:t>
      </w:r>
    </w:p>
    <w:p>
      <w:pPr>
        <w:ind w:firstLine="31680"/>
        <w:rPr>
          <w:rFonts w:eastAsia="仿宋" w:cs="仿宋"/>
          <w:bCs/>
        </w:rPr>
      </w:pPr>
      <w:r>
        <w:rPr>
          <w:rFonts w:hint="eastAsia" w:eastAsia="仿宋" w:cs="仿宋"/>
          <w:bCs/>
        </w:rPr>
        <w:t>水资源管理方面，健全“总量</w:t>
      </w:r>
      <w:r>
        <w:rPr>
          <w:rFonts w:eastAsia="仿宋" w:cs="仿宋"/>
          <w:bCs/>
        </w:rPr>
        <w:t>+</w:t>
      </w:r>
      <w:r>
        <w:rPr>
          <w:rFonts w:hint="eastAsia" w:eastAsia="仿宋" w:cs="仿宋"/>
          <w:bCs/>
        </w:rPr>
        <w:t>定额</w:t>
      </w:r>
      <w:r>
        <w:rPr>
          <w:rFonts w:eastAsia="仿宋" w:cs="仿宋"/>
          <w:bCs/>
        </w:rPr>
        <w:t>+</w:t>
      </w:r>
      <w:r>
        <w:rPr>
          <w:rFonts w:hint="eastAsia" w:eastAsia="仿宋" w:cs="仿宋"/>
          <w:bCs/>
        </w:rPr>
        <w:t>清单”的水资源刚性约束制度、水资源监测计量和监督考核机制、水资源管理方面节水评价等制度。</w:t>
      </w:r>
    </w:p>
    <w:p>
      <w:pPr>
        <w:ind w:firstLine="31680"/>
        <w:rPr>
          <w:rFonts w:eastAsia="仿宋" w:cs="仿宋"/>
          <w:bCs/>
        </w:rPr>
      </w:pPr>
      <w:r>
        <w:rPr>
          <w:rFonts w:hint="eastAsia" w:eastAsia="仿宋" w:cs="仿宋"/>
          <w:bCs/>
        </w:rPr>
        <w:t>河湖管理方面，在深入推行河（湖）长制、建立水生态空间管控制度基础上，逐步建立健全健康河湖标准、河流下泄生态水量标准、湖泊最低生态水位标准体系，完善河道建设项目管理制度、河道有关活动规范制度，建立生态水量保障机制。</w:t>
      </w:r>
    </w:p>
    <w:p>
      <w:pPr>
        <w:ind w:firstLine="31680"/>
        <w:rPr>
          <w:rFonts w:eastAsia="仿宋" w:cs="仿宋"/>
          <w:bCs/>
        </w:rPr>
      </w:pPr>
      <w:r>
        <w:rPr>
          <w:rFonts w:hint="eastAsia" w:eastAsia="仿宋" w:cs="仿宋"/>
          <w:bCs/>
        </w:rPr>
        <w:t>水利工程运行管理方面，持续完善水库、大坝、水闸运行、水量应急调度等制度，逐步实现运行管理标准化。</w:t>
      </w:r>
    </w:p>
    <w:p>
      <w:pPr>
        <w:ind w:firstLine="31680"/>
        <w:rPr>
          <w:rFonts w:eastAsia="仿宋" w:cs="仿宋"/>
          <w:bCs/>
        </w:rPr>
      </w:pPr>
      <w:r>
        <w:rPr>
          <w:rFonts w:hint="eastAsia" w:eastAsia="仿宋" w:cs="仿宋"/>
          <w:bCs/>
        </w:rPr>
        <w:t>水土保持方面，完善方案承诺、区域评估等制度等，为依法依规管水创造完善的保障体系。</w:t>
      </w:r>
    </w:p>
    <w:p>
      <w:pPr>
        <w:ind w:firstLine="31680"/>
        <w:rPr>
          <w:rFonts w:ascii="楷体" w:hAnsi="楷体" w:eastAsia="楷体" w:cs="楷体"/>
          <w:b/>
          <w:sz w:val="28"/>
          <w:szCs w:val="28"/>
        </w:rPr>
      </w:pPr>
      <w:r>
        <w:rPr>
          <w:rFonts w:hint="eastAsia" w:ascii="楷体" w:hAnsi="楷体" w:eastAsia="楷体" w:cs="楷体"/>
          <w:b/>
          <w:sz w:val="28"/>
          <w:szCs w:val="28"/>
        </w:rPr>
        <w:t>（三）理顺监管体制机制</w:t>
      </w:r>
    </w:p>
    <w:p>
      <w:pPr>
        <w:ind w:firstLine="31680"/>
        <w:rPr>
          <w:rFonts w:eastAsia="仿宋" w:cs="仿宋"/>
        </w:rPr>
      </w:pPr>
      <w:r>
        <w:rPr>
          <w:rFonts w:hint="eastAsia" w:eastAsia="仿宋" w:cs="仿宋"/>
        </w:rPr>
        <w:t>按照“优化、协同、高效”原则，理顺监督管理体系。以水资源统一管理体制为抓手，在补短板的基础上，建立不同层级重大水问题的区域水资源协调管理机制，保障流域和区域水资源的统筹调配。</w:t>
      </w:r>
    </w:p>
    <w:p>
      <w:pPr>
        <w:ind w:firstLine="31680"/>
        <w:rPr>
          <w:rFonts w:ascii="楷体" w:hAnsi="楷体" w:eastAsia="楷体" w:cs="楷体"/>
          <w:b/>
          <w:sz w:val="28"/>
          <w:szCs w:val="28"/>
        </w:rPr>
      </w:pPr>
      <w:r>
        <w:rPr>
          <w:rFonts w:hint="eastAsia" w:ascii="楷体" w:hAnsi="楷体" w:eastAsia="楷体" w:cs="楷体"/>
          <w:b/>
          <w:sz w:val="28"/>
          <w:szCs w:val="28"/>
        </w:rPr>
        <w:t>（四）加强水利综合执法</w:t>
      </w:r>
    </w:p>
    <w:p>
      <w:pPr>
        <w:ind w:firstLine="31680"/>
        <w:rPr>
          <w:rFonts w:eastAsia="仿宋" w:cs="仿宋"/>
        </w:rPr>
      </w:pPr>
      <w:r>
        <w:rPr>
          <w:rFonts w:hint="eastAsia" w:eastAsia="仿宋" w:cs="仿宋"/>
        </w:rPr>
        <w:t>逐步完善水行政执法制度，规范水行政执法行为，明晰水行政执法权责清单，加强各级水政监察队伍建设。</w:t>
      </w:r>
    </w:p>
    <w:p>
      <w:pPr>
        <w:ind w:firstLine="31680"/>
        <w:rPr>
          <w:rFonts w:ascii="楷体" w:hAnsi="楷体" w:eastAsia="楷体" w:cs="楷体"/>
          <w:b/>
          <w:sz w:val="28"/>
          <w:szCs w:val="28"/>
        </w:rPr>
      </w:pPr>
      <w:r>
        <w:rPr>
          <w:rFonts w:hint="eastAsia" w:ascii="楷体" w:hAnsi="楷体" w:eastAsia="楷体" w:cs="楷体"/>
          <w:b/>
          <w:sz w:val="28"/>
          <w:szCs w:val="28"/>
        </w:rPr>
        <w:t>（五）加强水行政执法能力建设</w:t>
      </w:r>
    </w:p>
    <w:p>
      <w:pPr>
        <w:ind w:firstLine="31680"/>
        <w:rPr>
          <w:rFonts w:eastAsia="仿宋" w:cs="仿宋"/>
        </w:rPr>
      </w:pPr>
      <w:r>
        <w:rPr>
          <w:rFonts w:hint="eastAsia" w:eastAsia="仿宋" w:cs="仿宋"/>
        </w:rPr>
        <w:t>落实行政执法责任制，压实执法责任主体，完善行政执法程序，提高执法人员素质，强化执法巡查监管，严格规范公正文明执法。加强水行政执法队伍建设，完善机构设置，配齐配强执法人员和和执法装备，提升水政监察队伍执法能力和执法水平。</w:t>
      </w:r>
    </w:p>
    <w:p>
      <w:pPr>
        <w:pStyle w:val="4"/>
        <w:numPr>
          <w:ilvl w:val="0"/>
          <w:numId w:val="0"/>
        </w:numPr>
        <w:spacing w:line="520" w:lineRule="exact"/>
        <w:ind w:firstLine="560" w:firstLineChars="200"/>
        <w:rPr>
          <w:rFonts w:ascii="黑体" w:hAnsi="黑体" w:eastAsia="黑体" w:cs="黑体"/>
          <w:b w:val="0"/>
        </w:rPr>
      </w:pPr>
      <w:bookmarkStart w:id="39" w:name="_Toc30883"/>
      <w:bookmarkStart w:id="40" w:name="_Toc64655631"/>
      <w:r>
        <w:rPr>
          <w:rFonts w:hint="eastAsia" w:ascii="黑体" w:hAnsi="黑体" w:eastAsia="黑体" w:cs="黑体"/>
          <w:b w:val="0"/>
        </w:rPr>
        <w:t>二、强化河湖泊监管，推进兵地河（湖）长制一体化</w:t>
      </w:r>
      <w:bookmarkEnd w:id="39"/>
      <w:bookmarkEnd w:id="40"/>
    </w:p>
    <w:p>
      <w:pPr>
        <w:ind w:firstLine="31680"/>
        <w:rPr>
          <w:rFonts w:eastAsia="仿宋" w:cs="仿宋"/>
        </w:rPr>
      </w:pPr>
      <w:bookmarkStart w:id="41" w:name="_Toc7386"/>
      <w:bookmarkStart w:id="42" w:name="_Toc21091"/>
      <w:r>
        <w:rPr>
          <w:rFonts w:hint="eastAsia" w:eastAsia="仿宋" w:cs="仿宋"/>
        </w:rPr>
        <w:t>强化河湖泊监管，推进兵地河（湖）长制一体化，加强兵地联防联治，建立兵地一体化河（湖）长制工作机制，强化兵地联席会议、信息共享等机制，加强统筹协调。全面推行河（湖）长制逐步从“有名”“有实”向“有能”“有效”提升。在完善河湖保护与利用规划基础上，健全河（湖）长制长效管理制度体系，推进河湖“清四乱”常态化、规范化。</w:t>
      </w:r>
    </w:p>
    <w:p>
      <w:pPr>
        <w:ind w:firstLine="31680"/>
        <w:rPr>
          <w:rFonts w:ascii="楷体" w:hAnsi="楷体" w:eastAsia="楷体" w:cs="楷体"/>
          <w:b/>
          <w:sz w:val="28"/>
          <w:szCs w:val="28"/>
        </w:rPr>
      </w:pPr>
      <w:r>
        <w:rPr>
          <w:rFonts w:hint="eastAsia" w:ascii="楷体" w:hAnsi="楷体" w:eastAsia="楷体" w:cs="楷体"/>
          <w:b/>
          <w:sz w:val="28"/>
          <w:szCs w:val="28"/>
        </w:rPr>
        <w:t>（一）夯实河湖基础工作，提升规划约束力</w:t>
      </w:r>
      <w:bookmarkEnd w:id="41"/>
      <w:bookmarkEnd w:id="42"/>
    </w:p>
    <w:p>
      <w:pPr>
        <w:ind w:firstLine="31680"/>
        <w:rPr>
          <w:rFonts w:eastAsia="仿宋" w:cs="仿宋"/>
        </w:rPr>
      </w:pPr>
      <w:r>
        <w:rPr>
          <w:rFonts w:hint="eastAsia" w:eastAsia="仿宋" w:cs="仿宋"/>
          <w:b/>
        </w:rPr>
        <w:t>划定河湖管理范围，建立“一河一档”。</w:t>
      </w:r>
      <w:r>
        <w:rPr>
          <w:rFonts w:hint="eastAsia" w:eastAsia="仿宋" w:cs="仿宋"/>
        </w:rPr>
        <w:t>依法划定河道、湖泊管理范围，完成规模以上水利工程管理与保护范围划定，并将划界成果同步纳入全区国土空间规划基础信息平台和“多规合一”协同审批平台。逐步完善“一河一档”。</w:t>
      </w:r>
    </w:p>
    <w:p>
      <w:pPr>
        <w:ind w:firstLine="31680"/>
        <w:rPr>
          <w:rFonts w:eastAsia="仿宋" w:cs="仿宋"/>
        </w:rPr>
      </w:pPr>
      <w:r>
        <w:rPr>
          <w:rFonts w:hint="eastAsia" w:eastAsia="仿宋" w:cs="仿宋"/>
          <w:b/>
        </w:rPr>
        <w:t>根据修订河道管理条例，健全河湖规划体系。</w:t>
      </w:r>
      <w:r>
        <w:rPr>
          <w:rFonts w:hint="eastAsia" w:eastAsia="仿宋" w:cs="仿宋"/>
        </w:rPr>
        <w:t>围绕河流湖泊等水域空间、涵养水源的陆域空间等重要水生态空间的管控需求，进一步完善岸线保护与利用、河道采砂等规划。利用全国“水利一张图”及河湖遥感本底数据库，推进规划成果上图。</w:t>
      </w:r>
    </w:p>
    <w:p>
      <w:pPr>
        <w:ind w:firstLine="31680"/>
        <w:rPr>
          <w:rFonts w:eastAsia="仿宋" w:cs="仿宋"/>
        </w:rPr>
      </w:pPr>
      <w:r>
        <w:rPr>
          <w:rFonts w:hint="eastAsia" w:eastAsia="仿宋" w:cs="仿宋"/>
          <w:b/>
        </w:rPr>
        <w:t>深化“一河一策”，建设示范河湖。</w:t>
      </w:r>
      <w:r>
        <w:rPr>
          <w:rFonts w:hint="eastAsia" w:eastAsia="仿宋" w:cs="仿宋"/>
        </w:rPr>
        <w:t>科学编制“一河一策”</w:t>
      </w:r>
      <w:r>
        <w:rPr>
          <w:rFonts w:hint="eastAsia" w:eastAsia="仿宋" w:cs="仿宋"/>
          <w:lang w:eastAsia="zh-CN"/>
        </w:rPr>
        <w:t>，</w:t>
      </w:r>
      <w:r>
        <w:rPr>
          <w:rFonts w:hint="eastAsia" w:eastAsia="仿宋" w:cs="仿宋"/>
        </w:rPr>
        <w:t>全面落实水资源保护、水污染防治、水环境治理、水域岸线管控、水生态修复、执法监管等河（湖）长制工作任务，打造一批示范河湖。</w:t>
      </w:r>
    </w:p>
    <w:p>
      <w:pPr>
        <w:ind w:firstLine="31680"/>
        <w:rPr>
          <w:rFonts w:eastAsia="仿宋" w:cs="仿宋"/>
        </w:rPr>
      </w:pPr>
      <w:r>
        <w:rPr>
          <w:rFonts w:hint="eastAsia" w:eastAsia="仿宋" w:cs="仿宋"/>
          <w:b/>
        </w:rPr>
        <w:t>强化生态基流保障。</w:t>
      </w:r>
      <w:r>
        <w:rPr>
          <w:rFonts w:hint="eastAsia" w:eastAsia="仿宋" w:cs="仿宋"/>
        </w:rPr>
        <w:t>以年径流量</w:t>
      </w:r>
      <w:r>
        <w:rPr>
          <w:rFonts w:eastAsia="仿宋" w:cs="仿宋"/>
        </w:rPr>
        <w:t>1</w:t>
      </w:r>
      <w:r>
        <w:rPr>
          <w:rFonts w:hint="eastAsia" w:eastAsia="仿宋" w:cs="仿宋"/>
        </w:rPr>
        <w:t>亿立方米以上河流为重点，确定重点河流重点断面的多年平均下泄生态水量目标和天池湖正常蓄水位目标，开展重点河湖生态水量调度试点。编制完善重要河流重点断面和流域水系生态水量调度方案，完善生态水量调度制度，全面开展生态水量调度。</w:t>
      </w:r>
    </w:p>
    <w:p>
      <w:pPr>
        <w:ind w:firstLine="31680"/>
        <w:rPr>
          <w:rFonts w:eastAsia="仿宋" w:cs="仿宋"/>
        </w:rPr>
      </w:pPr>
      <w:r>
        <w:rPr>
          <w:rFonts w:hint="eastAsia" w:eastAsia="仿宋" w:cs="仿宋"/>
          <w:b/>
        </w:rPr>
        <w:t>加快完善河湖监测监控体系。</w:t>
      </w:r>
      <w:r>
        <w:rPr>
          <w:rFonts w:hint="eastAsia" w:eastAsia="仿宋" w:cs="仿宋"/>
        </w:rPr>
        <w:t>加强河流主要控制断面的生态流量（水量）、水质监测，加强对河湖的动态监测，及时掌握河湖水域岸线变化情况、河湖“四乱”实时动态，提高河湖监管信息化、现代化水平，推进智慧河湖建设。</w:t>
      </w:r>
    </w:p>
    <w:p>
      <w:pPr>
        <w:ind w:firstLine="31680"/>
        <w:rPr>
          <w:rFonts w:ascii="楷体" w:hAnsi="楷体" w:eastAsia="楷体" w:cs="楷体"/>
          <w:b/>
          <w:sz w:val="28"/>
          <w:szCs w:val="28"/>
        </w:rPr>
      </w:pPr>
      <w:bookmarkStart w:id="43" w:name="_Toc1133"/>
      <w:bookmarkStart w:id="44" w:name="_Toc16079"/>
      <w:r>
        <w:rPr>
          <w:rFonts w:hint="eastAsia" w:ascii="楷体" w:hAnsi="楷体" w:eastAsia="楷体" w:cs="楷体"/>
          <w:b/>
          <w:sz w:val="28"/>
          <w:szCs w:val="28"/>
        </w:rPr>
        <w:t>（二）健全完善河（湖）长制，</w:t>
      </w:r>
      <w:bookmarkEnd w:id="43"/>
      <w:bookmarkEnd w:id="44"/>
      <w:r>
        <w:rPr>
          <w:rFonts w:hint="eastAsia" w:ascii="楷体" w:hAnsi="楷体" w:eastAsia="楷体" w:cs="楷体"/>
          <w:b/>
          <w:sz w:val="28"/>
          <w:szCs w:val="28"/>
        </w:rPr>
        <w:t>从“有名”“有实”向“有能”“有效”提升</w:t>
      </w:r>
    </w:p>
    <w:p>
      <w:pPr>
        <w:ind w:firstLine="31680"/>
        <w:rPr>
          <w:rFonts w:eastAsia="仿宋" w:cs="仿宋"/>
        </w:rPr>
      </w:pPr>
      <w:r>
        <w:rPr>
          <w:rFonts w:hint="eastAsia" w:eastAsia="仿宋" w:cs="仿宋"/>
          <w:b/>
        </w:rPr>
        <w:t>完善河（湖）长制工作体制机制。</w:t>
      </w:r>
      <w:r>
        <w:rPr>
          <w:rFonts w:hint="eastAsia" w:eastAsia="仿宋" w:cs="仿宋"/>
        </w:rPr>
        <w:t>进一步完善河（湖）长制组织体系、制度体系和责任体系，进一步细化相关工作制度，完善河（湖）长会议制度、信息共享和报送制度等。</w:t>
      </w:r>
    </w:p>
    <w:p>
      <w:pPr>
        <w:ind w:firstLine="31680"/>
        <w:rPr>
          <w:rFonts w:hint="eastAsia" w:eastAsia="仿宋" w:cs="仿宋"/>
        </w:rPr>
      </w:pPr>
      <w:r>
        <w:rPr>
          <w:rFonts w:hint="eastAsia" w:eastAsia="仿宋" w:cs="仿宋"/>
          <w:b/>
        </w:rPr>
        <w:t>健全河湖长效管理。</w:t>
      </w:r>
      <w:r>
        <w:rPr>
          <w:rFonts w:hint="eastAsia" w:eastAsia="仿宋" w:cs="仿宋"/>
        </w:rPr>
        <w:t>建立河湖巡查、保洁、执法等日常管理制度，落实河湖管理保护责任主体、人员、设备和经费，实行河湖动态监控，加大河湖管理保护监管力度。</w:t>
      </w:r>
    </w:p>
    <w:p>
      <w:pPr>
        <w:ind w:firstLine="31680"/>
        <w:rPr>
          <w:rFonts w:eastAsia="仿宋" w:cs="仿宋"/>
        </w:rPr>
      </w:pPr>
      <w:r>
        <w:rPr>
          <w:rFonts w:hint="eastAsia" w:eastAsia="仿宋" w:cs="仿宋"/>
          <w:b/>
        </w:rPr>
        <w:t>落实专项行动，加强河湖监管。</w:t>
      </w:r>
      <w:r>
        <w:rPr>
          <w:rFonts w:hint="eastAsia" w:eastAsia="仿宋" w:cs="仿宋"/>
        </w:rPr>
        <w:t>常态化开展河道管理范围内乱占、乱采、乱堆、乱建“清四乱”专项行动。实行联防联治，推进多部门联合执法，推进完善河湖行政执法与刑事司法衔接机制，实现从“管得住”到“管得好”的转变。</w:t>
      </w:r>
    </w:p>
    <w:p>
      <w:pPr>
        <w:ind w:firstLine="31680"/>
        <w:rPr>
          <w:rFonts w:eastAsia="仿宋" w:cs="仿宋"/>
        </w:rPr>
      </w:pPr>
      <w:r>
        <w:rPr>
          <w:rFonts w:hint="eastAsia" w:eastAsia="仿宋" w:cs="仿宋"/>
          <w:b/>
        </w:rPr>
        <w:t>建立河（湖）长制督查机制。</w:t>
      </w:r>
      <w:r>
        <w:rPr>
          <w:rFonts w:hint="eastAsia" w:eastAsia="仿宋" w:cs="仿宋"/>
        </w:rPr>
        <w:t>建立全覆盖的河（湖）长制督查体系，采用明查暗访、飞行检查、交叉检查、随机抽査等方式，及时准确掌握各级河长履职和河湖管理保护的真实情况。</w:t>
      </w:r>
    </w:p>
    <w:p>
      <w:pPr>
        <w:ind w:firstLine="31680"/>
        <w:rPr>
          <w:rFonts w:eastAsia="仿宋" w:cs="仿宋"/>
        </w:rPr>
      </w:pPr>
      <w:r>
        <w:rPr>
          <w:rFonts w:hint="eastAsia" w:eastAsia="仿宋" w:cs="仿宋"/>
          <w:b/>
        </w:rPr>
        <w:t>完善履职考核与责任追究。</w:t>
      </w:r>
      <w:r>
        <w:rPr>
          <w:rFonts w:hint="eastAsia" w:eastAsia="仿宋" w:cs="仿宋"/>
        </w:rPr>
        <w:t>强化流域控制断面的生态流量（水量）、水质和功能区水质监测评价，监测结果作为评价河（湖）长制工作的重要依据。</w:t>
      </w:r>
    </w:p>
    <w:p>
      <w:pPr>
        <w:pStyle w:val="5"/>
        <w:numPr>
          <w:ilvl w:val="0"/>
          <w:numId w:val="0"/>
        </w:numPr>
        <w:spacing w:line="520" w:lineRule="exact"/>
        <w:ind w:firstLine="562" w:firstLineChars="200"/>
        <w:rPr>
          <w:rFonts w:ascii="楷体" w:hAnsi="楷体" w:eastAsia="楷体" w:cs="楷体"/>
          <w:bCs w:val="0"/>
        </w:rPr>
      </w:pPr>
      <w:bookmarkStart w:id="45" w:name="_Toc6003"/>
      <w:bookmarkStart w:id="46" w:name="_Toc32339"/>
      <w:r>
        <w:rPr>
          <w:rFonts w:hint="eastAsia" w:ascii="楷体" w:hAnsi="楷体" w:eastAsia="楷体" w:cs="楷体"/>
          <w:bCs w:val="0"/>
        </w:rPr>
        <w:t>（三）建立兵地一体工作机制，加强联合执法</w:t>
      </w:r>
      <w:bookmarkEnd w:id="45"/>
      <w:bookmarkEnd w:id="46"/>
    </w:p>
    <w:p>
      <w:pPr>
        <w:ind w:firstLine="31680"/>
        <w:rPr>
          <w:rFonts w:eastAsia="仿宋" w:cs="仿宋"/>
        </w:rPr>
      </w:pPr>
      <w:r>
        <w:rPr>
          <w:rFonts w:hint="eastAsia" w:eastAsia="仿宋" w:cs="仿宋"/>
        </w:rPr>
        <w:t>坚持自治区党委统一领导，统筹推进河（湖）长制工作，建立兵地一体化河（湖）长制工作机制。河湖最高级别河（湖）长是责任河湖治理保护的第一责任人，兵地共管的河湖，由相应地方党政领导担任最高级别河（湖）长，兵团对应党政领导担任副河（湖）长。</w:t>
      </w:r>
    </w:p>
    <w:p>
      <w:pPr>
        <w:ind w:firstLine="31680"/>
        <w:rPr>
          <w:rFonts w:eastAsia="仿宋" w:cs="仿宋"/>
        </w:rPr>
      </w:pPr>
      <w:r>
        <w:rPr>
          <w:rFonts w:hint="eastAsia" w:eastAsia="仿宋" w:cs="仿宋"/>
        </w:rPr>
        <w:t>工作机制包括召开河（湖）长制联席工作会议、领导小组会议、开展联合巡河（湖）等形式。工作任务包括：贯彻落实中央、水利部关于河（湖）长制的重大决策部署；统一规范河（湖）长制组织体系、制度体系、任务落实、监督考核等；共享河（湖）长信息、河湖问题整改与反馈等。</w:t>
      </w:r>
    </w:p>
    <w:p>
      <w:pPr>
        <w:pStyle w:val="5"/>
        <w:numPr>
          <w:ilvl w:val="0"/>
          <w:numId w:val="0"/>
        </w:numPr>
        <w:spacing w:line="520" w:lineRule="exact"/>
        <w:ind w:firstLine="562" w:firstLineChars="200"/>
        <w:rPr>
          <w:rFonts w:ascii="楷体" w:hAnsi="楷体" w:eastAsia="楷体" w:cs="楷体"/>
          <w:bCs w:val="0"/>
        </w:rPr>
      </w:pPr>
      <w:bookmarkStart w:id="47" w:name="_Toc9500"/>
      <w:bookmarkStart w:id="48" w:name="_Toc4303"/>
      <w:r>
        <w:rPr>
          <w:rFonts w:hint="eastAsia" w:ascii="楷体" w:hAnsi="楷体" w:eastAsia="楷体" w:cs="楷体"/>
          <w:bCs w:val="0"/>
        </w:rPr>
        <w:t>（四）严格涉水项目管理，保护河湖面貌</w:t>
      </w:r>
      <w:bookmarkEnd w:id="47"/>
      <w:bookmarkEnd w:id="48"/>
    </w:p>
    <w:p>
      <w:pPr>
        <w:ind w:firstLine="31680"/>
        <w:rPr>
          <w:rFonts w:eastAsia="仿宋" w:cs="仿宋"/>
        </w:rPr>
      </w:pPr>
      <w:r>
        <w:rPr>
          <w:rFonts w:hint="eastAsia" w:eastAsia="仿宋" w:cs="仿宋"/>
        </w:rPr>
        <w:t>严格执行水资源论证、取水许可、水工程建设规划同意书、河道采砂许可、洪水影响评价、水土保持方案审批等制度，规范河道管理范围内建设项目和活动审批。全面强化对已批涉河项目的全过程监管，严格限制建设项目占用水域或执行占用补偿，防止水域面积衰减，督促建设单位严格按批复要求开展建设。</w:t>
      </w:r>
    </w:p>
    <w:p>
      <w:pPr>
        <w:pStyle w:val="4"/>
        <w:numPr>
          <w:ilvl w:val="0"/>
          <w:numId w:val="0"/>
        </w:numPr>
        <w:spacing w:line="520" w:lineRule="exact"/>
        <w:ind w:firstLine="560" w:firstLineChars="200"/>
        <w:rPr>
          <w:rFonts w:ascii="黑体" w:hAnsi="黑体" w:eastAsia="黑体" w:cs="黑体"/>
          <w:b w:val="0"/>
        </w:rPr>
      </w:pPr>
      <w:bookmarkStart w:id="49" w:name="_Toc64655632"/>
      <w:bookmarkStart w:id="50" w:name="_Toc21945"/>
      <w:r>
        <w:rPr>
          <w:rFonts w:hint="eastAsia" w:ascii="黑体" w:hAnsi="黑体" w:eastAsia="黑体" w:cs="黑体"/>
          <w:b w:val="0"/>
        </w:rPr>
        <w:t>三、强化水资源监管，促进水资源节约集约利用</w:t>
      </w:r>
      <w:bookmarkEnd w:id="49"/>
      <w:bookmarkEnd w:id="50"/>
    </w:p>
    <w:p>
      <w:pPr>
        <w:pStyle w:val="5"/>
        <w:numPr>
          <w:ilvl w:val="0"/>
          <w:numId w:val="0"/>
        </w:numPr>
        <w:spacing w:line="520" w:lineRule="exact"/>
        <w:ind w:firstLine="562" w:firstLineChars="200"/>
        <w:rPr>
          <w:rFonts w:ascii="楷体" w:hAnsi="楷体" w:eastAsia="楷体" w:cs="楷体"/>
          <w:bCs w:val="0"/>
        </w:rPr>
      </w:pPr>
      <w:bookmarkStart w:id="51" w:name="_Toc5699"/>
      <w:bookmarkStart w:id="52" w:name="_Toc5632"/>
      <w:bookmarkStart w:id="53" w:name="_Hlk39401067"/>
      <w:r>
        <w:rPr>
          <w:rFonts w:hint="eastAsia" w:ascii="楷体" w:hAnsi="楷体" w:eastAsia="楷体" w:cs="楷体"/>
          <w:bCs w:val="0"/>
        </w:rPr>
        <w:t>（一）落实行动，全面节水</w:t>
      </w:r>
      <w:bookmarkEnd w:id="51"/>
      <w:bookmarkEnd w:id="52"/>
    </w:p>
    <w:bookmarkEnd w:id="53"/>
    <w:p>
      <w:pPr>
        <w:ind w:firstLine="31680"/>
        <w:rPr>
          <w:rFonts w:eastAsia="仿宋" w:cs="仿宋"/>
        </w:rPr>
      </w:pPr>
      <w:r>
        <w:rPr>
          <w:rFonts w:hint="eastAsia" w:eastAsia="仿宋" w:cs="仿宋"/>
        </w:rPr>
        <w:t>按照昌吉州用水总量控制和定额管理相结合的要求，重点抓好农业、工业、城镇节水，推进节水型社会建设。</w:t>
      </w:r>
    </w:p>
    <w:p>
      <w:pPr>
        <w:ind w:firstLine="31680"/>
        <w:rPr>
          <w:rFonts w:eastAsia="仿宋" w:cs="仿宋"/>
        </w:rPr>
      </w:pPr>
      <w:r>
        <w:rPr>
          <w:rFonts w:hint="eastAsia" w:eastAsia="仿宋" w:cs="仿宋"/>
          <w:b/>
        </w:rPr>
        <w:t>强化定额标准监管。</w:t>
      </w:r>
      <w:bookmarkStart w:id="54" w:name="_Hlk39483302"/>
      <w:r>
        <w:rPr>
          <w:rFonts w:hint="eastAsia" w:eastAsia="仿宋" w:cs="仿宋"/>
        </w:rPr>
        <w:t>规范农业灌溉用水定额管理，执行国家、自治区和行业用水定额标准。</w:t>
      </w:r>
    </w:p>
    <w:p>
      <w:pPr>
        <w:ind w:firstLine="31680"/>
        <w:rPr>
          <w:rFonts w:eastAsia="仿宋" w:cs="仿宋"/>
        </w:rPr>
      </w:pPr>
      <w:r>
        <w:rPr>
          <w:rFonts w:hint="eastAsia" w:eastAsia="仿宋" w:cs="仿宋"/>
          <w:b/>
        </w:rPr>
        <w:t>执行水资源总量强度双控行动。</w:t>
      </w:r>
      <w:bookmarkEnd w:id="54"/>
      <w:r>
        <w:rPr>
          <w:rFonts w:hint="eastAsia" w:eastAsia="仿宋" w:cs="仿宋"/>
        </w:rPr>
        <w:t>强化水资源消耗总量和强度指标刚性约束，实行流域与区域用水总量、灌溉用水总量与面积、地下水取水量与水位控制，建立年度用水计划管理和取用水计量与统计制度，全面推进农业、工业、城镇等领域节水，强化节水约束性指标管理，提高水资源利用效率。</w:t>
      </w:r>
    </w:p>
    <w:p>
      <w:pPr>
        <w:ind w:firstLine="31680"/>
        <w:rPr>
          <w:rFonts w:eastAsia="仿宋" w:cs="仿宋"/>
        </w:rPr>
      </w:pPr>
      <w:r>
        <w:rPr>
          <w:rFonts w:hint="eastAsia" w:eastAsia="仿宋" w:cs="仿宋"/>
          <w:b/>
        </w:rPr>
        <w:t>加强重点领域节水。</w:t>
      </w:r>
      <w:r>
        <w:rPr>
          <w:rFonts w:hint="eastAsia" w:eastAsia="仿宋" w:cs="仿宋"/>
        </w:rPr>
        <w:t>大力发展节水技术，围绕用水计量、灌溉高效、漏损防控等重点领域，加强节水产品技术、工艺装备研究，提高各行业用水的效率与效益。</w:t>
      </w:r>
    </w:p>
    <w:p>
      <w:pPr>
        <w:ind w:firstLine="31680"/>
        <w:rPr>
          <w:rFonts w:eastAsia="仿宋" w:cs="仿宋"/>
        </w:rPr>
      </w:pPr>
      <w:r>
        <w:rPr>
          <w:rFonts w:hint="eastAsia" w:eastAsia="仿宋" w:cs="仿宋"/>
          <w:b/>
        </w:rPr>
        <w:t>强化节水监督管理。</w:t>
      </w:r>
      <w:r>
        <w:rPr>
          <w:rFonts w:hint="eastAsia" w:eastAsia="仿宋" w:cs="仿宋"/>
        </w:rPr>
        <w:t>落实规划和建设项目节水评价制度，从严叫停节水评价不通过项目，从严执行节水评价落实情况的监督检查，推行水效标识、节水认证、水效领跑和合同节水管理。</w:t>
      </w:r>
    </w:p>
    <w:p>
      <w:pPr>
        <w:ind w:firstLine="31680"/>
        <w:rPr>
          <w:rFonts w:eastAsia="仿宋" w:cs="仿宋"/>
        </w:rPr>
      </w:pPr>
      <w:r>
        <w:rPr>
          <w:rFonts w:hint="eastAsia" w:eastAsia="仿宋" w:cs="仿宋"/>
          <w:b/>
        </w:rPr>
        <w:t>推进节水制度建设。</w:t>
      </w:r>
      <w:r>
        <w:rPr>
          <w:rFonts w:hint="eastAsia" w:eastAsia="仿宋" w:cs="仿宋"/>
        </w:rPr>
        <w:t>坚持以水定地、以水定需，推动建立兵地协调统一的节水法规制度体系。推进农业用水精准补贴制度。建立农业节水奖励机制，增强节约用水的内生动力。</w:t>
      </w:r>
    </w:p>
    <w:p>
      <w:pPr>
        <w:pStyle w:val="5"/>
        <w:numPr>
          <w:ilvl w:val="0"/>
          <w:numId w:val="0"/>
        </w:numPr>
        <w:spacing w:line="520" w:lineRule="exact"/>
        <w:ind w:firstLine="562" w:firstLineChars="200"/>
        <w:rPr>
          <w:rFonts w:ascii="楷体" w:hAnsi="楷体" w:eastAsia="楷体" w:cs="楷体"/>
          <w:bCs w:val="0"/>
        </w:rPr>
      </w:pPr>
      <w:bookmarkStart w:id="55" w:name="_Toc14846"/>
      <w:bookmarkStart w:id="56" w:name="_Toc26277"/>
      <w:bookmarkStart w:id="57" w:name="_Hlk39401230"/>
      <w:r>
        <w:rPr>
          <w:rFonts w:hint="eastAsia" w:ascii="楷体" w:hAnsi="楷体" w:eastAsia="楷体" w:cs="楷体"/>
          <w:bCs w:val="0"/>
        </w:rPr>
        <w:t>（二）稳定绿洲，合理分水</w:t>
      </w:r>
      <w:bookmarkEnd w:id="55"/>
      <w:bookmarkEnd w:id="56"/>
    </w:p>
    <w:bookmarkEnd w:id="57"/>
    <w:p>
      <w:pPr>
        <w:ind w:firstLine="31680"/>
        <w:rPr>
          <w:rFonts w:eastAsia="仿宋" w:cs="仿宋"/>
        </w:rPr>
      </w:pPr>
      <w:r>
        <w:rPr>
          <w:rFonts w:hint="eastAsia" w:eastAsia="仿宋" w:cs="仿宋"/>
        </w:rPr>
        <w:t>强化流域水资源统一调度管理，科学制定流域水量调度方案和调度计划。将重要生态敏感区控制断面、主要控制性水工程断面等作为河湖生态流量控制断面，以维系河流廊道功能确定有水期的生态水量目标。</w:t>
      </w:r>
    </w:p>
    <w:p>
      <w:pPr>
        <w:ind w:firstLine="31680"/>
        <w:rPr>
          <w:rFonts w:eastAsia="仿宋" w:cs="仿宋"/>
        </w:rPr>
      </w:pPr>
      <w:r>
        <w:rPr>
          <w:rFonts w:hint="eastAsia" w:eastAsia="仿宋" w:cs="仿宋"/>
          <w:b/>
        </w:rPr>
        <w:t>不断加强水资源配置基础。</w:t>
      </w:r>
      <w:r>
        <w:rPr>
          <w:rFonts w:hint="eastAsia" w:eastAsia="仿宋" w:cs="仿宋"/>
        </w:rPr>
        <w:t>将用水总量控制指标进一步细化到生活、工业、农业、生态等主要用水行业，分解到县、地块、用户，未经批准不得擅自改变水资源用途。</w:t>
      </w:r>
    </w:p>
    <w:p>
      <w:pPr>
        <w:ind w:firstLine="31680"/>
        <w:rPr>
          <w:rFonts w:eastAsia="仿宋" w:cs="仿宋"/>
        </w:rPr>
      </w:pPr>
      <w:r>
        <w:rPr>
          <w:rFonts w:hint="eastAsia" w:eastAsia="仿宋" w:cs="仿宋"/>
          <w:b/>
        </w:rPr>
        <w:t>强化生态用水需求分析与配置。</w:t>
      </w:r>
      <w:r>
        <w:rPr>
          <w:rFonts w:hint="eastAsia" w:eastAsia="仿宋" w:cs="仿宋"/>
        </w:rPr>
        <w:t>探索建立重点河湖生态用水指标体系，将生态需水分到河流湖泊、主要河段和重点断面。加强河流重点控制断面监测站点建设，强化水资源监管能力，实现水量分配、河湖生态流量（水位）监管、取用水监管一体化、智能化。</w:t>
      </w:r>
    </w:p>
    <w:p>
      <w:pPr>
        <w:ind w:firstLine="31680"/>
        <w:rPr>
          <w:rFonts w:eastAsia="仿宋" w:cs="仿宋"/>
        </w:rPr>
      </w:pPr>
      <w:r>
        <w:rPr>
          <w:rFonts w:hint="eastAsia" w:eastAsia="仿宋" w:cs="仿宋"/>
          <w:b/>
        </w:rPr>
        <w:t>严格水资源分配监管。</w:t>
      </w:r>
      <w:r>
        <w:rPr>
          <w:rFonts w:hint="eastAsia" w:eastAsia="仿宋" w:cs="仿宋"/>
        </w:rPr>
        <w:t>全面落实水量分配方案和用水总量分级控制指标体系，强化重要断面生态流量（水位）控制，严格年度水量调度计划实施和监督考核，完善生态补水调度机制，保障干流和源流生态用水；加强监督管理和责任追究，明确分级管理的权限和职责，落实流域管理与区域管理相结合的水资源管理制度，电调服从水调，稳定并改善绿洲生态。</w:t>
      </w:r>
    </w:p>
    <w:p>
      <w:pPr>
        <w:ind w:firstLine="31680"/>
        <w:rPr>
          <w:rFonts w:eastAsia="仿宋" w:cs="仿宋"/>
        </w:rPr>
      </w:pPr>
      <w:r>
        <w:rPr>
          <w:rFonts w:hint="eastAsia" w:eastAsia="仿宋" w:cs="仿宋"/>
          <w:b/>
        </w:rPr>
        <w:t>落实最严格水资源管理制度。</w:t>
      </w:r>
      <w:r>
        <w:rPr>
          <w:rFonts w:hint="eastAsia" w:eastAsia="仿宋" w:cs="仿宋"/>
        </w:rPr>
        <w:t>各县市、农业园区每年年初根据“三条红线”控制指标，按照“基本用水优先，降低农业用水、节约生活用水、保障生态用水”的原则，制定下达水量分配方案，将用水指标分解到乡镇、到村组（农场）、到单井，单独配置生态用水量，全力保障生态绿化用水。</w:t>
      </w:r>
    </w:p>
    <w:p>
      <w:pPr>
        <w:ind w:firstLine="31680"/>
        <w:rPr>
          <w:rFonts w:hint="eastAsia" w:eastAsia="仿宋" w:cs="仿宋"/>
        </w:rPr>
      </w:pPr>
      <w:r>
        <w:rPr>
          <w:rFonts w:hint="eastAsia" w:eastAsia="仿宋" w:cs="仿宋"/>
          <w:b/>
        </w:rPr>
        <w:t>推动河湖生态流量保障制度研究。</w:t>
      </w:r>
      <w:r>
        <w:rPr>
          <w:rFonts w:hint="eastAsia" w:eastAsia="仿宋" w:cs="仿宋"/>
        </w:rPr>
        <w:t>开展季节性河流生态流量、生态调度、监管措施、检测预警等方面的科学研究。</w:t>
      </w:r>
      <w:bookmarkStart w:id="58" w:name="_Toc17595"/>
      <w:bookmarkStart w:id="59" w:name="_Toc18759"/>
      <w:bookmarkStart w:id="60" w:name="_Hlk39482903"/>
    </w:p>
    <w:p>
      <w:pPr>
        <w:ind w:firstLine="31680"/>
        <w:rPr>
          <w:rFonts w:ascii="楷体" w:hAnsi="楷体" w:eastAsia="楷体" w:cs="楷体"/>
          <w:bCs w:val="0"/>
        </w:rPr>
      </w:pPr>
      <w:r>
        <w:rPr>
          <w:rFonts w:hint="eastAsia" w:ascii="楷体" w:hAnsi="楷体" w:eastAsia="楷体" w:cs="楷体"/>
          <w:bCs w:val="0"/>
        </w:rPr>
        <w:t>（三）围绕目标，管好用水</w:t>
      </w:r>
      <w:bookmarkEnd w:id="58"/>
      <w:bookmarkEnd w:id="59"/>
    </w:p>
    <w:bookmarkEnd w:id="60"/>
    <w:p>
      <w:pPr>
        <w:ind w:firstLine="31680"/>
        <w:rPr>
          <w:rFonts w:eastAsia="仿宋" w:cs="仿宋"/>
        </w:rPr>
      </w:pPr>
      <w:r>
        <w:rPr>
          <w:rFonts w:hint="eastAsia" w:eastAsia="仿宋" w:cs="仿宋"/>
        </w:rPr>
        <w:t>以落实水资源开发利用用水总量控制、用水效率控制和水功能区限制纳污“三条红线”控制指标为目标，建立全覆盖的用水计量体系，严格用水全过程监督管理。</w:t>
      </w:r>
    </w:p>
    <w:p>
      <w:pPr>
        <w:ind w:firstLine="31680"/>
        <w:rPr>
          <w:rFonts w:hint="eastAsia" w:eastAsia="仿宋" w:cs="仿宋"/>
        </w:rPr>
      </w:pPr>
      <w:r>
        <w:rPr>
          <w:rFonts w:hint="eastAsia" w:eastAsia="仿宋" w:cs="仿宋"/>
          <w:b/>
        </w:rPr>
        <w:t>强化取用水监管基础。</w:t>
      </w:r>
      <w:r>
        <w:rPr>
          <w:rFonts w:hint="eastAsia" w:eastAsia="仿宋" w:cs="仿宋"/>
        </w:rPr>
        <w:t>全面调查取水口、入河排污口，完善管理台账，实现动态管理，建立取水口动态更新机制、监测预警机制和取用水监管机制，切实加强取用水管理。</w:t>
      </w:r>
    </w:p>
    <w:p>
      <w:pPr>
        <w:ind w:firstLine="31680"/>
        <w:rPr>
          <w:rFonts w:eastAsia="仿宋" w:cs="仿宋"/>
        </w:rPr>
      </w:pPr>
      <w:r>
        <w:rPr>
          <w:rFonts w:hint="eastAsia" w:eastAsia="仿宋" w:cs="仿宋"/>
          <w:b/>
        </w:rPr>
        <w:t>严格取用水管控。</w:t>
      </w:r>
      <w:r>
        <w:rPr>
          <w:rFonts w:hint="eastAsia" w:eastAsia="仿宋" w:cs="仿宋"/>
        </w:rPr>
        <w:t>强化重点用水单位监控，制定监控单位名录，依托国家水资源信息管理系统，监控重点用水单位实际用水量，监管取水许可量、计划用水量执行情况。</w:t>
      </w:r>
    </w:p>
    <w:p>
      <w:pPr>
        <w:ind w:firstLine="31680"/>
        <w:rPr>
          <w:rFonts w:eastAsia="仿宋" w:cs="仿宋"/>
        </w:rPr>
      </w:pPr>
      <w:r>
        <w:rPr>
          <w:rFonts w:hint="eastAsia" w:eastAsia="仿宋" w:cs="仿宋"/>
          <w:b/>
        </w:rPr>
        <w:t>强化水资源论证。</w:t>
      </w:r>
      <w:r>
        <w:rPr>
          <w:rFonts w:hint="eastAsia" w:eastAsia="仿宋" w:cs="仿宋"/>
        </w:rPr>
        <w:t>严格执行规划和建设项目水资源论证，强化水资源在国民经济和社会发展规划、城市总体规划、土地利用总体规划、重点项目建设布局等的约束作用。</w:t>
      </w:r>
    </w:p>
    <w:p>
      <w:pPr>
        <w:ind w:firstLine="31680"/>
        <w:rPr>
          <w:rFonts w:hint="eastAsia" w:eastAsia="仿宋" w:cs="仿宋"/>
        </w:rPr>
      </w:pPr>
      <w:r>
        <w:rPr>
          <w:rFonts w:hint="eastAsia" w:eastAsia="仿宋" w:cs="仿宋"/>
          <w:b/>
        </w:rPr>
        <w:t>加强水功能区监管。</w:t>
      </w:r>
      <w:r>
        <w:rPr>
          <w:rFonts w:hint="eastAsia" w:eastAsia="仿宋" w:cs="仿宋"/>
        </w:rPr>
        <w:t>建立河流档案，加强入河（湖）排污口管理，严格水功能区监督管理，实现水功能区监测全覆盖，实施水功能区达标评价制度、入河污染物总量控制制度，完善饮用水源地核准和安全评估制度。</w:t>
      </w:r>
    </w:p>
    <w:p>
      <w:pPr>
        <w:ind w:firstLine="31680"/>
        <w:rPr>
          <w:rFonts w:hint="eastAsia" w:eastAsia="仿宋" w:cs="仿宋"/>
        </w:rPr>
      </w:pPr>
      <w:r>
        <w:rPr>
          <w:rFonts w:hint="eastAsia" w:eastAsia="仿宋" w:cs="仿宋"/>
          <w:b/>
        </w:rPr>
        <w:t>完善饮水工程水质监测与安全监管。</w:t>
      </w:r>
      <w:r>
        <w:rPr>
          <w:rFonts w:hint="eastAsia" w:eastAsia="仿宋" w:cs="仿宋"/>
        </w:rPr>
        <w:t>建设适度规模的集中式供水工程，划定水源保护区，建立县级水质检测中心，落实县级区域水质监测和巡检工作，完善规模化水厂水质化验室配备。</w:t>
      </w:r>
    </w:p>
    <w:p>
      <w:pPr>
        <w:ind w:firstLine="31680"/>
        <w:rPr>
          <w:rFonts w:eastAsia="仿宋" w:cs="仿宋"/>
        </w:rPr>
      </w:pPr>
      <w:r>
        <w:rPr>
          <w:rFonts w:hint="eastAsia" w:eastAsia="仿宋" w:cs="仿宋"/>
          <w:b/>
        </w:rPr>
        <w:t>推进农业面源污染控制监督性监测以及执法监管。</w:t>
      </w:r>
      <w:r>
        <w:rPr>
          <w:rFonts w:hint="eastAsia" w:eastAsia="仿宋" w:cs="仿宋"/>
        </w:rPr>
        <w:t>持续完善面源污染控制监测体系，强化监督性监测。</w:t>
      </w:r>
    </w:p>
    <w:p>
      <w:pPr>
        <w:pStyle w:val="4"/>
        <w:numPr>
          <w:ilvl w:val="0"/>
          <w:numId w:val="0"/>
        </w:numPr>
        <w:spacing w:line="520" w:lineRule="exact"/>
        <w:ind w:firstLine="560" w:firstLineChars="200"/>
        <w:rPr>
          <w:rFonts w:ascii="黑体" w:hAnsi="黑体" w:eastAsia="黑体" w:cs="黑体"/>
          <w:b w:val="0"/>
        </w:rPr>
      </w:pPr>
      <w:bookmarkStart w:id="61" w:name="_Toc20245"/>
      <w:bookmarkStart w:id="62" w:name="_Toc64655633"/>
      <w:r>
        <w:rPr>
          <w:rFonts w:hint="eastAsia" w:ascii="黑体" w:hAnsi="黑体" w:eastAsia="黑体" w:cs="黑体"/>
          <w:b w:val="0"/>
        </w:rPr>
        <w:t>四、强化水利工程监管，完善建管体制机制</w:t>
      </w:r>
      <w:bookmarkEnd w:id="61"/>
      <w:bookmarkEnd w:id="62"/>
    </w:p>
    <w:p>
      <w:pPr>
        <w:ind w:firstLine="31680"/>
        <w:rPr>
          <w:rFonts w:hint="eastAsia" w:eastAsia="仿宋" w:cs="仿宋"/>
        </w:rPr>
      </w:pPr>
      <w:r>
        <w:rPr>
          <w:rFonts w:hint="eastAsia" w:eastAsia="仿宋" w:cs="仿宋"/>
        </w:rPr>
        <w:t>遵循“水利工程补短板、水利行业强监管”水利改革发展总基调，全面推进水利工程建设运行管理各项工作，进一步规范水利工程建设监管体系，优化水利工程调度运行管理，明晰工程产权、落实工程管护主体和责任、探索工程管理模式、落实工程管护经费等方面进行全面改革，确保水利工程建设质量与运行安全、工程效益充分发挥、管理效能显著提升。</w:t>
      </w:r>
      <w:bookmarkStart w:id="63" w:name="_Toc20909"/>
      <w:bookmarkStart w:id="64" w:name="_Toc12404"/>
    </w:p>
    <w:p>
      <w:pPr>
        <w:ind w:firstLine="31680"/>
        <w:rPr>
          <w:rFonts w:ascii="楷体" w:hAnsi="楷体" w:eastAsia="楷体" w:cs="楷体"/>
          <w:bCs w:val="0"/>
        </w:rPr>
      </w:pPr>
      <w:r>
        <w:rPr>
          <w:rFonts w:hint="eastAsia" w:ascii="楷体" w:hAnsi="楷体" w:eastAsia="楷体" w:cs="楷体"/>
          <w:bCs w:val="0"/>
        </w:rPr>
        <w:t>（一）加强水利工程建设管理</w:t>
      </w:r>
      <w:bookmarkEnd w:id="63"/>
      <w:bookmarkEnd w:id="64"/>
    </w:p>
    <w:p>
      <w:pPr>
        <w:ind w:firstLine="31680"/>
        <w:rPr>
          <w:rFonts w:hint="eastAsia" w:eastAsia="仿宋" w:cs="仿宋"/>
        </w:rPr>
      </w:pPr>
      <w:r>
        <w:rPr>
          <w:rFonts w:hint="eastAsia" w:eastAsia="仿宋" w:cs="仿宋"/>
          <w:b/>
        </w:rPr>
        <w:t>加强水利工程建设全过程管理。</w:t>
      </w:r>
      <w:r>
        <w:rPr>
          <w:rFonts w:hint="eastAsia" w:eastAsia="仿宋" w:cs="仿宋"/>
        </w:rPr>
        <w:t>做好项目储备，严格建设项目前期技术审查和行政审批。全面落实项目法人责任制、招标投标制、建设监理制、合同管理制等“四项制度”。严格执行项目建议书、可行性研究报告、初步设计、施工准备、建设实施、生产准备、竣工验收、后评价等水利基本建设程序。加强工程建设资金管理，严格审计监督。项目工程竣工验收后要及时进行资产移交，明确产权关系，落实管护主体、责任和经费，确保工程长期发挥效益。</w:t>
      </w:r>
    </w:p>
    <w:p>
      <w:pPr>
        <w:ind w:firstLine="31680"/>
        <w:rPr>
          <w:rFonts w:eastAsia="仿宋" w:cs="仿宋"/>
        </w:rPr>
      </w:pPr>
      <w:r>
        <w:rPr>
          <w:rFonts w:hint="eastAsia" w:eastAsia="仿宋" w:cs="仿宋"/>
          <w:b/>
        </w:rPr>
        <w:t>探索创新水利工程建管模式。</w:t>
      </w:r>
      <w:r>
        <w:rPr>
          <w:rFonts w:hint="eastAsia" w:eastAsia="仿宋" w:cs="仿宋"/>
        </w:rPr>
        <w:t>完善和规范大型、重要中型水利工程建设项目法人制，因地制宜深化完善工程代建制、设计施工总承包制、集中监理制等建设管理模式，鼓励</w:t>
      </w:r>
      <w:r>
        <w:rPr>
          <w:rFonts w:eastAsia="仿宋" w:cs="仿宋"/>
        </w:rPr>
        <w:t>BOT</w:t>
      </w:r>
      <w:r>
        <w:rPr>
          <w:rFonts w:hint="eastAsia" w:eastAsia="仿宋" w:cs="仿宋"/>
        </w:rPr>
        <w:t>、</w:t>
      </w:r>
      <w:r>
        <w:rPr>
          <w:rFonts w:eastAsia="仿宋" w:cs="仿宋"/>
        </w:rPr>
        <w:t>TOT</w:t>
      </w:r>
      <w:r>
        <w:rPr>
          <w:rFonts w:hint="eastAsia" w:eastAsia="仿宋" w:cs="仿宋"/>
        </w:rPr>
        <w:t>、</w:t>
      </w:r>
      <w:r>
        <w:rPr>
          <w:rFonts w:eastAsia="仿宋" w:cs="仿宋"/>
        </w:rPr>
        <w:t>BT</w:t>
      </w:r>
      <w:r>
        <w:rPr>
          <w:rFonts w:hint="eastAsia" w:eastAsia="仿宋" w:cs="仿宋"/>
        </w:rPr>
        <w:t>等新型水利项目建设管理模式。</w:t>
      </w:r>
    </w:p>
    <w:p>
      <w:pPr>
        <w:ind w:firstLine="31680"/>
        <w:rPr>
          <w:rFonts w:eastAsia="仿宋" w:cs="仿宋"/>
        </w:rPr>
      </w:pPr>
      <w:r>
        <w:rPr>
          <w:rFonts w:hint="eastAsia" w:eastAsia="仿宋" w:cs="仿宋"/>
          <w:b/>
        </w:rPr>
        <w:t>加强水利工程招标投标监管。</w:t>
      </w:r>
      <w:r>
        <w:rPr>
          <w:rFonts w:hint="eastAsia" w:eastAsia="仿宋" w:cs="仿宋"/>
        </w:rPr>
        <w:t>继续完善水利工程建设项目招投标进入公共资源交易市场制度建设，积极推行电子招投标，实现异地远程评标。逐步推行“双随机、一公开”动态化监管模式，建立和完善水利建设市场信用动态监管机制，引导水利建设市场良性发展。</w:t>
      </w:r>
    </w:p>
    <w:p>
      <w:pPr>
        <w:ind w:firstLine="31680"/>
        <w:rPr>
          <w:rFonts w:eastAsia="仿宋" w:cs="仿宋"/>
        </w:rPr>
      </w:pPr>
      <w:r>
        <w:rPr>
          <w:rFonts w:hint="eastAsia" w:eastAsia="仿宋" w:cs="仿宋"/>
          <w:b/>
        </w:rPr>
        <w:t>加强水利工程质量安全监督管理。</w:t>
      </w:r>
      <w:r>
        <w:rPr>
          <w:rFonts w:hint="eastAsia" w:eastAsia="仿宋" w:cs="仿宋"/>
        </w:rPr>
        <w:t>建立完善昌吉州、县（市、区）两级质量安全监督管理机构，加强质量安全监管队伍建设，建立完善自查、抽查、稽察审计和社会监督并重的全方位监督检査机制，规范重点水利工程建设后评估制度，保证水利工程建设质量和安全。</w:t>
      </w:r>
    </w:p>
    <w:p>
      <w:pPr>
        <w:pStyle w:val="5"/>
        <w:numPr>
          <w:ilvl w:val="0"/>
          <w:numId w:val="0"/>
        </w:numPr>
        <w:spacing w:line="520" w:lineRule="exact"/>
        <w:ind w:firstLine="562" w:firstLineChars="200"/>
        <w:rPr>
          <w:rFonts w:ascii="楷体" w:hAnsi="楷体" w:eastAsia="楷体" w:cs="楷体"/>
          <w:bCs w:val="0"/>
        </w:rPr>
      </w:pPr>
      <w:bookmarkStart w:id="65" w:name="_Toc17956"/>
      <w:bookmarkStart w:id="66" w:name="_Toc7292"/>
      <w:r>
        <w:rPr>
          <w:rFonts w:hint="eastAsia" w:ascii="楷体" w:hAnsi="楷体" w:eastAsia="楷体" w:cs="楷体"/>
          <w:bCs w:val="0"/>
        </w:rPr>
        <w:t>（二）优化水利工程运行管理</w:t>
      </w:r>
      <w:bookmarkEnd w:id="65"/>
      <w:bookmarkEnd w:id="66"/>
    </w:p>
    <w:p>
      <w:pPr>
        <w:ind w:firstLine="31680"/>
        <w:rPr>
          <w:rFonts w:eastAsia="仿宋" w:cs="仿宋"/>
        </w:rPr>
      </w:pPr>
      <w:r>
        <w:rPr>
          <w:rFonts w:hint="eastAsia" w:eastAsia="仿宋" w:cs="仿宋"/>
          <w:b/>
        </w:rPr>
        <w:t>完善水利工程运行管理制度体系。</w:t>
      </w:r>
      <w:r>
        <w:rPr>
          <w:rFonts w:hint="eastAsia" w:eastAsia="仿宋" w:cs="仿宋"/>
        </w:rPr>
        <w:t>贯彻落实水利部各类水利工程标准化管理体系，按照“先易后难、以点带面”的原则，积极开展水利工程标准化管理试点示范工作。</w:t>
      </w:r>
    </w:p>
    <w:p>
      <w:pPr>
        <w:ind w:firstLine="31680"/>
        <w:rPr>
          <w:rFonts w:eastAsia="仿宋" w:cs="仿宋"/>
        </w:rPr>
      </w:pPr>
      <w:r>
        <w:rPr>
          <w:rFonts w:hint="eastAsia" w:eastAsia="仿宋" w:cs="仿宋"/>
          <w:b/>
        </w:rPr>
        <w:t>加强工程调度监管。</w:t>
      </w:r>
      <w:r>
        <w:rPr>
          <w:rFonts w:hint="eastAsia" w:eastAsia="仿宋" w:cs="仿宋"/>
        </w:rPr>
        <w:t>加强水利工程防洪抗旱调度运用监督检查和汛限水位监督管理，强化水工程防洪、抗旱和应急水量调度线上线下全方位监管，重点监督各水库管理单位按照批准的度汛方案开展水库调度，强化水库汛限水位的执行。</w:t>
      </w:r>
    </w:p>
    <w:p>
      <w:pPr>
        <w:ind w:firstLine="31680"/>
        <w:rPr>
          <w:rFonts w:eastAsia="仿宋" w:cs="仿宋"/>
        </w:rPr>
      </w:pPr>
      <w:r>
        <w:rPr>
          <w:rFonts w:hint="eastAsia" w:eastAsia="仿宋" w:cs="仿宋"/>
          <w:b/>
        </w:rPr>
        <w:t>提升工程运行监管能力。</w:t>
      </w:r>
      <w:r>
        <w:rPr>
          <w:rFonts w:hint="eastAsia" w:eastAsia="仿宋" w:cs="仿宋"/>
        </w:rPr>
        <w:t>探索基于“互联网</w:t>
      </w:r>
      <w:r>
        <w:rPr>
          <w:rFonts w:eastAsia="仿宋" w:cs="仿宋"/>
        </w:rPr>
        <w:t>+</w:t>
      </w:r>
      <w:r>
        <w:rPr>
          <w:rFonts w:hint="eastAsia" w:eastAsia="仿宋" w:cs="仿宋"/>
        </w:rPr>
        <w:t>大数据”的现代化信息手段，建立完善重要水利工程信息库，加强涉及水安全的重要水库、堤防、闸泵等工程安全实时监控，完善小型水库水雨情监测设施和大坝安全监测设施，全面提升小型水库安全管理水平。</w:t>
      </w:r>
    </w:p>
    <w:p>
      <w:pPr>
        <w:pStyle w:val="5"/>
        <w:numPr>
          <w:ilvl w:val="0"/>
          <w:numId w:val="0"/>
        </w:numPr>
        <w:spacing w:line="520" w:lineRule="exact"/>
        <w:ind w:firstLine="562" w:firstLineChars="200"/>
        <w:rPr>
          <w:rFonts w:ascii="楷体" w:hAnsi="楷体" w:eastAsia="楷体" w:cs="楷体"/>
          <w:bCs w:val="0"/>
        </w:rPr>
      </w:pPr>
      <w:bookmarkStart w:id="67" w:name="_Toc4039"/>
      <w:bookmarkStart w:id="68" w:name="_Toc474"/>
      <w:r>
        <w:rPr>
          <w:rFonts w:hint="eastAsia" w:ascii="楷体" w:hAnsi="楷体" w:eastAsia="楷体" w:cs="楷体"/>
          <w:bCs w:val="0"/>
        </w:rPr>
        <w:t>（三）加快小型水利工程产权制度改革</w:t>
      </w:r>
      <w:bookmarkEnd w:id="67"/>
      <w:bookmarkEnd w:id="68"/>
    </w:p>
    <w:p>
      <w:pPr>
        <w:ind w:firstLine="31680"/>
        <w:rPr>
          <w:rFonts w:eastAsia="仿宋" w:cs="仿宋"/>
        </w:rPr>
      </w:pPr>
      <w:r>
        <w:rPr>
          <w:rFonts w:hint="eastAsia" w:eastAsia="仿宋" w:cs="仿宋"/>
          <w:b/>
        </w:rPr>
        <w:t>明晰小型水利工程产权。</w:t>
      </w:r>
      <w:r>
        <w:rPr>
          <w:rFonts w:hint="eastAsia" w:eastAsia="仿宋" w:cs="仿宋"/>
        </w:rPr>
        <w:t>编制小型水利工程产权制度改革实施方案，按照“谁投资、谁所有、谁受益、谁负担、谁使用、谁管理”的原则，探索农村饮水工程、小型水库、节水灌溉配套工程等不同类型农村水利设施产权制度改革。</w:t>
      </w:r>
    </w:p>
    <w:p>
      <w:pPr>
        <w:ind w:firstLine="31680"/>
        <w:rPr>
          <w:rFonts w:eastAsia="仿宋" w:cs="仿宋"/>
        </w:rPr>
      </w:pPr>
      <w:r>
        <w:rPr>
          <w:rFonts w:hint="eastAsia" w:eastAsia="仿宋" w:cs="仿宋"/>
          <w:b/>
        </w:rPr>
        <w:t>加强督促检查、建立激励机制。</w:t>
      </w:r>
      <w:r>
        <w:rPr>
          <w:rFonts w:hint="eastAsia" w:eastAsia="仿宋" w:cs="仿宋"/>
        </w:rPr>
        <w:t>加强农村小型水利工程产权制度改革工作监督检查，全面完成小型水利工程管理体制改革。水利、财政等部门要研究制定农村小型水利工程产权制度改革与水利建设项目资金安排挂钩的奖补办法，以奖代补，先改后补，不改不补。</w:t>
      </w:r>
    </w:p>
    <w:p>
      <w:pPr>
        <w:pStyle w:val="5"/>
        <w:numPr>
          <w:ilvl w:val="0"/>
          <w:numId w:val="0"/>
        </w:numPr>
        <w:spacing w:line="520" w:lineRule="exact"/>
        <w:ind w:firstLine="562" w:firstLineChars="200"/>
        <w:rPr>
          <w:rFonts w:ascii="楷体" w:hAnsi="楷体" w:eastAsia="楷体" w:cs="楷体"/>
          <w:bCs w:val="0"/>
        </w:rPr>
      </w:pPr>
      <w:bookmarkStart w:id="69" w:name="_Toc14837"/>
      <w:bookmarkStart w:id="70" w:name="_Toc21399"/>
      <w:r>
        <w:rPr>
          <w:rFonts w:hint="eastAsia" w:ascii="楷体" w:hAnsi="楷体" w:eastAsia="楷体" w:cs="楷体"/>
          <w:bCs w:val="0"/>
        </w:rPr>
        <w:t>（四）深化水利工程管护</w:t>
      </w:r>
      <w:bookmarkEnd w:id="69"/>
      <w:r>
        <w:rPr>
          <w:rFonts w:hint="eastAsia" w:ascii="楷体" w:hAnsi="楷体" w:eastAsia="楷体" w:cs="楷体"/>
          <w:bCs w:val="0"/>
        </w:rPr>
        <w:t>制度改革</w:t>
      </w:r>
      <w:bookmarkEnd w:id="70"/>
    </w:p>
    <w:p>
      <w:pPr>
        <w:ind w:firstLine="31680"/>
        <w:rPr>
          <w:rFonts w:eastAsia="仿宋" w:cs="仿宋"/>
        </w:rPr>
      </w:pPr>
      <w:r>
        <w:rPr>
          <w:rFonts w:hint="eastAsia" w:eastAsia="仿宋" w:cs="仿宋"/>
        </w:rPr>
        <w:t>明晰水利工程设施产权，产权所有者是工程的管护主体，负责建立健全管护制度，落实管护责任，确保工程正常运行。</w:t>
      </w:r>
    </w:p>
    <w:p>
      <w:pPr>
        <w:ind w:firstLine="31680"/>
        <w:rPr>
          <w:rFonts w:eastAsia="仿宋" w:cs="仿宋"/>
        </w:rPr>
      </w:pPr>
      <w:r>
        <w:rPr>
          <w:rFonts w:hint="eastAsia" w:eastAsia="仿宋" w:cs="仿宋"/>
          <w:b/>
        </w:rPr>
        <w:t>落实水利工程管护主体和责任。</w:t>
      </w:r>
      <w:r>
        <w:rPr>
          <w:rFonts w:hint="eastAsia" w:eastAsia="仿宋" w:cs="仿宋"/>
        </w:rPr>
        <w:t>使用财政投资或者以财政投资为主兴建的水利工程，实行分级管理，由各级政府或者水行政主管部门设置的水利工程管理单位根据各自职责范围实施管理。灌区末级渠系和小型农村水利工程可以交由农民用水合作组织管理，使用其他资金投资兴建的水利工程，由投资人负责管理和保护，接受县（市）以上水行政主管部门的监督，并服从水量统一调度。</w:t>
      </w:r>
    </w:p>
    <w:p>
      <w:pPr>
        <w:ind w:firstLine="31680"/>
        <w:rPr>
          <w:rFonts w:eastAsia="仿宋" w:cs="仿宋"/>
        </w:rPr>
      </w:pPr>
      <w:r>
        <w:rPr>
          <w:rFonts w:hint="eastAsia" w:eastAsia="仿宋" w:cs="仿宋"/>
          <w:b/>
        </w:rPr>
        <w:t>完善农民用水合作组织做为管护主体的运行机制。</w:t>
      </w:r>
      <w:r>
        <w:rPr>
          <w:rFonts w:hint="eastAsia" w:eastAsia="仿宋" w:cs="仿宋"/>
        </w:rPr>
        <w:t>积极推行水利工程管理单位加农民用水合作组织的基层水管模式，按照“政府引导、农民自愿、依法登记、规范运作”的原则，支持农民用水合作组织规范化建设，发挥其在村级水利工程项目申报、建设管理、供用水管理、水权流转等方面的作用。</w:t>
      </w:r>
    </w:p>
    <w:p>
      <w:pPr>
        <w:ind w:firstLine="31680"/>
        <w:rPr>
          <w:rFonts w:eastAsia="仿宋" w:cs="仿宋"/>
        </w:rPr>
      </w:pPr>
      <w:r>
        <w:rPr>
          <w:rFonts w:hint="eastAsia" w:eastAsia="仿宋" w:cs="仿宋"/>
          <w:b/>
        </w:rPr>
        <w:t>创新水利工程管护模式。</w:t>
      </w:r>
      <w:r>
        <w:rPr>
          <w:rFonts w:hint="eastAsia" w:eastAsia="仿宋" w:cs="仿宋"/>
        </w:rPr>
        <w:t>探索实施水管单位的管养分离改革，对于大中型水利工程管理单位，由所在地区的工程管理主管部门或者水管单位作为项目法人，通过采取公开招标或直接委托的方式将维修养护工作交由专业企业承担。对于小型水利工程，按照集中管理的原则，由工程管理主管部门采用集中打捆招标或委托的方式。</w:t>
      </w:r>
    </w:p>
    <w:p>
      <w:pPr>
        <w:ind w:firstLine="31680"/>
        <w:rPr>
          <w:rFonts w:hint="eastAsia" w:eastAsia="仿宋" w:cs="仿宋"/>
        </w:rPr>
      </w:pPr>
      <w:r>
        <w:rPr>
          <w:rFonts w:hint="eastAsia" w:eastAsia="仿宋" w:cs="仿宋"/>
          <w:b/>
        </w:rPr>
        <w:t>健全基层水利管理服务体系。</w:t>
      </w:r>
      <w:r>
        <w:rPr>
          <w:rFonts w:hint="eastAsia" w:eastAsia="仿宋" w:cs="仿宋"/>
        </w:rPr>
        <w:t>按有关规定落实公益性人员编制、经费，加大对改善基层站（所）办公场所、办公设备等基础设施的投入。因地制宜搭建完善的基层水利专业化服务平台，加强农村水利服务队伍建设。</w:t>
      </w:r>
    </w:p>
    <w:p>
      <w:pPr>
        <w:ind w:firstLine="31680"/>
        <w:rPr>
          <w:rFonts w:eastAsia="仿宋" w:cs="仿宋"/>
        </w:rPr>
      </w:pPr>
      <w:r>
        <w:rPr>
          <w:rFonts w:hint="eastAsia" w:eastAsia="仿宋" w:cs="仿宋"/>
          <w:b/>
        </w:rPr>
        <w:t>完善管护资金保障机制，强化督查考核。</w:t>
      </w:r>
      <w:r>
        <w:rPr>
          <w:rFonts w:hint="eastAsia" w:eastAsia="仿宋" w:cs="仿宋"/>
        </w:rPr>
        <w:t>确定水利工程运行维护经费测算依据，落实公益性工程的人员经费和维修养护经费，保障水利工程良性运行。</w:t>
      </w:r>
    </w:p>
    <w:p>
      <w:pPr>
        <w:pStyle w:val="4"/>
        <w:numPr>
          <w:ilvl w:val="0"/>
          <w:numId w:val="0"/>
        </w:numPr>
        <w:spacing w:line="520" w:lineRule="exact"/>
        <w:ind w:firstLine="560" w:firstLineChars="200"/>
        <w:rPr>
          <w:rFonts w:ascii="黑体" w:hAnsi="黑体" w:eastAsia="黑体" w:cs="黑体"/>
          <w:b w:val="0"/>
        </w:rPr>
      </w:pPr>
      <w:bookmarkStart w:id="71" w:name="_Toc64655634"/>
      <w:bookmarkStart w:id="72" w:name="_Toc23254"/>
      <w:r>
        <w:rPr>
          <w:rFonts w:hint="eastAsia" w:ascii="黑体" w:hAnsi="黑体" w:eastAsia="黑体" w:cs="黑体"/>
          <w:b w:val="0"/>
        </w:rPr>
        <w:t>五、强化水土保持监管，守护绿水青山碧草</w:t>
      </w:r>
      <w:bookmarkEnd w:id="71"/>
      <w:bookmarkEnd w:id="72"/>
    </w:p>
    <w:p>
      <w:pPr>
        <w:ind w:firstLine="31680"/>
        <w:rPr>
          <w:rFonts w:eastAsia="仿宋" w:cs="仿宋"/>
        </w:rPr>
      </w:pPr>
      <w:r>
        <w:rPr>
          <w:rFonts w:hint="eastAsia" w:eastAsia="仿宋" w:cs="仿宋"/>
        </w:rPr>
        <w:t>为保护和合理利用水土资源，贯彻落实“预防为主、保护优先”的水土保持工作方针，全面提升水土保持监测与信息化能力，加强生产建设项目监督管理力度，靠法制、体制、机制科学地管理和治理水土流失。</w:t>
      </w:r>
    </w:p>
    <w:p>
      <w:pPr>
        <w:pStyle w:val="5"/>
        <w:numPr>
          <w:ilvl w:val="0"/>
          <w:numId w:val="0"/>
        </w:numPr>
        <w:spacing w:line="520" w:lineRule="exact"/>
        <w:ind w:firstLine="562" w:firstLineChars="200"/>
        <w:rPr>
          <w:rFonts w:ascii="楷体" w:hAnsi="楷体" w:eastAsia="楷体" w:cs="楷体"/>
          <w:bCs w:val="0"/>
        </w:rPr>
      </w:pPr>
      <w:r>
        <w:rPr>
          <w:rFonts w:hint="eastAsia" w:ascii="楷体" w:hAnsi="楷体" w:eastAsia="楷体" w:cs="楷体"/>
          <w:bCs w:val="0"/>
        </w:rPr>
        <w:t>（一）健全完善水土保持规范化管理制度</w:t>
      </w:r>
    </w:p>
    <w:p>
      <w:pPr>
        <w:ind w:firstLine="31680"/>
        <w:rPr>
          <w:rFonts w:eastAsia="仿宋" w:cs="仿宋"/>
        </w:rPr>
      </w:pPr>
      <w:r>
        <w:rPr>
          <w:rFonts w:hint="eastAsia" w:eastAsia="仿宋" w:cs="仿宋"/>
          <w:b/>
        </w:rPr>
        <w:t>设立规划报告水土保持章节。</w:t>
      </w:r>
      <w:r>
        <w:rPr>
          <w:rFonts w:hint="eastAsia" w:eastAsia="仿宋" w:cs="仿宋"/>
        </w:rPr>
        <w:t>有关基础设施建设、矿产资源开发、城镇建设、工业园区建设、公共服务设施建设、农牧业生产及旅游开发等方面的规划，在实施过程中可能造成水土流失的，在规划中设立水土保持专门章节，提出水土流失预防和治理的对策和措施，并在规划报请审批前征求本级人民政府水行政主管部门的意见。</w:t>
      </w:r>
    </w:p>
    <w:p>
      <w:pPr>
        <w:ind w:firstLine="31680"/>
        <w:rPr>
          <w:rFonts w:eastAsia="仿宋" w:cs="仿宋"/>
        </w:rPr>
      </w:pPr>
      <w:r>
        <w:rPr>
          <w:rFonts w:hint="eastAsia" w:eastAsia="仿宋" w:cs="仿宋"/>
          <w:b/>
        </w:rPr>
        <w:t>加强水土流失严重、生态脆弱地区管理。</w:t>
      </w:r>
      <w:r>
        <w:rPr>
          <w:rFonts w:hint="eastAsia" w:eastAsia="仿宋" w:cs="仿宋"/>
        </w:rPr>
        <w:t>调查全州水土流失的分布、类型、面积、危害、变化趋势以及防治等情况，划定水土流失严重、生态脆弱地区。禁止非法开垦、开发等活动，实行生产建设活动管制，严格保护植被、沙壳、结皮以及戈壁等具有水土保持功能的原生地貌，防止水土流失。</w:t>
      </w:r>
    </w:p>
    <w:p>
      <w:pPr>
        <w:ind w:firstLine="31680"/>
        <w:rPr>
          <w:rFonts w:eastAsia="仿宋" w:cs="仿宋"/>
        </w:rPr>
      </w:pPr>
      <w:r>
        <w:rPr>
          <w:rFonts w:hint="eastAsia" w:eastAsia="仿宋" w:cs="仿宋"/>
          <w:b/>
        </w:rPr>
        <w:t>加强崩塌、滑坡危险区和泥石流易发区管理。</w:t>
      </w:r>
      <w:r>
        <w:rPr>
          <w:rFonts w:hint="eastAsia" w:eastAsia="仿宋" w:cs="仿宋"/>
        </w:rPr>
        <w:t>县级以上人民政府应当组织国土资源、水利、住房和城乡建设、交通运输等主管部门划定禁止开垦的陡坡地范围、崩塌滑坡危险区和泥石流易发区，并予以公告。制定相应管理制度，对违法陡坡开垦、取土、挖砂、采石等可能造成水土流失的活动，依法开展监管和处罚。</w:t>
      </w:r>
    </w:p>
    <w:p>
      <w:pPr>
        <w:ind w:firstLine="31680"/>
        <w:rPr>
          <w:rFonts w:eastAsia="仿宋" w:cs="仿宋"/>
        </w:rPr>
      </w:pPr>
      <w:r>
        <w:rPr>
          <w:rFonts w:hint="eastAsia" w:eastAsia="仿宋" w:cs="仿宋"/>
          <w:b/>
        </w:rPr>
        <w:t>加强人为水土流失监管。</w:t>
      </w:r>
      <w:r>
        <w:rPr>
          <w:rFonts w:hint="eastAsia" w:eastAsia="仿宋" w:cs="仿宋"/>
        </w:rPr>
        <w:t>严格水土保持方案审批，对不符合水土保持法律法规、技术标准等要求的一律不予许可，严守生态红线。建立人为水土流失问题清单，分类明确行政处罚、信用惩戒等责任追究方式。</w:t>
      </w:r>
    </w:p>
    <w:p>
      <w:pPr>
        <w:ind w:firstLine="31680"/>
        <w:rPr>
          <w:rFonts w:eastAsia="仿宋" w:cs="仿宋"/>
        </w:rPr>
      </w:pPr>
      <w:r>
        <w:rPr>
          <w:rFonts w:hint="eastAsia" w:eastAsia="仿宋" w:cs="仿宋"/>
          <w:b/>
        </w:rPr>
        <w:t>落实水土保持补偿费征收工作。</w:t>
      </w:r>
      <w:r>
        <w:rPr>
          <w:rFonts w:hint="eastAsia" w:eastAsia="仿宋" w:cs="仿宋"/>
        </w:rPr>
        <w:t>县级以上人民政府应当多渠道筹集资金，用于水土流失防治，实施水土保持补偿。</w:t>
      </w:r>
    </w:p>
    <w:p>
      <w:pPr>
        <w:ind w:firstLine="31680"/>
        <w:rPr>
          <w:rFonts w:eastAsia="仿宋" w:cs="仿宋"/>
        </w:rPr>
      </w:pPr>
      <w:r>
        <w:rPr>
          <w:rFonts w:hint="eastAsia" w:eastAsia="仿宋" w:cs="仿宋"/>
          <w:b/>
        </w:rPr>
        <w:t>深化水土保持“放管服”改革。</w:t>
      </w:r>
      <w:r>
        <w:rPr>
          <w:rFonts w:hint="eastAsia" w:eastAsia="仿宋" w:cs="仿宋"/>
        </w:rPr>
        <w:t>持续深化简政放权，进一步简化优化水土保持方案审批方式和验收报备程序，实施水土保持方案分级审批制度和水土保持设施自主验收报备制度。</w:t>
      </w:r>
    </w:p>
    <w:p>
      <w:pPr>
        <w:pStyle w:val="5"/>
        <w:numPr>
          <w:ilvl w:val="0"/>
          <w:numId w:val="0"/>
        </w:numPr>
        <w:spacing w:line="520" w:lineRule="exact"/>
        <w:ind w:firstLine="562" w:firstLineChars="200"/>
        <w:rPr>
          <w:rFonts w:ascii="楷体" w:hAnsi="楷体" w:eastAsia="楷体" w:cs="楷体"/>
          <w:bCs w:val="0"/>
        </w:rPr>
      </w:pPr>
      <w:r>
        <w:rPr>
          <w:rFonts w:hint="eastAsia" w:ascii="楷体" w:hAnsi="楷体" w:eastAsia="楷体" w:cs="楷体"/>
          <w:bCs w:val="0"/>
        </w:rPr>
        <w:t>（二）加强生产建设项目和治理工程水土保持监督检查</w:t>
      </w:r>
    </w:p>
    <w:p>
      <w:pPr>
        <w:ind w:firstLine="31680"/>
        <w:rPr>
          <w:rFonts w:eastAsia="仿宋" w:cs="仿宋"/>
        </w:rPr>
      </w:pPr>
      <w:r>
        <w:rPr>
          <w:rFonts w:hint="eastAsia" w:eastAsia="仿宋" w:cs="仿宋"/>
          <w:b/>
        </w:rPr>
        <w:t>落实生产建设项目水土保持“三权一方案”及“三同时”制度。</w:t>
      </w:r>
      <w:r>
        <w:rPr>
          <w:rFonts w:hint="eastAsia" w:eastAsia="仿宋" w:cs="仿宋"/>
        </w:rPr>
        <w:t>进一步加大生产建设项目水土保持监督执法力度，推动水土保持“三同时”制度落实。</w:t>
      </w:r>
    </w:p>
    <w:p>
      <w:pPr>
        <w:ind w:firstLine="31680"/>
        <w:rPr>
          <w:rFonts w:eastAsia="仿宋" w:cs="仿宋"/>
        </w:rPr>
      </w:pPr>
      <w:r>
        <w:rPr>
          <w:rFonts w:hint="eastAsia" w:eastAsia="仿宋" w:cs="仿宋"/>
          <w:b/>
        </w:rPr>
        <w:t>加强生产建设项目跟踪检查力度。</w:t>
      </w:r>
      <w:r>
        <w:rPr>
          <w:rFonts w:hint="eastAsia" w:eastAsia="仿宋" w:cs="仿宋"/>
        </w:rPr>
        <w:t>跟踪检查采取遥感监管、现场检查、书面检查、“互联网</w:t>
      </w:r>
      <w:r>
        <w:rPr>
          <w:rFonts w:eastAsia="仿宋" w:cs="仿宋"/>
        </w:rPr>
        <w:t>+</w:t>
      </w:r>
      <w:r>
        <w:rPr>
          <w:rFonts w:hint="eastAsia" w:eastAsia="仿宋" w:cs="仿宋"/>
        </w:rPr>
        <w:t>监管”相结合的方式，实现在建项目全覆盖。对检查中发现的问题及时提出整改要求和解决方案，做好跟踪落实和技术指导。</w:t>
      </w:r>
    </w:p>
    <w:p>
      <w:pPr>
        <w:ind w:firstLine="31680"/>
        <w:rPr>
          <w:rFonts w:eastAsia="仿宋" w:cs="仿宋"/>
        </w:rPr>
      </w:pPr>
      <w:r>
        <w:rPr>
          <w:rFonts w:hint="eastAsia" w:eastAsia="仿宋" w:cs="仿宋"/>
          <w:b/>
        </w:rPr>
        <w:t>加强生产建设项目事中事后监管。</w:t>
      </w:r>
      <w:r>
        <w:rPr>
          <w:rFonts w:hint="eastAsia" w:eastAsia="仿宋" w:cs="仿宋"/>
        </w:rPr>
        <w:t>推进事中事后监管信息与政务服务相融合，加强信用监管，将生产建设活动造成的人为水土流失作为监管的重点</w:t>
      </w:r>
      <w:r>
        <w:rPr>
          <w:rFonts w:eastAsia="仿宋" w:cs="仿宋"/>
        </w:rPr>
        <w:t xml:space="preserve">, </w:t>
      </w:r>
      <w:r>
        <w:rPr>
          <w:rFonts w:hint="eastAsia" w:eastAsia="仿宋" w:cs="仿宋"/>
        </w:rPr>
        <w:t>依法采取行政处罚或行政措施，严控人为水土流失增量。</w:t>
      </w:r>
    </w:p>
    <w:p>
      <w:pPr>
        <w:ind w:firstLine="31680"/>
        <w:rPr>
          <w:rFonts w:eastAsia="仿宋" w:cs="仿宋"/>
        </w:rPr>
      </w:pPr>
      <w:r>
        <w:rPr>
          <w:rFonts w:hint="eastAsia" w:eastAsia="仿宋" w:cs="仿宋"/>
          <w:b/>
        </w:rPr>
        <w:t>加强生产建设项目水土保持设施自主验收监管。</w:t>
      </w:r>
      <w:r>
        <w:rPr>
          <w:rFonts w:hint="eastAsia" w:eastAsia="仿宋" w:cs="仿宋"/>
        </w:rPr>
        <w:t>严格水土保持设施自主验收监管，对核查中发现存在弄虚作假、不满足验收标准而通过验收的，严肃追究生产建设单位和相关技术服务机构及人员责任。</w:t>
      </w:r>
    </w:p>
    <w:p>
      <w:pPr>
        <w:ind w:firstLine="31680"/>
        <w:rPr>
          <w:rFonts w:eastAsia="仿宋" w:cs="仿宋"/>
        </w:rPr>
      </w:pPr>
      <w:r>
        <w:rPr>
          <w:rFonts w:hint="eastAsia" w:eastAsia="仿宋" w:cs="仿宋"/>
          <w:b/>
        </w:rPr>
        <w:t>加强水土保持重点工程监管。</w:t>
      </w:r>
      <w:r>
        <w:rPr>
          <w:rFonts w:hint="eastAsia" w:eastAsia="仿宋" w:cs="仿宋"/>
        </w:rPr>
        <w:t>严格水土保持重点工程项目前期工作论证及审查审批、建设管理、质量安全等，落实逐级督查和责任追究制度。基于遥感影像、无人机、移动终端等信息化手段对水土保持重点工程进行“图斑精细化”监管。</w:t>
      </w:r>
    </w:p>
    <w:p>
      <w:pPr>
        <w:pStyle w:val="5"/>
        <w:numPr>
          <w:ilvl w:val="0"/>
          <w:numId w:val="0"/>
        </w:numPr>
        <w:spacing w:line="520" w:lineRule="exact"/>
        <w:ind w:firstLine="562" w:firstLineChars="200"/>
        <w:rPr>
          <w:rFonts w:ascii="楷体" w:hAnsi="楷体" w:eastAsia="楷体" w:cs="楷体"/>
          <w:bCs w:val="0"/>
        </w:rPr>
      </w:pPr>
      <w:r>
        <w:rPr>
          <w:rFonts w:hint="eastAsia" w:ascii="楷体" w:hAnsi="楷体" w:eastAsia="楷体" w:cs="楷体"/>
          <w:bCs w:val="0"/>
        </w:rPr>
        <w:t>（三）落实水土保持社会和行业监管职责</w:t>
      </w:r>
    </w:p>
    <w:p>
      <w:pPr>
        <w:ind w:firstLine="31680"/>
        <w:rPr>
          <w:rFonts w:eastAsia="仿宋" w:cs="仿宋"/>
        </w:rPr>
      </w:pPr>
      <w:r>
        <w:rPr>
          <w:rFonts w:hint="eastAsia" w:eastAsia="仿宋" w:cs="仿宋"/>
        </w:rPr>
        <w:t>水土保持是一项公益性事业，政府有主体责任，相关部门有行政许可、监督检查、监测及重点工程管理等职责，企业和个人有水土流失预防和治理义务。</w:t>
      </w:r>
    </w:p>
    <w:p>
      <w:pPr>
        <w:ind w:firstLine="31680"/>
        <w:rPr>
          <w:rFonts w:eastAsia="仿宋" w:cs="仿宋"/>
        </w:rPr>
      </w:pPr>
      <w:r>
        <w:rPr>
          <w:rFonts w:hint="eastAsia" w:eastAsia="仿宋" w:cs="仿宋"/>
          <w:b/>
        </w:rPr>
        <w:t>严格落实水土保持目标责任考核。</w:t>
      </w:r>
      <w:r>
        <w:rPr>
          <w:rFonts w:hint="eastAsia" w:eastAsia="仿宋" w:cs="仿宋"/>
        </w:rPr>
        <w:t>建立水土保持监督管理权责清单，落实水土流失治理工程监管责任与措施，细化考核内容，优化考核指标，建立考核奖惩和激励机制。</w:t>
      </w:r>
    </w:p>
    <w:p>
      <w:pPr>
        <w:ind w:firstLine="31680"/>
        <w:rPr>
          <w:rFonts w:eastAsia="仿宋" w:cs="仿宋"/>
        </w:rPr>
      </w:pPr>
      <w:r>
        <w:rPr>
          <w:rFonts w:hint="eastAsia" w:eastAsia="仿宋" w:cs="仿宋"/>
          <w:b/>
        </w:rPr>
        <w:t>建立水土保持兵地间、部门间监督检查和行政执法协作机制。</w:t>
      </w:r>
      <w:r>
        <w:rPr>
          <w:rFonts w:hint="eastAsia" w:eastAsia="仿宋" w:cs="仿宋"/>
        </w:rPr>
        <w:t>建立水土保持日常监督管理与行政审批、行政执法的协作机制，水土保持方案审批部门要及时将审批决定及水土保持方案抄送监督检査部门。建立水土保持监督检查与行政综合执法的联动机制。</w:t>
      </w:r>
    </w:p>
    <w:p>
      <w:pPr>
        <w:ind w:firstLine="31680"/>
        <w:rPr>
          <w:rFonts w:eastAsia="仿宋" w:cs="仿宋"/>
        </w:rPr>
      </w:pPr>
      <w:r>
        <w:rPr>
          <w:rFonts w:hint="eastAsia" w:eastAsia="仿宋" w:cs="仿宋"/>
          <w:b/>
        </w:rPr>
        <w:t>建立水土保持监督执法专项行动长效机制。</w:t>
      </w:r>
      <w:r>
        <w:rPr>
          <w:rFonts w:hint="eastAsia" w:eastAsia="仿宋" w:cs="仿宋"/>
        </w:rPr>
        <w:t>通过梳理排查、现场核查、执法处理、暗访督查等，严格查处违法行为，形成强监管震慑。</w:t>
      </w:r>
    </w:p>
    <w:p>
      <w:pPr>
        <w:pStyle w:val="5"/>
        <w:numPr>
          <w:ilvl w:val="0"/>
          <w:numId w:val="0"/>
        </w:numPr>
        <w:spacing w:line="520" w:lineRule="exact"/>
        <w:ind w:firstLine="562" w:firstLineChars="200"/>
        <w:rPr>
          <w:rFonts w:ascii="楷体" w:hAnsi="楷体" w:eastAsia="楷体" w:cs="楷体"/>
          <w:bCs w:val="0"/>
        </w:rPr>
      </w:pPr>
      <w:r>
        <w:rPr>
          <w:rFonts w:hint="eastAsia" w:ascii="楷体" w:hAnsi="楷体" w:eastAsia="楷体" w:cs="楷体"/>
          <w:bCs w:val="0"/>
        </w:rPr>
        <w:t>（四）提升水土保持监测与信息化能力</w:t>
      </w:r>
    </w:p>
    <w:p>
      <w:pPr>
        <w:ind w:firstLine="31680"/>
        <w:rPr>
          <w:rFonts w:eastAsia="仿宋" w:cs="仿宋"/>
        </w:rPr>
      </w:pPr>
      <w:r>
        <w:rPr>
          <w:rFonts w:hint="eastAsia" w:eastAsia="仿宋" w:cs="仿宋"/>
          <w:b/>
        </w:rPr>
        <w:t>加强水土流失动态监测。</w:t>
      </w:r>
      <w:r>
        <w:rPr>
          <w:rFonts w:hint="eastAsia" w:eastAsia="仿宋" w:cs="仿宋"/>
        </w:rPr>
        <w:t>按照国家水土流失动态监测“全覆盖”要求，建立健全水土保持监测网络体系，科学设置水土保持监测站点，逐步完成监测站点升级改造，实施监测站点标准化建设，完善水土保持监测技术标准体系。</w:t>
      </w:r>
    </w:p>
    <w:p>
      <w:pPr>
        <w:ind w:firstLine="31680"/>
        <w:rPr>
          <w:rFonts w:hint="eastAsia" w:eastAsia="仿宋" w:cs="仿宋"/>
        </w:rPr>
      </w:pPr>
      <w:r>
        <w:rPr>
          <w:rFonts w:hint="eastAsia" w:eastAsia="仿宋" w:cs="仿宋"/>
          <w:b/>
        </w:rPr>
        <w:t>加强水土保持监测成果应用管理。</w:t>
      </w:r>
      <w:r>
        <w:rPr>
          <w:rFonts w:hint="eastAsia" w:eastAsia="仿宋" w:cs="仿宋"/>
        </w:rPr>
        <w:t>围绕强化水土保持监测支撑监管的目标，制定水土保持监测成果应用管理办法，明确监测机构与管理部门职责，规范监测成果的审核、报送、使用与发布。</w:t>
      </w:r>
    </w:p>
    <w:p>
      <w:pPr>
        <w:ind w:firstLine="31680"/>
        <w:rPr>
          <w:rFonts w:eastAsia="仿宋" w:cs="仿宋"/>
        </w:rPr>
      </w:pPr>
      <w:r>
        <w:rPr>
          <w:rFonts w:hint="eastAsia" w:eastAsia="仿宋" w:cs="仿宋"/>
          <w:b/>
        </w:rPr>
        <w:t>推进信息化应用和数据共享。</w:t>
      </w:r>
      <w:r>
        <w:rPr>
          <w:rFonts w:hint="eastAsia" w:eastAsia="仿宋" w:cs="仿宋"/>
        </w:rPr>
        <w:t>充分利用水土保持信息管理平台，做好信息库建设与更新维护，提升数据的解读、分析和评价水平；建立水土保持实验数据管理信息共享平台。</w:t>
      </w:r>
    </w:p>
    <w:p>
      <w:pPr>
        <w:ind w:firstLine="31680"/>
        <w:rPr>
          <w:rFonts w:eastAsia="仿宋" w:cs="仿宋"/>
        </w:rPr>
      </w:pPr>
      <w:r>
        <w:rPr>
          <w:rFonts w:hint="eastAsia" w:eastAsia="仿宋" w:cs="仿宋"/>
          <w:b/>
        </w:rPr>
        <w:t>加强监管能力建设。</w:t>
      </w:r>
      <w:r>
        <w:rPr>
          <w:rFonts w:hint="eastAsia" w:eastAsia="仿宋" w:cs="仿宋"/>
        </w:rPr>
        <w:t>加强水土保持执法督查机构和队伍建设，开展水土保持监督执法人员定期培训与考核，研究制定监管能力标准化建设方案，出台水土保持监督执法装备配置标准，逐步配备完善各级水土保持监督执法队伍，配备专业从事水土保持监测与信息化的技术人员。</w:t>
      </w:r>
    </w:p>
    <w:p>
      <w:pPr>
        <w:pStyle w:val="4"/>
        <w:numPr>
          <w:ilvl w:val="0"/>
          <w:numId w:val="0"/>
        </w:numPr>
        <w:spacing w:line="520" w:lineRule="exact"/>
        <w:ind w:firstLine="560" w:firstLineChars="200"/>
        <w:rPr>
          <w:rFonts w:ascii="黑体" w:hAnsi="黑体" w:eastAsia="黑体" w:cs="黑体"/>
          <w:b w:val="0"/>
        </w:rPr>
      </w:pPr>
      <w:bookmarkStart w:id="73" w:name="_Toc4870"/>
      <w:bookmarkStart w:id="74" w:name="_Toc64655635"/>
      <w:r>
        <w:rPr>
          <w:rFonts w:hint="eastAsia" w:ascii="黑体" w:hAnsi="黑体" w:eastAsia="黑体" w:cs="黑体"/>
          <w:b w:val="0"/>
        </w:rPr>
        <w:t>六、加强水旱灾害防御监管，提高水安全保障能力</w:t>
      </w:r>
      <w:bookmarkEnd w:id="73"/>
      <w:bookmarkEnd w:id="74"/>
    </w:p>
    <w:p>
      <w:pPr>
        <w:ind w:firstLine="31680"/>
        <w:rPr>
          <w:rFonts w:eastAsia="仿宋" w:cs="仿宋"/>
        </w:rPr>
      </w:pPr>
      <w:r>
        <w:rPr>
          <w:rFonts w:hint="eastAsia" w:eastAsia="仿宋" w:cs="仿宋"/>
        </w:rPr>
        <w:t>以水工程防洪抗旱调度为核心，全力做好水旱灾害防御工作，确保大河、重点中型水库防洪安全，全力保证中小河流和一般中小型水库安全度汛，切实保障人民群众生命安全和城乡居民生活用水安全，最大程度降低水旱灾害损失。</w:t>
      </w:r>
    </w:p>
    <w:p>
      <w:pPr>
        <w:ind w:firstLine="31680"/>
        <w:rPr>
          <w:rFonts w:ascii="楷体" w:hAnsi="楷体" w:eastAsia="楷体" w:cs="楷体"/>
          <w:b/>
          <w:sz w:val="28"/>
          <w:szCs w:val="28"/>
        </w:rPr>
      </w:pPr>
      <w:r>
        <w:rPr>
          <w:rFonts w:hint="eastAsia" w:ascii="楷体" w:hAnsi="楷体" w:eastAsia="楷体" w:cs="楷体"/>
          <w:b/>
          <w:sz w:val="28"/>
          <w:szCs w:val="28"/>
        </w:rPr>
        <w:t>（一）加强水工程</w:t>
      </w:r>
      <w:r>
        <w:rPr>
          <w:rFonts w:ascii="楷体" w:hAnsi="楷体" w:eastAsia="楷体" w:cs="楷体"/>
          <w:b/>
          <w:sz w:val="28"/>
          <w:szCs w:val="28"/>
        </w:rPr>
        <w:t>(</w:t>
      </w:r>
      <w:r>
        <w:rPr>
          <w:rFonts w:hint="eastAsia" w:ascii="楷体" w:hAnsi="楷体" w:eastAsia="楷体" w:cs="楷体"/>
          <w:b/>
          <w:sz w:val="28"/>
          <w:szCs w:val="28"/>
        </w:rPr>
        <w:t>水库</w:t>
      </w:r>
      <w:r>
        <w:rPr>
          <w:rFonts w:ascii="楷体" w:hAnsi="楷体" w:eastAsia="楷体" w:cs="楷体"/>
          <w:b/>
          <w:sz w:val="28"/>
          <w:szCs w:val="28"/>
        </w:rPr>
        <w:t>)</w:t>
      </w:r>
      <w:r>
        <w:rPr>
          <w:rFonts w:hint="eastAsia" w:ascii="楷体" w:hAnsi="楷体" w:eastAsia="楷体" w:cs="楷体"/>
          <w:b/>
          <w:sz w:val="28"/>
          <w:szCs w:val="28"/>
        </w:rPr>
        <w:t>安全度汛监管</w:t>
      </w:r>
    </w:p>
    <w:p>
      <w:pPr>
        <w:ind w:firstLine="31680"/>
        <w:rPr>
          <w:rFonts w:eastAsia="仿宋" w:cs="仿宋"/>
        </w:rPr>
      </w:pPr>
      <w:r>
        <w:rPr>
          <w:rFonts w:hint="eastAsia" w:eastAsia="仿宋" w:cs="仿宋"/>
          <w:b/>
        </w:rPr>
        <w:t>安全度汛责任制落实情况监管。</w:t>
      </w:r>
      <w:r>
        <w:rPr>
          <w:rFonts w:hint="eastAsia" w:eastAsia="仿宋" w:cs="仿宋"/>
        </w:rPr>
        <w:t>每年汛前组织开展水工程</w:t>
      </w:r>
      <w:r>
        <w:rPr>
          <w:rFonts w:eastAsia="仿宋" w:cs="仿宋"/>
        </w:rPr>
        <w:t>(</w:t>
      </w:r>
      <w:r>
        <w:rPr>
          <w:rFonts w:hint="eastAsia" w:eastAsia="仿宋" w:cs="仿宋"/>
        </w:rPr>
        <w:t>水库</w:t>
      </w:r>
      <w:r>
        <w:rPr>
          <w:rFonts w:eastAsia="仿宋" w:cs="仿宋"/>
        </w:rPr>
        <w:t>)</w:t>
      </w:r>
      <w:r>
        <w:rPr>
          <w:rFonts w:hint="eastAsia" w:eastAsia="仿宋" w:cs="仿宋"/>
        </w:rPr>
        <w:t>安全度汛专项检查，对各地、各单位水库安全度汛“三个责任人”落实及责任人履职到位情况进行监督检查。</w:t>
      </w:r>
    </w:p>
    <w:p>
      <w:pPr>
        <w:ind w:firstLine="31680"/>
        <w:rPr>
          <w:rFonts w:eastAsia="仿宋" w:cs="仿宋"/>
        </w:rPr>
      </w:pPr>
      <w:r>
        <w:rPr>
          <w:rFonts w:hint="eastAsia" w:eastAsia="仿宋" w:cs="仿宋"/>
          <w:b/>
        </w:rPr>
        <w:t>水工程</w:t>
      </w:r>
      <w:r>
        <w:rPr>
          <w:rFonts w:eastAsia="仿宋" w:cs="仿宋"/>
          <w:b/>
        </w:rPr>
        <w:t>(</w:t>
      </w:r>
      <w:r>
        <w:rPr>
          <w:rFonts w:hint="eastAsia" w:eastAsia="仿宋" w:cs="仿宋"/>
          <w:b/>
        </w:rPr>
        <w:t>水库</w:t>
      </w:r>
      <w:r>
        <w:rPr>
          <w:rFonts w:eastAsia="仿宋" w:cs="仿宋"/>
          <w:b/>
        </w:rPr>
        <w:t>)</w:t>
      </w:r>
      <w:r>
        <w:rPr>
          <w:rFonts w:hint="eastAsia" w:eastAsia="仿宋" w:cs="仿宋"/>
          <w:b/>
        </w:rPr>
        <w:t>安全度汛备汛措施监管。</w:t>
      </w:r>
      <w:r>
        <w:rPr>
          <w:rFonts w:hint="eastAsia" w:eastAsia="仿宋" w:cs="仿宋"/>
        </w:rPr>
        <w:t>强化“三个方案”审批管理，督促昌吉州及各县（市）完成权限内水库“三个方案”审批；对水工程</w:t>
      </w:r>
      <w:r>
        <w:rPr>
          <w:rFonts w:eastAsia="仿宋" w:cs="仿宋"/>
        </w:rPr>
        <w:t>(</w:t>
      </w:r>
      <w:r>
        <w:rPr>
          <w:rFonts w:hint="eastAsia" w:eastAsia="仿宋" w:cs="仿宋"/>
        </w:rPr>
        <w:t>水库</w:t>
      </w:r>
      <w:r>
        <w:rPr>
          <w:rFonts w:eastAsia="仿宋" w:cs="仿宋"/>
        </w:rPr>
        <w:t>)</w:t>
      </w:r>
      <w:r>
        <w:rPr>
          <w:rFonts w:hint="eastAsia" w:eastAsia="仿宋" w:cs="仿宋"/>
        </w:rPr>
        <w:t>运行管理情况进行检查，主要检查水库管理单位运行管理及应急处置情况；对水工程</w:t>
      </w:r>
      <w:r>
        <w:rPr>
          <w:rFonts w:eastAsia="仿宋" w:cs="仿宋"/>
        </w:rPr>
        <w:t>(</w:t>
      </w:r>
      <w:r>
        <w:rPr>
          <w:rFonts w:hint="eastAsia" w:eastAsia="仿宋" w:cs="仿宋"/>
        </w:rPr>
        <w:t>水库</w:t>
      </w:r>
      <w:r>
        <w:rPr>
          <w:rFonts w:eastAsia="仿宋" w:cs="仿宋"/>
        </w:rPr>
        <w:t>)</w:t>
      </w:r>
      <w:r>
        <w:rPr>
          <w:rFonts w:hint="eastAsia" w:eastAsia="仿宋" w:cs="仿宋"/>
        </w:rPr>
        <w:t>大坝、泄水建筑物及闸门启闭等主要建筑物和重要设施运行情况进行检查；对水工程</w:t>
      </w:r>
      <w:r>
        <w:rPr>
          <w:rFonts w:eastAsia="仿宋" w:cs="仿宋"/>
        </w:rPr>
        <w:t>(</w:t>
      </w:r>
      <w:r>
        <w:rPr>
          <w:rFonts w:hint="eastAsia" w:eastAsia="仿宋" w:cs="仿宋"/>
        </w:rPr>
        <w:t>水库</w:t>
      </w:r>
      <w:r>
        <w:rPr>
          <w:rFonts w:eastAsia="仿宋" w:cs="仿宋"/>
        </w:rPr>
        <w:t>)</w:t>
      </w:r>
      <w:r>
        <w:rPr>
          <w:rFonts w:hint="eastAsia" w:eastAsia="仿宋" w:cs="仿宋"/>
        </w:rPr>
        <w:t>安全度汛应急设施</w:t>
      </w:r>
      <w:r>
        <w:rPr>
          <w:rFonts w:eastAsia="仿宋" w:cs="仿宋"/>
        </w:rPr>
        <w:t>(</w:t>
      </w:r>
      <w:r>
        <w:rPr>
          <w:rFonts w:hint="eastAsia" w:eastAsia="仿宋" w:cs="仿宋"/>
        </w:rPr>
        <w:t>备</w:t>
      </w:r>
      <w:r>
        <w:rPr>
          <w:rFonts w:eastAsia="仿宋" w:cs="仿宋"/>
        </w:rPr>
        <w:t>)</w:t>
      </w:r>
      <w:r>
        <w:rPr>
          <w:rFonts w:hint="eastAsia" w:eastAsia="仿宋" w:cs="仿宋"/>
        </w:rPr>
        <w:t>和防汛物资储备情况检查。</w:t>
      </w:r>
    </w:p>
    <w:p>
      <w:pPr>
        <w:ind w:firstLine="31680"/>
        <w:rPr>
          <w:rFonts w:ascii="楷体" w:hAnsi="楷体" w:eastAsia="楷体" w:cs="楷体"/>
          <w:b/>
          <w:sz w:val="28"/>
          <w:szCs w:val="28"/>
        </w:rPr>
      </w:pPr>
      <w:r>
        <w:rPr>
          <w:rFonts w:hint="eastAsia" w:ascii="楷体" w:hAnsi="楷体" w:eastAsia="楷体" w:cs="楷体"/>
          <w:b/>
          <w:sz w:val="28"/>
          <w:szCs w:val="28"/>
        </w:rPr>
        <w:t>（二）加强山洪灾害防御工作监管</w:t>
      </w:r>
    </w:p>
    <w:p>
      <w:pPr>
        <w:ind w:firstLine="31680"/>
        <w:rPr>
          <w:rFonts w:eastAsia="仿宋" w:cs="仿宋"/>
        </w:rPr>
      </w:pPr>
      <w:r>
        <w:rPr>
          <w:rFonts w:hint="eastAsia" w:eastAsia="仿宋" w:cs="仿宋"/>
        </w:rPr>
        <w:t>积极督促各县（市）及时开展山洪灾害监测预警预报设施检修、检查和运行维护，确保监测设施正常运行。加强山洪灾害监测预警系统实时监控，逐步健全完善山洪灾害监测系统运行管理机制。及时研究制定山洪灾害监测预警设施设备维修养护经费测算规定、山洪灾害防御工作指南等规范和制度。</w:t>
      </w:r>
    </w:p>
    <w:p>
      <w:pPr>
        <w:ind w:firstLine="31680"/>
        <w:rPr>
          <w:rFonts w:ascii="楷体" w:hAnsi="楷体" w:eastAsia="楷体" w:cs="楷体"/>
          <w:b/>
          <w:sz w:val="28"/>
          <w:szCs w:val="28"/>
        </w:rPr>
      </w:pPr>
      <w:r>
        <w:rPr>
          <w:rFonts w:hint="eastAsia" w:ascii="楷体" w:hAnsi="楷体" w:eastAsia="楷体" w:cs="楷体"/>
          <w:b/>
          <w:sz w:val="28"/>
          <w:szCs w:val="28"/>
        </w:rPr>
        <w:t>（三）加强水旱灾害防御行政类审批事项监管</w:t>
      </w:r>
    </w:p>
    <w:p>
      <w:pPr>
        <w:ind w:firstLine="31680"/>
        <w:rPr>
          <w:rFonts w:eastAsia="仿宋" w:cs="仿宋"/>
        </w:rPr>
      </w:pPr>
      <w:r>
        <w:rPr>
          <w:rFonts w:hint="eastAsia" w:eastAsia="仿宋" w:cs="仿宋"/>
        </w:rPr>
        <w:t>强化对水旱灾害防御方面审批事项的审批和执行情况监督管理，不定期重点对审批流程、技术审查、办理时限、批复管理、跟踪落实、后续监管等方面进行检查，确保水旱灾害防御行政类审批工作质量。</w:t>
      </w:r>
    </w:p>
    <w:p>
      <w:pPr>
        <w:pStyle w:val="4"/>
        <w:numPr>
          <w:ilvl w:val="0"/>
          <w:numId w:val="0"/>
        </w:numPr>
        <w:spacing w:line="520" w:lineRule="exact"/>
        <w:ind w:firstLine="560" w:firstLineChars="200"/>
        <w:rPr>
          <w:rFonts w:ascii="黑体" w:hAnsi="黑体" w:eastAsia="黑体" w:cs="黑体"/>
          <w:b w:val="0"/>
        </w:rPr>
      </w:pPr>
      <w:bookmarkStart w:id="75" w:name="_Toc64655636"/>
      <w:bookmarkStart w:id="76" w:name="_Toc20298"/>
      <w:r>
        <w:rPr>
          <w:rFonts w:hint="eastAsia" w:ascii="黑体" w:hAnsi="黑体" w:eastAsia="黑体" w:cs="黑体"/>
          <w:b w:val="0"/>
        </w:rPr>
        <w:t>七、强化水安全风险管控，提高应急处置能力</w:t>
      </w:r>
      <w:bookmarkEnd w:id="75"/>
      <w:bookmarkEnd w:id="76"/>
    </w:p>
    <w:p>
      <w:pPr>
        <w:ind w:firstLine="31680"/>
        <w:rPr>
          <w:rFonts w:eastAsia="仿宋" w:cs="仿宋"/>
        </w:rPr>
      </w:pPr>
      <w:r>
        <w:rPr>
          <w:rFonts w:hint="eastAsia" w:eastAsia="仿宋" w:cs="仿宋"/>
        </w:rPr>
        <w:t>“十四五”期间，建立强化源头防控机制，加强各类风险源排查，科学评估昌吉州各县（市）水资源安全风险，建立完善水安全风险识别和监测预警体系。推进山洪灾害监测预警系统和农村防汛预警预报体系建设，建立病险水库、堤防等水利工程安全隐患排查常态机制，强化流域水旱灾害防御统调度。</w:t>
      </w:r>
    </w:p>
    <w:p>
      <w:pPr>
        <w:pStyle w:val="4"/>
        <w:numPr>
          <w:ilvl w:val="0"/>
          <w:numId w:val="0"/>
        </w:numPr>
        <w:spacing w:line="520" w:lineRule="exact"/>
        <w:ind w:firstLine="560" w:firstLineChars="200"/>
        <w:rPr>
          <w:rFonts w:ascii="黑体" w:hAnsi="黑体" w:eastAsia="黑体" w:cs="黑体"/>
          <w:b w:val="0"/>
        </w:rPr>
      </w:pPr>
      <w:bookmarkStart w:id="77" w:name="_Toc18035"/>
      <w:bookmarkStart w:id="78" w:name="_Toc64655637"/>
      <w:r>
        <w:rPr>
          <w:rFonts w:hint="eastAsia" w:ascii="黑体" w:hAnsi="黑体" w:eastAsia="黑体" w:cs="黑体"/>
          <w:b w:val="0"/>
        </w:rPr>
        <w:t>八、加强水行政执法，强化河湖规范管理</w:t>
      </w:r>
      <w:bookmarkEnd w:id="77"/>
      <w:bookmarkEnd w:id="78"/>
    </w:p>
    <w:p>
      <w:pPr>
        <w:ind w:firstLine="31680"/>
        <w:rPr>
          <w:rFonts w:eastAsia="仿宋" w:cs="仿宋"/>
        </w:rPr>
      </w:pPr>
      <w:r>
        <w:rPr>
          <w:rFonts w:hint="eastAsia" w:eastAsia="仿宋" w:cs="仿宋"/>
        </w:rPr>
        <w:t>落实水利管理现代化建设，严格依法治水、依法管水，提升水利行业强监管能力建设，充分利用法律手段，加强水行政执法，维护水法规权威，为水安全保障提供强有力支持。</w:t>
      </w:r>
    </w:p>
    <w:p>
      <w:pPr>
        <w:ind w:firstLine="31680"/>
      </w:pPr>
      <w:r>
        <w:rPr>
          <w:rFonts w:hint="eastAsia" w:eastAsia="仿宋" w:cs="仿宋"/>
        </w:rPr>
        <w:t>切实加强依法治水，严格执行国家相关法律法规，做强做实流域和地方</w:t>
      </w:r>
      <w:r>
        <w:rPr>
          <w:rFonts w:hint="eastAsia" w:eastAsia="仿宋" w:cs="仿宋"/>
          <w:lang w:eastAsia="zh-CN"/>
        </w:rPr>
        <w:t>水行政执法监察</w:t>
      </w:r>
      <w:r>
        <w:rPr>
          <w:rFonts w:hint="eastAsia" w:eastAsia="仿宋" w:cs="仿宋"/>
        </w:rPr>
        <w:t>队伍，健全政府主导、水利部门牵头、公安等相关部门参与配合的河湖综合执法联合执法机制。</w:t>
      </w:r>
    </w:p>
    <w:p>
      <w:pPr>
        <w:pStyle w:val="4"/>
        <w:numPr>
          <w:ilvl w:val="0"/>
          <w:numId w:val="0"/>
        </w:numPr>
        <w:spacing w:line="520" w:lineRule="exact"/>
        <w:ind w:firstLine="560" w:firstLineChars="200"/>
        <w:rPr>
          <w:rFonts w:ascii="黑体" w:hAnsi="黑体" w:eastAsia="黑体" w:cs="黑体"/>
          <w:b w:val="0"/>
        </w:rPr>
      </w:pPr>
      <w:bookmarkStart w:id="79" w:name="_Toc3530"/>
      <w:bookmarkStart w:id="80" w:name="_Toc64655638"/>
      <w:r>
        <w:rPr>
          <w:rFonts w:hint="eastAsia" w:ascii="黑体" w:hAnsi="黑体" w:eastAsia="黑体" w:cs="黑体"/>
          <w:b w:val="0"/>
        </w:rPr>
        <w:t>九、提升水安全信息化监管能力</w:t>
      </w:r>
      <w:bookmarkEnd w:id="79"/>
      <w:bookmarkEnd w:id="80"/>
    </w:p>
    <w:p>
      <w:pPr>
        <w:ind w:firstLine="31680"/>
        <w:rPr>
          <w:rFonts w:eastAsia="仿宋" w:cs="仿宋"/>
        </w:rPr>
      </w:pPr>
      <w:r>
        <w:rPr>
          <w:rFonts w:hint="eastAsia" w:eastAsia="仿宋" w:cs="仿宋"/>
        </w:rPr>
        <w:t>建设昌吉州水利“一张网”、“一朵云”、“一张图”、“一中心”。按照“支撑监管，快速提升”的原则，围绕江河湖泊、水资源、水利工程、水土保持等重点监管领域，充分运用新一代信息技术，以已建信息系统为基础进行整合优化完善，快速提升强监管支撑能力。</w:t>
      </w:r>
    </w:p>
    <w:p>
      <w:pPr>
        <w:pStyle w:val="5"/>
        <w:numPr>
          <w:ilvl w:val="0"/>
          <w:numId w:val="0"/>
        </w:numPr>
        <w:spacing w:line="520" w:lineRule="exact"/>
        <w:ind w:firstLine="562" w:firstLineChars="200"/>
        <w:rPr>
          <w:rFonts w:ascii="楷体" w:hAnsi="楷体" w:eastAsia="楷体" w:cs="楷体"/>
          <w:bCs w:val="0"/>
        </w:rPr>
      </w:pPr>
      <w:r>
        <w:rPr>
          <w:rFonts w:hint="eastAsia" w:ascii="楷体" w:hAnsi="楷体" w:eastAsia="楷体" w:cs="楷体"/>
          <w:bCs w:val="0"/>
        </w:rPr>
        <w:t>（一）构建水资源监测监控智能应用</w:t>
      </w:r>
    </w:p>
    <w:p>
      <w:pPr>
        <w:ind w:firstLine="31680"/>
        <w:rPr>
          <w:rFonts w:eastAsia="仿宋" w:cs="仿宋"/>
        </w:rPr>
      </w:pPr>
      <w:r>
        <w:rPr>
          <w:rFonts w:hint="eastAsia" w:eastAsia="仿宋" w:cs="仿宋"/>
        </w:rPr>
        <w:t>完善监测体系，构建水文站网体系，加快实施国家地下水监测工程，实现对地表水、地下水动态有效监测。</w:t>
      </w:r>
    </w:p>
    <w:p>
      <w:pPr>
        <w:pStyle w:val="5"/>
        <w:numPr>
          <w:ilvl w:val="0"/>
          <w:numId w:val="0"/>
        </w:numPr>
        <w:spacing w:line="520" w:lineRule="exact"/>
        <w:ind w:firstLine="562" w:firstLineChars="200"/>
        <w:rPr>
          <w:rFonts w:ascii="楷体" w:hAnsi="楷体" w:eastAsia="楷体" w:cs="楷体"/>
          <w:bCs w:val="0"/>
        </w:rPr>
      </w:pPr>
      <w:r>
        <w:rPr>
          <w:rFonts w:hint="eastAsia" w:ascii="楷体" w:hAnsi="楷体" w:eastAsia="楷体" w:cs="楷体"/>
          <w:bCs w:val="0"/>
        </w:rPr>
        <w:t>（二）构建水生态水环境智能应用</w:t>
      </w:r>
    </w:p>
    <w:p>
      <w:pPr>
        <w:ind w:firstLine="31680"/>
        <w:rPr>
          <w:rFonts w:eastAsia="仿宋" w:cs="仿宋"/>
        </w:rPr>
      </w:pPr>
      <w:r>
        <w:rPr>
          <w:rFonts w:hint="eastAsia" w:eastAsia="仿宋" w:cs="仿宋"/>
        </w:rPr>
        <w:t>围绕河（湖）长制、水域岸线管理、河道采砂监管、水土保持监测监督治理等重点需求，运用高分遥感数据解译分析、图像智能分析、边缘计算等技术，构建水生态水环境智能应用，支撑河流湖泊、水土流失等业务。</w:t>
      </w:r>
    </w:p>
    <w:p>
      <w:pPr>
        <w:ind w:firstLine="31680"/>
        <w:rPr>
          <w:rFonts w:hint="eastAsia" w:eastAsia="仿宋" w:cs="仿宋"/>
        </w:rPr>
      </w:pPr>
      <w:r>
        <w:rPr>
          <w:rFonts w:hint="eastAsia" w:eastAsia="仿宋" w:cs="仿宋"/>
          <w:b/>
          <w:bCs/>
        </w:rPr>
        <w:t>构建河湖保护与动态管控智能应用。</w:t>
      </w:r>
      <w:r>
        <w:rPr>
          <w:rFonts w:hint="eastAsia" w:eastAsia="仿宋" w:cs="仿宋"/>
        </w:rPr>
        <w:t>加快河湖重点控制断面的监测站点建设，建立生态水量、水质等生态环境要素监测信息化平台，相关水利基础设施和重要敏感保护对象全部纳入监管系统。</w:t>
      </w:r>
    </w:p>
    <w:p>
      <w:pPr>
        <w:ind w:firstLine="31680"/>
        <w:rPr>
          <w:rFonts w:eastAsia="仿宋" w:cs="仿宋"/>
        </w:rPr>
      </w:pPr>
      <w:r>
        <w:rPr>
          <w:rFonts w:hint="eastAsia" w:eastAsia="仿宋" w:cs="仿宋"/>
          <w:b/>
          <w:bCs/>
        </w:rPr>
        <w:t>构建水土保持监管智能应用。</w:t>
      </w:r>
      <w:r>
        <w:rPr>
          <w:rFonts w:hint="eastAsia" w:eastAsia="仿宋" w:cs="仿宋"/>
        </w:rPr>
        <w:t>依托全国水土保持监测信息系统，利用遥感、大数据等新技术，构建地面监测站点观测数据与遥感监测扰动图斑数据融合模型，拓展建设项目“天地一体化”监管，建设水土保持信息管理平台，为水土保持监管和决策提供技术支撑。</w:t>
      </w:r>
    </w:p>
    <w:p>
      <w:pPr>
        <w:pStyle w:val="5"/>
        <w:numPr>
          <w:ilvl w:val="0"/>
          <w:numId w:val="0"/>
        </w:numPr>
        <w:spacing w:line="520" w:lineRule="exact"/>
        <w:ind w:firstLine="562" w:firstLineChars="200"/>
        <w:rPr>
          <w:rFonts w:ascii="楷体" w:hAnsi="楷体" w:eastAsia="楷体" w:cs="楷体"/>
          <w:bCs w:val="0"/>
        </w:rPr>
      </w:pPr>
      <w:r>
        <w:rPr>
          <w:rFonts w:hint="eastAsia" w:ascii="楷体" w:hAnsi="楷体" w:eastAsia="楷体" w:cs="楷体"/>
          <w:bCs w:val="0"/>
        </w:rPr>
        <w:t>（三）构建水灾害智能应用</w:t>
      </w:r>
    </w:p>
    <w:p>
      <w:pPr>
        <w:ind w:firstLine="31680"/>
        <w:rPr>
          <w:rFonts w:eastAsia="仿宋" w:cs="仿宋"/>
        </w:rPr>
      </w:pPr>
      <w:r>
        <w:rPr>
          <w:rFonts w:hint="eastAsia" w:eastAsia="仿宋" w:cs="仿宋"/>
        </w:rPr>
        <w:t>围绕水情旱情监测预警、水工程防洪抗旱调度、应急水量调度等重点工作，从防汛抗旱监测预警、工程调度、抢险救灾三个阶段，细化水利部门的职责，落实责任和措施，及早抓紧修复水毁灾损工程、修订完善方案预案、抓好监测预警、抓好工程调度等工作，为安全度汛做足准备。</w:t>
      </w:r>
    </w:p>
    <w:p>
      <w:pPr>
        <w:pStyle w:val="5"/>
        <w:numPr>
          <w:ilvl w:val="0"/>
          <w:numId w:val="0"/>
        </w:numPr>
        <w:spacing w:line="520" w:lineRule="exact"/>
        <w:ind w:firstLine="562" w:firstLineChars="200"/>
        <w:rPr>
          <w:rFonts w:ascii="楷体" w:hAnsi="楷体" w:eastAsia="楷体" w:cs="楷体"/>
          <w:bCs w:val="0"/>
        </w:rPr>
      </w:pPr>
      <w:r>
        <w:rPr>
          <w:rFonts w:hint="eastAsia" w:ascii="楷体" w:hAnsi="楷体" w:eastAsia="楷体" w:cs="楷体"/>
          <w:bCs w:val="0"/>
        </w:rPr>
        <w:t>（四）构建水工程风险识别与管控智能应用</w:t>
      </w:r>
    </w:p>
    <w:p>
      <w:pPr>
        <w:ind w:firstLine="31680"/>
        <w:rPr>
          <w:rFonts w:eastAsia="仿宋" w:cs="仿宋"/>
        </w:rPr>
      </w:pPr>
      <w:r>
        <w:rPr>
          <w:rFonts w:hint="eastAsia" w:eastAsia="仿宋" w:cs="仿宋"/>
        </w:rPr>
        <w:t>围绕工程运行管理、工程运维、项目建设管理、建设市场监管等重点工作，强化运行全过程监管、推进建设全流程管理，构建水工程智能应用，支撑水利工程安全运行、水利工程建设等业务。</w:t>
      </w:r>
    </w:p>
    <w:p>
      <w:pPr>
        <w:ind w:firstLine="31680"/>
        <w:sectPr>
          <w:pgSz w:w="11906" w:h="16838"/>
          <w:pgMar w:top="1440" w:right="1797" w:bottom="1440" w:left="1797" w:header="624" w:footer="992" w:gutter="0"/>
          <w:cols w:space="425" w:num="1"/>
          <w:docGrid w:linePitch="381" w:charSpace="0"/>
        </w:sectPr>
      </w:pPr>
      <w:r>
        <w:rPr>
          <w:rFonts w:hint="eastAsia" w:eastAsia="仿宋" w:cs="仿宋"/>
        </w:rPr>
        <w:t>完善水库、堤防、水闸、灌区、泵站、农村水电站基础信息数据库，逐步掌控水利工程监测监控信息。对水库、堤防、水闸、灌区、泵站的责任制落实、注册登记、安全评价鉴定、隐患排查、除险加固等业务实现数字化管理。</w:t>
      </w:r>
    </w:p>
    <w:p>
      <w:pPr>
        <w:pStyle w:val="3"/>
        <w:numPr>
          <w:ilvl w:val="0"/>
          <w:numId w:val="0"/>
        </w:numPr>
        <w:spacing w:line="520" w:lineRule="exact"/>
        <w:ind w:left="567" w:hanging="567"/>
        <w:jc w:val="center"/>
        <w:rPr>
          <w:rFonts w:ascii="黑体" w:hAnsi="黑体" w:eastAsia="黑体" w:cs="黑体"/>
          <w:b w:val="0"/>
          <w:bCs w:val="0"/>
          <w:sz w:val="32"/>
        </w:rPr>
      </w:pPr>
      <w:bookmarkStart w:id="81" w:name="_Toc64655639"/>
      <w:bookmarkStart w:id="82" w:name="_Toc24381"/>
      <w:r>
        <w:rPr>
          <w:rFonts w:hint="eastAsia" w:ascii="黑体" w:hAnsi="黑体" w:eastAsia="黑体" w:cs="黑体"/>
          <w:b w:val="0"/>
          <w:bCs w:val="0"/>
          <w:sz w:val="32"/>
        </w:rPr>
        <w:t>第六章</w:t>
      </w:r>
      <w:r>
        <w:rPr>
          <w:rFonts w:ascii="黑体" w:hAnsi="黑体" w:eastAsia="黑体" w:cs="黑体"/>
          <w:b w:val="0"/>
          <w:bCs w:val="0"/>
          <w:sz w:val="32"/>
        </w:rPr>
        <w:t xml:space="preserve"> </w:t>
      </w:r>
      <w:r>
        <w:rPr>
          <w:rFonts w:hint="eastAsia" w:ascii="黑体" w:hAnsi="黑体" w:eastAsia="黑体" w:cs="黑体"/>
          <w:b w:val="0"/>
          <w:bCs w:val="0"/>
          <w:sz w:val="32"/>
        </w:rPr>
        <w:t>改革创新，激发水利发展内动力和活力</w:t>
      </w:r>
      <w:bookmarkEnd w:id="81"/>
      <w:bookmarkEnd w:id="82"/>
    </w:p>
    <w:p>
      <w:pPr>
        <w:ind w:firstLine="31680"/>
        <w:rPr>
          <w:rFonts w:eastAsia="仿宋" w:cs="仿宋"/>
        </w:rPr>
      </w:pPr>
      <w:r>
        <w:rPr>
          <w:rFonts w:hint="eastAsia" w:eastAsia="仿宋" w:cs="仿宋"/>
        </w:rPr>
        <w:t>“十四五”期间，推进水利改革创新，提升水利法治化水平。继续推进农业水价综合改革，完善资源水价、阶梯水价和超定额累进加价制度，解决农田水利工程“最后一公里”问题，为保障水安全、粮食安全提供根本性支撑。</w:t>
      </w:r>
    </w:p>
    <w:p>
      <w:pPr>
        <w:pStyle w:val="4"/>
        <w:numPr>
          <w:ilvl w:val="0"/>
          <w:numId w:val="0"/>
        </w:numPr>
        <w:spacing w:line="520" w:lineRule="exact"/>
        <w:ind w:firstLine="560" w:firstLineChars="200"/>
        <w:rPr>
          <w:rFonts w:ascii="黑体" w:hAnsi="黑体" w:eastAsia="黑体" w:cs="黑体"/>
          <w:b w:val="0"/>
        </w:rPr>
      </w:pPr>
      <w:bookmarkStart w:id="83" w:name="_Toc64655640"/>
      <w:bookmarkStart w:id="84" w:name="_Toc10925"/>
      <w:r>
        <w:rPr>
          <w:rFonts w:hint="eastAsia" w:ascii="黑体" w:hAnsi="黑体" w:eastAsia="黑体" w:cs="黑体"/>
          <w:b w:val="0"/>
        </w:rPr>
        <w:t>一、完善法律法规体系，提升水利法治化水平</w:t>
      </w:r>
      <w:bookmarkEnd w:id="83"/>
      <w:bookmarkEnd w:id="84"/>
    </w:p>
    <w:p>
      <w:pPr>
        <w:ind w:firstLine="31680"/>
        <w:rPr>
          <w:rFonts w:eastAsia="仿宋" w:cs="仿宋"/>
        </w:rPr>
      </w:pPr>
      <w:r>
        <w:rPr>
          <w:rFonts w:hint="eastAsia" w:eastAsia="仿宋" w:cs="仿宋"/>
          <w:b/>
        </w:rPr>
        <w:t>加强综合执法。</w:t>
      </w:r>
      <w:r>
        <w:rPr>
          <w:rFonts w:hint="eastAsia" w:eastAsia="仿宋" w:cs="仿宋"/>
        </w:rPr>
        <w:t>全面推行水行政执法“三项制度”，健全完善流域与区域、兵团与地方、水利部门与其他部门联动协作执法机制，推进水行政执法与刑事司法有效衔接，发挥执法在强监管中的支撑作用。</w:t>
      </w:r>
    </w:p>
    <w:p>
      <w:pPr>
        <w:ind w:firstLine="31680"/>
        <w:rPr>
          <w:rFonts w:eastAsia="仿宋" w:cs="仿宋"/>
        </w:rPr>
      </w:pPr>
      <w:r>
        <w:rPr>
          <w:rFonts w:hint="eastAsia" w:eastAsia="仿宋" w:cs="仿宋"/>
          <w:b/>
          <w:bCs/>
        </w:rPr>
        <w:t>健全水法规体系。</w:t>
      </w:r>
      <w:r>
        <w:rPr>
          <w:rFonts w:hint="eastAsia" w:eastAsia="仿宋" w:cs="仿宋"/>
        </w:rPr>
        <w:t>研究起草《昌吉回族自治州水资源保护管理条例》，从调查与规划、节约与保护、超采治理、污染防治、监督管理等方面作出规定。</w:t>
      </w:r>
    </w:p>
    <w:p>
      <w:pPr>
        <w:ind w:firstLine="31680"/>
        <w:rPr>
          <w:rFonts w:eastAsia="仿宋" w:cs="仿宋"/>
          <w:highlight w:val="yellow"/>
        </w:rPr>
      </w:pPr>
      <w:r>
        <w:rPr>
          <w:rFonts w:hint="eastAsia" w:eastAsia="仿宋" w:cs="仿宋"/>
          <w:b/>
          <w:bCs/>
        </w:rPr>
        <w:t>依法做好水矛盾纠纷相关工作。</w:t>
      </w:r>
      <w:r>
        <w:rPr>
          <w:rFonts w:hint="eastAsia" w:eastAsia="仿宋" w:cs="仿宋"/>
        </w:rPr>
        <w:t>坚持预防为主，落实水事矛盾纠纷调处责任，健全和完善属地为主、条块结合的水事纠纷调处机制。研究探索运用裁决、仲裁等方式化解涉水矛盾，确保妥善解决水事矛盾纠纷。</w:t>
      </w:r>
    </w:p>
    <w:p>
      <w:pPr>
        <w:ind w:firstLine="31680"/>
        <w:rPr>
          <w:rFonts w:eastAsia="仿宋" w:cs="仿宋"/>
        </w:rPr>
      </w:pPr>
      <w:r>
        <w:rPr>
          <w:rFonts w:hint="eastAsia" w:eastAsia="仿宋" w:cs="仿宋"/>
          <w:b/>
        </w:rPr>
        <w:t>提升水政监察队伍能力建设。</w:t>
      </w:r>
      <w:r>
        <w:rPr>
          <w:rFonts w:hint="eastAsia" w:eastAsia="仿宋" w:cs="仿宋"/>
        </w:rPr>
        <w:t>高度重视水政监察队伍建设，加强水政监察人员教育培训，努力提升执法人员素质。自觉加强能力建设，提高执法水平，规范执法行为，推进水行政执法能力建设。</w:t>
      </w:r>
    </w:p>
    <w:p>
      <w:pPr>
        <w:pStyle w:val="4"/>
        <w:numPr>
          <w:ilvl w:val="0"/>
          <w:numId w:val="0"/>
        </w:numPr>
        <w:spacing w:line="520" w:lineRule="exact"/>
        <w:ind w:firstLine="560" w:firstLineChars="200"/>
        <w:rPr>
          <w:rFonts w:ascii="黑体" w:hAnsi="黑体" w:eastAsia="黑体" w:cs="黑体"/>
          <w:b w:val="0"/>
        </w:rPr>
      </w:pPr>
      <w:bookmarkStart w:id="85" w:name="_Toc64655641"/>
      <w:bookmarkStart w:id="86" w:name="_Toc9842"/>
      <w:r>
        <w:rPr>
          <w:rFonts w:hint="eastAsia" w:ascii="黑体" w:hAnsi="黑体" w:eastAsia="黑体" w:cs="黑体"/>
          <w:b w:val="0"/>
        </w:rPr>
        <w:t>二、深化价税改革，提高水资源利用效率和效益</w:t>
      </w:r>
      <w:bookmarkEnd w:id="85"/>
      <w:bookmarkEnd w:id="86"/>
    </w:p>
    <w:p>
      <w:pPr>
        <w:ind w:firstLine="31680"/>
        <w:rPr>
          <w:rFonts w:eastAsia="仿宋" w:cs="仿宋"/>
        </w:rPr>
      </w:pPr>
      <w:r>
        <w:rPr>
          <w:rFonts w:hint="eastAsia" w:eastAsia="仿宋" w:cs="仿宋"/>
          <w:b/>
        </w:rPr>
        <w:t>继续推进农业水价综合改革。</w:t>
      </w:r>
      <w:r>
        <w:rPr>
          <w:rFonts w:hint="eastAsia" w:eastAsia="仿宋" w:cs="仿宋"/>
        </w:rPr>
        <w:t>“十四五”期间，强化组织领导，狠抓各项改革任务落实，加大力度推进农业水价综合改革。</w:t>
      </w:r>
    </w:p>
    <w:p>
      <w:pPr>
        <w:ind w:firstLine="31680"/>
        <w:rPr>
          <w:rFonts w:eastAsia="仿宋" w:cs="仿宋"/>
        </w:rPr>
      </w:pPr>
      <w:r>
        <w:rPr>
          <w:rFonts w:hint="eastAsia" w:eastAsia="仿宋" w:cs="仿宋"/>
          <w:b/>
        </w:rPr>
        <w:t>深化水价改革。</w:t>
      </w:r>
      <w:r>
        <w:rPr>
          <w:rFonts w:hint="eastAsia" w:eastAsia="仿宋" w:cs="仿宋"/>
        </w:rPr>
        <w:t>同一供水区域内工程状况、地理环境和水资源条件相近的水利工程，供水价格按区域统一核定。积极推行工农业用水超定额累进加价制度。全面实行城镇居民用水阶梯价格制度、非居民用水超计划定额累进加价制度。</w:t>
      </w:r>
    </w:p>
    <w:p>
      <w:pPr>
        <w:ind w:firstLine="31680"/>
        <w:rPr>
          <w:rFonts w:eastAsia="仿宋" w:cs="仿宋"/>
        </w:rPr>
      </w:pPr>
      <w:r>
        <w:rPr>
          <w:rFonts w:hint="eastAsia" w:eastAsia="仿宋" w:cs="仿宋"/>
          <w:b/>
        </w:rPr>
        <w:t>积极推进水资源税费改革。</w:t>
      </w:r>
      <w:r>
        <w:rPr>
          <w:rFonts w:hint="eastAsia" w:eastAsia="仿宋" w:cs="仿宋"/>
        </w:rPr>
        <w:t>落实水资源税改革政策措施，确保水资源税差别化税</w:t>
      </w:r>
      <w:r>
        <w:rPr>
          <w:rFonts w:eastAsia="仿宋" w:cs="仿宋"/>
        </w:rPr>
        <w:t>(</w:t>
      </w:r>
      <w:r>
        <w:rPr>
          <w:rFonts w:hint="eastAsia" w:eastAsia="仿宋" w:cs="仿宋"/>
        </w:rPr>
        <w:t>费</w:t>
      </w:r>
      <w:r>
        <w:rPr>
          <w:rFonts w:eastAsia="仿宋" w:cs="仿宋"/>
        </w:rPr>
        <w:t>)</w:t>
      </w:r>
      <w:r>
        <w:rPr>
          <w:rFonts w:hint="eastAsia" w:eastAsia="仿宋" w:cs="仿宋"/>
        </w:rPr>
        <w:t>率政策贯彻执行，加强水资源税</w:t>
      </w:r>
      <w:r>
        <w:rPr>
          <w:rFonts w:eastAsia="仿宋" w:cs="仿宋"/>
        </w:rPr>
        <w:t>(</w:t>
      </w:r>
      <w:r>
        <w:rPr>
          <w:rFonts w:hint="eastAsia" w:eastAsia="仿宋" w:cs="仿宋"/>
        </w:rPr>
        <w:t>费</w:t>
      </w:r>
      <w:r>
        <w:rPr>
          <w:rFonts w:eastAsia="仿宋" w:cs="仿宋"/>
        </w:rPr>
        <w:t>)</w:t>
      </w:r>
      <w:r>
        <w:rPr>
          <w:rFonts w:hint="eastAsia" w:eastAsia="仿宋" w:cs="仿宋"/>
        </w:rPr>
        <w:t>征管，促进水资源合理开发与利用。</w:t>
      </w:r>
    </w:p>
    <w:p>
      <w:pPr>
        <w:pStyle w:val="4"/>
        <w:numPr>
          <w:ilvl w:val="0"/>
          <w:numId w:val="0"/>
        </w:numPr>
        <w:spacing w:line="520" w:lineRule="exact"/>
        <w:ind w:firstLine="560" w:firstLineChars="200"/>
        <w:rPr>
          <w:rFonts w:ascii="黑体" w:hAnsi="黑体" w:eastAsia="黑体" w:cs="黑体"/>
          <w:b w:val="0"/>
        </w:rPr>
      </w:pPr>
      <w:bookmarkStart w:id="87" w:name="_Toc145"/>
      <w:bookmarkStart w:id="88" w:name="_Toc64655642"/>
      <w:r>
        <w:rPr>
          <w:rFonts w:hint="eastAsia" w:ascii="黑体" w:hAnsi="黑体" w:eastAsia="黑体" w:cs="黑体"/>
          <w:b w:val="0"/>
        </w:rPr>
        <w:t>三、推动工程产权改革，促进水利工程良性运行</w:t>
      </w:r>
      <w:bookmarkEnd w:id="87"/>
      <w:bookmarkEnd w:id="88"/>
    </w:p>
    <w:p>
      <w:pPr>
        <w:ind w:firstLine="31680"/>
        <w:rPr>
          <w:rFonts w:eastAsia="仿宋" w:cs="仿宋"/>
        </w:rPr>
      </w:pPr>
      <w:r>
        <w:rPr>
          <w:rFonts w:hint="eastAsia" w:eastAsia="仿宋" w:cs="仿宋"/>
        </w:rPr>
        <w:t>全面开展小型水利工程产权改革，通过以奖代补、先建后补等政策措施，调动农民参与农田水利建设的积极性，鼓励村委会、农民用水合作组织和新型农业经济经营主体组织农民进行农田水利建设与管理，完善良性运行机制，实现工程有人用、有人管、有钱管、长受益，解决农田水利工程“最后一公里”问题。</w:t>
      </w:r>
    </w:p>
    <w:p>
      <w:pPr>
        <w:pStyle w:val="4"/>
        <w:numPr>
          <w:ilvl w:val="0"/>
          <w:numId w:val="0"/>
        </w:numPr>
        <w:spacing w:line="520" w:lineRule="exact"/>
        <w:ind w:firstLine="560" w:firstLineChars="200"/>
        <w:rPr>
          <w:rFonts w:ascii="黑体" w:hAnsi="黑体" w:eastAsia="黑体" w:cs="黑体"/>
          <w:b w:val="0"/>
        </w:rPr>
      </w:pPr>
      <w:bookmarkStart w:id="89" w:name="_Toc4830"/>
      <w:bookmarkStart w:id="90" w:name="_Toc64655643"/>
      <w:r>
        <w:rPr>
          <w:rFonts w:hint="eastAsia" w:ascii="黑体" w:hAnsi="黑体" w:eastAsia="黑体" w:cs="黑体"/>
          <w:b w:val="0"/>
        </w:rPr>
        <w:t>四、深化水利投融资机制改革，保障建设资金需求</w:t>
      </w:r>
      <w:bookmarkEnd w:id="89"/>
      <w:bookmarkEnd w:id="90"/>
    </w:p>
    <w:p>
      <w:pPr>
        <w:ind w:firstLine="31680"/>
        <w:rPr>
          <w:rFonts w:eastAsia="仿宋" w:cs="仿宋"/>
        </w:rPr>
      </w:pPr>
      <w:r>
        <w:rPr>
          <w:rFonts w:hint="eastAsia" w:eastAsia="仿宋" w:cs="仿宋"/>
        </w:rPr>
        <w:t>进一步探索重大水利工程投入实施机制，积极争取各级财政加大水利投入，研究建立重大水利工程成本共担、利益共享机制。强化投融资项目综合管理，加强项目库管理和项目推介，健全投融资引入机制。</w:t>
      </w:r>
    </w:p>
    <w:p>
      <w:pPr>
        <w:pStyle w:val="4"/>
        <w:numPr>
          <w:ilvl w:val="0"/>
          <w:numId w:val="0"/>
        </w:numPr>
        <w:spacing w:line="520" w:lineRule="exact"/>
        <w:ind w:firstLine="560" w:firstLineChars="200"/>
        <w:rPr>
          <w:rFonts w:ascii="黑体" w:hAnsi="黑体" w:eastAsia="黑体" w:cs="黑体"/>
          <w:b w:val="0"/>
        </w:rPr>
      </w:pPr>
      <w:bookmarkStart w:id="91" w:name="_Toc64655644"/>
      <w:bookmarkStart w:id="92" w:name="_Toc7983"/>
      <w:r>
        <w:rPr>
          <w:rFonts w:hint="eastAsia" w:ascii="黑体" w:hAnsi="黑体" w:eastAsia="黑体" w:cs="黑体"/>
          <w:b w:val="0"/>
        </w:rPr>
        <w:t>五、加强创新引领，提升水利行业科技支撑能力</w:t>
      </w:r>
      <w:bookmarkEnd w:id="91"/>
      <w:bookmarkEnd w:id="92"/>
    </w:p>
    <w:p>
      <w:pPr>
        <w:ind w:firstLine="31680"/>
        <w:rPr>
          <w:rFonts w:eastAsia="仿宋" w:cs="仿宋"/>
        </w:rPr>
      </w:pPr>
      <w:r>
        <w:rPr>
          <w:rFonts w:hint="eastAsia" w:eastAsia="仿宋" w:cs="仿宋"/>
          <w:b/>
        </w:rPr>
        <w:t>系统思维创新，促进水利能力建设升级转型。</w:t>
      </w:r>
      <w:r>
        <w:rPr>
          <w:rFonts w:hint="eastAsia" w:eastAsia="仿宋" w:cs="仿宋"/>
        </w:rPr>
        <w:t>加强水利重大战略问题研究，针对昌吉州水利未来发展定位及经济社会发展的需求，在水资源开发与保护、保障水安全、水利基础设施网络建设等方面开展前瞻性、系统性的重大战略研究。</w:t>
      </w:r>
    </w:p>
    <w:p>
      <w:pPr>
        <w:ind w:firstLine="31680"/>
        <w:rPr>
          <w:rFonts w:eastAsia="仿宋" w:cs="仿宋"/>
        </w:rPr>
      </w:pPr>
      <w:r>
        <w:rPr>
          <w:rFonts w:hint="eastAsia" w:eastAsia="仿宋" w:cs="仿宋"/>
          <w:b/>
        </w:rPr>
        <w:t>创新驱动智慧水利，全面提升水利能力建设水平。</w:t>
      </w:r>
      <w:r>
        <w:rPr>
          <w:rFonts w:hint="eastAsia" w:eastAsia="仿宋" w:cs="仿宋"/>
        </w:rPr>
        <w:t>建立支撑河湖、水资源、水土保持等重点业务综合监管平台，推进部门间、区域间、兵地间信息资源共享交换，围绕水资源、水灾害、水环境、水生态、水工程、水监督、水行政等水利业务需求，全面监管涉水事务，提高水利行业强监管能力。</w:t>
      </w:r>
    </w:p>
    <w:p>
      <w:pPr>
        <w:ind w:firstLine="31680"/>
        <w:rPr>
          <w:rFonts w:eastAsia="仿宋" w:cs="仿宋"/>
        </w:rPr>
      </w:pPr>
      <w:r>
        <w:rPr>
          <w:rFonts w:hint="eastAsia" w:eastAsia="仿宋" w:cs="仿宋"/>
          <w:b/>
        </w:rPr>
        <w:t>完善人才队伍建设，保障水利能力水平提升。</w:t>
      </w:r>
      <w:r>
        <w:rPr>
          <w:rFonts w:hint="eastAsia" w:eastAsia="仿宋" w:cs="仿宋"/>
        </w:rPr>
        <w:t>加强高端拔尖人才引进，健全配套考核激励制度，优化人才管理和使用模式。积极引进高层次人才到昌吉州挂职锻炼和短期交流，输送基层水利人才到援疆省市交流学习，通过开展现场指导、集中授课等多种形式的培训，强化基层水利人才队伍建设。</w:t>
      </w:r>
    </w:p>
    <w:p>
      <w:pPr>
        <w:ind w:firstLine="31680"/>
      </w:pPr>
    </w:p>
    <w:p>
      <w:pPr>
        <w:ind w:firstLine="31680"/>
        <w:sectPr>
          <w:pgSz w:w="12240" w:h="15840"/>
          <w:pgMar w:top="1440" w:right="1800" w:bottom="1440" w:left="1800" w:header="720" w:footer="720" w:gutter="0"/>
          <w:cols w:space="720" w:num="1"/>
        </w:sectPr>
      </w:pPr>
    </w:p>
    <w:p>
      <w:pPr>
        <w:pStyle w:val="3"/>
        <w:numPr>
          <w:ilvl w:val="0"/>
          <w:numId w:val="0"/>
        </w:numPr>
        <w:spacing w:line="520" w:lineRule="exact"/>
        <w:ind w:left="567" w:hanging="567"/>
        <w:jc w:val="center"/>
        <w:rPr>
          <w:rFonts w:ascii="黑体" w:hAnsi="黑体" w:eastAsia="黑体" w:cs="黑体"/>
          <w:b w:val="0"/>
          <w:bCs w:val="0"/>
        </w:rPr>
      </w:pPr>
      <w:bookmarkStart w:id="93" w:name="_Toc256"/>
      <w:bookmarkStart w:id="94" w:name="_Toc82462234"/>
      <w:r>
        <w:rPr>
          <w:rFonts w:hint="eastAsia" w:ascii="黑体" w:hAnsi="黑体" w:eastAsia="黑体" w:cs="黑体"/>
          <w:b w:val="0"/>
          <w:bCs w:val="0"/>
        </w:rPr>
        <w:t>第七章</w:t>
      </w:r>
      <w:r>
        <w:rPr>
          <w:rFonts w:ascii="黑体" w:hAnsi="黑体" w:eastAsia="黑体" w:cs="黑体"/>
          <w:b w:val="0"/>
          <w:bCs w:val="0"/>
        </w:rPr>
        <w:t xml:space="preserve"> </w:t>
      </w:r>
      <w:r>
        <w:rPr>
          <w:rFonts w:hint="eastAsia" w:ascii="黑体" w:hAnsi="黑体" w:eastAsia="黑体" w:cs="黑体"/>
          <w:b w:val="0"/>
          <w:bCs w:val="0"/>
        </w:rPr>
        <w:t>投资规模</w:t>
      </w:r>
      <w:bookmarkEnd w:id="93"/>
      <w:bookmarkEnd w:id="94"/>
    </w:p>
    <w:p>
      <w:pPr>
        <w:pStyle w:val="4"/>
        <w:numPr>
          <w:ilvl w:val="0"/>
          <w:numId w:val="0"/>
        </w:numPr>
        <w:spacing w:line="520" w:lineRule="exact"/>
        <w:ind w:firstLine="560" w:firstLineChars="200"/>
        <w:rPr>
          <w:rFonts w:ascii="黑体" w:hAnsi="黑体" w:eastAsia="黑体" w:cs="黑体"/>
          <w:b w:val="0"/>
        </w:rPr>
      </w:pPr>
      <w:bookmarkStart w:id="95" w:name="_Toc82462235"/>
      <w:bookmarkStart w:id="96" w:name="_Toc5618"/>
      <w:r>
        <w:rPr>
          <w:rFonts w:hint="eastAsia" w:ascii="黑体" w:hAnsi="黑体" w:eastAsia="黑体" w:cs="黑体"/>
          <w:b w:val="0"/>
        </w:rPr>
        <w:t>一、投资计划安排原则</w:t>
      </w:r>
      <w:bookmarkEnd w:id="95"/>
      <w:bookmarkEnd w:id="96"/>
    </w:p>
    <w:p>
      <w:pPr>
        <w:ind w:firstLine="31680"/>
        <w:rPr>
          <w:rFonts w:eastAsia="仿宋" w:cs="仿宋"/>
        </w:rPr>
      </w:pPr>
      <w:r>
        <w:rPr>
          <w:rFonts w:hint="eastAsia" w:eastAsia="仿宋" w:cs="仿宋"/>
          <w:b/>
          <w:bCs/>
        </w:rPr>
        <w:t>坚持合理安排、量力而行、实事求是的原则。</w:t>
      </w:r>
      <w:r>
        <w:rPr>
          <w:rFonts w:hint="eastAsia" w:eastAsia="仿宋" w:cs="仿宋"/>
        </w:rPr>
        <w:t>突出重点，分清轻重、缓急，合理安排，突出效益，避免求多、脱离实际。</w:t>
      </w:r>
    </w:p>
    <w:p>
      <w:pPr>
        <w:ind w:firstLine="31680"/>
        <w:rPr>
          <w:rFonts w:eastAsia="仿宋" w:cs="仿宋"/>
        </w:rPr>
      </w:pPr>
      <w:r>
        <w:rPr>
          <w:rFonts w:hint="eastAsia" w:eastAsia="仿宋" w:cs="仿宋"/>
          <w:b/>
          <w:bCs/>
        </w:rPr>
        <w:t>坚持工程措施与非工程措施结合的原则。</w:t>
      </w:r>
      <w:r>
        <w:rPr>
          <w:rFonts w:hint="eastAsia" w:eastAsia="仿宋" w:cs="仿宋"/>
        </w:rPr>
        <w:t>水利建设过程中，工程措施是硬件，非工程措施是软件，两者应有机地结合起来。</w:t>
      </w:r>
    </w:p>
    <w:p>
      <w:pPr>
        <w:ind w:firstLine="31680"/>
        <w:rPr>
          <w:rFonts w:eastAsia="仿宋" w:cs="仿宋"/>
        </w:rPr>
      </w:pPr>
      <w:r>
        <w:rPr>
          <w:rFonts w:hint="eastAsia" w:eastAsia="仿宋" w:cs="仿宋"/>
          <w:b/>
          <w:bCs/>
        </w:rPr>
        <w:t>总体规划，分步实施的原则。</w:t>
      </w:r>
      <w:r>
        <w:rPr>
          <w:rFonts w:hint="eastAsia" w:eastAsia="仿宋" w:cs="仿宋"/>
        </w:rPr>
        <w:t>按照轻重缓急原则，根据项目汇总排序，优先实施条件成熟的一类项目。</w:t>
      </w:r>
    </w:p>
    <w:p>
      <w:pPr>
        <w:pStyle w:val="4"/>
        <w:numPr>
          <w:ilvl w:val="0"/>
          <w:numId w:val="0"/>
        </w:numPr>
        <w:spacing w:line="520" w:lineRule="exact"/>
        <w:ind w:firstLine="560" w:firstLineChars="200"/>
        <w:rPr>
          <w:rFonts w:ascii="黑体" w:hAnsi="黑体" w:eastAsia="黑体" w:cs="黑体"/>
          <w:b w:val="0"/>
        </w:rPr>
      </w:pPr>
      <w:bookmarkStart w:id="97" w:name="_Toc31709"/>
      <w:bookmarkStart w:id="98" w:name="_Toc82462236"/>
      <w:r>
        <w:rPr>
          <w:rFonts w:hint="eastAsia" w:ascii="黑体" w:hAnsi="黑体" w:eastAsia="黑体" w:cs="黑体"/>
          <w:b w:val="0"/>
        </w:rPr>
        <w:t>二、投资规模</w:t>
      </w:r>
      <w:bookmarkEnd w:id="97"/>
      <w:bookmarkEnd w:id="98"/>
    </w:p>
    <w:p>
      <w:pPr>
        <w:ind w:firstLine="31680"/>
        <w:rPr>
          <w:rFonts w:eastAsia="仿宋" w:cs="仿宋"/>
        </w:rPr>
      </w:pPr>
      <w:r>
        <w:rPr>
          <w:rFonts w:hint="eastAsia" w:eastAsia="仿宋" w:cs="仿宋"/>
        </w:rPr>
        <w:t>昌吉州“十四五”水利发展规划，规划建设项目</w:t>
      </w:r>
      <w:r>
        <w:rPr>
          <w:rFonts w:eastAsia="仿宋" w:cs="仿宋"/>
        </w:rPr>
        <w:t>153</w:t>
      </w:r>
      <w:r>
        <w:rPr>
          <w:rFonts w:hint="eastAsia" w:eastAsia="仿宋" w:cs="仿宋"/>
        </w:rPr>
        <w:t>项，估算总投资</w:t>
      </w:r>
      <w:r>
        <w:rPr>
          <w:rFonts w:eastAsia="仿宋" w:cs="仿宋"/>
        </w:rPr>
        <w:t>356.55</w:t>
      </w:r>
      <w:r>
        <w:rPr>
          <w:rFonts w:hint="eastAsia" w:eastAsia="仿宋" w:cs="仿宋"/>
        </w:rPr>
        <w:t>亿元，其中一类项目</w:t>
      </w:r>
      <w:r>
        <w:rPr>
          <w:rFonts w:eastAsia="仿宋" w:cs="仿宋"/>
        </w:rPr>
        <w:t>108</w:t>
      </w:r>
      <w:r>
        <w:rPr>
          <w:rFonts w:hint="eastAsia" w:eastAsia="仿宋" w:cs="仿宋"/>
        </w:rPr>
        <w:t>项，估算投资</w:t>
      </w:r>
      <w:r>
        <w:rPr>
          <w:rFonts w:eastAsia="仿宋" w:cs="仿宋"/>
        </w:rPr>
        <w:t>324.95</w:t>
      </w:r>
      <w:r>
        <w:rPr>
          <w:rFonts w:hint="eastAsia" w:eastAsia="仿宋" w:cs="仿宋"/>
        </w:rPr>
        <w:t>亿元；二类项目</w:t>
      </w:r>
      <w:r>
        <w:rPr>
          <w:rFonts w:eastAsia="仿宋" w:cs="仿宋"/>
        </w:rPr>
        <w:t>45</w:t>
      </w:r>
      <w:r>
        <w:rPr>
          <w:rFonts w:hint="eastAsia" w:eastAsia="仿宋" w:cs="仿宋"/>
        </w:rPr>
        <w:t>项，估算投资</w:t>
      </w:r>
      <w:r>
        <w:rPr>
          <w:rFonts w:eastAsia="仿宋" w:cs="仿宋"/>
        </w:rPr>
        <w:t>31.6</w:t>
      </w:r>
      <w:r>
        <w:rPr>
          <w:rFonts w:hint="eastAsia" w:eastAsia="仿宋" w:cs="仿宋"/>
        </w:rPr>
        <w:t>亿元。</w:t>
      </w:r>
    </w:p>
    <w:p>
      <w:pPr>
        <w:pStyle w:val="90"/>
        <w:ind w:firstLine="480"/>
        <w:rPr>
          <w:rFonts w:ascii="仿宋" w:hAnsi="仿宋" w:eastAsia="仿宋" w:cs="仿宋"/>
          <w:lang w:val="en-US"/>
        </w:rPr>
      </w:pPr>
    </w:p>
    <w:p>
      <w:pPr>
        <w:pStyle w:val="90"/>
        <w:ind w:firstLine="480"/>
        <w:rPr>
          <w:rFonts w:ascii="仿宋" w:hAnsi="仿宋" w:eastAsia="仿宋" w:cs="仿宋"/>
        </w:rPr>
      </w:pPr>
    </w:p>
    <w:p>
      <w:pPr>
        <w:pStyle w:val="90"/>
        <w:ind w:firstLine="480"/>
        <w:rPr>
          <w:rFonts w:ascii="仿宋" w:hAnsi="仿宋" w:eastAsia="仿宋" w:cs="仿宋"/>
        </w:rPr>
      </w:pPr>
    </w:p>
    <w:p>
      <w:pPr>
        <w:pStyle w:val="90"/>
        <w:ind w:firstLine="480"/>
        <w:rPr>
          <w:rFonts w:ascii="仿宋" w:hAnsi="仿宋" w:eastAsia="仿宋" w:cs="仿宋"/>
        </w:rPr>
      </w:pPr>
    </w:p>
    <w:p>
      <w:pPr>
        <w:pStyle w:val="90"/>
        <w:ind w:firstLine="480"/>
        <w:rPr>
          <w:rFonts w:ascii="仿宋" w:hAnsi="仿宋" w:eastAsia="仿宋" w:cs="仿宋"/>
        </w:rPr>
      </w:pPr>
    </w:p>
    <w:p>
      <w:pPr>
        <w:pStyle w:val="90"/>
        <w:ind w:firstLine="480"/>
        <w:rPr>
          <w:rFonts w:ascii="仿宋" w:hAnsi="仿宋" w:eastAsia="仿宋" w:cs="仿宋"/>
        </w:rPr>
      </w:pPr>
    </w:p>
    <w:p>
      <w:pPr>
        <w:ind w:firstLine="31680"/>
        <w:rPr>
          <w:lang w:val="zh-CN"/>
        </w:rPr>
      </w:pPr>
    </w:p>
    <w:p>
      <w:pPr>
        <w:ind w:firstLine="31680"/>
        <w:rPr>
          <w:rFonts w:eastAsia="仿宋" w:cs="仿宋"/>
        </w:rPr>
        <w:sectPr>
          <w:pgSz w:w="12240" w:h="15840"/>
          <w:pgMar w:top="1440" w:right="1800" w:bottom="1440" w:left="1800" w:header="720" w:footer="720" w:gutter="0"/>
          <w:cols w:space="720" w:num="1"/>
        </w:sectPr>
      </w:pPr>
    </w:p>
    <w:p>
      <w:pPr>
        <w:pStyle w:val="3"/>
        <w:numPr>
          <w:ilvl w:val="0"/>
          <w:numId w:val="0"/>
        </w:numPr>
        <w:spacing w:line="520" w:lineRule="exact"/>
        <w:ind w:left="567" w:hanging="567"/>
        <w:jc w:val="center"/>
        <w:rPr>
          <w:rFonts w:ascii="黑体" w:hAnsi="黑体" w:eastAsia="黑体" w:cs="黑体"/>
          <w:b w:val="0"/>
          <w:bCs w:val="0"/>
          <w:sz w:val="32"/>
        </w:rPr>
      </w:pPr>
      <w:bookmarkStart w:id="99" w:name="_Toc64655648"/>
      <w:bookmarkStart w:id="100" w:name="_Toc8195"/>
      <w:r>
        <w:rPr>
          <w:rFonts w:hint="eastAsia" w:ascii="黑体" w:hAnsi="黑体" w:eastAsia="黑体" w:cs="黑体"/>
          <w:b w:val="0"/>
          <w:bCs w:val="0"/>
          <w:sz w:val="32"/>
        </w:rPr>
        <w:t>第八章</w:t>
      </w:r>
      <w:r>
        <w:rPr>
          <w:rFonts w:ascii="黑体" w:hAnsi="黑体" w:eastAsia="黑体" w:cs="黑体"/>
          <w:b w:val="0"/>
          <w:bCs w:val="0"/>
          <w:sz w:val="32"/>
        </w:rPr>
        <w:t xml:space="preserve"> </w:t>
      </w:r>
      <w:r>
        <w:rPr>
          <w:rFonts w:hint="eastAsia" w:ascii="黑体" w:hAnsi="黑体" w:eastAsia="黑体" w:cs="黑体"/>
          <w:b w:val="0"/>
          <w:bCs w:val="0"/>
          <w:sz w:val="32"/>
        </w:rPr>
        <w:t>保障措施</w:t>
      </w:r>
      <w:bookmarkEnd w:id="99"/>
      <w:bookmarkEnd w:id="100"/>
    </w:p>
    <w:p>
      <w:pPr>
        <w:pStyle w:val="4"/>
        <w:numPr>
          <w:ilvl w:val="0"/>
          <w:numId w:val="0"/>
        </w:numPr>
        <w:spacing w:line="520" w:lineRule="exact"/>
        <w:ind w:firstLine="560" w:firstLineChars="200"/>
        <w:rPr>
          <w:rFonts w:ascii="黑体" w:hAnsi="黑体" w:eastAsia="黑体" w:cs="黑体"/>
          <w:b w:val="0"/>
        </w:rPr>
      </w:pPr>
      <w:bookmarkStart w:id="101" w:name="_Toc64655649"/>
      <w:bookmarkStart w:id="102" w:name="_Toc9551"/>
      <w:r>
        <w:rPr>
          <w:rFonts w:hint="eastAsia" w:ascii="黑体" w:hAnsi="黑体" w:eastAsia="黑体" w:cs="黑体"/>
          <w:b w:val="0"/>
        </w:rPr>
        <w:t>一、加强组织领导</w:t>
      </w:r>
      <w:bookmarkEnd w:id="101"/>
      <w:bookmarkEnd w:id="102"/>
    </w:p>
    <w:p>
      <w:pPr>
        <w:ind w:firstLine="31680"/>
        <w:rPr>
          <w:rFonts w:eastAsia="仿宋" w:cs="仿宋"/>
        </w:rPr>
      </w:pPr>
      <w:r>
        <w:rPr>
          <w:rFonts w:hint="eastAsia" w:eastAsia="仿宋" w:cs="仿宋"/>
        </w:rPr>
        <w:t>在昌吉州党委、人民政府的统一领导下，统筹推进水安全保障各项工作，水行政主管部门会同有关部门加强规划实施的技术指导，密切协作配合，形成工作合力。各县（市）水行政主管部门应认真履行职责，切实发挥主导作用，推动落实好本规划的各项任务。</w:t>
      </w:r>
    </w:p>
    <w:p>
      <w:pPr>
        <w:pStyle w:val="4"/>
        <w:numPr>
          <w:ilvl w:val="0"/>
          <w:numId w:val="0"/>
        </w:numPr>
        <w:spacing w:line="520" w:lineRule="exact"/>
        <w:ind w:firstLine="560" w:firstLineChars="200"/>
        <w:rPr>
          <w:rFonts w:ascii="黑体" w:hAnsi="黑体" w:eastAsia="黑体" w:cs="黑体"/>
          <w:b w:val="0"/>
        </w:rPr>
      </w:pPr>
      <w:bookmarkStart w:id="103" w:name="_Toc64655650"/>
      <w:bookmarkStart w:id="104" w:name="_Toc9699"/>
      <w:r>
        <w:rPr>
          <w:rFonts w:hint="eastAsia" w:ascii="黑体" w:hAnsi="黑体" w:eastAsia="黑体" w:cs="黑体"/>
          <w:b w:val="0"/>
        </w:rPr>
        <w:t>二、深化前期工作</w:t>
      </w:r>
      <w:bookmarkEnd w:id="103"/>
      <w:bookmarkEnd w:id="104"/>
    </w:p>
    <w:p>
      <w:pPr>
        <w:ind w:firstLine="31680"/>
        <w:rPr>
          <w:rFonts w:eastAsia="仿宋" w:cs="仿宋"/>
        </w:rPr>
      </w:pPr>
      <w:r>
        <w:rPr>
          <w:rFonts w:hint="eastAsia" w:eastAsia="仿宋" w:cs="仿宋"/>
        </w:rPr>
        <w:t>做好昌吉州重要流域综合规划编制及修编工作，结合昌吉州资源性缺水问题，持续推进区域水资源配置及外调水专题研究，完善防洪、节水、农村饮水等一系列水利专项规划。加快各类水利工程前期工作，加强项目论证，妥善解决好工作建设中的生态环境保护、移民征地、区域水量分配等问题，科学确定建设方案，做好项目储备，为水利工程立项建设奠定基础。</w:t>
      </w:r>
    </w:p>
    <w:p>
      <w:pPr>
        <w:pStyle w:val="4"/>
        <w:numPr>
          <w:ilvl w:val="0"/>
          <w:numId w:val="0"/>
        </w:numPr>
        <w:spacing w:line="520" w:lineRule="exact"/>
        <w:ind w:firstLine="560" w:firstLineChars="200"/>
        <w:rPr>
          <w:rFonts w:ascii="黑体" w:hAnsi="黑体" w:eastAsia="黑体" w:cs="黑体"/>
          <w:b w:val="0"/>
        </w:rPr>
      </w:pPr>
      <w:bookmarkStart w:id="105" w:name="_Toc64655651"/>
      <w:bookmarkStart w:id="106" w:name="_Toc432"/>
      <w:r>
        <w:rPr>
          <w:rFonts w:hint="eastAsia" w:ascii="黑体" w:hAnsi="黑体" w:eastAsia="黑体" w:cs="黑体"/>
          <w:b w:val="0"/>
        </w:rPr>
        <w:t>三、加大投入力度</w:t>
      </w:r>
      <w:bookmarkEnd w:id="105"/>
      <w:bookmarkEnd w:id="106"/>
    </w:p>
    <w:p>
      <w:pPr>
        <w:ind w:firstLine="31680"/>
        <w:rPr>
          <w:rFonts w:eastAsia="仿宋" w:cs="仿宋"/>
        </w:rPr>
      </w:pPr>
      <w:r>
        <w:rPr>
          <w:rFonts w:hint="eastAsia" w:eastAsia="仿宋" w:cs="仿宋"/>
        </w:rPr>
        <w:t>建立政府主导、金融支持、市场推动、多元投入的机制，及时了解中央资金投向，做好前期工作，用足用好国家对新疆支持政策，积极争取中央资金倾斜支持。在争取中央资金、援疆资金的基础上，吸引社会资本，扩大融资渠道。充分发挥银行等金融机构作用，用好开发性金融优惠政策。</w:t>
      </w:r>
    </w:p>
    <w:p>
      <w:pPr>
        <w:pStyle w:val="4"/>
        <w:numPr>
          <w:ilvl w:val="0"/>
          <w:numId w:val="0"/>
        </w:numPr>
        <w:spacing w:line="520" w:lineRule="exact"/>
        <w:ind w:firstLine="560" w:firstLineChars="200"/>
        <w:rPr>
          <w:rFonts w:ascii="黑体" w:hAnsi="黑体" w:eastAsia="黑体" w:cs="黑体"/>
          <w:b w:val="0"/>
        </w:rPr>
      </w:pPr>
      <w:bookmarkStart w:id="107" w:name="_Toc26842"/>
      <w:bookmarkStart w:id="108" w:name="_Toc64655652"/>
      <w:r>
        <w:rPr>
          <w:rFonts w:hint="eastAsia" w:ascii="黑体" w:hAnsi="黑体" w:eastAsia="黑体" w:cs="黑体"/>
          <w:b w:val="0"/>
        </w:rPr>
        <w:t>四、逐级分解落实</w:t>
      </w:r>
      <w:bookmarkEnd w:id="107"/>
      <w:bookmarkEnd w:id="108"/>
    </w:p>
    <w:p>
      <w:pPr>
        <w:ind w:firstLine="31680"/>
        <w:rPr>
          <w:rFonts w:eastAsia="仿宋" w:cs="仿宋"/>
        </w:rPr>
      </w:pPr>
      <w:r>
        <w:rPr>
          <w:rFonts w:hint="eastAsia" w:eastAsia="仿宋" w:cs="仿宋"/>
        </w:rPr>
        <w:t>建立规划衔接协调机制，分解细化水利发展的目标任务，明确责任分工，细化工作方案，将规划目标任务纳入年度计划指标体系。建立目标责任制，逐级落实目标责任。各级水行政主管部门要切实增强使命感、责任感，认真履行职责，高标准、严要求，切实抓好水利发展的各项任务。</w:t>
      </w:r>
    </w:p>
    <w:p>
      <w:pPr>
        <w:pStyle w:val="4"/>
        <w:numPr>
          <w:ilvl w:val="0"/>
          <w:numId w:val="0"/>
        </w:numPr>
        <w:spacing w:line="520" w:lineRule="exact"/>
        <w:ind w:firstLine="560" w:firstLineChars="200"/>
        <w:rPr>
          <w:rFonts w:ascii="黑体" w:hAnsi="黑体" w:eastAsia="黑体" w:cs="黑体"/>
          <w:b w:val="0"/>
          <w:lang w:val="en-US"/>
        </w:rPr>
      </w:pPr>
      <w:bookmarkStart w:id="109" w:name="_Toc64655653"/>
      <w:bookmarkStart w:id="110" w:name="_Toc18975"/>
      <w:r>
        <w:rPr>
          <w:rFonts w:hint="eastAsia" w:ascii="黑体" w:hAnsi="黑体" w:eastAsia="黑体" w:cs="黑体"/>
          <w:b w:val="0"/>
        </w:rPr>
        <w:t>五、</w:t>
      </w:r>
      <w:bookmarkEnd w:id="109"/>
      <w:r>
        <w:rPr>
          <w:rFonts w:hint="eastAsia" w:ascii="黑体" w:hAnsi="黑体" w:eastAsia="黑体" w:cs="黑体"/>
          <w:b w:val="0"/>
          <w:lang w:val="en-US"/>
        </w:rPr>
        <w:t>社会参与</w:t>
      </w:r>
      <w:bookmarkEnd w:id="110"/>
    </w:p>
    <w:p>
      <w:pPr>
        <w:ind w:firstLine="31680"/>
        <w:rPr>
          <w:rFonts w:eastAsia="仿宋" w:cs="仿宋"/>
        </w:rPr>
      </w:pPr>
      <w:bookmarkStart w:id="111" w:name="_Toc109455261"/>
      <w:bookmarkStart w:id="112" w:name="_Toc263894051"/>
      <w:bookmarkStart w:id="113" w:name="_Toc110313816"/>
      <w:bookmarkStart w:id="114" w:name="_Toc110313669"/>
      <w:bookmarkStart w:id="115" w:name="_Toc266207814"/>
      <w:bookmarkStart w:id="116" w:name="_Toc112233611"/>
      <w:bookmarkStart w:id="117" w:name="_Toc292294183"/>
      <w:bookmarkStart w:id="118" w:name="_Toc38107530"/>
      <w:bookmarkStart w:id="119" w:name="_Toc109455426"/>
      <w:bookmarkStart w:id="120" w:name="_Toc112233481"/>
      <w:bookmarkStart w:id="121" w:name="_Toc454785563"/>
      <w:bookmarkStart w:id="122" w:name="_Toc112233165"/>
      <w:bookmarkStart w:id="123" w:name="_Toc264019101"/>
      <w:bookmarkStart w:id="124" w:name="_Toc265579913"/>
      <w:r>
        <w:rPr>
          <w:rFonts w:hint="eastAsia" w:eastAsia="仿宋" w:cs="仿宋"/>
        </w:rPr>
        <w:t>加强国家、新疆已颁布的水安全相关法律法规宣传，提高各族群众法治观念，开展新形势下水情与水安全宣传教育</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Pr>
          <w:rFonts w:hint="eastAsia" w:eastAsia="仿宋" w:cs="仿宋"/>
        </w:rPr>
        <w:t>，让全社会了解水利改革面临的繁重建设任务，了解水资源、水环境和水生态与昌吉州实现高质量发展的约束关系，增强各族群众的水患意识、节水意识、爱水意识和护水意识。积极完善公众参与机制，多渠道多形式广泛听取公众对水安全保障工作意见，形成政府主导、全社会协同治水兴水的良好局面。</w:t>
      </w:r>
    </w:p>
    <w:sectPr>
      <w:pgSz w:w="11906" w:h="16838"/>
      <w:pgMar w:top="1440" w:right="1797" w:bottom="1440" w:left="1797" w:header="624" w:footer="992" w:gutter="0"/>
      <w:cols w:space="425"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Book Antiqua">
    <w:altName w:val="Segoe Print"/>
    <w:panose1 w:val="00000000000000000000"/>
    <w:charset w:val="00"/>
    <w:family w:val="roman"/>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 w:name="Microsoft YaHei UI">
    <w:altName w:val="宋体"/>
    <w:panose1 w:val="00000000000000000000"/>
    <w:charset w:val="86"/>
    <w:family w:val="swiss"/>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16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16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1680"/>
      <w:jc w:val="center"/>
    </w:pPr>
    <w:r>
      <w:fldChar w:fldCharType="begin"/>
    </w:r>
    <w:r>
      <w:instrText xml:space="preserve">PAGE   \* MERGEFORMAT</w:instrText>
    </w:r>
    <w:r>
      <w:fldChar w:fldCharType="separate"/>
    </w:r>
    <w:r>
      <w:t>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SmallGap" w:color="auto" w:sz="18" w:space="1"/>
      </w:pBdr>
      <w:spacing w:line="400" w:lineRule="exact"/>
      <w:ind w:firstLine="0" w:firstLineChars="0"/>
      <w:jc w:val="center"/>
      <w:rPr>
        <w:rFonts w:ascii="华文行楷" w:eastAsia="华文行楷"/>
        <w:spacing w:val="-10"/>
        <w:sz w:val="21"/>
        <w:szCs w:val="21"/>
      </w:rPr>
    </w:pPr>
    <w:r>
      <w:rPr>
        <w:rFonts w:hint="eastAsia" w:ascii="华文行楷" w:eastAsia="华文行楷"/>
        <w:spacing w:val="-10"/>
        <w:sz w:val="21"/>
        <w:szCs w:val="21"/>
      </w:rPr>
      <w:t>昌吉回族自治州“十四五”水利发展（水安全保障）规划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D7FBA"/>
    <w:multiLevelType w:val="multilevel"/>
    <w:tmpl w:val="17FD7FBA"/>
    <w:lvl w:ilvl="0" w:tentative="0">
      <w:start w:val="1"/>
      <w:numFmt w:val="decimal"/>
      <w:pStyle w:val="178"/>
      <w:lvlText w:val="(%1)"/>
      <w:lvlJc w:val="left"/>
      <w:pPr>
        <w:tabs>
          <w:tab w:val="left" w:pos="1280"/>
        </w:tabs>
        <w:ind w:left="560"/>
      </w:pPr>
      <w:rPr>
        <w:rFonts w:hint="eastAsia" w:cs="Times New Roman"/>
      </w:rPr>
    </w:lvl>
    <w:lvl w:ilvl="1" w:tentative="0">
      <w:start w:val="1"/>
      <w:numFmt w:val="lowerLetter"/>
      <w:lvlText w:val="%2)"/>
      <w:lvlJc w:val="left"/>
      <w:pPr>
        <w:tabs>
          <w:tab w:val="left" w:pos="1400"/>
        </w:tabs>
        <w:ind w:left="1400" w:hanging="420"/>
      </w:pPr>
      <w:rPr>
        <w:rFonts w:cs="Times New Roman"/>
      </w:rPr>
    </w:lvl>
    <w:lvl w:ilvl="2" w:tentative="0">
      <w:start w:val="1"/>
      <w:numFmt w:val="lowerRoman"/>
      <w:lvlText w:val="%3."/>
      <w:lvlJc w:val="right"/>
      <w:pPr>
        <w:tabs>
          <w:tab w:val="left" w:pos="1820"/>
        </w:tabs>
        <w:ind w:left="1820" w:hanging="420"/>
      </w:pPr>
      <w:rPr>
        <w:rFonts w:cs="Times New Roman"/>
      </w:rPr>
    </w:lvl>
    <w:lvl w:ilvl="3" w:tentative="0">
      <w:start w:val="1"/>
      <w:numFmt w:val="decimal"/>
      <w:lvlText w:val="%4."/>
      <w:lvlJc w:val="left"/>
      <w:pPr>
        <w:tabs>
          <w:tab w:val="left" w:pos="2240"/>
        </w:tabs>
        <w:ind w:left="2240" w:hanging="420"/>
      </w:pPr>
      <w:rPr>
        <w:rFonts w:cs="Times New Roman"/>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abstractNum w:abstractNumId="1">
    <w:nsid w:val="489C3C69"/>
    <w:multiLevelType w:val="multilevel"/>
    <w:tmpl w:val="489C3C69"/>
    <w:lvl w:ilvl="0" w:tentative="0">
      <w:start w:val="1"/>
      <w:numFmt w:val="lowerLetter"/>
      <w:lvlText w:val="%1."/>
      <w:lvlJc w:val="left"/>
      <w:pPr>
        <w:tabs>
          <w:tab w:val="left" w:pos="1040"/>
        </w:tabs>
        <w:ind w:left="1040" w:hanging="360"/>
      </w:pPr>
      <w:rPr>
        <w:rFonts w:hint="eastAsia" w:cs="Times New Roman"/>
      </w:rPr>
    </w:lvl>
    <w:lvl w:ilvl="1" w:tentative="0">
      <w:start w:val="1"/>
      <w:numFmt w:val="lowerLetter"/>
      <w:pStyle w:val="160"/>
      <w:lvlText w:val="(%2)"/>
      <w:lvlJc w:val="left"/>
      <w:pPr>
        <w:tabs>
          <w:tab w:val="left" w:pos="1460"/>
        </w:tabs>
        <w:ind w:left="1460" w:hanging="360"/>
      </w:pPr>
      <w:rPr>
        <w:rFonts w:hint="eastAsia" w:cs="Times New Roman"/>
      </w:rPr>
    </w:lvl>
    <w:lvl w:ilvl="2" w:tentative="0">
      <w:start w:val="1"/>
      <w:numFmt w:val="lowerRoman"/>
      <w:lvlText w:val="%3."/>
      <w:lvlJc w:val="right"/>
      <w:pPr>
        <w:tabs>
          <w:tab w:val="left" w:pos="1940"/>
        </w:tabs>
        <w:ind w:left="1940" w:hanging="420"/>
      </w:pPr>
      <w:rPr>
        <w:rFonts w:cs="Times New Roman"/>
      </w:rPr>
    </w:lvl>
    <w:lvl w:ilvl="3" w:tentative="0">
      <w:start w:val="1"/>
      <w:numFmt w:val="decimal"/>
      <w:lvlText w:val="%4."/>
      <w:lvlJc w:val="left"/>
      <w:pPr>
        <w:tabs>
          <w:tab w:val="left" w:pos="2360"/>
        </w:tabs>
        <w:ind w:left="2360" w:hanging="420"/>
      </w:pPr>
      <w:rPr>
        <w:rFonts w:cs="Times New Roman"/>
      </w:rPr>
    </w:lvl>
    <w:lvl w:ilvl="4" w:tentative="0">
      <w:start w:val="1"/>
      <w:numFmt w:val="lowerLetter"/>
      <w:lvlText w:val="%5)"/>
      <w:lvlJc w:val="left"/>
      <w:pPr>
        <w:tabs>
          <w:tab w:val="left" w:pos="2780"/>
        </w:tabs>
        <w:ind w:left="2780" w:hanging="420"/>
      </w:pPr>
      <w:rPr>
        <w:rFonts w:cs="Times New Roman"/>
      </w:rPr>
    </w:lvl>
    <w:lvl w:ilvl="5" w:tentative="0">
      <w:start w:val="1"/>
      <w:numFmt w:val="lowerRoman"/>
      <w:lvlText w:val="%6."/>
      <w:lvlJc w:val="right"/>
      <w:pPr>
        <w:tabs>
          <w:tab w:val="left" w:pos="3200"/>
        </w:tabs>
        <w:ind w:left="3200" w:hanging="420"/>
      </w:pPr>
      <w:rPr>
        <w:rFonts w:cs="Times New Roman"/>
      </w:rPr>
    </w:lvl>
    <w:lvl w:ilvl="6" w:tentative="0">
      <w:start w:val="1"/>
      <w:numFmt w:val="decimal"/>
      <w:lvlText w:val="%7."/>
      <w:lvlJc w:val="left"/>
      <w:pPr>
        <w:tabs>
          <w:tab w:val="left" w:pos="3620"/>
        </w:tabs>
        <w:ind w:left="3620" w:hanging="420"/>
      </w:pPr>
      <w:rPr>
        <w:rFonts w:cs="Times New Roman"/>
      </w:rPr>
    </w:lvl>
    <w:lvl w:ilvl="7" w:tentative="0">
      <w:start w:val="1"/>
      <w:numFmt w:val="lowerLetter"/>
      <w:lvlText w:val="%8)"/>
      <w:lvlJc w:val="left"/>
      <w:pPr>
        <w:tabs>
          <w:tab w:val="left" w:pos="4040"/>
        </w:tabs>
        <w:ind w:left="4040" w:hanging="420"/>
      </w:pPr>
      <w:rPr>
        <w:rFonts w:cs="Times New Roman"/>
      </w:rPr>
    </w:lvl>
    <w:lvl w:ilvl="8" w:tentative="0">
      <w:start w:val="1"/>
      <w:numFmt w:val="lowerRoman"/>
      <w:lvlText w:val="%9."/>
      <w:lvlJc w:val="right"/>
      <w:pPr>
        <w:tabs>
          <w:tab w:val="left" w:pos="4460"/>
        </w:tabs>
        <w:ind w:left="4460" w:hanging="420"/>
      </w:pPr>
      <w:rPr>
        <w:rFonts w:cs="Times New Roman"/>
      </w:rPr>
    </w:lvl>
  </w:abstractNum>
  <w:abstractNum w:abstractNumId="2">
    <w:nsid w:val="7FBF11D9"/>
    <w:multiLevelType w:val="multilevel"/>
    <w:tmpl w:val="7FBF11D9"/>
    <w:lvl w:ilvl="0" w:tentative="0">
      <w:start w:val="1"/>
      <w:numFmt w:val="decimal"/>
      <w:pStyle w:val="3"/>
      <w:isLgl/>
      <w:suff w:val="space"/>
      <w:lvlText w:val="第%1章"/>
      <w:lvlJc w:val="left"/>
      <w:pPr>
        <w:ind w:left="567" w:hanging="567"/>
      </w:pPr>
      <w:rPr>
        <w:rFonts w:hint="default" w:ascii="Times New Roman" w:hAnsi="Times New Roman" w:eastAsia="黑体" w:cs="Times New Roman"/>
        <w:b/>
        <w:i w:val="0"/>
        <w:vanish w:val="0"/>
        <w:sz w:val="32"/>
        <w:szCs w:val="32"/>
      </w:rPr>
    </w:lvl>
    <w:lvl w:ilvl="1" w:tentative="0">
      <w:start w:val="1"/>
      <w:numFmt w:val="decimal"/>
      <w:pStyle w:val="4"/>
      <w:isLgl/>
      <w:lvlText w:val="%1.%2"/>
      <w:lvlJc w:val="left"/>
      <w:pPr>
        <w:tabs>
          <w:tab w:val="left" w:pos="567"/>
        </w:tabs>
        <w:ind w:left="567" w:hanging="567"/>
      </w:pPr>
      <w:rPr>
        <w:rFonts w:hint="default" w:ascii="Times New Roman" w:hAnsi="Times New Roman" w:eastAsia="黑体" w:cs="Times New Roman"/>
        <w:b/>
        <w:i w:val="0"/>
        <w:sz w:val="28"/>
        <w:szCs w:val="28"/>
      </w:rPr>
    </w:lvl>
    <w:lvl w:ilvl="2" w:tentative="0">
      <w:start w:val="1"/>
      <w:numFmt w:val="decimal"/>
      <w:pStyle w:val="5"/>
      <w:isLgl/>
      <w:lvlText w:val="%1.%2.%3"/>
      <w:lvlJc w:val="left"/>
      <w:pPr>
        <w:tabs>
          <w:tab w:val="left" w:pos="567"/>
        </w:tabs>
        <w:ind w:left="567" w:hanging="567"/>
      </w:pPr>
      <w:rPr>
        <w:rFonts w:hint="default" w:ascii="Times New Roman" w:hAnsi="Times New Roman" w:eastAsia="黑体" w:cs="Times New Roman"/>
        <w:b/>
        <w:i w:val="0"/>
        <w:sz w:val="24"/>
        <w:szCs w:val="24"/>
      </w:rPr>
    </w:lvl>
    <w:lvl w:ilvl="3" w:tentative="0">
      <w:start w:val="1"/>
      <w:numFmt w:val="decimal"/>
      <w:pStyle w:val="7"/>
      <w:isLgl/>
      <w:suff w:val="space"/>
      <w:lvlText w:val="（%4）"/>
      <w:lvlJc w:val="left"/>
      <w:pPr>
        <w:ind w:left="567" w:hanging="113"/>
      </w:pPr>
      <w:rPr>
        <w:rFonts w:hint="default" w:ascii="Times New Roman" w:hAnsi="Times New Roman" w:eastAsia="宋体" w:cs="Times New Roman"/>
        <w:b/>
        <w:i w:val="0"/>
        <w:sz w:val="24"/>
        <w:szCs w:val="24"/>
      </w:rPr>
    </w:lvl>
    <w:lvl w:ilvl="4" w:tentative="0">
      <w:start w:val="1"/>
      <w:numFmt w:val="decimal"/>
      <w:lvlText w:val="（%5）"/>
      <w:lvlJc w:val="left"/>
      <w:pPr>
        <w:tabs>
          <w:tab w:val="left" w:pos="3396"/>
        </w:tabs>
        <w:ind w:left="3396" w:hanging="992"/>
      </w:pPr>
      <w:rPr>
        <w:rFonts w:hint="default" w:ascii="Times New Roman" w:hAnsi="Times New Roman" w:eastAsia="宋体" w:cs="Times New Roman"/>
        <w:b w:val="0"/>
        <w:i w:val="0"/>
        <w:sz w:val="24"/>
        <w:szCs w:val="24"/>
      </w:rPr>
    </w:lvl>
    <w:lvl w:ilvl="5" w:tentative="0">
      <w:start w:val="1"/>
      <w:numFmt w:val="decimal"/>
      <w:lvlText w:val="%1.%2.%3.%4.%5.%6."/>
      <w:lvlJc w:val="left"/>
      <w:pPr>
        <w:tabs>
          <w:tab w:val="left" w:pos="3538"/>
        </w:tabs>
        <w:ind w:left="3538" w:hanging="1134"/>
      </w:pPr>
      <w:rPr>
        <w:rFonts w:hint="eastAsia" w:cs="Times New Roman"/>
      </w:rPr>
    </w:lvl>
    <w:lvl w:ilvl="6" w:tentative="0">
      <w:start w:val="1"/>
      <w:numFmt w:val="decimal"/>
      <w:lvlText w:val="%1.%2.%3.%4.%5.%6.%7."/>
      <w:lvlJc w:val="left"/>
      <w:pPr>
        <w:tabs>
          <w:tab w:val="left" w:pos="3680"/>
        </w:tabs>
        <w:ind w:left="3680" w:hanging="1276"/>
      </w:pPr>
      <w:rPr>
        <w:rFonts w:hint="eastAsia" w:cs="Times New Roman"/>
      </w:rPr>
    </w:lvl>
    <w:lvl w:ilvl="7" w:tentative="0">
      <w:start w:val="1"/>
      <w:numFmt w:val="decimal"/>
      <w:lvlText w:val="%1.%2.%3.%4.%5.%6.%7.%8."/>
      <w:lvlJc w:val="left"/>
      <w:pPr>
        <w:tabs>
          <w:tab w:val="left" w:pos="3822"/>
        </w:tabs>
        <w:ind w:left="3822" w:hanging="1418"/>
      </w:pPr>
      <w:rPr>
        <w:rFonts w:hint="eastAsia" w:cs="Times New Roman"/>
      </w:rPr>
    </w:lvl>
    <w:lvl w:ilvl="8" w:tentative="0">
      <w:start w:val="1"/>
      <w:numFmt w:val="decimal"/>
      <w:lvlText w:val="%1.%2.%3.%4.%5.%6.%7.%8.%9."/>
      <w:lvlJc w:val="left"/>
      <w:pPr>
        <w:tabs>
          <w:tab w:val="left" w:pos="3963"/>
        </w:tabs>
        <w:ind w:left="3963" w:hanging="1559"/>
      </w:pPr>
      <w:rPr>
        <w:rFonts w:hint="eastAsia"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A24"/>
    <w:rsid w:val="000002E3"/>
    <w:rsid w:val="00000327"/>
    <w:rsid w:val="00000452"/>
    <w:rsid w:val="0000060B"/>
    <w:rsid w:val="000006F6"/>
    <w:rsid w:val="00000855"/>
    <w:rsid w:val="00000A59"/>
    <w:rsid w:val="00000FB4"/>
    <w:rsid w:val="00000FC2"/>
    <w:rsid w:val="000013A5"/>
    <w:rsid w:val="00001469"/>
    <w:rsid w:val="0000150A"/>
    <w:rsid w:val="0000163E"/>
    <w:rsid w:val="0000176B"/>
    <w:rsid w:val="00001795"/>
    <w:rsid w:val="000018BB"/>
    <w:rsid w:val="00001C24"/>
    <w:rsid w:val="00001CFB"/>
    <w:rsid w:val="00001D64"/>
    <w:rsid w:val="00001DA8"/>
    <w:rsid w:val="00002252"/>
    <w:rsid w:val="0000229B"/>
    <w:rsid w:val="00002998"/>
    <w:rsid w:val="00002BAE"/>
    <w:rsid w:val="00002EAA"/>
    <w:rsid w:val="00003232"/>
    <w:rsid w:val="0000334C"/>
    <w:rsid w:val="00003482"/>
    <w:rsid w:val="00003734"/>
    <w:rsid w:val="00003B5E"/>
    <w:rsid w:val="00003E74"/>
    <w:rsid w:val="0000419F"/>
    <w:rsid w:val="00004295"/>
    <w:rsid w:val="00004316"/>
    <w:rsid w:val="000046B0"/>
    <w:rsid w:val="00005632"/>
    <w:rsid w:val="00005898"/>
    <w:rsid w:val="0000592F"/>
    <w:rsid w:val="00005D58"/>
    <w:rsid w:val="00005D8D"/>
    <w:rsid w:val="00005E4A"/>
    <w:rsid w:val="0000674A"/>
    <w:rsid w:val="00006AC8"/>
    <w:rsid w:val="00006B92"/>
    <w:rsid w:val="00006CD8"/>
    <w:rsid w:val="000070F1"/>
    <w:rsid w:val="0000733A"/>
    <w:rsid w:val="00007696"/>
    <w:rsid w:val="00007882"/>
    <w:rsid w:val="00007899"/>
    <w:rsid w:val="00007D47"/>
    <w:rsid w:val="00007E9A"/>
    <w:rsid w:val="00010010"/>
    <w:rsid w:val="000106F9"/>
    <w:rsid w:val="000109CD"/>
    <w:rsid w:val="000109DE"/>
    <w:rsid w:val="00010B6B"/>
    <w:rsid w:val="00010D14"/>
    <w:rsid w:val="00010E2A"/>
    <w:rsid w:val="00011089"/>
    <w:rsid w:val="000111F5"/>
    <w:rsid w:val="00011322"/>
    <w:rsid w:val="0001135A"/>
    <w:rsid w:val="000116AC"/>
    <w:rsid w:val="000116DC"/>
    <w:rsid w:val="0001175C"/>
    <w:rsid w:val="0001177B"/>
    <w:rsid w:val="00011D2F"/>
    <w:rsid w:val="00011F09"/>
    <w:rsid w:val="0001209B"/>
    <w:rsid w:val="0001235A"/>
    <w:rsid w:val="0001235C"/>
    <w:rsid w:val="000123AA"/>
    <w:rsid w:val="000124D3"/>
    <w:rsid w:val="000127C2"/>
    <w:rsid w:val="00012B71"/>
    <w:rsid w:val="00012BDA"/>
    <w:rsid w:val="00012C54"/>
    <w:rsid w:val="00012FAE"/>
    <w:rsid w:val="000133F7"/>
    <w:rsid w:val="000134CB"/>
    <w:rsid w:val="00013590"/>
    <w:rsid w:val="0001390F"/>
    <w:rsid w:val="0001394D"/>
    <w:rsid w:val="00013970"/>
    <w:rsid w:val="00013CCB"/>
    <w:rsid w:val="00013DA1"/>
    <w:rsid w:val="0001476A"/>
    <w:rsid w:val="0001499F"/>
    <w:rsid w:val="00014F39"/>
    <w:rsid w:val="000150A9"/>
    <w:rsid w:val="00015185"/>
    <w:rsid w:val="0001535E"/>
    <w:rsid w:val="000154A6"/>
    <w:rsid w:val="00015787"/>
    <w:rsid w:val="0001594C"/>
    <w:rsid w:val="00015A24"/>
    <w:rsid w:val="00015F07"/>
    <w:rsid w:val="000163C9"/>
    <w:rsid w:val="000168EE"/>
    <w:rsid w:val="00016E58"/>
    <w:rsid w:val="00016E65"/>
    <w:rsid w:val="000170F1"/>
    <w:rsid w:val="00017122"/>
    <w:rsid w:val="0001714A"/>
    <w:rsid w:val="000178A4"/>
    <w:rsid w:val="00017EFA"/>
    <w:rsid w:val="00020054"/>
    <w:rsid w:val="00020104"/>
    <w:rsid w:val="000201E2"/>
    <w:rsid w:val="000202B4"/>
    <w:rsid w:val="00020446"/>
    <w:rsid w:val="00020957"/>
    <w:rsid w:val="00020C15"/>
    <w:rsid w:val="00020CE8"/>
    <w:rsid w:val="00020CF9"/>
    <w:rsid w:val="00021383"/>
    <w:rsid w:val="00021451"/>
    <w:rsid w:val="00021EF7"/>
    <w:rsid w:val="00022316"/>
    <w:rsid w:val="00022670"/>
    <w:rsid w:val="00023242"/>
    <w:rsid w:val="00023941"/>
    <w:rsid w:val="000241A3"/>
    <w:rsid w:val="00024878"/>
    <w:rsid w:val="00024928"/>
    <w:rsid w:val="00024943"/>
    <w:rsid w:val="0002510D"/>
    <w:rsid w:val="000252FC"/>
    <w:rsid w:val="0002557E"/>
    <w:rsid w:val="00025C56"/>
    <w:rsid w:val="000263AA"/>
    <w:rsid w:val="00027246"/>
    <w:rsid w:val="000272F3"/>
    <w:rsid w:val="0002744F"/>
    <w:rsid w:val="00027BE4"/>
    <w:rsid w:val="00027CA9"/>
    <w:rsid w:val="00027CCF"/>
    <w:rsid w:val="00027DE9"/>
    <w:rsid w:val="000303BD"/>
    <w:rsid w:val="00030AE4"/>
    <w:rsid w:val="00030AF1"/>
    <w:rsid w:val="00030DAC"/>
    <w:rsid w:val="00030DC8"/>
    <w:rsid w:val="0003103B"/>
    <w:rsid w:val="000310EE"/>
    <w:rsid w:val="000316E3"/>
    <w:rsid w:val="00031AFB"/>
    <w:rsid w:val="00031D3C"/>
    <w:rsid w:val="00031EB7"/>
    <w:rsid w:val="0003230B"/>
    <w:rsid w:val="00032460"/>
    <w:rsid w:val="0003284B"/>
    <w:rsid w:val="00032AB4"/>
    <w:rsid w:val="00032B10"/>
    <w:rsid w:val="00032C2C"/>
    <w:rsid w:val="000330B7"/>
    <w:rsid w:val="00033174"/>
    <w:rsid w:val="0003321D"/>
    <w:rsid w:val="00033256"/>
    <w:rsid w:val="000339E9"/>
    <w:rsid w:val="00033AF9"/>
    <w:rsid w:val="00033CAB"/>
    <w:rsid w:val="00034239"/>
    <w:rsid w:val="000345EF"/>
    <w:rsid w:val="0003490D"/>
    <w:rsid w:val="00034B40"/>
    <w:rsid w:val="00034BE0"/>
    <w:rsid w:val="00034DD9"/>
    <w:rsid w:val="0003546E"/>
    <w:rsid w:val="00035562"/>
    <w:rsid w:val="0003585A"/>
    <w:rsid w:val="0003589F"/>
    <w:rsid w:val="00035A58"/>
    <w:rsid w:val="00035D6E"/>
    <w:rsid w:val="00035E59"/>
    <w:rsid w:val="00036041"/>
    <w:rsid w:val="0003686F"/>
    <w:rsid w:val="00036991"/>
    <w:rsid w:val="00036BC3"/>
    <w:rsid w:val="00036EF5"/>
    <w:rsid w:val="000373C0"/>
    <w:rsid w:val="000374B6"/>
    <w:rsid w:val="00037581"/>
    <w:rsid w:val="000377CF"/>
    <w:rsid w:val="000377E7"/>
    <w:rsid w:val="00037952"/>
    <w:rsid w:val="000403CF"/>
    <w:rsid w:val="00040B3B"/>
    <w:rsid w:val="00040CAF"/>
    <w:rsid w:val="00040EB8"/>
    <w:rsid w:val="00040F5B"/>
    <w:rsid w:val="00040FA5"/>
    <w:rsid w:val="000419D0"/>
    <w:rsid w:val="00041A09"/>
    <w:rsid w:val="00041CE1"/>
    <w:rsid w:val="00041F11"/>
    <w:rsid w:val="000421A3"/>
    <w:rsid w:val="000422D0"/>
    <w:rsid w:val="0004284E"/>
    <w:rsid w:val="00042963"/>
    <w:rsid w:val="00042BD8"/>
    <w:rsid w:val="00042F29"/>
    <w:rsid w:val="00042F39"/>
    <w:rsid w:val="0004361D"/>
    <w:rsid w:val="00043622"/>
    <w:rsid w:val="0004370D"/>
    <w:rsid w:val="000437BE"/>
    <w:rsid w:val="00043929"/>
    <w:rsid w:val="00043EC8"/>
    <w:rsid w:val="00043FCC"/>
    <w:rsid w:val="000442FC"/>
    <w:rsid w:val="000446A8"/>
    <w:rsid w:val="000447BB"/>
    <w:rsid w:val="00044878"/>
    <w:rsid w:val="00044D96"/>
    <w:rsid w:val="00044F51"/>
    <w:rsid w:val="000450A1"/>
    <w:rsid w:val="000451C8"/>
    <w:rsid w:val="00045521"/>
    <w:rsid w:val="00045C31"/>
    <w:rsid w:val="00045C58"/>
    <w:rsid w:val="00045D9C"/>
    <w:rsid w:val="00046076"/>
    <w:rsid w:val="00046456"/>
    <w:rsid w:val="00046459"/>
    <w:rsid w:val="0004696D"/>
    <w:rsid w:val="00046981"/>
    <w:rsid w:val="00046B40"/>
    <w:rsid w:val="00046D3F"/>
    <w:rsid w:val="00047404"/>
    <w:rsid w:val="000475CE"/>
    <w:rsid w:val="00047B5A"/>
    <w:rsid w:val="00047FAF"/>
    <w:rsid w:val="000501E4"/>
    <w:rsid w:val="0005096D"/>
    <w:rsid w:val="000509FF"/>
    <w:rsid w:val="00050A78"/>
    <w:rsid w:val="000510FC"/>
    <w:rsid w:val="000511DD"/>
    <w:rsid w:val="0005137C"/>
    <w:rsid w:val="000513F5"/>
    <w:rsid w:val="0005149F"/>
    <w:rsid w:val="000514D2"/>
    <w:rsid w:val="0005155E"/>
    <w:rsid w:val="00051802"/>
    <w:rsid w:val="00051A4C"/>
    <w:rsid w:val="00051C75"/>
    <w:rsid w:val="00052182"/>
    <w:rsid w:val="000527BB"/>
    <w:rsid w:val="000527CF"/>
    <w:rsid w:val="00052BE8"/>
    <w:rsid w:val="000531AF"/>
    <w:rsid w:val="000531B7"/>
    <w:rsid w:val="0005325C"/>
    <w:rsid w:val="00053627"/>
    <w:rsid w:val="000536DD"/>
    <w:rsid w:val="000544D7"/>
    <w:rsid w:val="00054559"/>
    <w:rsid w:val="00054793"/>
    <w:rsid w:val="00054953"/>
    <w:rsid w:val="00054B21"/>
    <w:rsid w:val="00055030"/>
    <w:rsid w:val="0005545D"/>
    <w:rsid w:val="00055904"/>
    <w:rsid w:val="0005590C"/>
    <w:rsid w:val="0005594A"/>
    <w:rsid w:val="00055CA6"/>
    <w:rsid w:val="00055FC5"/>
    <w:rsid w:val="000567A2"/>
    <w:rsid w:val="00056858"/>
    <w:rsid w:val="0005698F"/>
    <w:rsid w:val="00056A06"/>
    <w:rsid w:val="00056B6B"/>
    <w:rsid w:val="00056ED7"/>
    <w:rsid w:val="00057925"/>
    <w:rsid w:val="00057CE1"/>
    <w:rsid w:val="00057FAD"/>
    <w:rsid w:val="0006025D"/>
    <w:rsid w:val="0006060C"/>
    <w:rsid w:val="00061344"/>
    <w:rsid w:val="0006149B"/>
    <w:rsid w:val="000617AC"/>
    <w:rsid w:val="00061AF2"/>
    <w:rsid w:val="00061C4E"/>
    <w:rsid w:val="00061F66"/>
    <w:rsid w:val="00061FA7"/>
    <w:rsid w:val="000624DC"/>
    <w:rsid w:val="00062564"/>
    <w:rsid w:val="0006276F"/>
    <w:rsid w:val="0006287C"/>
    <w:rsid w:val="00062925"/>
    <w:rsid w:val="00062A03"/>
    <w:rsid w:val="00063318"/>
    <w:rsid w:val="0006340D"/>
    <w:rsid w:val="00063420"/>
    <w:rsid w:val="00063537"/>
    <w:rsid w:val="00063907"/>
    <w:rsid w:val="00063FDE"/>
    <w:rsid w:val="000641C1"/>
    <w:rsid w:val="00064337"/>
    <w:rsid w:val="00064395"/>
    <w:rsid w:val="000643B2"/>
    <w:rsid w:val="000646E3"/>
    <w:rsid w:val="00064A8F"/>
    <w:rsid w:val="00064B70"/>
    <w:rsid w:val="00064C25"/>
    <w:rsid w:val="00064D72"/>
    <w:rsid w:val="00064F92"/>
    <w:rsid w:val="000650D6"/>
    <w:rsid w:val="00065183"/>
    <w:rsid w:val="00065451"/>
    <w:rsid w:val="0006571F"/>
    <w:rsid w:val="00065739"/>
    <w:rsid w:val="0006573F"/>
    <w:rsid w:val="00065887"/>
    <w:rsid w:val="00065980"/>
    <w:rsid w:val="00065AC7"/>
    <w:rsid w:val="0006609F"/>
    <w:rsid w:val="00066173"/>
    <w:rsid w:val="0006632C"/>
    <w:rsid w:val="0006634C"/>
    <w:rsid w:val="00067039"/>
    <w:rsid w:val="0006720D"/>
    <w:rsid w:val="00067293"/>
    <w:rsid w:val="000678A1"/>
    <w:rsid w:val="000679B6"/>
    <w:rsid w:val="00067C78"/>
    <w:rsid w:val="00067D3A"/>
    <w:rsid w:val="00067D4C"/>
    <w:rsid w:val="0007019B"/>
    <w:rsid w:val="00070D0F"/>
    <w:rsid w:val="0007112D"/>
    <w:rsid w:val="000712CF"/>
    <w:rsid w:val="0007150A"/>
    <w:rsid w:val="00071534"/>
    <w:rsid w:val="00071B7C"/>
    <w:rsid w:val="00071C14"/>
    <w:rsid w:val="00071C5E"/>
    <w:rsid w:val="00071DB8"/>
    <w:rsid w:val="00072090"/>
    <w:rsid w:val="0007218A"/>
    <w:rsid w:val="0007228D"/>
    <w:rsid w:val="00072360"/>
    <w:rsid w:val="0007236A"/>
    <w:rsid w:val="0007251E"/>
    <w:rsid w:val="0007269A"/>
    <w:rsid w:val="00072C02"/>
    <w:rsid w:val="0007309E"/>
    <w:rsid w:val="000730AB"/>
    <w:rsid w:val="00073699"/>
    <w:rsid w:val="0007383F"/>
    <w:rsid w:val="00073B60"/>
    <w:rsid w:val="00073DD5"/>
    <w:rsid w:val="00073F63"/>
    <w:rsid w:val="00074267"/>
    <w:rsid w:val="0007490B"/>
    <w:rsid w:val="00074C25"/>
    <w:rsid w:val="000750B2"/>
    <w:rsid w:val="0007535D"/>
    <w:rsid w:val="00075CCD"/>
    <w:rsid w:val="00075FBD"/>
    <w:rsid w:val="0007616C"/>
    <w:rsid w:val="00076559"/>
    <w:rsid w:val="000767A4"/>
    <w:rsid w:val="00076887"/>
    <w:rsid w:val="00076DEA"/>
    <w:rsid w:val="00076E1D"/>
    <w:rsid w:val="00077445"/>
    <w:rsid w:val="000778FC"/>
    <w:rsid w:val="00077BF4"/>
    <w:rsid w:val="00077D49"/>
    <w:rsid w:val="00077EA9"/>
    <w:rsid w:val="00077FA3"/>
    <w:rsid w:val="00080199"/>
    <w:rsid w:val="000802D9"/>
    <w:rsid w:val="00080446"/>
    <w:rsid w:val="000804C1"/>
    <w:rsid w:val="00080675"/>
    <w:rsid w:val="00080A87"/>
    <w:rsid w:val="00080B6A"/>
    <w:rsid w:val="00080C17"/>
    <w:rsid w:val="000810CE"/>
    <w:rsid w:val="00081482"/>
    <w:rsid w:val="00081595"/>
    <w:rsid w:val="0008176E"/>
    <w:rsid w:val="0008196E"/>
    <w:rsid w:val="00081BFF"/>
    <w:rsid w:val="00081EEA"/>
    <w:rsid w:val="00081FC2"/>
    <w:rsid w:val="0008214C"/>
    <w:rsid w:val="000821CB"/>
    <w:rsid w:val="000823F7"/>
    <w:rsid w:val="00082500"/>
    <w:rsid w:val="00082A59"/>
    <w:rsid w:val="00082B36"/>
    <w:rsid w:val="00082B50"/>
    <w:rsid w:val="00082C34"/>
    <w:rsid w:val="00082C35"/>
    <w:rsid w:val="000830B6"/>
    <w:rsid w:val="000836BB"/>
    <w:rsid w:val="000837B4"/>
    <w:rsid w:val="00083B0D"/>
    <w:rsid w:val="00084102"/>
    <w:rsid w:val="00084124"/>
    <w:rsid w:val="000842A9"/>
    <w:rsid w:val="00084A9B"/>
    <w:rsid w:val="00084B6F"/>
    <w:rsid w:val="00084BF3"/>
    <w:rsid w:val="00084F26"/>
    <w:rsid w:val="00084FCC"/>
    <w:rsid w:val="0008507C"/>
    <w:rsid w:val="000854AE"/>
    <w:rsid w:val="000855BF"/>
    <w:rsid w:val="00085682"/>
    <w:rsid w:val="00085B2B"/>
    <w:rsid w:val="00086141"/>
    <w:rsid w:val="0008627F"/>
    <w:rsid w:val="0008643D"/>
    <w:rsid w:val="000864B0"/>
    <w:rsid w:val="000864C5"/>
    <w:rsid w:val="000867BB"/>
    <w:rsid w:val="0008694C"/>
    <w:rsid w:val="00086B06"/>
    <w:rsid w:val="00086BBB"/>
    <w:rsid w:val="00086BDA"/>
    <w:rsid w:val="00087187"/>
    <w:rsid w:val="00087510"/>
    <w:rsid w:val="0008779D"/>
    <w:rsid w:val="00087B02"/>
    <w:rsid w:val="00087C66"/>
    <w:rsid w:val="00087E64"/>
    <w:rsid w:val="0009045E"/>
    <w:rsid w:val="000907D9"/>
    <w:rsid w:val="00090937"/>
    <w:rsid w:val="00090A79"/>
    <w:rsid w:val="00090E80"/>
    <w:rsid w:val="0009109F"/>
    <w:rsid w:val="0009154F"/>
    <w:rsid w:val="0009181A"/>
    <w:rsid w:val="00091BDD"/>
    <w:rsid w:val="00091DE0"/>
    <w:rsid w:val="0009214B"/>
    <w:rsid w:val="0009228E"/>
    <w:rsid w:val="00092294"/>
    <w:rsid w:val="000927B8"/>
    <w:rsid w:val="000929A8"/>
    <w:rsid w:val="00092BB1"/>
    <w:rsid w:val="00092CC4"/>
    <w:rsid w:val="00092FA6"/>
    <w:rsid w:val="00092FFF"/>
    <w:rsid w:val="00093255"/>
    <w:rsid w:val="000938AE"/>
    <w:rsid w:val="00093942"/>
    <w:rsid w:val="00093D21"/>
    <w:rsid w:val="00094385"/>
    <w:rsid w:val="00094586"/>
    <w:rsid w:val="00094645"/>
    <w:rsid w:val="0009497B"/>
    <w:rsid w:val="00094B88"/>
    <w:rsid w:val="00094E0E"/>
    <w:rsid w:val="0009534B"/>
    <w:rsid w:val="000954EB"/>
    <w:rsid w:val="00095DE5"/>
    <w:rsid w:val="00095F0B"/>
    <w:rsid w:val="000963FC"/>
    <w:rsid w:val="000965D1"/>
    <w:rsid w:val="00096764"/>
    <w:rsid w:val="00096836"/>
    <w:rsid w:val="00096941"/>
    <w:rsid w:val="0009701E"/>
    <w:rsid w:val="000973FD"/>
    <w:rsid w:val="00097468"/>
    <w:rsid w:val="00097577"/>
    <w:rsid w:val="00097601"/>
    <w:rsid w:val="0009774E"/>
    <w:rsid w:val="000977A8"/>
    <w:rsid w:val="00097962"/>
    <w:rsid w:val="00097E17"/>
    <w:rsid w:val="00097F31"/>
    <w:rsid w:val="00097FA1"/>
    <w:rsid w:val="000A025B"/>
    <w:rsid w:val="000A0263"/>
    <w:rsid w:val="000A052E"/>
    <w:rsid w:val="000A070E"/>
    <w:rsid w:val="000A098F"/>
    <w:rsid w:val="000A0A1C"/>
    <w:rsid w:val="000A0BCA"/>
    <w:rsid w:val="000A0C4F"/>
    <w:rsid w:val="000A0D8C"/>
    <w:rsid w:val="000A0F90"/>
    <w:rsid w:val="000A17B8"/>
    <w:rsid w:val="000A196E"/>
    <w:rsid w:val="000A1A5B"/>
    <w:rsid w:val="000A1A62"/>
    <w:rsid w:val="000A1DB8"/>
    <w:rsid w:val="000A1E42"/>
    <w:rsid w:val="000A2161"/>
    <w:rsid w:val="000A225C"/>
    <w:rsid w:val="000A2940"/>
    <w:rsid w:val="000A2B67"/>
    <w:rsid w:val="000A2D72"/>
    <w:rsid w:val="000A2EB7"/>
    <w:rsid w:val="000A2F93"/>
    <w:rsid w:val="000A3126"/>
    <w:rsid w:val="000A3293"/>
    <w:rsid w:val="000A345F"/>
    <w:rsid w:val="000A3D98"/>
    <w:rsid w:val="000A4012"/>
    <w:rsid w:val="000A4CDF"/>
    <w:rsid w:val="000A4DE5"/>
    <w:rsid w:val="000A4EE1"/>
    <w:rsid w:val="000A4FAD"/>
    <w:rsid w:val="000A5840"/>
    <w:rsid w:val="000A5BD9"/>
    <w:rsid w:val="000A5EBB"/>
    <w:rsid w:val="000A6211"/>
    <w:rsid w:val="000A6505"/>
    <w:rsid w:val="000A6B81"/>
    <w:rsid w:val="000A6BA2"/>
    <w:rsid w:val="000A6CAD"/>
    <w:rsid w:val="000A6D8F"/>
    <w:rsid w:val="000A714B"/>
    <w:rsid w:val="000A72E1"/>
    <w:rsid w:val="000A7948"/>
    <w:rsid w:val="000A7A93"/>
    <w:rsid w:val="000A7BC3"/>
    <w:rsid w:val="000A7BDB"/>
    <w:rsid w:val="000A7CD3"/>
    <w:rsid w:val="000A7D35"/>
    <w:rsid w:val="000A7EBB"/>
    <w:rsid w:val="000B010D"/>
    <w:rsid w:val="000B0788"/>
    <w:rsid w:val="000B08AD"/>
    <w:rsid w:val="000B08CC"/>
    <w:rsid w:val="000B0BFA"/>
    <w:rsid w:val="000B0F86"/>
    <w:rsid w:val="000B1222"/>
    <w:rsid w:val="000B158C"/>
    <w:rsid w:val="000B1C73"/>
    <w:rsid w:val="000B1D8E"/>
    <w:rsid w:val="000B1EFE"/>
    <w:rsid w:val="000B1F73"/>
    <w:rsid w:val="000B2435"/>
    <w:rsid w:val="000B252C"/>
    <w:rsid w:val="000B2853"/>
    <w:rsid w:val="000B2EBC"/>
    <w:rsid w:val="000B2EBD"/>
    <w:rsid w:val="000B301D"/>
    <w:rsid w:val="000B32ED"/>
    <w:rsid w:val="000B3371"/>
    <w:rsid w:val="000B3442"/>
    <w:rsid w:val="000B34F6"/>
    <w:rsid w:val="000B357D"/>
    <w:rsid w:val="000B3597"/>
    <w:rsid w:val="000B3628"/>
    <w:rsid w:val="000B3742"/>
    <w:rsid w:val="000B375C"/>
    <w:rsid w:val="000B3A6B"/>
    <w:rsid w:val="000B46FC"/>
    <w:rsid w:val="000B47FE"/>
    <w:rsid w:val="000B4FAA"/>
    <w:rsid w:val="000B4FE4"/>
    <w:rsid w:val="000B5445"/>
    <w:rsid w:val="000B5893"/>
    <w:rsid w:val="000B5BC4"/>
    <w:rsid w:val="000B5BC8"/>
    <w:rsid w:val="000B5E62"/>
    <w:rsid w:val="000B6437"/>
    <w:rsid w:val="000B673A"/>
    <w:rsid w:val="000B755D"/>
    <w:rsid w:val="000B75CC"/>
    <w:rsid w:val="000B7707"/>
    <w:rsid w:val="000B789F"/>
    <w:rsid w:val="000B78CB"/>
    <w:rsid w:val="000B78E8"/>
    <w:rsid w:val="000B7B77"/>
    <w:rsid w:val="000B7C03"/>
    <w:rsid w:val="000B7C12"/>
    <w:rsid w:val="000C023E"/>
    <w:rsid w:val="000C063C"/>
    <w:rsid w:val="000C073C"/>
    <w:rsid w:val="000C075D"/>
    <w:rsid w:val="000C0913"/>
    <w:rsid w:val="000C0B15"/>
    <w:rsid w:val="000C0F09"/>
    <w:rsid w:val="000C1150"/>
    <w:rsid w:val="000C1620"/>
    <w:rsid w:val="000C182C"/>
    <w:rsid w:val="000C194B"/>
    <w:rsid w:val="000C1B43"/>
    <w:rsid w:val="000C1B79"/>
    <w:rsid w:val="000C1FEA"/>
    <w:rsid w:val="000C20F2"/>
    <w:rsid w:val="000C2321"/>
    <w:rsid w:val="000C2378"/>
    <w:rsid w:val="000C245A"/>
    <w:rsid w:val="000C24CF"/>
    <w:rsid w:val="000C25A8"/>
    <w:rsid w:val="000C3200"/>
    <w:rsid w:val="000C3868"/>
    <w:rsid w:val="000C3A14"/>
    <w:rsid w:val="000C3E27"/>
    <w:rsid w:val="000C3E2B"/>
    <w:rsid w:val="000C40ED"/>
    <w:rsid w:val="000C445E"/>
    <w:rsid w:val="000C47F7"/>
    <w:rsid w:val="000C4837"/>
    <w:rsid w:val="000C4A0A"/>
    <w:rsid w:val="000C5094"/>
    <w:rsid w:val="000C50B9"/>
    <w:rsid w:val="000C52DA"/>
    <w:rsid w:val="000C577F"/>
    <w:rsid w:val="000C5790"/>
    <w:rsid w:val="000C5C3A"/>
    <w:rsid w:val="000C66F4"/>
    <w:rsid w:val="000C6D01"/>
    <w:rsid w:val="000C7151"/>
    <w:rsid w:val="000C71EF"/>
    <w:rsid w:val="000C7247"/>
    <w:rsid w:val="000C7343"/>
    <w:rsid w:val="000C7425"/>
    <w:rsid w:val="000C79AE"/>
    <w:rsid w:val="000C79C5"/>
    <w:rsid w:val="000C7CDD"/>
    <w:rsid w:val="000C7DC1"/>
    <w:rsid w:val="000C7EDF"/>
    <w:rsid w:val="000D04AA"/>
    <w:rsid w:val="000D0B89"/>
    <w:rsid w:val="000D0B9E"/>
    <w:rsid w:val="000D0E01"/>
    <w:rsid w:val="000D11DD"/>
    <w:rsid w:val="000D12BF"/>
    <w:rsid w:val="000D1609"/>
    <w:rsid w:val="000D1B53"/>
    <w:rsid w:val="000D1C08"/>
    <w:rsid w:val="000D1C94"/>
    <w:rsid w:val="000D1EB4"/>
    <w:rsid w:val="000D21B6"/>
    <w:rsid w:val="000D2309"/>
    <w:rsid w:val="000D2428"/>
    <w:rsid w:val="000D24E3"/>
    <w:rsid w:val="000D2522"/>
    <w:rsid w:val="000D277F"/>
    <w:rsid w:val="000D2960"/>
    <w:rsid w:val="000D296D"/>
    <w:rsid w:val="000D2ABE"/>
    <w:rsid w:val="000D2E15"/>
    <w:rsid w:val="000D2E91"/>
    <w:rsid w:val="000D310F"/>
    <w:rsid w:val="000D3372"/>
    <w:rsid w:val="000D3548"/>
    <w:rsid w:val="000D3C70"/>
    <w:rsid w:val="000D3D27"/>
    <w:rsid w:val="000D4649"/>
    <w:rsid w:val="000D4B78"/>
    <w:rsid w:val="000D4B7C"/>
    <w:rsid w:val="000D4D2D"/>
    <w:rsid w:val="000D5003"/>
    <w:rsid w:val="000D51B4"/>
    <w:rsid w:val="000D5C2D"/>
    <w:rsid w:val="000D5FF2"/>
    <w:rsid w:val="000D66DC"/>
    <w:rsid w:val="000D672D"/>
    <w:rsid w:val="000D6BCF"/>
    <w:rsid w:val="000D6BDD"/>
    <w:rsid w:val="000D6C19"/>
    <w:rsid w:val="000D724A"/>
    <w:rsid w:val="000D7272"/>
    <w:rsid w:val="000D734D"/>
    <w:rsid w:val="000D787A"/>
    <w:rsid w:val="000D7D6C"/>
    <w:rsid w:val="000D7EB0"/>
    <w:rsid w:val="000E0300"/>
    <w:rsid w:val="000E0B54"/>
    <w:rsid w:val="000E0E2A"/>
    <w:rsid w:val="000E1058"/>
    <w:rsid w:val="000E1125"/>
    <w:rsid w:val="000E1256"/>
    <w:rsid w:val="000E134E"/>
    <w:rsid w:val="000E136E"/>
    <w:rsid w:val="000E1480"/>
    <w:rsid w:val="000E149F"/>
    <w:rsid w:val="000E1719"/>
    <w:rsid w:val="000E17BA"/>
    <w:rsid w:val="000E17D0"/>
    <w:rsid w:val="000E1812"/>
    <w:rsid w:val="000E1B3E"/>
    <w:rsid w:val="000E214A"/>
    <w:rsid w:val="000E21E9"/>
    <w:rsid w:val="000E2226"/>
    <w:rsid w:val="000E227E"/>
    <w:rsid w:val="000E23F7"/>
    <w:rsid w:val="000E25CC"/>
    <w:rsid w:val="000E2844"/>
    <w:rsid w:val="000E2876"/>
    <w:rsid w:val="000E2D70"/>
    <w:rsid w:val="000E32BA"/>
    <w:rsid w:val="000E32FF"/>
    <w:rsid w:val="000E33C2"/>
    <w:rsid w:val="000E3438"/>
    <w:rsid w:val="000E3A1B"/>
    <w:rsid w:val="000E3EAC"/>
    <w:rsid w:val="000E4686"/>
    <w:rsid w:val="000E4B10"/>
    <w:rsid w:val="000E4BB8"/>
    <w:rsid w:val="000E4ED0"/>
    <w:rsid w:val="000E4F5F"/>
    <w:rsid w:val="000E5031"/>
    <w:rsid w:val="000E507D"/>
    <w:rsid w:val="000E563C"/>
    <w:rsid w:val="000E5761"/>
    <w:rsid w:val="000E64F7"/>
    <w:rsid w:val="000E6594"/>
    <w:rsid w:val="000E67EF"/>
    <w:rsid w:val="000E698F"/>
    <w:rsid w:val="000E69AC"/>
    <w:rsid w:val="000E6BC4"/>
    <w:rsid w:val="000E7148"/>
    <w:rsid w:val="000E74E4"/>
    <w:rsid w:val="000E77A9"/>
    <w:rsid w:val="000E7813"/>
    <w:rsid w:val="000E7958"/>
    <w:rsid w:val="000E7ABE"/>
    <w:rsid w:val="000E7D58"/>
    <w:rsid w:val="000E7FB4"/>
    <w:rsid w:val="000F01CC"/>
    <w:rsid w:val="000F05DF"/>
    <w:rsid w:val="000F0684"/>
    <w:rsid w:val="000F076C"/>
    <w:rsid w:val="000F0952"/>
    <w:rsid w:val="000F096C"/>
    <w:rsid w:val="000F0A2C"/>
    <w:rsid w:val="000F0CA2"/>
    <w:rsid w:val="000F0D3F"/>
    <w:rsid w:val="000F0D5C"/>
    <w:rsid w:val="000F0E62"/>
    <w:rsid w:val="000F0F46"/>
    <w:rsid w:val="000F10CF"/>
    <w:rsid w:val="000F128F"/>
    <w:rsid w:val="000F1646"/>
    <w:rsid w:val="000F1905"/>
    <w:rsid w:val="000F194F"/>
    <w:rsid w:val="000F1974"/>
    <w:rsid w:val="000F1C12"/>
    <w:rsid w:val="000F225E"/>
    <w:rsid w:val="000F24C1"/>
    <w:rsid w:val="000F2A4D"/>
    <w:rsid w:val="000F2BD3"/>
    <w:rsid w:val="000F2D09"/>
    <w:rsid w:val="000F2D55"/>
    <w:rsid w:val="000F3117"/>
    <w:rsid w:val="000F37B1"/>
    <w:rsid w:val="000F3A44"/>
    <w:rsid w:val="000F3B44"/>
    <w:rsid w:val="000F3BB4"/>
    <w:rsid w:val="000F3C33"/>
    <w:rsid w:val="000F43BB"/>
    <w:rsid w:val="000F47F4"/>
    <w:rsid w:val="000F4890"/>
    <w:rsid w:val="000F49C4"/>
    <w:rsid w:val="000F4A76"/>
    <w:rsid w:val="000F4B12"/>
    <w:rsid w:val="000F4D31"/>
    <w:rsid w:val="000F4E7F"/>
    <w:rsid w:val="000F4F29"/>
    <w:rsid w:val="000F5072"/>
    <w:rsid w:val="000F5414"/>
    <w:rsid w:val="000F543B"/>
    <w:rsid w:val="000F56CC"/>
    <w:rsid w:val="000F5766"/>
    <w:rsid w:val="000F59D9"/>
    <w:rsid w:val="000F5AE2"/>
    <w:rsid w:val="000F5CED"/>
    <w:rsid w:val="000F5D48"/>
    <w:rsid w:val="000F6341"/>
    <w:rsid w:val="000F6482"/>
    <w:rsid w:val="000F6673"/>
    <w:rsid w:val="000F67BB"/>
    <w:rsid w:val="000F69AE"/>
    <w:rsid w:val="000F75CE"/>
    <w:rsid w:val="000F77E7"/>
    <w:rsid w:val="000F79B4"/>
    <w:rsid w:val="000F7B75"/>
    <w:rsid w:val="000F7BE4"/>
    <w:rsid w:val="001000CA"/>
    <w:rsid w:val="00100445"/>
    <w:rsid w:val="00100985"/>
    <w:rsid w:val="00100BF3"/>
    <w:rsid w:val="00100EFD"/>
    <w:rsid w:val="00100F50"/>
    <w:rsid w:val="00101757"/>
    <w:rsid w:val="001019BC"/>
    <w:rsid w:val="00101A64"/>
    <w:rsid w:val="00101D0D"/>
    <w:rsid w:val="001021D8"/>
    <w:rsid w:val="00102204"/>
    <w:rsid w:val="00102315"/>
    <w:rsid w:val="0010238B"/>
    <w:rsid w:val="001023B6"/>
    <w:rsid w:val="001024D2"/>
    <w:rsid w:val="00102A9A"/>
    <w:rsid w:val="00102ABE"/>
    <w:rsid w:val="00102B80"/>
    <w:rsid w:val="00102BC2"/>
    <w:rsid w:val="00102C93"/>
    <w:rsid w:val="00102CF6"/>
    <w:rsid w:val="001030D9"/>
    <w:rsid w:val="0010333E"/>
    <w:rsid w:val="00103471"/>
    <w:rsid w:val="001036B2"/>
    <w:rsid w:val="00103D62"/>
    <w:rsid w:val="00103D6B"/>
    <w:rsid w:val="00103FF4"/>
    <w:rsid w:val="00104174"/>
    <w:rsid w:val="00104252"/>
    <w:rsid w:val="001042B8"/>
    <w:rsid w:val="00104391"/>
    <w:rsid w:val="001043F7"/>
    <w:rsid w:val="00104933"/>
    <w:rsid w:val="00104B2B"/>
    <w:rsid w:val="00104CDA"/>
    <w:rsid w:val="00104FE2"/>
    <w:rsid w:val="0010519E"/>
    <w:rsid w:val="0010520A"/>
    <w:rsid w:val="001054BD"/>
    <w:rsid w:val="00105E78"/>
    <w:rsid w:val="00105F5A"/>
    <w:rsid w:val="0010613F"/>
    <w:rsid w:val="00106144"/>
    <w:rsid w:val="001062E8"/>
    <w:rsid w:val="00106375"/>
    <w:rsid w:val="0010640D"/>
    <w:rsid w:val="001067EC"/>
    <w:rsid w:val="00106B96"/>
    <w:rsid w:val="00106BD6"/>
    <w:rsid w:val="00106EC0"/>
    <w:rsid w:val="00106FAB"/>
    <w:rsid w:val="0010718F"/>
    <w:rsid w:val="001071F5"/>
    <w:rsid w:val="00107601"/>
    <w:rsid w:val="001076AC"/>
    <w:rsid w:val="00107B73"/>
    <w:rsid w:val="00110004"/>
    <w:rsid w:val="0011052D"/>
    <w:rsid w:val="0011097E"/>
    <w:rsid w:val="0011098D"/>
    <w:rsid w:val="00110F23"/>
    <w:rsid w:val="0011100B"/>
    <w:rsid w:val="001112E2"/>
    <w:rsid w:val="00111426"/>
    <w:rsid w:val="001115CD"/>
    <w:rsid w:val="001119C3"/>
    <w:rsid w:val="0011218F"/>
    <w:rsid w:val="00112455"/>
    <w:rsid w:val="00112750"/>
    <w:rsid w:val="001127F8"/>
    <w:rsid w:val="0011291F"/>
    <w:rsid w:val="00112E96"/>
    <w:rsid w:val="001131B9"/>
    <w:rsid w:val="00113220"/>
    <w:rsid w:val="00113693"/>
    <w:rsid w:val="00113728"/>
    <w:rsid w:val="00113752"/>
    <w:rsid w:val="001138FB"/>
    <w:rsid w:val="00113BAB"/>
    <w:rsid w:val="00113E08"/>
    <w:rsid w:val="00113E1B"/>
    <w:rsid w:val="00113F50"/>
    <w:rsid w:val="00113FD9"/>
    <w:rsid w:val="00114017"/>
    <w:rsid w:val="00114DE5"/>
    <w:rsid w:val="00114DEE"/>
    <w:rsid w:val="00115027"/>
    <w:rsid w:val="001150F0"/>
    <w:rsid w:val="0011516A"/>
    <w:rsid w:val="001152BA"/>
    <w:rsid w:val="00115360"/>
    <w:rsid w:val="00115559"/>
    <w:rsid w:val="00115624"/>
    <w:rsid w:val="00115875"/>
    <w:rsid w:val="00115C20"/>
    <w:rsid w:val="00115C41"/>
    <w:rsid w:val="00115F98"/>
    <w:rsid w:val="00115FD4"/>
    <w:rsid w:val="0011614F"/>
    <w:rsid w:val="00116221"/>
    <w:rsid w:val="0011629D"/>
    <w:rsid w:val="001166D0"/>
    <w:rsid w:val="00116AC7"/>
    <w:rsid w:val="00116CD3"/>
    <w:rsid w:val="00117031"/>
    <w:rsid w:val="001170DB"/>
    <w:rsid w:val="00117A91"/>
    <w:rsid w:val="00117C72"/>
    <w:rsid w:val="00117CE2"/>
    <w:rsid w:val="00117D57"/>
    <w:rsid w:val="00120019"/>
    <w:rsid w:val="001201C1"/>
    <w:rsid w:val="001202A5"/>
    <w:rsid w:val="0012048D"/>
    <w:rsid w:val="00120535"/>
    <w:rsid w:val="0012073B"/>
    <w:rsid w:val="00120BA0"/>
    <w:rsid w:val="00120CD9"/>
    <w:rsid w:val="00120F44"/>
    <w:rsid w:val="00121030"/>
    <w:rsid w:val="001214C8"/>
    <w:rsid w:val="001215BA"/>
    <w:rsid w:val="00121BBB"/>
    <w:rsid w:val="00121EA8"/>
    <w:rsid w:val="0012225F"/>
    <w:rsid w:val="00122B8D"/>
    <w:rsid w:val="00122C7C"/>
    <w:rsid w:val="00122F23"/>
    <w:rsid w:val="00123114"/>
    <w:rsid w:val="0012311A"/>
    <w:rsid w:val="001231D9"/>
    <w:rsid w:val="0012323B"/>
    <w:rsid w:val="001233FA"/>
    <w:rsid w:val="00123524"/>
    <w:rsid w:val="001236CC"/>
    <w:rsid w:val="001237FC"/>
    <w:rsid w:val="00124284"/>
    <w:rsid w:val="001242F7"/>
    <w:rsid w:val="00124389"/>
    <w:rsid w:val="001243C8"/>
    <w:rsid w:val="0012465C"/>
    <w:rsid w:val="001248FE"/>
    <w:rsid w:val="00124B54"/>
    <w:rsid w:val="00124CE1"/>
    <w:rsid w:val="00124D78"/>
    <w:rsid w:val="00124F00"/>
    <w:rsid w:val="00124F52"/>
    <w:rsid w:val="001255CF"/>
    <w:rsid w:val="00125628"/>
    <w:rsid w:val="00125854"/>
    <w:rsid w:val="00125870"/>
    <w:rsid w:val="00125D3E"/>
    <w:rsid w:val="00125E19"/>
    <w:rsid w:val="00126478"/>
    <w:rsid w:val="0012657B"/>
    <w:rsid w:val="0012674D"/>
    <w:rsid w:val="00126CF4"/>
    <w:rsid w:val="00126E95"/>
    <w:rsid w:val="00126FB3"/>
    <w:rsid w:val="0012714C"/>
    <w:rsid w:val="00127298"/>
    <w:rsid w:val="0012757F"/>
    <w:rsid w:val="00127A80"/>
    <w:rsid w:val="00127E32"/>
    <w:rsid w:val="0013004E"/>
    <w:rsid w:val="0013083F"/>
    <w:rsid w:val="00130988"/>
    <w:rsid w:val="00130B7C"/>
    <w:rsid w:val="00130C22"/>
    <w:rsid w:val="00130DBF"/>
    <w:rsid w:val="00130DFA"/>
    <w:rsid w:val="0013124F"/>
    <w:rsid w:val="001315CC"/>
    <w:rsid w:val="00131706"/>
    <w:rsid w:val="00131969"/>
    <w:rsid w:val="00131A81"/>
    <w:rsid w:val="00131B55"/>
    <w:rsid w:val="00131D00"/>
    <w:rsid w:val="00131E7C"/>
    <w:rsid w:val="001323E3"/>
    <w:rsid w:val="001324D2"/>
    <w:rsid w:val="001325B0"/>
    <w:rsid w:val="00132A8A"/>
    <w:rsid w:val="00132B95"/>
    <w:rsid w:val="00132CBD"/>
    <w:rsid w:val="00133423"/>
    <w:rsid w:val="00133509"/>
    <w:rsid w:val="00133600"/>
    <w:rsid w:val="001336BC"/>
    <w:rsid w:val="001337AE"/>
    <w:rsid w:val="00133850"/>
    <w:rsid w:val="00133BC9"/>
    <w:rsid w:val="00133C5C"/>
    <w:rsid w:val="00133D34"/>
    <w:rsid w:val="00133D56"/>
    <w:rsid w:val="00134B39"/>
    <w:rsid w:val="00134CB3"/>
    <w:rsid w:val="00134CD1"/>
    <w:rsid w:val="001356DC"/>
    <w:rsid w:val="0013592C"/>
    <w:rsid w:val="00135B47"/>
    <w:rsid w:val="00135DE7"/>
    <w:rsid w:val="00135EFB"/>
    <w:rsid w:val="00136032"/>
    <w:rsid w:val="00136085"/>
    <w:rsid w:val="001365B1"/>
    <w:rsid w:val="00136975"/>
    <w:rsid w:val="001369A6"/>
    <w:rsid w:val="00136B30"/>
    <w:rsid w:val="00136B6D"/>
    <w:rsid w:val="00136F44"/>
    <w:rsid w:val="001372C0"/>
    <w:rsid w:val="001376F9"/>
    <w:rsid w:val="00137717"/>
    <w:rsid w:val="00137807"/>
    <w:rsid w:val="00137898"/>
    <w:rsid w:val="00137ACC"/>
    <w:rsid w:val="00137E7B"/>
    <w:rsid w:val="00140A6D"/>
    <w:rsid w:val="00140AB9"/>
    <w:rsid w:val="00140FC8"/>
    <w:rsid w:val="00141265"/>
    <w:rsid w:val="001414B8"/>
    <w:rsid w:val="00141CAF"/>
    <w:rsid w:val="00141DCE"/>
    <w:rsid w:val="00141ED8"/>
    <w:rsid w:val="00142101"/>
    <w:rsid w:val="00142135"/>
    <w:rsid w:val="00142227"/>
    <w:rsid w:val="00142365"/>
    <w:rsid w:val="001423F3"/>
    <w:rsid w:val="00142634"/>
    <w:rsid w:val="00142B14"/>
    <w:rsid w:val="00142E8C"/>
    <w:rsid w:val="00143921"/>
    <w:rsid w:val="001439DF"/>
    <w:rsid w:val="001439F7"/>
    <w:rsid w:val="00143B30"/>
    <w:rsid w:val="00143BFC"/>
    <w:rsid w:val="00143C88"/>
    <w:rsid w:val="00143CE0"/>
    <w:rsid w:val="00143DAA"/>
    <w:rsid w:val="00143F57"/>
    <w:rsid w:val="001441E5"/>
    <w:rsid w:val="00144640"/>
    <w:rsid w:val="001447DE"/>
    <w:rsid w:val="0014493E"/>
    <w:rsid w:val="00144B28"/>
    <w:rsid w:val="00145190"/>
    <w:rsid w:val="00145479"/>
    <w:rsid w:val="001454AF"/>
    <w:rsid w:val="00145678"/>
    <w:rsid w:val="001456B1"/>
    <w:rsid w:val="001457AE"/>
    <w:rsid w:val="00145F3E"/>
    <w:rsid w:val="00146292"/>
    <w:rsid w:val="00146392"/>
    <w:rsid w:val="001463DA"/>
    <w:rsid w:val="00146424"/>
    <w:rsid w:val="001464B0"/>
    <w:rsid w:val="001464DD"/>
    <w:rsid w:val="00146897"/>
    <w:rsid w:val="00146AFD"/>
    <w:rsid w:val="00146FDE"/>
    <w:rsid w:val="001471B8"/>
    <w:rsid w:val="001476B8"/>
    <w:rsid w:val="00147977"/>
    <w:rsid w:val="00147D76"/>
    <w:rsid w:val="00147FB9"/>
    <w:rsid w:val="0015013A"/>
    <w:rsid w:val="00150782"/>
    <w:rsid w:val="00150D09"/>
    <w:rsid w:val="00150DCF"/>
    <w:rsid w:val="00150E64"/>
    <w:rsid w:val="00150F76"/>
    <w:rsid w:val="00150FB7"/>
    <w:rsid w:val="0015114B"/>
    <w:rsid w:val="0015157C"/>
    <w:rsid w:val="001515A9"/>
    <w:rsid w:val="0015161E"/>
    <w:rsid w:val="001518CE"/>
    <w:rsid w:val="00151944"/>
    <w:rsid w:val="00151C41"/>
    <w:rsid w:val="00151FA3"/>
    <w:rsid w:val="00152243"/>
    <w:rsid w:val="00152304"/>
    <w:rsid w:val="0015230E"/>
    <w:rsid w:val="001526D2"/>
    <w:rsid w:val="001527DE"/>
    <w:rsid w:val="00152A78"/>
    <w:rsid w:val="00152E53"/>
    <w:rsid w:val="00153010"/>
    <w:rsid w:val="00153078"/>
    <w:rsid w:val="001531FA"/>
    <w:rsid w:val="00153299"/>
    <w:rsid w:val="0015345D"/>
    <w:rsid w:val="001538E6"/>
    <w:rsid w:val="00153EE7"/>
    <w:rsid w:val="00154164"/>
    <w:rsid w:val="001542B0"/>
    <w:rsid w:val="00154C49"/>
    <w:rsid w:val="00154CFC"/>
    <w:rsid w:val="001554F5"/>
    <w:rsid w:val="001555DA"/>
    <w:rsid w:val="001557DB"/>
    <w:rsid w:val="00155B37"/>
    <w:rsid w:val="00156199"/>
    <w:rsid w:val="00156306"/>
    <w:rsid w:val="0015648D"/>
    <w:rsid w:val="00156661"/>
    <w:rsid w:val="001569D8"/>
    <w:rsid w:val="0015700E"/>
    <w:rsid w:val="001570B8"/>
    <w:rsid w:val="0015725D"/>
    <w:rsid w:val="001579F7"/>
    <w:rsid w:val="00157D39"/>
    <w:rsid w:val="00157DFE"/>
    <w:rsid w:val="001601E6"/>
    <w:rsid w:val="0016032E"/>
    <w:rsid w:val="001603A3"/>
    <w:rsid w:val="00160610"/>
    <w:rsid w:val="00160A1E"/>
    <w:rsid w:val="0016139D"/>
    <w:rsid w:val="001615CF"/>
    <w:rsid w:val="001618DC"/>
    <w:rsid w:val="00161B64"/>
    <w:rsid w:val="00161CDB"/>
    <w:rsid w:val="00161F4B"/>
    <w:rsid w:val="00161FDC"/>
    <w:rsid w:val="00163058"/>
    <w:rsid w:val="00163309"/>
    <w:rsid w:val="001634E3"/>
    <w:rsid w:val="00163506"/>
    <w:rsid w:val="0016376F"/>
    <w:rsid w:val="0016388A"/>
    <w:rsid w:val="00163B92"/>
    <w:rsid w:val="00163E59"/>
    <w:rsid w:val="00163FCE"/>
    <w:rsid w:val="00164120"/>
    <w:rsid w:val="00164CB7"/>
    <w:rsid w:val="00164FA6"/>
    <w:rsid w:val="0016545D"/>
    <w:rsid w:val="00165829"/>
    <w:rsid w:val="00165A38"/>
    <w:rsid w:val="00165D5C"/>
    <w:rsid w:val="00165FFB"/>
    <w:rsid w:val="001663B5"/>
    <w:rsid w:val="00166B0B"/>
    <w:rsid w:val="00166D20"/>
    <w:rsid w:val="00166F45"/>
    <w:rsid w:val="001670C8"/>
    <w:rsid w:val="001672BA"/>
    <w:rsid w:val="001675AA"/>
    <w:rsid w:val="00167778"/>
    <w:rsid w:val="001677DA"/>
    <w:rsid w:val="00167844"/>
    <w:rsid w:val="00167B32"/>
    <w:rsid w:val="00170012"/>
    <w:rsid w:val="00170523"/>
    <w:rsid w:val="00170603"/>
    <w:rsid w:val="00170826"/>
    <w:rsid w:val="00170AE4"/>
    <w:rsid w:val="0017137C"/>
    <w:rsid w:val="001716B6"/>
    <w:rsid w:val="0017183A"/>
    <w:rsid w:val="001718AB"/>
    <w:rsid w:val="00171C42"/>
    <w:rsid w:val="00171D3D"/>
    <w:rsid w:val="00172032"/>
    <w:rsid w:val="0017223D"/>
    <w:rsid w:val="00172576"/>
    <w:rsid w:val="00172C5E"/>
    <w:rsid w:val="00172CAF"/>
    <w:rsid w:val="00172FBB"/>
    <w:rsid w:val="001730F9"/>
    <w:rsid w:val="001731A8"/>
    <w:rsid w:val="00173858"/>
    <w:rsid w:val="00173A4E"/>
    <w:rsid w:val="00173F95"/>
    <w:rsid w:val="001743F8"/>
    <w:rsid w:val="00174531"/>
    <w:rsid w:val="001748F6"/>
    <w:rsid w:val="00174AF4"/>
    <w:rsid w:val="00174B40"/>
    <w:rsid w:val="00174B5A"/>
    <w:rsid w:val="00174BB6"/>
    <w:rsid w:val="00174CA5"/>
    <w:rsid w:val="0017583F"/>
    <w:rsid w:val="001758BA"/>
    <w:rsid w:val="00175B8C"/>
    <w:rsid w:val="00175C86"/>
    <w:rsid w:val="00175CD9"/>
    <w:rsid w:val="00175E99"/>
    <w:rsid w:val="0017614D"/>
    <w:rsid w:val="0017635C"/>
    <w:rsid w:val="001764EB"/>
    <w:rsid w:val="001765E9"/>
    <w:rsid w:val="001767AF"/>
    <w:rsid w:val="001769CC"/>
    <w:rsid w:val="00176A47"/>
    <w:rsid w:val="00176BB8"/>
    <w:rsid w:val="00176D05"/>
    <w:rsid w:val="00176D12"/>
    <w:rsid w:val="00176E19"/>
    <w:rsid w:val="0017730C"/>
    <w:rsid w:val="001775C1"/>
    <w:rsid w:val="00177781"/>
    <w:rsid w:val="00177ADA"/>
    <w:rsid w:val="00177B36"/>
    <w:rsid w:val="001800E0"/>
    <w:rsid w:val="00180168"/>
    <w:rsid w:val="00180624"/>
    <w:rsid w:val="001806D1"/>
    <w:rsid w:val="00180B1A"/>
    <w:rsid w:val="00181011"/>
    <w:rsid w:val="0018103B"/>
    <w:rsid w:val="00181A0E"/>
    <w:rsid w:val="00181B29"/>
    <w:rsid w:val="00181D51"/>
    <w:rsid w:val="00182028"/>
    <w:rsid w:val="00182058"/>
    <w:rsid w:val="001823B5"/>
    <w:rsid w:val="00182414"/>
    <w:rsid w:val="0018252B"/>
    <w:rsid w:val="0018255C"/>
    <w:rsid w:val="00182A7D"/>
    <w:rsid w:val="00182F20"/>
    <w:rsid w:val="00182FAB"/>
    <w:rsid w:val="001830A2"/>
    <w:rsid w:val="00183143"/>
    <w:rsid w:val="0018326B"/>
    <w:rsid w:val="00183572"/>
    <w:rsid w:val="001835DC"/>
    <w:rsid w:val="00183A18"/>
    <w:rsid w:val="00183A39"/>
    <w:rsid w:val="00183B22"/>
    <w:rsid w:val="00183CB7"/>
    <w:rsid w:val="00183EC8"/>
    <w:rsid w:val="00184210"/>
    <w:rsid w:val="00184AD7"/>
    <w:rsid w:val="00184B8A"/>
    <w:rsid w:val="00184B99"/>
    <w:rsid w:val="00185032"/>
    <w:rsid w:val="00185217"/>
    <w:rsid w:val="00185497"/>
    <w:rsid w:val="001855C3"/>
    <w:rsid w:val="001858C4"/>
    <w:rsid w:val="001858E7"/>
    <w:rsid w:val="001859BC"/>
    <w:rsid w:val="001859F6"/>
    <w:rsid w:val="00185B72"/>
    <w:rsid w:val="00185C00"/>
    <w:rsid w:val="00185C16"/>
    <w:rsid w:val="0018612D"/>
    <w:rsid w:val="0018621A"/>
    <w:rsid w:val="00186602"/>
    <w:rsid w:val="00186A17"/>
    <w:rsid w:val="00187044"/>
    <w:rsid w:val="001870A5"/>
    <w:rsid w:val="00187253"/>
    <w:rsid w:val="00187424"/>
    <w:rsid w:val="001874BE"/>
    <w:rsid w:val="001874DA"/>
    <w:rsid w:val="00187646"/>
    <w:rsid w:val="001876DE"/>
    <w:rsid w:val="00187763"/>
    <w:rsid w:val="00187826"/>
    <w:rsid w:val="00187AC9"/>
    <w:rsid w:val="00187DD1"/>
    <w:rsid w:val="00190410"/>
    <w:rsid w:val="00190557"/>
    <w:rsid w:val="001907D6"/>
    <w:rsid w:val="0019086A"/>
    <w:rsid w:val="00190986"/>
    <w:rsid w:val="00190A39"/>
    <w:rsid w:val="00190AA2"/>
    <w:rsid w:val="00190CC5"/>
    <w:rsid w:val="0019193E"/>
    <w:rsid w:val="00191957"/>
    <w:rsid w:val="00191F25"/>
    <w:rsid w:val="0019261A"/>
    <w:rsid w:val="00192C7F"/>
    <w:rsid w:val="00192C89"/>
    <w:rsid w:val="00192E5C"/>
    <w:rsid w:val="001931A4"/>
    <w:rsid w:val="0019330A"/>
    <w:rsid w:val="001937D0"/>
    <w:rsid w:val="00193C90"/>
    <w:rsid w:val="00193EEA"/>
    <w:rsid w:val="00194280"/>
    <w:rsid w:val="001942E0"/>
    <w:rsid w:val="001942F7"/>
    <w:rsid w:val="00194356"/>
    <w:rsid w:val="001947C7"/>
    <w:rsid w:val="001947CE"/>
    <w:rsid w:val="001947E9"/>
    <w:rsid w:val="00194DD4"/>
    <w:rsid w:val="001955F9"/>
    <w:rsid w:val="00195879"/>
    <w:rsid w:val="00195C25"/>
    <w:rsid w:val="001960BF"/>
    <w:rsid w:val="00196411"/>
    <w:rsid w:val="0019656F"/>
    <w:rsid w:val="0019668B"/>
    <w:rsid w:val="001966FE"/>
    <w:rsid w:val="00196762"/>
    <w:rsid w:val="00196B05"/>
    <w:rsid w:val="00196BA6"/>
    <w:rsid w:val="00196BC3"/>
    <w:rsid w:val="00196DF8"/>
    <w:rsid w:val="0019720E"/>
    <w:rsid w:val="00197328"/>
    <w:rsid w:val="00197434"/>
    <w:rsid w:val="0019790F"/>
    <w:rsid w:val="00197B83"/>
    <w:rsid w:val="00197BE6"/>
    <w:rsid w:val="00197C25"/>
    <w:rsid w:val="00197DFD"/>
    <w:rsid w:val="001A0128"/>
    <w:rsid w:val="001A049C"/>
    <w:rsid w:val="001A1927"/>
    <w:rsid w:val="001A1DDD"/>
    <w:rsid w:val="001A2384"/>
    <w:rsid w:val="001A2594"/>
    <w:rsid w:val="001A25AB"/>
    <w:rsid w:val="001A2F81"/>
    <w:rsid w:val="001A3508"/>
    <w:rsid w:val="001A377D"/>
    <w:rsid w:val="001A37F8"/>
    <w:rsid w:val="001A387F"/>
    <w:rsid w:val="001A3CF2"/>
    <w:rsid w:val="001A404B"/>
    <w:rsid w:val="001A445A"/>
    <w:rsid w:val="001A4556"/>
    <w:rsid w:val="001A494A"/>
    <w:rsid w:val="001A4F42"/>
    <w:rsid w:val="001A4FB3"/>
    <w:rsid w:val="001A52D4"/>
    <w:rsid w:val="001A5349"/>
    <w:rsid w:val="001A559D"/>
    <w:rsid w:val="001A561E"/>
    <w:rsid w:val="001A5877"/>
    <w:rsid w:val="001A596E"/>
    <w:rsid w:val="001A5FC9"/>
    <w:rsid w:val="001A607E"/>
    <w:rsid w:val="001A660D"/>
    <w:rsid w:val="001A682D"/>
    <w:rsid w:val="001A6EDC"/>
    <w:rsid w:val="001A6F06"/>
    <w:rsid w:val="001A6FD2"/>
    <w:rsid w:val="001A70B4"/>
    <w:rsid w:val="001A7171"/>
    <w:rsid w:val="001A737C"/>
    <w:rsid w:val="001A74D3"/>
    <w:rsid w:val="001A770D"/>
    <w:rsid w:val="001A7AA7"/>
    <w:rsid w:val="001A7D85"/>
    <w:rsid w:val="001B0201"/>
    <w:rsid w:val="001B0357"/>
    <w:rsid w:val="001B050C"/>
    <w:rsid w:val="001B05AA"/>
    <w:rsid w:val="001B0830"/>
    <w:rsid w:val="001B0982"/>
    <w:rsid w:val="001B0AD3"/>
    <w:rsid w:val="001B0C70"/>
    <w:rsid w:val="001B0F00"/>
    <w:rsid w:val="001B18AC"/>
    <w:rsid w:val="001B19C3"/>
    <w:rsid w:val="001B217C"/>
    <w:rsid w:val="001B2400"/>
    <w:rsid w:val="001B2802"/>
    <w:rsid w:val="001B2E88"/>
    <w:rsid w:val="001B314C"/>
    <w:rsid w:val="001B3986"/>
    <w:rsid w:val="001B4517"/>
    <w:rsid w:val="001B47E7"/>
    <w:rsid w:val="001B4824"/>
    <w:rsid w:val="001B4983"/>
    <w:rsid w:val="001B5478"/>
    <w:rsid w:val="001B54B9"/>
    <w:rsid w:val="001B56AC"/>
    <w:rsid w:val="001B5C7E"/>
    <w:rsid w:val="001B5DD2"/>
    <w:rsid w:val="001B5F1B"/>
    <w:rsid w:val="001B6325"/>
    <w:rsid w:val="001B64B3"/>
    <w:rsid w:val="001B6694"/>
    <w:rsid w:val="001B67FB"/>
    <w:rsid w:val="001B6D4A"/>
    <w:rsid w:val="001B6E4A"/>
    <w:rsid w:val="001B6FEA"/>
    <w:rsid w:val="001B718C"/>
    <w:rsid w:val="001B7273"/>
    <w:rsid w:val="001B7C30"/>
    <w:rsid w:val="001B7FC2"/>
    <w:rsid w:val="001C025C"/>
    <w:rsid w:val="001C02C7"/>
    <w:rsid w:val="001C034B"/>
    <w:rsid w:val="001C0652"/>
    <w:rsid w:val="001C06BA"/>
    <w:rsid w:val="001C0CA1"/>
    <w:rsid w:val="001C0FAD"/>
    <w:rsid w:val="001C1B47"/>
    <w:rsid w:val="001C2230"/>
    <w:rsid w:val="001C2274"/>
    <w:rsid w:val="001C2620"/>
    <w:rsid w:val="001C2980"/>
    <w:rsid w:val="001C2B1F"/>
    <w:rsid w:val="001C3816"/>
    <w:rsid w:val="001C384D"/>
    <w:rsid w:val="001C39BB"/>
    <w:rsid w:val="001C3C12"/>
    <w:rsid w:val="001C3F29"/>
    <w:rsid w:val="001C4276"/>
    <w:rsid w:val="001C4599"/>
    <w:rsid w:val="001C4741"/>
    <w:rsid w:val="001C4811"/>
    <w:rsid w:val="001C4899"/>
    <w:rsid w:val="001C4935"/>
    <w:rsid w:val="001C4CB6"/>
    <w:rsid w:val="001C4E5F"/>
    <w:rsid w:val="001C54B5"/>
    <w:rsid w:val="001C5C41"/>
    <w:rsid w:val="001C615C"/>
    <w:rsid w:val="001C631B"/>
    <w:rsid w:val="001C6D67"/>
    <w:rsid w:val="001C7E55"/>
    <w:rsid w:val="001D030D"/>
    <w:rsid w:val="001D031E"/>
    <w:rsid w:val="001D049C"/>
    <w:rsid w:val="001D04B1"/>
    <w:rsid w:val="001D087D"/>
    <w:rsid w:val="001D0B7F"/>
    <w:rsid w:val="001D0DD2"/>
    <w:rsid w:val="001D1116"/>
    <w:rsid w:val="001D114D"/>
    <w:rsid w:val="001D117C"/>
    <w:rsid w:val="001D160C"/>
    <w:rsid w:val="001D1B3C"/>
    <w:rsid w:val="001D1BDC"/>
    <w:rsid w:val="001D1D3F"/>
    <w:rsid w:val="001D24C9"/>
    <w:rsid w:val="001D297A"/>
    <w:rsid w:val="001D2CCF"/>
    <w:rsid w:val="001D3194"/>
    <w:rsid w:val="001D34A2"/>
    <w:rsid w:val="001D35E8"/>
    <w:rsid w:val="001D3B0C"/>
    <w:rsid w:val="001D3D06"/>
    <w:rsid w:val="001D3F05"/>
    <w:rsid w:val="001D3F9C"/>
    <w:rsid w:val="001D4446"/>
    <w:rsid w:val="001D460F"/>
    <w:rsid w:val="001D4721"/>
    <w:rsid w:val="001D5334"/>
    <w:rsid w:val="001D5588"/>
    <w:rsid w:val="001D5656"/>
    <w:rsid w:val="001D5A7A"/>
    <w:rsid w:val="001D5DC7"/>
    <w:rsid w:val="001D6489"/>
    <w:rsid w:val="001D6AB4"/>
    <w:rsid w:val="001D7275"/>
    <w:rsid w:val="001D77FB"/>
    <w:rsid w:val="001D7944"/>
    <w:rsid w:val="001D7ACA"/>
    <w:rsid w:val="001D7DAB"/>
    <w:rsid w:val="001D7EF2"/>
    <w:rsid w:val="001D7FEF"/>
    <w:rsid w:val="001E0140"/>
    <w:rsid w:val="001E015D"/>
    <w:rsid w:val="001E07AC"/>
    <w:rsid w:val="001E0A1D"/>
    <w:rsid w:val="001E0A97"/>
    <w:rsid w:val="001E0DD1"/>
    <w:rsid w:val="001E107F"/>
    <w:rsid w:val="001E10D9"/>
    <w:rsid w:val="001E11E3"/>
    <w:rsid w:val="001E1702"/>
    <w:rsid w:val="001E1726"/>
    <w:rsid w:val="001E183F"/>
    <w:rsid w:val="001E196F"/>
    <w:rsid w:val="001E1AA4"/>
    <w:rsid w:val="001E1E89"/>
    <w:rsid w:val="001E1E9B"/>
    <w:rsid w:val="001E2188"/>
    <w:rsid w:val="001E21C4"/>
    <w:rsid w:val="001E2349"/>
    <w:rsid w:val="001E25ED"/>
    <w:rsid w:val="001E26EE"/>
    <w:rsid w:val="001E2F73"/>
    <w:rsid w:val="001E2FF0"/>
    <w:rsid w:val="001E3461"/>
    <w:rsid w:val="001E346D"/>
    <w:rsid w:val="001E367F"/>
    <w:rsid w:val="001E39B1"/>
    <w:rsid w:val="001E39F9"/>
    <w:rsid w:val="001E3F21"/>
    <w:rsid w:val="001E3FFA"/>
    <w:rsid w:val="001E4328"/>
    <w:rsid w:val="001E4C0A"/>
    <w:rsid w:val="001E4D55"/>
    <w:rsid w:val="001E4F5E"/>
    <w:rsid w:val="001E4F87"/>
    <w:rsid w:val="001E5656"/>
    <w:rsid w:val="001E5C99"/>
    <w:rsid w:val="001E5F64"/>
    <w:rsid w:val="001E624B"/>
    <w:rsid w:val="001E62EC"/>
    <w:rsid w:val="001E689D"/>
    <w:rsid w:val="001E7013"/>
    <w:rsid w:val="001E70ED"/>
    <w:rsid w:val="001E734C"/>
    <w:rsid w:val="001E75D1"/>
    <w:rsid w:val="001E7A63"/>
    <w:rsid w:val="001E7AFB"/>
    <w:rsid w:val="001F0025"/>
    <w:rsid w:val="001F02DB"/>
    <w:rsid w:val="001F02F8"/>
    <w:rsid w:val="001F0306"/>
    <w:rsid w:val="001F0431"/>
    <w:rsid w:val="001F0590"/>
    <w:rsid w:val="001F0CE9"/>
    <w:rsid w:val="001F0D64"/>
    <w:rsid w:val="001F0F19"/>
    <w:rsid w:val="001F0F7C"/>
    <w:rsid w:val="001F1022"/>
    <w:rsid w:val="001F10B9"/>
    <w:rsid w:val="001F117A"/>
    <w:rsid w:val="001F11FE"/>
    <w:rsid w:val="001F16EA"/>
    <w:rsid w:val="001F17D0"/>
    <w:rsid w:val="001F2997"/>
    <w:rsid w:val="001F29CF"/>
    <w:rsid w:val="001F2F96"/>
    <w:rsid w:val="001F35BB"/>
    <w:rsid w:val="001F36D5"/>
    <w:rsid w:val="001F3954"/>
    <w:rsid w:val="001F3E80"/>
    <w:rsid w:val="001F3F5F"/>
    <w:rsid w:val="001F4257"/>
    <w:rsid w:val="001F434A"/>
    <w:rsid w:val="001F4465"/>
    <w:rsid w:val="001F45C7"/>
    <w:rsid w:val="001F45E6"/>
    <w:rsid w:val="001F4679"/>
    <w:rsid w:val="001F4B5B"/>
    <w:rsid w:val="001F4DA8"/>
    <w:rsid w:val="001F4E7C"/>
    <w:rsid w:val="001F4E93"/>
    <w:rsid w:val="001F4F0A"/>
    <w:rsid w:val="001F52C0"/>
    <w:rsid w:val="001F57AF"/>
    <w:rsid w:val="001F5886"/>
    <w:rsid w:val="001F5BCA"/>
    <w:rsid w:val="001F5E34"/>
    <w:rsid w:val="001F5FBC"/>
    <w:rsid w:val="001F64BB"/>
    <w:rsid w:val="001F68E9"/>
    <w:rsid w:val="001F6E93"/>
    <w:rsid w:val="001F70E6"/>
    <w:rsid w:val="001F72EE"/>
    <w:rsid w:val="001F7395"/>
    <w:rsid w:val="001F73A7"/>
    <w:rsid w:val="001F74EB"/>
    <w:rsid w:val="001F761D"/>
    <w:rsid w:val="001F7C92"/>
    <w:rsid w:val="001F7FE7"/>
    <w:rsid w:val="0020007C"/>
    <w:rsid w:val="00200221"/>
    <w:rsid w:val="002003AC"/>
    <w:rsid w:val="002008FF"/>
    <w:rsid w:val="00200A47"/>
    <w:rsid w:val="00200F9A"/>
    <w:rsid w:val="0020157D"/>
    <w:rsid w:val="00201612"/>
    <w:rsid w:val="002016F1"/>
    <w:rsid w:val="0020173F"/>
    <w:rsid w:val="00201B6C"/>
    <w:rsid w:val="00201CA6"/>
    <w:rsid w:val="0020228D"/>
    <w:rsid w:val="00202341"/>
    <w:rsid w:val="00202374"/>
    <w:rsid w:val="002024C0"/>
    <w:rsid w:val="00202B23"/>
    <w:rsid w:val="00202C7E"/>
    <w:rsid w:val="00202DA8"/>
    <w:rsid w:val="00202DD6"/>
    <w:rsid w:val="00202FBE"/>
    <w:rsid w:val="0020304F"/>
    <w:rsid w:val="00203249"/>
    <w:rsid w:val="0020363C"/>
    <w:rsid w:val="00203E76"/>
    <w:rsid w:val="00204315"/>
    <w:rsid w:val="00204680"/>
    <w:rsid w:val="002049A8"/>
    <w:rsid w:val="00204A20"/>
    <w:rsid w:val="00204AD5"/>
    <w:rsid w:val="00204E5A"/>
    <w:rsid w:val="0020539B"/>
    <w:rsid w:val="00205467"/>
    <w:rsid w:val="00205A62"/>
    <w:rsid w:val="00205C0E"/>
    <w:rsid w:val="00205F87"/>
    <w:rsid w:val="00205FC9"/>
    <w:rsid w:val="002060A0"/>
    <w:rsid w:val="00206463"/>
    <w:rsid w:val="00206869"/>
    <w:rsid w:val="0020695B"/>
    <w:rsid w:val="002070DC"/>
    <w:rsid w:val="00207548"/>
    <w:rsid w:val="00207831"/>
    <w:rsid w:val="002079EB"/>
    <w:rsid w:val="00207A33"/>
    <w:rsid w:val="0021028B"/>
    <w:rsid w:val="002103C3"/>
    <w:rsid w:val="0021042E"/>
    <w:rsid w:val="002106F1"/>
    <w:rsid w:val="00210A18"/>
    <w:rsid w:val="00210AE1"/>
    <w:rsid w:val="00210B6B"/>
    <w:rsid w:val="00210DDA"/>
    <w:rsid w:val="0021158C"/>
    <w:rsid w:val="002116A2"/>
    <w:rsid w:val="00211A92"/>
    <w:rsid w:val="00211BDF"/>
    <w:rsid w:val="002120B5"/>
    <w:rsid w:val="00212185"/>
    <w:rsid w:val="0021218B"/>
    <w:rsid w:val="002121F3"/>
    <w:rsid w:val="002124D8"/>
    <w:rsid w:val="002128EC"/>
    <w:rsid w:val="00212B3B"/>
    <w:rsid w:val="00212B61"/>
    <w:rsid w:val="00212DB7"/>
    <w:rsid w:val="00212F36"/>
    <w:rsid w:val="00212FB9"/>
    <w:rsid w:val="00212FF7"/>
    <w:rsid w:val="0021360C"/>
    <w:rsid w:val="002136DC"/>
    <w:rsid w:val="00213AC3"/>
    <w:rsid w:val="00213BA4"/>
    <w:rsid w:val="00213BB3"/>
    <w:rsid w:val="00213BF2"/>
    <w:rsid w:val="00214105"/>
    <w:rsid w:val="002141A3"/>
    <w:rsid w:val="00214232"/>
    <w:rsid w:val="00214EF7"/>
    <w:rsid w:val="00214F47"/>
    <w:rsid w:val="0021505B"/>
    <w:rsid w:val="002151EE"/>
    <w:rsid w:val="002153CF"/>
    <w:rsid w:val="00215565"/>
    <w:rsid w:val="002155D8"/>
    <w:rsid w:val="0021568E"/>
    <w:rsid w:val="00215EAA"/>
    <w:rsid w:val="00216137"/>
    <w:rsid w:val="0021626F"/>
    <w:rsid w:val="00216272"/>
    <w:rsid w:val="002163E0"/>
    <w:rsid w:val="0021665D"/>
    <w:rsid w:val="00216727"/>
    <w:rsid w:val="00216772"/>
    <w:rsid w:val="00216929"/>
    <w:rsid w:val="00216B0D"/>
    <w:rsid w:val="00216BF5"/>
    <w:rsid w:val="00216E31"/>
    <w:rsid w:val="00216E5F"/>
    <w:rsid w:val="00216F7B"/>
    <w:rsid w:val="00217433"/>
    <w:rsid w:val="00217846"/>
    <w:rsid w:val="00217CF9"/>
    <w:rsid w:val="00217EEA"/>
    <w:rsid w:val="002204DD"/>
    <w:rsid w:val="00220511"/>
    <w:rsid w:val="002206A6"/>
    <w:rsid w:val="00220951"/>
    <w:rsid w:val="00220CCA"/>
    <w:rsid w:val="002211D4"/>
    <w:rsid w:val="002212AB"/>
    <w:rsid w:val="00221788"/>
    <w:rsid w:val="00221F7A"/>
    <w:rsid w:val="00221FD6"/>
    <w:rsid w:val="00222803"/>
    <w:rsid w:val="00222C23"/>
    <w:rsid w:val="0022310E"/>
    <w:rsid w:val="002232FE"/>
    <w:rsid w:val="002237C8"/>
    <w:rsid w:val="00223836"/>
    <w:rsid w:val="00223A96"/>
    <w:rsid w:val="00223AC2"/>
    <w:rsid w:val="00223B7C"/>
    <w:rsid w:val="00223BA9"/>
    <w:rsid w:val="00223CF7"/>
    <w:rsid w:val="00223D47"/>
    <w:rsid w:val="00223E4D"/>
    <w:rsid w:val="00223EB4"/>
    <w:rsid w:val="00223ED8"/>
    <w:rsid w:val="002240BA"/>
    <w:rsid w:val="00224227"/>
    <w:rsid w:val="0022466A"/>
    <w:rsid w:val="00224863"/>
    <w:rsid w:val="00224A77"/>
    <w:rsid w:val="00224F8D"/>
    <w:rsid w:val="00225061"/>
    <w:rsid w:val="002250BB"/>
    <w:rsid w:val="002250CE"/>
    <w:rsid w:val="0022520C"/>
    <w:rsid w:val="002256B1"/>
    <w:rsid w:val="00225C30"/>
    <w:rsid w:val="00225C88"/>
    <w:rsid w:val="002262EF"/>
    <w:rsid w:val="0022654F"/>
    <w:rsid w:val="002266D7"/>
    <w:rsid w:val="002268D0"/>
    <w:rsid w:val="002269BC"/>
    <w:rsid w:val="00226C10"/>
    <w:rsid w:val="00226C84"/>
    <w:rsid w:val="00226E0C"/>
    <w:rsid w:val="00226FEF"/>
    <w:rsid w:val="002270DD"/>
    <w:rsid w:val="002273A4"/>
    <w:rsid w:val="0022751C"/>
    <w:rsid w:val="0022757B"/>
    <w:rsid w:val="002275DB"/>
    <w:rsid w:val="0022769D"/>
    <w:rsid w:val="00227B7B"/>
    <w:rsid w:val="0023019E"/>
    <w:rsid w:val="002304B9"/>
    <w:rsid w:val="0023053E"/>
    <w:rsid w:val="00230B96"/>
    <w:rsid w:val="00230BE0"/>
    <w:rsid w:val="00230D97"/>
    <w:rsid w:val="0023110D"/>
    <w:rsid w:val="00231179"/>
    <w:rsid w:val="00231507"/>
    <w:rsid w:val="0023173F"/>
    <w:rsid w:val="002317CB"/>
    <w:rsid w:val="002317CE"/>
    <w:rsid w:val="00231BFB"/>
    <w:rsid w:val="00231DB6"/>
    <w:rsid w:val="002321CB"/>
    <w:rsid w:val="002325AF"/>
    <w:rsid w:val="00232605"/>
    <w:rsid w:val="002326AB"/>
    <w:rsid w:val="00232908"/>
    <w:rsid w:val="00232B34"/>
    <w:rsid w:val="00232CFE"/>
    <w:rsid w:val="00233005"/>
    <w:rsid w:val="0023305B"/>
    <w:rsid w:val="00233450"/>
    <w:rsid w:val="0023345B"/>
    <w:rsid w:val="00233705"/>
    <w:rsid w:val="002337C1"/>
    <w:rsid w:val="002338B5"/>
    <w:rsid w:val="00233968"/>
    <w:rsid w:val="00233A8F"/>
    <w:rsid w:val="00233ABC"/>
    <w:rsid w:val="00233AED"/>
    <w:rsid w:val="002340E8"/>
    <w:rsid w:val="00234292"/>
    <w:rsid w:val="00234322"/>
    <w:rsid w:val="00234C7B"/>
    <w:rsid w:val="00234E07"/>
    <w:rsid w:val="002352F6"/>
    <w:rsid w:val="00235331"/>
    <w:rsid w:val="002353C1"/>
    <w:rsid w:val="0023548E"/>
    <w:rsid w:val="00235A96"/>
    <w:rsid w:val="00235DD8"/>
    <w:rsid w:val="00235FBA"/>
    <w:rsid w:val="0023601B"/>
    <w:rsid w:val="00236100"/>
    <w:rsid w:val="00236539"/>
    <w:rsid w:val="002368CE"/>
    <w:rsid w:val="002377D7"/>
    <w:rsid w:val="00237BB6"/>
    <w:rsid w:val="00237CC4"/>
    <w:rsid w:val="00237E4C"/>
    <w:rsid w:val="00237FD2"/>
    <w:rsid w:val="00240233"/>
    <w:rsid w:val="00240288"/>
    <w:rsid w:val="0024039C"/>
    <w:rsid w:val="002409CC"/>
    <w:rsid w:val="00240E24"/>
    <w:rsid w:val="00240EC2"/>
    <w:rsid w:val="00240FA1"/>
    <w:rsid w:val="002413F7"/>
    <w:rsid w:val="002414A7"/>
    <w:rsid w:val="00241F0F"/>
    <w:rsid w:val="00242031"/>
    <w:rsid w:val="00242142"/>
    <w:rsid w:val="00242693"/>
    <w:rsid w:val="00242C3C"/>
    <w:rsid w:val="00242E66"/>
    <w:rsid w:val="00243123"/>
    <w:rsid w:val="002432E5"/>
    <w:rsid w:val="00243761"/>
    <w:rsid w:val="00243C6D"/>
    <w:rsid w:val="00243D0C"/>
    <w:rsid w:val="00244031"/>
    <w:rsid w:val="002440C1"/>
    <w:rsid w:val="0024428E"/>
    <w:rsid w:val="002443ED"/>
    <w:rsid w:val="0024455F"/>
    <w:rsid w:val="002445A0"/>
    <w:rsid w:val="00244B52"/>
    <w:rsid w:val="00244B6D"/>
    <w:rsid w:val="00244D3C"/>
    <w:rsid w:val="00244D5E"/>
    <w:rsid w:val="00245086"/>
    <w:rsid w:val="0024525A"/>
    <w:rsid w:val="002455C8"/>
    <w:rsid w:val="0024590D"/>
    <w:rsid w:val="00245BFB"/>
    <w:rsid w:val="00245FA9"/>
    <w:rsid w:val="002460F5"/>
    <w:rsid w:val="00246459"/>
    <w:rsid w:val="002464E7"/>
    <w:rsid w:val="00246D69"/>
    <w:rsid w:val="00247192"/>
    <w:rsid w:val="00247402"/>
    <w:rsid w:val="00247A98"/>
    <w:rsid w:val="00247FB7"/>
    <w:rsid w:val="00250166"/>
    <w:rsid w:val="002501E9"/>
    <w:rsid w:val="0025051E"/>
    <w:rsid w:val="00250901"/>
    <w:rsid w:val="002511B2"/>
    <w:rsid w:val="0025154F"/>
    <w:rsid w:val="002516F8"/>
    <w:rsid w:val="00251847"/>
    <w:rsid w:val="00251B3D"/>
    <w:rsid w:val="00251DF3"/>
    <w:rsid w:val="00252404"/>
    <w:rsid w:val="002525C9"/>
    <w:rsid w:val="00252C22"/>
    <w:rsid w:val="002530AA"/>
    <w:rsid w:val="002532F1"/>
    <w:rsid w:val="00253366"/>
    <w:rsid w:val="00253555"/>
    <w:rsid w:val="00253578"/>
    <w:rsid w:val="002535CA"/>
    <w:rsid w:val="002538C8"/>
    <w:rsid w:val="00253AFB"/>
    <w:rsid w:val="00253BF4"/>
    <w:rsid w:val="00253CD2"/>
    <w:rsid w:val="00253F47"/>
    <w:rsid w:val="00254051"/>
    <w:rsid w:val="002540F0"/>
    <w:rsid w:val="0025428E"/>
    <w:rsid w:val="00254C3A"/>
    <w:rsid w:val="002550B5"/>
    <w:rsid w:val="002555A4"/>
    <w:rsid w:val="00255712"/>
    <w:rsid w:val="00255A91"/>
    <w:rsid w:val="00255C28"/>
    <w:rsid w:val="00255C55"/>
    <w:rsid w:val="00256238"/>
    <w:rsid w:val="0025632F"/>
    <w:rsid w:val="00256394"/>
    <w:rsid w:val="00256A9D"/>
    <w:rsid w:val="0025728E"/>
    <w:rsid w:val="00257577"/>
    <w:rsid w:val="0025770E"/>
    <w:rsid w:val="00257B89"/>
    <w:rsid w:val="00257F4E"/>
    <w:rsid w:val="002603DA"/>
    <w:rsid w:val="002605CF"/>
    <w:rsid w:val="002606BD"/>
    <w:rsid w:val="00260BF4"/>
    <w:rsid w:val="00261057"/>
    <w:rsid w:val="002613D3"/>
    <w:rsid w:val="0026188A"/>
    <w:rsid w:val="00261E49"/>
    <w:rsid w:val="0026268E"/>
    <w:rsid w:val="002626A4"/>
    <w:rsid w:val="00262EC3"/>
    <w:rsid w:val="00262F5E"/>
    <w:rsid w:val="00262F93"/>
    <w:rsid w:val="00263209"/>
    <w:rsid w:val="00263881"/>
    <w:rsid w:val="00263913"/>
    <w:rsid w:val="00263DDC"/>
    <w:rsid w:val="002641AD"/>
    <w:rsid w:val="00264215"/>
    <w:rsid w:val="00264285"/>
    <w:rsid w:val="002646C2"/>
    <w:rsid w:val="00264879"/>
    <w:rsid w:val="00265309"/>
    <w:rsid w:val="00265310"/>
    <w:rsid w:val="00265412"/>
    <w:rsid w:val="002656D1"/>
    <w:rsid w:val="0026573E"/>
    <w:rsid w:val="00265935"/>
    <w:rsid w:val="00265AB8"/>
    <w:rsid w:val="00265C25"/>
    <w:rsid w:val="002663D1"/>
    <w:rsid w:val="0026651E"/>
    <w:rsid w:val="0026675C"/>
    <w:rsid w:val="0026677B"/>
    <w:rsid w:val="00266A23"/>
    <w:rsid w:val="00266A81"/>
    <w:rsid w:val="002673DA"/>
    <w:rsid w:val="00267474"/>
    <w:rsid w:val="002679E7"/>
    <w:rsid w:val="00267CCE"/>
    <w:rsid w:val="00267F64"/>
    <w:rsid w:val="00270052"/>
    <w:rsid w:val="002700E2"/>
    <w:rsid w:val="00270331"/>
    <w:rsid w:val="002705B8"/>
    <w:rsid w:val="0027076D"/>
    <w:rsid w:val="00270AC4"/>
    <w:rsid w:val="00270B17"/>
    <w:rsid w:val="00270B47"/>
    <w:rsid w:val="00270E52"/>
    <w:rsid w:val="00270FB8"/>
    <w:rsid w:val="00271C8F"/>
    <w:rsid w:val="00272051"/>
    <w:rsid w:val="002721BA"/>
    <w:rsid w:val="002723AD"/>
    <w:rsid w:val="0027268C"/>
    <w:rsid w:val="002726B2"/>
    <w:rsid w:val="00272727"/>
    <w:rsid w:val="00272A98"/>
    <w:rsid w:val="00272BFF"/>
    <w:rsid w:val="0027303E"/>
    <w:rsid w:val="0027319C"/>
    <w:rsid w:val="00273434"/>
    <w:rsid w:val="00273629"/>
    <w:rsid w:val="0027365B"/>
    <w:rsid w:val="002736A3"/>
    <w:rsid w:val="0027383B"/>
    <w:rsid w:val="00273A2F"/>
    <w:rsid w:val="00273AAF"/>
    <w:rsid w:val="00273C08"/>
    <w:rsid w:val="00273D77"/>
    <w:rsid w:val="0027413C"/>
    <w:rsid w:val="002744E4"/>
    <w:rsid w:val="00274634"/>
    <w:rsid w:val="00274980"/>
    <w:rsid w:val="00274BF3"/>
    <w:rsid w:val="00274E5C"/>
    <w:rsid w:val="00275207"/>
    <w:rsid w:val="0027527D"/>
    <w:rsid w:val="00275329"/>
    <w:rsid w:val="002753C6"/>
    <w:rsid w:val="002753DF"/>
    <w:rsid w:val="002754F8"/>
    <w:rsid w:val="0027567D"/>
    <w:rsid w:val="002757CE"/>
    <w:rsid w:val="00275E76"/>
    <w:rsid w:val="00275F6D"/>
    <w:rsid w:val="0027621B"/>
    <w:rsid w:val="0027627C"/>
    <w:rsid w:val="002762D6"/>
    <w:rsid w:val="00276456"/>
    <w:rsid w:val="00276BE9"/>
    <w:rsid w:val="00276C66"/>
    <w:rsid w:val="00276DA7"/>
    <w:rsid w:val="00276DEB"/>
    <w:rsid w:val="002774DB"/>
    <w:rsid w:val="0027752C"/>
    <w:rsid w:val="00277ED4"/>
    <w:rsid w:val="00277F6D"/>
    <w:rsid w:val="002802E4"/>
    <w:rsid w:val="0028071A"/>
    <w:rsid w:val="002809CD"/>
    <w:rsid w:val="00280D73"/>
    <w:rsid w:val="00280E55"/>
    <w:rsid w:val="00280F19"/>
    <w:rsid w:val="00281654"/>
    <w:rsid w:val="0028169E"/>
    <w:rsid w:val="00282409"/>
    <w:rsid w:val="00282422"/>
    <w:rsid w:val="00282638"/>
    <w:rsid w:val="0028287E"/>
    <w:rsid w:val="00282D65"/>
    <w:rsid w:val="0028310D"/>
    <w:rsid w:val="0028331F"/>
    <w:rsid w:val="002837E9"/>
    <w:rsid w:val="00283891"/>
    <w:rsid w:val="00283D61"/>
    <w:rsid w:val="00283DCB"/>
    <w:rsid w:val="00284392"/>
    <w:rsid w:val="00284AA4"/>
    <w:rsid w:val="00284CFA"/>
    <w:rsid w:val="00284EAC"/>
    <w:rsid w:val="00285191"/>
    <w:rsid w:val="002851FF"/>
    <w:rsid w:val="002853ED"/>
    <w:rsid w:val="00285565"/>
    <w:rsid w:val="002855C0"/>
    <w:rsid w:val="00285715"/>
    <w:rsid w:val="00285DC1"/>
    <w:rsid w:val="00285DC4"/>
    <w:rsid w:val="00285EB3"/>
    <w:rsid w:val="00285ECE"/>
    <w:rsid w:val="0028609A"/>
    <w:rsid w:val="002862C9"/>
    <w:rsid w:val="002865B2"/>
    <w:rsid w:val="0028697D"/>
    <w:rsid w:val="002869F2"/>
    <w:rsid w:val="00286CAD"/>
    <w:rsid w:val="00286CC9"/>
    <w:rsid w:val="00287229"/>
    <w:rsid w:val="00287348"/>
    <w:rsid w:val="0028737F"/>
    <w:rsid w:val="002873FC"/>
    <w:rsid w:val="00287437"/>
    <w:rsid w:val="00287448"/>
    <w:rsid w:val="0028751C"/>
    <w:rsid w:val="002875A7"/>
    <w:rsid w:val="002879A9"/>
    <w:rsid w:val="00287CF7"/>
    <w:rsid w:val="00287F88"/>
    <w:rsid w:val="002903CC"/>
    <w:rsid w:val="00290470"/>
    <w:rsid w:val="0029047C"/>
    <w:rsid w:val="002904AB"/>
    <w:rsid w:val="00290646"/>
    <w:rsid w:val="002908CC"/>
    <w:rsid w:val="00290B43"/>
    <w:rsid w:val="00290DDA"/>
    <w:rsid w:val="00291301"/>
    <w:rsid w:val="00291765"/>
    <w:rsid w:val="00291770"/>
    <w:rsid w:val="00291B1D"/>
    <w:rsid w:val="00291C7B"/>
    <w:rsid w:val="0029206D"/>
    <w:rsid w:val="0029290F"/>
    <w:rsid w:val="00292A8D"/>
    <w:rsid w:val="00292AB6"/>
    <w:rsid w:val="00292AC6"/>
    <w:rsid w:val="00292D54"/>
    <w:rsid w:val="0029388F"/>
    <w:rsid w:val="00293CD8"/>
    <w:rsid w:val="00293CF0"/>
    <w:rsid w:val="002940DB"/>
    <w:rsid w:val="002947B8"/>
    <w:rsid w:val="00294BC6"/>
    <w:rsid w:val="00294ED4"/>
    <w:rsid w:val="0029574C"/>
    <w:rsid w:val="00295C2C"/>
    <w:rsid w:val="0029607C"/>
    <w:rsid w:val="002964F0"/>
    <w:rsid w:val="002969B6"/>
    <w:rsid w:val="00296D61"/>
    <w:rsid w:val="00296DCF"/>
    <w:rsid w:val="00296F48"/>
    <w:rsid w:val="00297181"/>
    <w:rsid w:val="00297621"/>
    <w:rsid w:val="00297728"/>
    <w:rsid w:val="002977D0"/>
    <w:rsid w:val="00297E66"/>
    <w:rsid w:val="00297EEE"/>
    <w:rsid w:val="002A0717"/>
    <w:rsid w:val="002A08F1"/>
    <w:rsid w:val="002A0A81"/>
    <w:rsid w:val="002A0AFE"/>
    <w:rsid w:val="002A0C64"/>
    <w:rsid w:val="002A0D18"/>
    <w:rsid w:val="002A18CE"/>
    <w:rsid w:val="002A1DF6"/>
    <w:rsid w:val="002A1E67"/>
    <w:rsid w:val="002A211F"/>
    <w:rsid w:val="002A22ED"/>
    <w:rsid w:val="002A273B"/>
    <w:rsid w:val="002A281E"/>
    <w:rsid w:val="002A28F1"/>
    <w:rsid w:val="002A2B9A"/>
    <w:rsid w:val="002A2BB9"/>
    <w:rsid w:val="002A3200"/>
    <w:rsid w:val="002A32CB"/>
    <w:rsid w:val="002A334C"/>
    <w:rsid w:val="002A38AB"/>
    <w:rsid w:val="002A3BF2"/>
    <w:rsid w:val="002A3CBA"/>
    <w:rsid w:val="002A40C4"/>
    <w:rsid w:val="002A4178"/>
    <w:rsid w:val="002A4325"/>
    <w:rsid w:val="002A44D0"/>
    <w:rsid w:val="002A454A"/>
    <w:rsid w:val="002A46D5"/>
    <w:rsid w:val="002A4917"/>
    <w:rsid w:val="002A4929"/>
    <w:rsid w:val="002A49E2"/>
    <w:rsid w:val="002A57D3"/>
    <w:rsid w:val="002A58A1"/>
    <w:rsid w:val="002A5992"/>
    <w:rsid w:val="002A5C1D"/>
    <w:rsid w:val="002A669F"/>
    <w:rsid w:val="002A6704"/>
    <w:rsid w:val="002A6932"/>
    <w:rsid w:val="002A6E72"/>
    <w:rsid w:val="002A6F6E"/>
    <w:rsid w:val="002A77DD"/>
    <w:rsid w:val="002A7982"/>
    <w:rsid w:val="002A7A1B"/>
    <w:rsid w:val="002A7B8E"/>
    <w:rsid w:val="002B010F"/>
    <w:rsid w:val="002B02B7"/>
    <w:rsid w:val="002B06AA"/>
    <w:rsid w:val="002B1052"/>
    <w:rsid w:val="002B11FF"/>
    <w:rsid w:val="002B19BA"/>
    <w:rsid w:val="002B1C77"/>
    <w:rsid w:val="002B24EC"/>
    <w:rsid w:val="002B2A02"/>
    <w:rsid w:val="002B2E7E"/>
    <w:rsid w:val="002B3071"/>
    <w:rsid w:val="002B3C3A"/>
    <w:rsid w:val="002B3CA0"/>
    <w:rsid w:val="002B3E7F"/>
    <w:rsid w:val="002B3F40"/>
    <w:rsid w:val="002B428A"/>
    <w:rsid w:val="002B448A"/>
    <w:rsid w:val="002B44C3"/>
    <w:rsid w:val="002B4EC1"/>
    <w:rsid w:val="002B5173"/>
    <w:rsid w:val="002B51F2"/>
    <w:rsid w:val="002B5231"/>
    <w:rsid w:val="002B533B"/>
    <w:rsid w:val="002B5880"/>
    <w:rsid w:val="002B5882"/>
    <w:rsid w:val="002B5BA9"/>
    <w:rsid w:val="002B5F1D"/>
    <w:rsid w:val="002B6126"/>
    <w:rsid w:val="002B629B"/>
    <w:rsid w:val="002B643D"/>
    <w:rsid w:val="002B64D4"/>
    <w:rsid w:val="002B6652"/>
    <w:rsid w:val="002B6802"/>
    <w:rsid w:val="002B6871"/>
    <w:rsid w:val="002B69CC"/>
    <w:rsid w:val="002B6F64"/>
    <w:rsid w:val="002B6FD4"/>
    <w:rsid w:val="002B7313"/>
    <w:rsid w:val="002B74E1"/>
    <w:rsid w:val="002B77DC"/>
    <w:rsid w:val="002B7C39"/>
    <w:rsid w:val="002B7FED"/>
    <w:rsid w:val="002C010B"/>
    <w:rsid w:val="002C01B9"/>
    <w:rsid w:val="002C0788"/>
    <w:rsid w:val="002C091C"/>
    <w:rsid w:val="002C0964"/>
    <w:rsid w:val="002C0A7D"/>
    <w:rsid w:val="002C1772"/>
    <w:rsid w:val="002C1C29"/>
    <w:rsid w:val="002C1E8B"/>
    <w:rsid w:val="002C222A"/>
    <w:rsid w:val="002C23FF"/>
    <w:rsid w:val="002C24D2"/>
    <w:rsid w:val="002C2511"/>
    <w:rsid w:val="002C2557"/>
    <w:rsid w:val="002C2BE2"/>
    <w:rsid w:val="002C2F06"/>
    <w:rsid w:val="002C37EC"/>
    <w:rsid w:val="002C3993"/>
    <w:rsid w:val="002C39B4"/>
    <w:rsid w:val="002C3BBF"/>
    <w:rsid w:val="002C3EF4"/>
    <w:rsid w:val="002C404F"/>
    <w:rsid w:val="002C47EC"/>
    <w:rsid w:val="002C484D"/>
    <w:rsid w:val="002C4D90"/>
    <w:rsid w:val="002C5159"/>
    <w:rsid w:val="002C51F4"/>
    <w:rsid w:val="002C58EC"/>
    <w:rsid w:val="002C5ACC"/>
    <w:rsid w:val="002C5BC3"/>
    <w:rsid w:val="002C5C1A"/>
    <w:rsid w:val="002C5C38"/>
    <w:rsid w:val="002C5C55"/>
    <w:rsid w:val="002C617D"/>
    <w:rsid w:val="002C648E"/>
    <w:rsid w:val="002C6888"/>
    <w:rsid w:val="002C692E"/>
    <w:rsid w:val="002C70D4"/>
    <w:rsid w:val="002C74ED"/>
    <w:rsid w:val="002C7BC0"/>
    <w:rsid w:val="002C7CBC"/>
    <w:rsid w:val="002D006B"/>
    <w:rsid w:val="002D00E6"/>
    <w:rsid w:val="002D04A7"/>
    <w:rsid w:val="002D0564"/>
    <w:rsid w:val="002D05CD"/>
    <w:rsid w:val="002D088C"/>
    <w:rsid w:val="002D09E4"/>
    <w:rsid w:val="002D0BBE"/>
    <w:rsid w:val="002D0D93"/>
    <w:rsid w:val="002D0E9F"/>
    <w:rsid w:val="002D0FDE"/>
    <w:rsid w:val="002D112B"/>
    <w:rsid w:val="002D1185"/>
    <w:rsid w:val="002D134C"/>
    <w:rsid w:val="002D14C5"/>
    <w:rsid w:val="002D16F4"/>
    <w:rsid w:val="002D17A6"/>
    <w:rsid w:val="002D1825"/>
    <w:rsid w:val="002D1B18"/>
    <w:rsid w:val="002D1F0F"/>
    <w:rsid w:val="002D1FF2"/>
    <w:rsid w:val="002D2170"/>
    <w:rsid w:val="002D21A5"/>
    <w:rsid w:val="002D222D"/>
    <w:rsid w:val="002D2304"/>
    <w:rsid w:val="002D2461"/>
    <w:rsid w:val="002D2546"/>
    <w:rsid w:val="002D271A"/>
    <w:rsid w:val="002D280E"/>
    <w:rsid w:val="002D2A94"/>
    <w:rsid w:val="002D2AFC"/>
    <w:rsid w:val="002D2D26"/>
    <w:rsid w:val="002D2DB2"/>
    <w:rsid w:val="002D3337"/>
    <w:rsid w:val="002D33B2"/>
    <w:rsid w:val="002D375C"/>
    <w:rsid w:val="002D393D"/>
    <w:rsid w:val="002D3A9D"/>
    <w:rsid w:val="002D3B78"/>
    <w:rsid w:val="002D3CBD"/>
    <w:rsid w:val="002D3CC1"/>
    <w:rsid w:val="002D408C"/>
    <w:rsid w:val="002D4287"/>
    <w:rsid w:val="002D4309"/>
    <w:rsid w:val="002D4769"/>
    <w:rsid w:val="002D49FD"/>
    <w:rsid w:val="002D4B6F"/>
    <w:rsid w:val="002D5352"/>
    <w:rsid w:val="002D57B4"/>
    <w:rsid w:val="002D633C"/>
    <w:rsid w:val="002D65C8"/>
    <w:rsid w:val="002D6C12"/>
    <w:rsid w:val="002D6F10"/>
    <w:rsid w:val="002D7C0B"/>
    <w:rsid w:val="002D7D80"/>
    <w:rsid w:val="002D7E15"/>
    <w:rsid w:val="002D7E22"/>
    <w:rsid w:val="002D7FD7"/>
    <w:rsid w:val="002E018D"/>
    <w:rsid w:val="002E03F4"/>
    <w:rsid w:val="002E06C3"/>
    <w:rsid w:val="002E0A7F"/>
    <w:rsid w:val="002E0E39"/>
    <w:rsid w:val="002E14F7"/>
    <w:rsid w:val="002E1730"/>
    <w:rsid w:val="002E1C0B"/>
    <w:rsid w:val="002E249B"/>
    <w:rsid w:val="002E26DB"/>
    <w:rsid w:val="002E27E8"/>
    <w:rsid w:val="002E29FE"/>
    <w:rsid w:val="002E2B31"/>
    <w:rsid w:val="002E2D96"/>
    <w:rsid w:val="002E2F33"/>
    <w:rsid w:val="002E30BD"/>
    <w:rsid w:val="002E30C9"/>
    <w:rsid w:val="002E32AB"/>
    <w:rsid w:val="002E3346"/>
    <w:rsid w:val="002E351B"/>
    <w:rsid w:val="002E374A"/>
    <w:rsid w:val="002E3858"/>
    <w:rsid w:val="002E3D1A"/>
    <w:rsid w:val="002E4311"/>
    <w:rsid w:val="002E4378"/>
    <w:rsid w:val="002E44C3"/>
    <w:rsid w:val="002E4896"/>
    <w:rsid w:val="002E48E5"/>
    <w:rsid w:val="002E4A15"/>
    <w:rsid w:val="002E4B6A"/>
    <w:rsid w:val="002E4CA2"/>
    <w:rsid w:val="002E4CB5"/>
    <w:rsid w:val="002E5AAB"/>
    <w:rsid w:val="002E63B0"/>
    <w:rsid w:val="002E6495"/>
    <w:rsid w:val="002E68A5"/>
    <w:rsid w:val="002E6D62"/>
    <w:rsid w:val="002E7228"/>
    <w:rsid w:val="002E7678"/>
    <w:rsid w:val="002E7C61"/>
    <w:rsid w:val="002E7CB0"/>
    <w:rsid w:val="002E7CE8"/>
    <w:rsid w:val="002E7CEA"/>
    <w:rsid w:val="002E7FA8"/>
    <w:rsid w:val="002F039F"/>
    <w:rsid w:val="002F0741"/>
    <w:rsid w:val="002F1058"/>
    <w:rsid w:val="002F116E"/>
    <w:rsid w:val="002F12ED"/>
    <w:rsid w:val="002F1313"/>
    <w:rsid w:val="002F1541"/>
    <w:rsid w:val="002F1F84"/>
    <w:rsid w:val="002F22C7"/>
    <w:rsid w:val="002F2A86"/>
    <w:rsid w:val="002F2C0C"/>
    <w:rsid w:val="002F2E08"/>
    <w:rsid w:val="002F2E51"/>
    <w:rsid w:val="002F2E8F"/>
    <w:rsid w:val="002F3077"/>
    <w:rsid w:val="002F342C"/>
    <w:rsid w:val="002F3469"/>
    <w:rsid w:val="002F36B3"/>
    <w:rsid w:val="002F36D6"/>
    <w:rsid w:val="002F3BB5"/>
    <w:rsid w:val="002F3C2C"/>
    <w:rsid w:val="002F401F"/>
    <w:rsid w:val="002F4039"/>
    <w:rsid w:val="002F4164"/>
    <w:rsid w:val="002F4374"/>
    <w:rsid w:val="002F4419"/>
    <w:rsid w:val="002F469C"/>
    <w:rsid w:val="002F475A"/>
    <w:rsid w:val="002F47CA"/>
    <w:rsid w:val="002F50C7"/>
    <w:rsid w:val="002F516D"/>
    <w:rsid w:val="002F526D"/>
    <w:rsid w:val="002F5650"/>
    <w:rsid w:val="002F5691"/>
    <w:rsid w:val="002F57FE"/>
    <w:rsid w:val="002F5CB7"/>
    <w:rsid w:val="002F5DE3"/>
    <w:rsid w:val="002F5F47"/>
    <w:rsid w:val="002F60CE"/>
    <w:rsid w:val="002F6564"/>
    <w:rsid w:val="002F674F"/>
    <w:rsid w:val="002F6826"/>
    <w:rsid w:val="002F688B"/>
    <w:rsid w:val="002F6C82"/>
    <w:rsid w:val="002F6D2A"/>
    <w:rsid w:val="002F6E84"/>
    <w:rsid w:val="002F6EF1"/>
    <w:rsid w:val="002F7402"/>
    <w:rsid w:val="002F7540"/>
    <w:rsid w:val="002F7695"/>
    <w:rsid w:val="002F772F"/>
    <w:rsid w:val="002F77E8"/>
    <w:rsid w:val="002F781E"/>
    <w:rsid w:val="002F797C"/>
    <w:rsid w:val="0030024E"/>
    <w:rsid w:val="0030090B"/>
    <w:rsid w:val="00300AD8"/>
    <w:rsid w:val="003016B0"/>
    <w:rsid w:val="0030172D"/>
    <w:rsid w:val="00301948"/>
    <w:rsid w:val="003019EE"/>
    <w:rsid w:val="00301BBE"/>
    <w:rsid w:val="00301D65"/>
    <w:rsid w:val="00301E4A"/>
    <w:rsid w:val="003029E5"/>
    <w:rsid w:val="00302F6A"/>
    <w:rsid w:val="00303007"/>
    <w:rsid w:val="0030307A"/>
    <w:rsid w:val="0030346F"/>
    <w:rsid w:val="00303729"/>
    <w:rsid w:val="0030383F"/>
    <w:rsid w:val="00303B3C"/>
    <w:rsid w:val="0030409D"/>
    <w:rsid w:val="0030446E"/>
    <w:rsid w:val="003047BF"/>
    <w:rsid w:val="00304A8E"/>
    <w:rsid w:val="00304AEF"/>
    <w:rsid w:val="00304F76"/>
    <w:rsid w:val="00305128"/>
    <w:rsid w:val="0030562A"/>
    <w:rsid w:val="003056D8"/>
    <w:rsid w:val="0030582B"/>
    <w:rsid w:val="00305B61"/>
    <w:rsid w:val="00305E26"/>
    <w:rsid w:val="00305E4D"/>
    <w:rsid w:val="0030640A"/>
    <w:rsid w:val="0030657C"/>
    <w:rsid w:val="00306BE7"/>
    <w:rsid w:val="00306C22"/>
    <w:rsid w:val="00306D94"/>
    <w:rsid w:val="00306E1B"/>
    <w:rsid w:val="00306E30"/>
    <w:rsid w:val="00307044"/>
    <w:rsid w:val="00307209"/>
    <w:rsid w:val="00307448"/>
    <w:rsid w:val="003075F8"/>
    <w:rsid w:val="00307A32"/>
    <w:rsid w:val="00307EB8"/>
    <w:rsid w:val="00307FBD"/>
    <w:rsid w:val="003101E5"/>
    <w:rsid w:val="00310373"/>
    <w:rsid w:val="003107CD"/>
    <w:rsid w:val="0031081D"/>
    <w:rsid w:val="0031089C"/>
    <w:rsid w:val="00310BD3"/>
    <w:rsid w:val="00310DC4"/>
    <w:rsid w:val="00310E0F"/>
    <w:rsid w:val="003118AF"/>
    <w:rsid w:val="00311ADA"/>
    <w:rsid w:val="00311C4D"/>
    <w:rsid w:val="003121D9"/>
    <w:rsid w:val="00312234"/>
    <w:rsid w:val="00312408"/>
    <w:rsid w:val="0031272A"/>
    <w:rsid w:val="003128A9"/>
    <w:rsid w:val="003128D6"/>
    <w:rsid w:val="0031299E"/>
    <w:rsid w:val="00312B98"/>
    <w:rsid w:val="00312EF0"/>
    <w:rsid w:val="00313085"/>
    <w:rsid w:val="003134DE"/>
    <w:rsid w:val="003137EF"/>
    <w:rsid w:val="00313849"/>
    <w:rsid w:val="003142E1"/>
    <w:rsid w:val="00314383"/>
    <w:rsid w:val="003143BC"/>
    <w:rsid w:val="003148A4"/>
    <w:rsid w:val="00314B1D"/>
    <w:rsid w:val="00314F75"/>
    <w:rsid w:val="00315374"/>
    <w:rsid w:val="0031564B"/>
    <w:rsid w:val="003159D8"/>
    <w:rsid w:val="003159F6"/>
    <w:rsid w:val="00315A0F"/>
    <w:rsid w:val="00315C09"/>
    <w:rsid w:val="00315D33"/>
    <w:rsid w:val="00315D74"/>
    <w:rsid w:val="00316047"/>
    <w:rsid w:val="00316090"/>
    <w:rsid w:val="00316149"/>
    <w:rsid w:val="003163B7"/>
    <w:rsid w:val="003165A9"/>
    <w:rsid w:val="00316632"/>
    <w:rsid w:val="003168C7"/>
    <w:rsid w:val="00316981"/>
    <w:rsid w:val="00316B9E"/>
    <w:rsid w:val="0031704D"/>
    <w:rsid w:val="0031707A"/>
    <w:rsid w:val="003173C8"/>
    <w:rsid w:val="00317749"/>
    <w:rsid w:val="00317A4E"/>
    <w:rsid w:val="00317B54"/>
    <w:rsid w:val="00317D04"/>
    <w:rsid w:val="003200B1"/>
    <w:rsid w:val="003204FB"/>
    <w:rsid w:val="00320618"/>
    <w:rsid w:val="00320786"/>
    <w:rsid w:val="00320F0D"/>
    <w:rsid w:val="003214D2"/>
    <w:rsid w:val="00321503"/>
    <w:rsid w:val="0032153B"/>
    <w:rsid w:val="003223AA"/>
    <w:rsid w:val="003223CD"/>
    <w:rsid w:val="003226CD"/>
    <w:rsid w:val="003228CF"/>
    <w:rsid w:val="00322CD4"/>
    <w:rsid w:val="00322F01"/>
    <w:rsid w:val="003232AE"/>
    <w:rsid w:val="003235B6"/>
    <w:rsid w:val="003239DA"/>
    <w:rsid w:val="00323A99"/>
    <w:rsid w:val="0032410D"/>
    <w:rsid w:val="003244A3"/>
    <w:rsid w:val="0032479F"/>
    <w:rsid w:val="003249A7"/>
    <w:rsid w:val="00324DF1"/>
    <w:rsid w:val="00324EDF"/>
    <w:rsid w:val="00324FEF"/>
    <w:rsid w:val="003250BC"/>
    <w:rsid w:val="003250EE"/>
    <w:rsid w:val="003251DE"/>
    <w:rsid w:val="00325287"/>
    <w:rsid w:val="0032549B"/>
    <w:rsid w:val="00325703"/>
    <w:rsid w:val="00325893"/>
    <w:rsid w:val="00325BB9"/>
    <w:rsid w:val="00325DFB"/>
    <w:rsid w:val="00325F1D"/>
    <w:rsid w:val="0032660A"/>
    <w:rsid w:val="003266DB"/>
    <w:rsid w:val="00326758"/>
    <w:rsid w:val="0032688F"/>
    <w:rsid w:val="00326994"/>
    <w:rsid w:val="00326A94"/>
    <w:rsid w:val="00326ADF"/>
    <w:rsid w:val="00326B07"/>
    <w:rsid w:val="00327258"/>
    <w:rsid w:val="0032726A"/>
    <w:rsid w:val="0032736C"/>
    <w:rsid w:val="003276F8"/>
    <w:rsid w:val="00330222"/>
    <w:rsid w:val="00330313"/>
    <w:rsid w:val="003306BB"/>
    <w:rsid w:val="003308BC"/>
    <w:rsid w:val="00330AD6"/>
    <w:rsid w:val="00330CF5"/>
    <w:rsid w:val="00330D78"/>
    <w:rsid w:val="00330EC2"/>
    <w:rsid w:val="0033120A"/>
    <w:rsid w:val="00331522"/>
    <w:rsid w:val="003318E4"/>
    <w:rsid w:val="003319F6"/>
    <w:rsid w:val="00331FE7"/>
    <w:rsid w:val="003320BA"/>
    <w:rsid w:val="00332198"/>
    <w:rsid w:val="003322A9"/>
    <w:rsid w:val="0033235B"/>
    <w:rsid w:val="00332816"/>
    <w:rsid w:val="00332A58"/>
    <w:rsid w:val="00332B20"/>
    <w:rsid w:val="00332C65"/>
    <w:rsid w:val="00332C8F"/>
    <w:rsid w:val="00332DBB"/>
    <w:rsid w:val="00332EB8"/>
    <w:rsid w:val="00333418"/>
    <w:rsid w:val="0033356A"/>
    <w:rsid w:val="003335C0"/>
    <w:rsid w:val="003335E8"/>
    <w:rsid w:val="003336E6"/>
    <w:rsid w:val="0033386D"/>
    <w:rsid w:val="00333E7C"/>
    <w:rsid w:val="00333F7F"/>
    <w:rsid w:val="00333F9B"/>
    <w:rsid w:val="003340A9"/>
    <w:rsid w:val="00334391"/>
    <w:rsid w:val="003344EB"/>
    <w:rsid w:val="003345C7"/>
    <w:rsid w:val="003346C9"/>
    <w:rsid w:val="003350B5"/>
    <w:rsid w:val="00335317"/>
    <w:rsid w:val="00335790"/>
    <w:rsid w:val="00335945"/>
    <w:rsid w:val="00335A36"/>
    <w:rsid w:val="00335A73"/>
    <w:rsid w:val="00336351"/>
    <w:rsid w:val="003365FE"/>
    <w:rsid w:val="003367A1"/>
    <w:rsid w:val="00336E8E"/>
    <w:rsid w:val="003371E6"/>
    <w:rsid w:val="00337610"/>
    <w:rsid w:val="00337785"/>
    <w:rsid w:val="00337E2D"/>
    <w:rsid w:val="00337F4D"/>
    <w:rsid w:val="003400BB"/>
    <w:rsid w:val="0034036B"/>
    <w:rsid w:val="003406C2"/>
    <w:rsid w:val="00340E4D"/>
    <w:rsid w:val="00340F92"/>
    <w:rsid w:val="00341671"/>
    <w:rsid w:val="003417E8"/>
    <w:rsid w:val="00341A05"/>
    <w:rsid w:val="00341A43"/>
    <w:rsid w:val="00341A78"/>
    <w:rsid w:val="00341BBA"/>
    <w:rsid w:val="00341F9F"/>
    <w:rsid w:val="00342002"/>
    <w:rsid w:val="00342258"/>
    <w:rsid w:val="0034277D"/>
    <w:rsid w:val="00342902"/>
    <w:rsid w:val="00342D12"/>
    <w:rsid w:val="0034305F"/>
    <w:rsid w:val="0034323E"/>
    <w:rsid w:val="00343E8B"/>
    <w:rsid w:val="0034477D"/>
    <w:rsid w:val="0034491C"/>
    <w:rsid w:val="00344B62"/>
    <w:rsid w:val="00344C13"/>
    <w:rsid w:val="00344EE7"/>
    <w:rsid w:val="003450A7"/>
    <w:rsid w:val="003451F4"/>
    <w:rsid w:val="003453F9"/>
    <w:rsid w:val="003455ED"/>
    <w:rsid w:val="003458DC"/>
    <w:rsid w:val="003459E2"/>
    <w:rsid w:val="00345A20"/>
    <w:rsid w:val="00345B4E"/>
    <w:rsid w:val="00345C41"/>
    <w:rsid w:val="00345C66"/>
    <w:rsid w:val="0034669E"/>
    <w:rsid w:val="0034687D"/>
    <w:rsid w:val="00346958"/>
    <w:rsid w:val="00346A79"/>
    <w:rsid w:val="00346B50"/>
    <w:rsid w:val="00346E9B"/>
    <w:rsid w:val="00347150"/>
    <w:rsid w:val="0034731A"/>
    <w:rsid w:val="0034739E"/>
    <w:rsid w:val="003475B0"/>
    <w:rsid w:val="0034790E"/>
    <w:rsid w:val="00347A3E"/>
    <w:rsid w:val="00347BE6"/>
    <w:rsid w:val="00347C12"/>
    <w:rsid w:val="0035018A"/>
    <w:rsid w:val="00350D3C"/>
    <w:rsid w:val="00350EC2"/>
    <w:rsid w:val="00351075"/>
    <w:rsid w:val="003516D5"/>
    <w:rsid w:val="00351E80"/>
    <w:rsid w:val="00351F7B"/>
    <w:rsid w:val="00352521"/>
    <w:rsid w:val="00352565"/>
    <w:rsid w:val="00352D5E"/>
    <w:rsid w:val="00352DEB"/>
    <w:rsid w:val="003532CD"/>
    <w:rsid w:val="003536CB"/>
    <w:rsid w:val="00353829"/>
    <w:rsid w:val="00353A2B"/>
    <w:rsid w:val="00354037"/>
    <w:rsid w:val="00354496"/>
    <w:rsid w:val="003545B4"/>
    <w:rsid w:val="00354678"/>
    <w:rsid w:val="00355026"/>
    <w:rsid w:val="0035519C"/>
    <w:rsid w:val="003551EF"/>
    <w:rsid w:val="00355479"/>
    <w:rsid w:val="00356255"/>
    <w:rsid w:val="00356D99"/>
    <w:rsid w:val="00356DA8"/>
    <w:rsid w:val="00356E88"/>
    <w:rsid w:val="00357038"/>
    <w:rsid w:val="003571E7"/>
    <w:rsid w:val="003572B9"/>
    <w:rsid w:val="0035759A"/>
    <w:rsid w:val="00357685"/>
    <w:rsid w:val="0035772A"/>
    <w:rsid w:val="0035774B"/>
    <w:rsid w:val="00357831"/>
    <w:rsid w:val="00357BA1"/>
    <w:rsid w:val="00357C7E"/>
    <w:rsid w:val="00357E5D"/>
    <w:rsid w:val="00360115"/>
    <w:rsid w:val="0036033E"/>
    <w:rsid w:val="003604B2"/>
    <w:rsid w:val="0036072A"/>
    <w:rsid w:val="00360995"/>
    <w:rsid w:val="00360A08"/>
    <w:rsid w:val="00360A87"/>
    <w:rsid w:val="00360D98"/>
    <w:rsid w:val="00360E67"/>
    <w:rsid w:val="003610F0"/>
    <w:rsid w:val="00361225"/>
    <w:rsid w:val="00361254"/>
    <w:rsid w:val="003615E9"/>
    <w:rsid w:val="00361645"/>
    <w:rsid w:val="003616DE"/>
    <w:rsid w:val="00361B03"/>
    <w:rsid w:val="00361BC4"/>
    <w:rsid w:val="00362147"/>
    <w:rsid w:val="0036254C"/>
    <w:rsid w:val="003627B7"/>
    <w:rsid w:val="0036285C"/>
    <w:rsid w:val="00362DBA"/>
    <w:rsid w:val="00362F1B"/>
    <w:rsid w:val="00363126"/>
    <w:rsid w:val="00363227"/>
    <w:rsid w:val="00363334"/>
    <w:rsid w:val="003633FC"/>
    <w:rsid w:val="00363BDF"/>
    <w:rsid w:val="00363D85"/>
    <w:rsid w:val="003641AA"/>
    <w:rsid w:val="003645DD"/>
    <w:rsid w:val="003647B9"/>
    <w:rsid w:val="003649D0"/>
    <w:rsid w:val="00364A1B"/>
    <w:rsid w:val="00364BA8"/>
    <w:rsid w:val="00364C21"/>
    <w:rsid w:val="00364DF4"/>
    <w:rsid w:val="00365252"/>
    <w:rsid w:val="00365AC4"/>
    <w:rsid w:val="00365C44"/>
    <w:rsid w:val="003662A0"/>
    <w:rsid w:val="003662E7"/>
    <w:rsid w:val="00366ACD"/>
    <w:rsid w:val="00366CEE"/>
    <w:rsid w:val="00366D57"/>
    <w:rsid w:val="00366ED0"/>
    <w:rsid w:val="00366F9E"/>
    <w:rsid w:val="00367179"/>
    <w:rsid w:val="003671C2"/>
    <w:rsid w:val="00367BA6"/>
    <w:rsid w:val="00367C2F"/>
    <w:rsid w:val="00370132"/>
    <w:rsid w:val="003701E6"/>
    <w:rsid w:val="0037052F"/>
    <w:rsid w:val="00370BB4"/>
    <w:rsid w:val="00370E1D"/>
    <w:rsid w:val="00371003"/>
    <w:rsid w:val="0037137E"/>
    <w:rsid w:val="00371C9D"/>
    <w:rsid w:val="00371D93"/>
    <w:rsid w:val="003720E6"/>
    <w:rsid w:val="003722E1"/>
    <w:rsid w:val="00372417"/>
    <w:rsid w:val="00372D16"/>
    <w:rsid w:val="0037311C"/>
    <w:rsid w:val="003732C5"/>
    <w:rsid w:val="003734E5"/>
    <w:rsid w:val="00373576"/>
    <w:rsid w:val="003737FE"/>
    <w:rsid w:val="00373B8C"/>
    <w:rsid w:val="00373FA6"/>
    <w:rsid w:val="0037469C"/>
    <w:rsid w:val="003746F2"/>
    <w:rsid w:val="003747C6"/>
    <w:rsid w:val="00374BCD"/>
    <w:rsid w:val="00374CDF"/>
    <w:rsid w:val="00374D14"/>
    <w:rsid w:val="003751E8"/>
    <w:rsid w:val="00375418"/>
    <w:rsid w:val="00375A29"/>
    <w:rsid w:val="003761FC"/>
    <w:rsid w:val="0037650A"/>
    <w:rsid w:val="003765E0"/>
    <w:rsid w:val="0037661A"/>
    <w:rsid w:val="00376E27"/>
    <w:rsid w:val="00376E28"/>
    <w:rsid w:val="00376E39"/>
    <w:rsid w:val="003770F4"/>
    <w:rsid w:val="003771FA"/>
    <w:rsid w:val="00377290"/>
    <w:rsid w:val="00377F3E"/>
    <w:rsid w:val="0038009E"/>
    <w:rsid w:val="0038060C"/>
    <w:rsid w:val="00380912"/>
    <w:rsid w:val="00380B14"/>
    <w:rsid w:val="00380CB7"/>
    <w:rsid w:val="003812DA"/>
    <w:rsid w:val="003813DF"/>
    <w:rsid w:val="003815AD"/>
    <w:rsid w:val="00381614"/>
    <w:rsid w:val="00381820"/>
    <w:rsid w:val="00381B56"/>
    <w:rsid w:val="00381D0B"/>
    <w:rsid w:val="00382103"/>
    <w:rsid w:val="00382150"/>
    <w:rsid w:val="00382173"/>
    <w:rsid w:val="0038266A"/>
    <w:rsid w:val="003827F4"/>
    <w:rsid w:val="0038299D"/>
    <w:rsid w:val="00382A70"/>
    <w:rsid w:val="0038307F"/>
    <w:rsid w:val="00383298"/>
    <w:rsid w:val="00383422"/>
    <w:rsid w:val="00383FCA"/>
    <w:rsid w:val="003840F8"/>
    <w:rsid w:val="00384173"/>
    <w:rsid w:val="003848BB"/>
    <w:rsid w:val="00384D52"/>
    <w:rsid w:val="00384F5E"/>
    <w:rsid w:val="0038512A"/>
    <w:rsid w:val="003851A1"/>
    <w:rsid w:val="00385393"/>
    <w:rsid w:val="00385770"/>
    <w:rsid w:val="0038596F"/>
    <w:rsid w:val="00385D9B"/>
    <w:rsid w:val="00385DCF"/>
    <w:rsid w:val="003860B0"/>
    <w:rsid w:val="0038644A"/>
    <w:rsid w:val="0038651E"/>
    <w:rsid w:val="00386D15"/>
    <w:rsid w:val="00386F44"/>
    <w:rsid w:val="00386F46"/>
    <w:rsid w:val="00387057"/>
    <w:rsid w:val="003876E4"/>
    <w:rsid w:val="0038784D"/>
    <w:rsid w:val="00387ADD"/>
    <w:rsid w:val="0039002F"/>
    <w:rsid w:val="003900AF"/>
    <w:rsid w:val="003901E8"/>
    <w:rsid w:val="0039069C"/>
    <w:rsid w:val="00390A3B"/>
    <w:rsid w:val="00390B98"/>
    <w:rsid w:val="00390BB3"/>
    <w:rsid w:val="00390BC0"/>
    <w:rsid w:val="00390D79"/>
    <w:rsid w:val="003911EF"/>
    <w:rsid w:val="00391255"/>
    <w:rsid w:val="00391262"/>
    <w:rsid w:val="003917EE"/>
    <w:rsid w:val="00391854"/>
    <w:rsid w:val="00391AE8"/>
    <w:rsid w:val="00391D37"/>
    <w:rsid w:val="00392082"/>
    <w:rsid w:val="0039235A"/>
    <w:rsid w:val="00392AEB"/>
    <w:rsid w:val="00392BB3"/>
    <w:rsid w:val="00392D5F"/>
    <w:rsid w:val="0039309B"/>
    <w:rsid w:val="003933D8"/>
    <w:rsid w:val="003934D2"/>
    <w:rsid w:val="003934DD"/>
    <w:rsid w:val="003935C5"/>
    <w:rsid w:val="003936DD"/>
    <w:rsid w:val="0039376E"/>
    <w:rsid w:val="00393A2C"/>
    <w:rsid w:val="00393DC0"/>
    <w:rsid w:val="00393E32"/>
    <w:rsid w:val="00394013"/>
    <w:rsid w:val="00394996"/>
    <w:rsid w:val="00395049"/>
    <w:rsid w:val="003950D6"/>
    <w:rsid w:val="00395179"/>
    <w:rsid w:val="003951E8"/>
    <w:rsid w:val="00395272"/>
    <w:rsid w:val="003955DC"/>
    <w:rsid w:val="00395F8D"/>
    <w:rsid w:val="00395FF0"/>
    <w:rsid w:val="003960AC"/>
    <w:rsid w:val="00396586"/>
    <w:rsid w:val="00396739"/>
    <w:rsid w:val="00396C77"/>
    <w:rsid w:val="00396D40"/>
    <w:rsid w:val="00396DFB"/>
    <w:rsid w:val="00396F3F"/>
    <w:rsid w:val="00397574"/>
    <w:rsid w:val="00397821"/>
    <w:rsid w:val="00397832"/>
    <w:rsid w:val="00397BDA"/>
    <w:rsid w:val="00397C1C"/>
    <w:rsid w:val="003A02C2"/>
    <w:rsid w:val="003A02E4"/>
    <w:rsid w:val="003A0328"/>
    <w:rsid w:val="003A09C0"/>
    <w:rsid w:val="003A0D13"/>
    <w:rsid w:val="003A10D8"/>
    <w:rsid w:val="003A11A4"/>
    <w:rsid w:val="003A138C"/>
    <w:rsid w:val="003A1425"/>
    <w:rsid w:val="003A245D"/>
    <w:rsid w:val="003A24E0"/>
    <w:rsid w:val="003A256C"/>
    <w:rsid w:val="003A273B"/>
    <w:rsid w:val="003A2BD0"/>
    <w:rsid w:val="003A2D58"/>
    <w:rsid w:val="003A2F65"/>
    <w:rsid w:val="003A2F66"/>
    <w:rsid w:val="003A306A"/>
    <w:rsid w:val="003A37A7"/>
    <w:rsid w:val="003A3D11"/>
    <w:rsid w:val="003A41B1"/>
    <w:rsid w:val="003A4504"/>
    <w:rsid w:val="003A49EC"/>
    <w:rsid w:val="003A4B5E"/>
    <w:rsid w:val="003A4C1C"/>
    <w:rsid w:val="003A4E3E"/>
    <w:rsid w:val="003A4EB4"/>
    <w:rsid w:val="003A54C7"/>
    <w:rsid w:val="003A54D5"/>
    <w:rsid w:val="003A5720"/>
    <w:rsid w:val="003A5A72"/>
    <w:rsid w:val="003A5D3D"/>
    <w:rsid w:val="003A5D85"/>
    <w:rsid w:val="003A5FC1"/>
    <w:rsid w:val="003A5FDC"/>
    <w:rsid w:val="003A6026"/>
    <w:rsid w:val="003A61CC"/>
    <w:rsid w:val="003A64E7"/>
    <w:rsid w:val="003A6568"/>
    <w:rsid w:val="003A67B6"/>
    <w:rsid w:val="003A68DC"/>
    <w:rsid w:val="003A6F5C"/>
    <w:rsid w:val="003A781B"/>
    <w:rsid w:val="003A7A29"/>
    <w:rsid w:val="003A7EAF"/>
    <w:rsid w:val="003B0170"/>
    <w:rsid w:val="003B017D"/>
    <w:rsid w:val="003B057B"/>
    <w:rsid w:val="003B0621"/>
    <w:rsid w:val="003B086E"/>
    <w:rsid w:val="003B0A31"/>
    <w:rsid w:val="003B0B2C"/>
    <w:rsid w:val="003B0D18"/>
    <w:rsid w:val="003B0F99"/>
    <w:rsid w:val="003B0FAF"/>
    <w:rsid w:val="003B13AB"/>
    <w:rsid w:val="003B144C"/>
    <w:rsid w:val="003B1544"/>
    <w:rsid w:val="003B158A"/>
    <w:rsid w:val="003B163C"/>
    <w:rsid w:val="003B16AF"/>
    <w:rsid w:val="003B194A"/>
    <w:rsid w:val="003B1D07"/>
    <w:rsid w:val="003B2007"/>
    <w:rsid w:val="003B2288"/>
    <w:rsid w:val="003B2921"/>
    <w:rsid w:val="003B2A21"/>
    <w:rsid w:val="003B2B52"/>
    <w:rsid w:val="003B2E02"/>
    <w:rsid w:val="003B2EDB"/>
    <w:rsid w:val="003B342C"/>
    <w:rsid w:val="003B347C"/>
    <w:rsid w:val="003B3922"/>
    <w:rsid w:val="003B3AF2"/>
    <w:rsid w:val="003B3E5C"/>
    <w:rsid w:val="003B45A8"/>
    <w:rsid w:val="003B4C28"/>
    <w:rsid w:val="003B4DFE"/>
    <w:rsid w:val="003B4E9E"/>
    <w:rsid w:val="003B5043"/>
    <w:rsid w:val="003B53FE"/>
    <w:rsid w:val="003B5482"/>
    <w:rsid w:val="003B566F"/>
    <w:rsid w:val="003B6043"/>
    <w:rsid w:val="003B6173"/>
    <w:rsid w:val="003B629A"/>
    <w:rsid w:val="003B6674"/>
    <w:rsid w:val="003B68A2"/>
    <w:rsid w:val="003B68BF"/>
    <w:rsid w:val="003B6FE0"/>
    <w:rsid w:val="003B710F"/>
    <w:rsid w:val="003B719E"/>
    <w:rsid w:val="003B7435"/>
    <w:rsid w:val="003B7946"/>
    <w:rsid w:val="003B7D96"/>
    <w:rsid w:val="003B7FC2"/>
    <w:rsid w:val="003C00E5"/>
    <w:rsid w:val="003C049B"/>
    <w:rsid w:val="003C0834"/>
    <w:rsid w:val="003C0BBD"/>
    <w:rsid w:val="003C0C41"/>
    <w:rsid w:val="003C0E55"/>
    <w:rsid w:val="003C0F24"/>
    <w:rsid w:val="003C111E"/>
    <w:rsid w:val="003C1484"/>
    <w:rsid w:val="003C1720"/>
    <w:rsid w:val="003C1BA7"/>
    <w:rsid w:val="003C1C1D"/>
    <w:rsid w:val="003C2167"/>
    <w:rsid w:val="003C227E"/>
    <w:rsid w:val="003C23FE"/>
    <w:rsid w:val="003C2483"/>
    <w:rsid w:val="003C281F"/>
    <w:rsid w:val="003C2BE2"/>
    <w:rsid w:val="003C2F0E"/>
    <w:rsid w:val="003C302F"/>
    <w:rsid w:val="003C3395"/>
    <w:rsid w:val="003C375A"/>
    <w:rsid w:val="003C3A04"/>
    <w:rsid w:val="003C3E36"/>
    <w:rsid w:val="003C41C1"/>
    <w:rsid w:val="003C41CE"/>
    <w:rsid w:val="003C442D"/>
    <w:rsid w:val="003C44AF"/>
    <w:rsid w:val="003C459E"/>
    <w:rsid w:val="003C4937"/>
    <w:rsid w:val="003C4AFF"/>
    <w:rsid w:val="003C540C"/>
    <w:rsid w:val="003C55C0"/>
    <w:rsid w:val="003C560D"/>
    <w:rsid w:val="003C563A"/>
    <w:rsid w:val="003C589E"/>
    <w:rsid w:val="003C5927"/>
    <w:rsid w:val="003C617E"/>
    <w:rsid w:val="003C65DE"/>
    <w:rsid w:val="003C693C"/>
    <w:rsid w:val="003C6A24"/>
    <w:rsid w:val="003C6E14"/>
    <w:rsid w:val="003C6F19"/>
    <w:rsid w:val="003C6FD0"/>
    <w:rsid w:val="003C6FD5"/>
    <w:rsid w:val="003C70E2"/>
    <w:rsid w:val="003C7A6B"/>
    <w:rsid w:val="003C7CB6"/>
    <w:rsid w:val="003D07E0"/>
    <w:rsid w:val="003D0995"/>
    <w:rsid w:val="003D0BB7"/>
    <w:rsid w:val="003D0E26"/>
    <w:rsid w:val="003D1143"/>
    <w:rsid w:val="003D120E"/>
    <w:rsid w:val="003D12EE"/>
    <w:rsid w:val="003D130F"/>
    <w:rsid w:val="003D13D8"/>
    <w:rsid w:val="003D15D4"/>
    <w:rsid w:val="003D188D"/>
    <w:rsid w:val="003D18FA"/>
    <w:rsid w:val="003D1A66"/>
    <w:rsid w:val="003D1E36"/>
    <w:rsid w:val="003D2142"/>
    <w:rsid w:val="003D225D"/>
    <w:rsid w:val="003D22A9"/>
    <w:rsid w:val="003D26AE"/>
    <w:rsid w:val="003D2C69"/>
    <w:rsid w:val="003D2D69"/>
    <w:rsid w:val="003D2D7A"/>
    <w:rsid w:val="003D3238"/>
    <w:rsid w:val="003D35B2"/>
    <w:rsid w:val="003D36D5"/>
    <w:rsid w:val="003D3923"/>
    <w:rsid w:val="003D39B5"/>
    <w:rsid w:val="003D3A47"/>
    <w:rsid w:val="003D3A94"/>
    <w:rsid w:val="003D3C23"/>
    <w:rsid w:val="003D3CD8"/>
    <w:rsid w:val="003D3D3A"/>
    <w:rsid w:val="003D43A4"/>
    <w:rsid w:val="003D43D6"/>
    <w:rsid w:val="003D443E"/>
    <w:rsid w:val="003D47FC"/>
    <w:rsid w:val="003D48DC"/>
    <w:rsid w:val="003D4FEC"/>
    <w:rsid w:val="003D5285"/>
    <w:rsid w:val="003D5641"/>
    <w:rsid w:val="003D588E"/>
    <w:rsid w:val="003D5CE7"/>
    <w:rsid w:val="003D5FDE"/>
    <w:rsid w:val="003D6051"/>
    <w:rsid w:val="003D60DD"/>
    <w:rsid w:val="003D65BA"/>
    <w:rsid w:val="003D6EAD"/>
    <w:rsid w:val="003D703F"/>
    <w:rsid w:val="003D731E"/>
    <w:rsid w:val="003D7502"/>
    <w:rsid w:val="003D7641"/>
    <w:rsid w:val="003D78C1"/>
    <w:rsid w:val="003D7A64"/>
    <w:rsid w:val="003D7E6E"/>
    <w:rsid w:val="003E0BF5"/>
    <w:rsid w:val="003E123A"/>
    <w:rsid w:val="003E12B7"/>
    <w:rsid w:val="003E145F"/>
    <w:rsid w:val="003E1483"/>
    <w:rsid w:val="003E1521"/>
    <w:rsid w:val="003E1542"/>
    <w:rsid w:val="003E1D3E"/>
    <w:rsid w:val="003E1E55"/>
    <w:rsid w:val="003E205C"/>
    <w:rsid w:val="003E237B"/>
    <w:rsid w:val="003E2387"/>
    <w:rsid w:val="003E24B0"/>
    <w:rsid w:val="003E272C"/>
    <w:rsid w:val="003E2794"/>
    <w:rsid w:val="003E28BB"/>
    <w:rsid w:val="003E2A26"/>
    <w:rsid w:val="003E30FE"/>
    <w:rsid w:val="003E31E1"/>
    <w:rsid w:val="003E3338"/>
    <w:rsid w:val="003E33B5"/>
    <w:rsid w:val="003E3701"/>
    <w:rsid w:val="003E4086"/>
    <w:rsid w:val="003E408A"/>
    <w:rsid w:val="003E40C2"/>
    <w:rsid w:val="003E417F"/>
    <w:rsid w:val="003E4245"/>
    <w:rsid w:val="003E437A"/>
    <w:rsid w:val="003E48CF"/>
    <w:rsid w:val="003E4A30"/>
    <w:rsid w:val="003E4C90"/>
    <w:rsid w:val="003E4D61"/>
    <w:rsid w:val="003E5691"/>
    <w:rsid w:val="003E56AD"/>
    <w:rsid w:val="003E59A8"/>
    <w:rsid w:val="003E59CE"/>
    <w:rsid w:val="003E5EB6"/>
    <w:rsid w:val="003E6312"/>
    <w:rsid w:val="003E63A3"/>
    <w:rsid w:val="003E656A"/>
    <w:rsid w:val="003E6615"/>
    <w:rsid w:val="003E6750"/>
    <w:rsid w:val="003E694F"/>
    <w:rsid w:val="003E7012"/>
    <w:rsid w:val="003E7374"/>
    <w:rsid w:val="003E7488"/>
    <w:rsid w:val="003E7516"/>
    <w:rsid w:val="003E7843"/>
    <w:rsid w:val="003E78FB"/>
    <w:rsid w:val="003E7DC3"/>
    <w:rsid w:val="003E7E16"/>
    <w:rsid w:val="003F036B"/>
    <w:rsid w:val="003F0688"/>
    <w:rsid w:val="003F0C9D"/>
    <w:rsid w:val="003F0F44"/>
    <w:rsid w:val="003F1578"/>
    <w:rsid w:val="003F1742"/>
    <w:rsid w:val="003F17A6"/>
    <w:rsid w:val="003F17F6"/>
    <w:rsid w:val="003F17FB"/>
    <w:rsid w:val="003F1932"/>
    <w:rsid w:val="003F1961"/>
    <w:rsid w:val="003F1E13"/>
    <w:rsid w:val="003F1ED6"/>
    <w:rsid w:val="003F1F0C"/>
    <w:rsid w:val="003F1F19"/>
    <w:rsid w:val="003F1FC4"/>
    <w:rsid w:val="003F2204"/>
    <w:rsid w:val="003F26C4"/>
    <w:rsid w:val="003F2D52"/>
    <w:rsid w:val="003F2F20"/>
    <w:rsid w:val="003F30C0"/>
    <w:rsid w:val="003F3179"/>
    <w:rsid w:val="003F3515"/>
    <w:rsid w:val="003F35CB"/>
    <w:rsid w:val="003F35D1"/>
    <w:rsid w:val="003F3D07"/>
    <w:rsid w:val="003F416E"/>
    <w:rsid w:val="003F45B1"/>
    <w:rsid w:val="003F4973"/>
    <w:rsid w:val="003F4A21"/>
    <w:rsid w:val="003F4BE7"/>
    <w:rsid w:val="003F4BEF"/>
    <w:rsid w:val="003F4BFE"/>
    <w:rsid w:val="003F4D65"/>
    <w:rsid w:val="003F4DF3"/>
    <w:rsid w:val="003F4ED6"/>
    <w:rsid w:val="003F4FF1"/>
    <w:rsid w:val="003F5160"/>
    <w:rsid w:val="003F53F8"/>
    <w:rsid w:val="003F5711"/>
    <w:rsid w:val="003F581C"/>
    <w:rsid w:val="003F5A6F"/>
    <w:rsid w:val="003F5BEF"/>
    <w:rsid w:val="003F5C8D"/>
    <w:rsid w:val="003F64EA"/>
    <w:rsid w:val="003F664F"/>
    <w:rsid w:val="003F6788"/>
    <w:rsid w:val="003F6BEC"/>
    <w:rsid w:val="003F6F10"/>
    <w:rsid w:val="003F72FA"/>
    <w:rsid w:val="003F7759"/>
    <w:rsid w:val="003F77D0"/>
    <w:rsid w:val="003F7878"/>
    <w:rsid w:val="003F7AC1"/>
    <w:rsid w:val="0040004F"/>
    <w:rsid w:val="00400207"/>
    <w:rsid w:val="0040024B"/>
    <w:rsid w:val="004005C0"/>
    <w:rsid w:val="0040061E"/>
    <w:rsid w:val="00400904"/>
    <w:rsid w:val="00400B5C"/>
    <w:rsid w:val="00400BD2"/>
    <w:rsid w:val="00400CB1"/>
    <w:rsid w:val="004012ED"/>
    <w:rsid w:val="00401330"/>
    <w:rsid w:val="00401509"/>
    <w:rsid w:val="0040179D"/>
    <w:rsid w:val="00401D4B"/>
    <w:rsid w:val="0040208B"/>
    <w:rsid w:val="00402365"/>
    <w:rsid w:val="00402383"/>
    <w:rsid w:val="00402613"/>
    <w:rsid w:val="00402799"/>
    <w:rsid w:val="00402AB8"/>
    <w:rsid w:val="00402D67"/>
    <w:rsid w:val="00402EC8"/>
    <w:rsid w:val="004046B7"/>
    <w:rsid w:val="00404802"/>
    <w:rsid w:val="00404862"/>
    <w:rsid w:val="0040489A"/>
    <w:rsid w:val="0040527D"/>
    <w:rsid w:val="0040531F"/>
    <w:rsid w:val="004054D9"/>
    <w:rsid w:val="0040593F"/>
    <w:rsid w:val="00405E67"/>
    <w:rsid w:val="00405E93"/>
    <w:rsid w:val="00405EF1"/>
    <w:rsid w:val="00405F42"/>
    <w:rsid w:val="0040602D"/>
    <w:rsid w:val="004062CF"/>
    <w:rsid w:val="00406585"/>
    <w:rsid w:val="0040677B"/>
    <w:rsid w:val="0040755D"/>
    <w:rsid w:val="00407637"/>
    <w:rsid w:val="004076A2"/>
    <w:rsid w:val="004076A6"/>
    <w:rsid w:val="0040784C"/>
    <w:rsid w:val="0040797F"/>
    <w:rsid w:val="00407D3C"/>
    <w:rsid w:val="004100C4"/>
    <w:rsid w:val="004100EE"/>
    <w:rsid w:val="00410421"/>
    <w:rsid w:val="0041048E"/>
    <w:rsid w:val="00410690"/>
    <w:rsid w:val="00410960"/>
    <w:rsid w:val="00410A26"/>
    <w:rsid w:val="00410A6F"/>
    <w:rsid w:val="004116BC"/>
    <w:rsid w:val="00411DAA"/>
    <w:rsid w:val="00411EEF"/>
    <w:rsid w:val="004123CF"/>
    <w:rsid w:val="004129EC"/>
    <w:rsid w:val="00412C9A"/>
    <w:rsid w:val="00412FE4"/>
    <w:rsid w:val="004138E2"/>
    <w:rsid w:val="00413A20"/>
    <w:rsid w:val="00413B88"/>
    <w:rsid w:val="00413F1B"/>
    <w:rsid w:val="00414038"/>
    <w:rsid w:val="0041411E"/>
    <w:rsid w:val="00414415"/>
    <w:rsid w:val="004144D2"/>
    <w:rsid w:val="00414A87"/>
    <w:rsid w:val="00414EE7"/>
    <w:rsid w:val="004150A1"/>
    <w:rsid w:val="0041574D"/>
    <w:rsid w:val="00415905"/>
    <w:rsid w:val="00415CA9"/>
    <w:rsid w:val="00415F1B"/>
    <w:rsid w:val="00415F41"/>
    <w:rsid w:val="00416506"/>
    <w:rsid w:val="00416581"/>
    <w:rsid w:val="0041666C"/>
    <w:rsid w:val="00416834"/>
    <w:rsid w:val="00416B7C"/>
    <w:rsid w:val="004177E0"/>
    <w:rsid w:val="004178E4"/>
    <w:rsid w:val="004201C6"/>
    <w:rsid w:val="004207DF"/>
    <w:rsid w:val="004207FE"/>
    <w:rsid w:val="00420B13"/>
    <w:rsid w:val="00420E85"/>
    <w:rsid w:val="00420F61"/>
    <w:rsid w:val="0042154B"/>
    <w:rsid w:val="00421707"/>
    <w:rsid w:val="004219D2"/>
    <w:rsid w:val="004223FD"/>
    <w:rsid w:val="00422699"/>
    <w:rsid w:val="004226B7"/>
    <w:rsid w:val="00422A1D"/>
    <w:rsid w:val="00422A87"/>
    <w:rsid w:val="00422D70"/>
    <w:rsid w:val="004231FB"/>
    <w:rsid w:val="004233DA"/>
    <w:rsid w:val="004235E6"/>
    <w:rsid w:val="004239A1"/>
    <w:rsid w:val="00423CF3"/>
    <w:rsid w:val="00424135"/>
    <w:rsid w:val="00424798"/>
    <w:rsid w:val="00424993"/>
    <w:rsid w:val="00424F11"/>
    <w:rsid w:val="0042500B"/>
    <w:rsid w:val="00425A26"/>
    <w:rsid w:val="00425BE9"/>
    <w:rsid w:val="00425E0B"/>
    <w:rsid w:val="00425EDD"/>
    <w:rsid w:val="00426004"/>
    <w:rsid w:val="00426058"/>
    <w:rsid w:val="00426069"/>
    <w:rsid w:val="00426318"/>
    <w:rsid w:val="004266A2"/>
    <w:rsid w:val="004267AE"/>
    <w:rsid w:val="00426869"/>
    <w:rsid w:val="0042689D"/>
    <w:rsid w:val="004268DA"/>
    <w:rsid w:val="00426A90"/>
    <w:rsid w:val="00426C60"/>
    <w:rsid w:val="00426DE4"/>
    <w:rsid w:val="00426FC7"/>
    <w:rsid w:val="004270A1"/>
    <w:rsid w:val="004278C9"/>
    <w:rsid w:val="00427C31"/>
    <w:rsid w:val="00427CA2"/>
    <w:rsid w:val="0043049B"/>
    <w:rsid w:val="0043060A"/>
    <w:rsid w:val="00430670"/>
    <w:rsid w:val="00430750"/>
    <w:rsid w:val="00430772"/>
    <w:rsid w:val="0043080A"/>
    <w:rsid w:val="00430E8C"/>
    <w:rsid w:val="00430EE3"/>
    <w:rsid w:val="00430F07"/>
    <w:rsid w:val="004314B8"/>
    <w:rsid w:val="00431899"/>
    <w:rsid w:val="0043197C"/>
    <w:rsid w:val="00431993"/>
    <w:rsid w:val="00431DCE"/>
    <w:rsid w:val="00432378"/>
    <w:rsid w:val="004323BF"/>
    <w:rsid w:val="004324D0"/>
    <w:rsid w:val="004325BF"/>
    <w:rsid w:val="00432821"/>
    <w:rsid w:val="00432944"/>
    <w:rsid w:val="00432D1D"/>
    <w:rsid w:val="00432E53"/>
    <w:rsid w:val="00432F60"/>
    <w:rsid w:val="0043361F"/>
    <w:rsid w:val="00433D42"/>
    <w:rsid w:val="00434025"/>
    <w:rsid w:val="00434434"/>
    <w:rsid w:val="00434579"/>
    <w:rsid w:val="0043477C"/>
    <w:rsid w:val="0043494B"/>
    <w:rsid w:val="00434991"/>
    <w:rsid w:val="00434A39"/>
    <w:rsid w:val="00434A95"/>
    <w:rsid w:val="00434E57"/>
    <w:rsid w:val="0043524B"/>
    <w:rsid w:val="0043545E"/>
    <w:rsid w:val="00435518"/>
    <w:rsid w:val="004355F0"/>
    <w:rsid w:val="004358F5"/>
    <w:rsid w:val="00435DC4"/>
    <w:rsid w:val="0043600C"/>
    <w:rsid w:val="0043618C"/>
    <w:rsid w:val="00436247"/>
    <w:rsid w:val="00436445"/>
    <w:rsid w:val="0043648E"/>
    <w:rsid w:val="004364C9"/>
    <w:rsid w:val="00436CAA"/>
    <w:rsid w:val="00437711"/>
    <w:rsid w:val="00437B74"/>
    <w:rsid w:val="00437CA2"/>
    <w:rsid w:val="00437DAF"/>
    <w:rsid w:val="0044004F"/>
    <w:rsid w:val="004400E4"/>
    <w:rsid w:val="004403E4"/>
    <w:rsid w:val="004404D8"/>
    <w:rsid w:val="0044062E"/>
    <w:rsid w:val="004407FA"/>
    <w:rsid w:val="0044082B"/>
    <w:rsid w:val="0044096C"/>
    <w:rsid w:val="00440C6E"/>
    <w:rsid w:val="004413D9"/>
    <w:rsid w:val="0044163D"/>
    <w:rsid w:val="00441828"/>
    <w:rsid w:val="004418BB"/>
    <w:rsid w:val="00441E1A"/>
    <w:rsid w:val="00442856"/>
    <w:rsid w:val="00442D11"/>
    <w:rsid w:val="00442D79"/>
    <w:rsid w:val="0044307A"/>
    <w:rsid w:val="00443C8D"/>
    <w:rsid w:val="00444026"/>
    <w:rsid w:val="004441EE"/>
    <w:rsid w:val="00444599"/>
    <w:rsid w:val="00444828"/>
    <w:rsid w:val="00444B5A"/>
    <w:rsid w:val="00444C69"/>
    <w:rsid w:val="00444D35"/>
    <w:rsid w:val="00444E29"/>
    <w:rsid w:val="00445804"/>
    <w:rsid w:val="0044589F"/>
    <w:rsid w:val="00445B82"/>
    <w:rsid w:val="004460F5"/>
    <w:rsid w:val="004475AA"/>
    <w:rsid w:val="004476DA"/>
    <w:rsid w:val="00447803"/>
    <w:rsid w:val="004500C1"/>
    <w:rsid w:val="004500FC"/>
    <w:rsid w:val="004502DF"/>
    <w:rsid w:val="0045053A"/>
    <w:rsid w:val="004507A9"/>
    <w:rsid w:val="0045087D"/>
    <w:rsid w:val="00450B4D"/>
    <w:rsid w:val="00450BED"/>
    <w:rsid w:val="00450BFE"/>
    <w:rsid w:val="00450C49"/>
    <w:rsid w:val="00450DCA"/>
    <w:rsid w:val="00450E16"/>
    <w:rsid w:val="00450ECF"/>
    <w:rsid w:val="00451302"/>
    <w:rsid w:val="004513DD"/>
    <w:rsid w:val="0045154F"/>
    <w:rsid w:val="004516FE"/>
    <w:rsid w:val="004519AA"/>
    <w:rsid w:val="00451EBC"/>
    <w:rsid w:val="00452075"/>
    <w:rsid w:val="004525F5"/>
    <w:rsid w:val="004528C3"/>
    <w:rsid w:val="00452A94"/>
    <w:rsid w:val="004531C2"/>
    <w:rsid w:val="004531E1"/>
    <w:rsid w:val="0045348D"/>
    <w:rsid w:val="00454167"/>
    <w:rsid w:val="0045429A"/>
    <w:rsid w:val="004542C7"/>
    <w:rsid w:val="004547D1"/>
    <w:rsid w:val="004548AC"/>
    <w:rsid w:val="00454977"/>
    <w:rsid w:val="00454E65"/>
    <w:rsid w:val="004551C9"/>
    <w:rsid w:val="00455295"/>
    <w:rsid w:val="00455305"/>
    <w:rsid w:val="0045552A"/>
    <w:rsid w:val="00455624"/>
    <w:rsid w:val="00455670"/>
    <w:rsid w:val="004558E0"/>
    <w:rsid w:val="00455AAD"/>
    <w:rsid w:val="00455B47"/>
    <w:rsid w:val="00455B8F"/>
    <w:rsid w:val="00455C18"/>
    <w:rsid w:val="00455DB4"/>
    <w:rsid w:val="0045605C"/>
    <w:rsid w:val="004561C8"/>
    <w:rsid w:val="00456541"/>
    <w:rsid w:val="00456605"/>
    <w:rsid w:val="00456B3C"/>
    <w:rsid w:val="00456D8B"/>
    <w:rsid w:val="00456DCC"/>
    <w:rsid w:val="00456E83"/>
    <w:rsid w:val="00456ED7"/>
    <w:rsid w:val="004574C6"/>
    <w:rsid w:val="004575FF"/>
    <w:rsid w:val="00457E45"/>
    <w:rsid w:val="00460173"/>
    <w:rsid w:val="00460FE7"/>
    <w:rsid w:val="00461174"/>
    <w:rsid w:val="00461204"/>
    <w:rsid w:val="0046181C"/>
    <w:rsid w:val="00461844"/>
    <w:rsid w:val="004619E8"/>
    <w:rsid w:val="00461AA5"/>
    <w:rsid w:val="00461FD0"/>
    <w:rsid w:val="00462083"/>
    <w:rsid w:val="00462338"/>
    <w:rsid w:val="0046291F"/>
    <w:rsid w:val="00462B57"/>
    <w:rsid w:val="004630B1"/>
    <w:rsid w:val="004630FC"/>
    <w:rsid w:val="004632B6"/>
    <w:rsid w:val="0046348A"/>
    <w:rsid w:val="00463900"/>
    <w:rsid w:val="00463A9D"/>
    <w:rsid w:val="00464389"/>
    <w:rsid w:val="004643BF"/>
    <w:rsid w:val="0046440F"/>
    <w:rsid w:val="00464951"/>
    <w:rsid w:val="00464A8E"/>
    <w:rsid w:val="00464D7B"/>
    <w:rsid w:val="00464E73"/>
    <w:rsid w:val="00464F7B"/>
    <w:rsid w:val="00464FA5"/>
    <w:rsid w:val="0046532B"/>
    <w:rsid w:val="0046540F"/>
    <w:rsid w:val="00465499"/>
    <w:rsid w:val="004654D0"/>
    <w:rsid w:val="00465561"/>
    <w:rsid w:val="00465664"/>
    <w:rsid w:val="00465887"/>
    <w:rsid w:val="00465C3F"/>
    <w:rsid w:val="00465DAE"/>
    <w:rsid w:val="00465FCA"/>
    <w:rsid w:val="004660D7"/>
    <w:rsid w:val="004661E2"/>
    <w:rsid w:val="00466397"/>
    <w:rsid w:val="004667E5"/>
    <w:rsid w:val="004669A8"/>
    <w:rsid w:val="00466E4E"/>
    <w:rsid w:val="00467028"/>
    <w:rsid w:val="00467141"/>
    <w:rsid w:val="0046714B"/>
    <w:rsid w:val="004676EF"/>
    <w:rsid w:val="0046772A"/>
    <w:rsid w:val="00467745"/>
    <w:rsid w:val="00470088"/>
    <w:rsid w:val="004701B5"/>
    <w:rsid w:val="004701BE"/>
    <w:rsid w:val="00470341"/>
    <w:rsid w:val="00470AB9"/>
    <w:rsid w:val="0047114C"/>
    <w:rsid w:val="00471442"/>
    <w:rsid w:val="004716B3"/>
    <w:rsid w:val="00471863"/>
    <w:rsid w:val="00471A7F"/>
    <w:rsid w:val="00471DDD"/>
    <w:rsid w:val="00471E24"/>
    <w:rsid w:val="00471F2E"/>
    <w:rsid w:val="00472174"/>
    <w:rsid w:val="00472196"/>
    <w:rsid w:val="0047266C"/>
    <w:rsid w:val="0047291D"/>
    <w:rsid w:val="00472E81"/>
    <w:rsid w:val="00473691"/>
    <w:rsid w:val="00473AE9"/>
    <w:rsid w:val="004743A7"/>
    <w:rsid w:val="004747E7"/>
    <w:rsid w:val="00474A3F"/>
    <w:rsid w:val="00474EB7"/>
    <w:rsid w:val="00474F8D"/>
    <w:rsid w:val="0047586C"/>
    <w:rsid w:val="00475A82"/>
    <w:rsid w:val="00476006"/>
    <w:rsid w:val="004768E5"/>
    <w:rsid w:val="00476A4D"/>
    <w:rsid w:val="00477036"/>
    <w:rsid w:val="004774AA"/>
    <w:rsid w:val="00477734"/>
    <w:rsid w:val="004777FA"/>
    <w:rsid w:val="00477D5D"/>
    <w:rsid w:val="00477FC2"/>
    <w:rsid w:val="00480115"/>
    <w:rsid w:val="00480229"/>
    <w:rsid w:val="004802A3"/>
    <w:rsid w:val="00480560"/>
    <w:rsid w:val="0048084E"/>
    <w:rsid w:val="00480E4E"/>
    <w:rsid w:val="004813E2"/>
    <w:rsid w:val="00481DFD"/>
    <w:rsid w:val="0048201C"/>
    <w:rsid w:val="0048214F"/>
    <w:rsid w:val="004821DF"/>
    <w:rsid w:val="0048272C"/>
    <w:rsid w:val="00482A67"/>
    <w:rsid w:val="00482AC0"/>
    <w:rsid w:val="00482D40"/>
    <w:rsid w:val="004830F2"/>
    <w:rsid w:val="004831AE"/>
    <w:rsid w:val="00483290"/>
    <w:rsid w:val="004834A0"/>
    <w:rsid w:val="004836A4"/>
    <w:rsid w:val="004838BF"/>
    <w:rsid w:val="004838DE"/>
    <w:rsid w:val="00483B6B"/>
    <w:rsid w:val="00483C65"/>
    <w:rsid w:val="0048402F"/>
    <w:rsid w:val="004841F6"/>
    <w:rsid w:val="004842A1"/>
    <w:rsid w:val="00484810"/>
    <w:rsid w:val="00485450"/>
    <w:rsid w:val="004859E0"/>
    <w:rsid w:val="00485E7B"/>
    <w:rsid w:val="00485FDA"/>
    <w:rsid w:val="0048608F"/>
    <w:rsid w:val="0048634D"/>
    <w:rsid w:val="0048649A"/>
    <w:rsid w:val="0048681B"/>
    <w:rsid w:val="00486840"/>
    <w:rsid w:val="00486D58"/>
    <w:rsid w:val="00486F9E"/>
    <w:rsid w:val="004870F1"/>
    <w:rsid w:val="00487313"/>
    <w:rsid w:val="00487380"/>
    <w:rsid w:val="004878AF"/>
    <w:rsid w:val="00487958"/>
    <w:rsid w:val="00487BB1"/>
    <w:rsid w:val="004904CA"/>
    <w:rsid w:val="00490836"/>
    <w:rsid w:val="00490950"/>
    <w:rsid w:val="004910A1"/>
    <w:rsid w:val="00491185"/>
    <w:rsid w:val="0049138D"/>
    <w:rsid w:val="004916AD"/>
    <w:rsid w:val="004916CA"/>
    <w:rsid w:val="00491D43"/>
    <w:rsid w:val="00491DB9"/>
    <w:rsid w:val="00492308"/>
    <w:rsid w:val="004924D7"/>
    <w:rsid w:val="00492AB7"/>
    <w:rsid w:val="00492DE7"/>
    <w:rsid w:val="004931EB"/>
    <w:rsid w:val="00493276"/>
    <w:rsid w:val="00493467"/>
    <w:rsid w:val="00493603"/>
    <w:rsid w:val="0049378F"/>
    <w:rsid w:val="00493952"/>
    <w:rsid w:val="00493D1A"/>
    <w:rsid w:val="00493F7C"/>
    <w:rsid w:val="0049401B"/>
    <w:rsid w:val="004945CA"/>
    <w:rsid w:val="00494A22"/>
    <w:rsid w:val="00494E72"/>
    <w:rsid w:val="00494F33"/>
    <w:rsid w:val="00495195"/>
    <w:rsid w:val="004951A0"/>
    <w:rsid w:val="0049531E"/>
    <w:rsid w:val="00495EEB"/>
    <w:rsid w:val="00496251"/>
    <w:rsid w:val="00496280"/>
    <w:rsid w:val="0049636C"/>
    <w:rsid w:val="00496474"/>
    <w:rsid w:val="00496836"/>
    <w:rsid w:val="00496890"/>
    <w:rsid w:val="00496975"/>
    <w:rsid w:val="00496F3A"/>
    <w:rsid w:val="00497165"/>
    <w:rsid w:val="00497295"/>
    <w:rsid w:val="00497379"/>
    <w:rsid w:val="00497495"/>
    <w:rsid w:val="00497642"/>
    <w:rsid w:val="00497D6F"/>
    <w:rsid w:val="004A0077"/>
    <w:rsid w:val="004A00FB"/>
    <w:rsid w:val="004A02E3"/>
    <w:rsid w:val="004A047B"/>
    <w:rsid w:val="004A06C9"/>
    <w:rsid w:val="004A078E"/>
    <w:rsid w:val="004A07F8"/>
    <w:rsid w:val="004A0818"/>
    <w:rsid w:val="004A1031"/>
    <w:rsid w:val="004A1709"/>
    <w:rsid w:val="004A1CBB"/>
    <w:rsid w:val="004A1D73"/>
    <w:rsid w:val="004A230C"/>
    <w:rsid w:val="004A236C"/>
    <w:rsid w:val="004A285A"/>
    <w:rsid w:val="004A2B1B"/>
    <w:rsid w:val="004A2BE0"/>
    <w:rsid w:val="004A2EF5"/>
    <w:rsid w:val="004A3682"/>
    <w:rsid w:val="004A36AF"/>
    <w:rsid w:val="004A3760"/>
    <w:rsid w:val="004A389D"/>
    <w:rsid w:val="004A39A4"/>
    <w:rsid w:val="004A3A07"/>
    <w:rsid w:val="004A3C50"/>
    <w:rsid w:val="004A3DD8"/>
    <w:rsid w:val="004A4299"/>
    <w:rsid w:val="004A4376"/>
    <w:rsid w:val="004A49DA"/>
    <w:rsid w:val="004A4E98"/>
    <w:rsid w:val="004A5239"/>
    <w:rsid w:val="004A5430"/>
    <w:rsid w:val="004A544E"/>
    <w:rsid w:val="004A5767"/>
    <w:rsid w:val="004A5A51"/>
    <w:rsid w:val="004A5D8E"/>
    <w:rsid w:val="004A5F04"/>
    <w:rsid w:val="004A5FAF"/>
    <w:rsid w:val="004A60D7"/>
    <w:rsid w:val="004A62FC"/>
    <w:rsid w:val="004A6396"/>
    <w:rsid w:val="004A6850"/>
    <w:rsid w:val="004A69C6"/>
    <w:rsid w:val="004A6E30"/>
    <w:rsid w:val="004A6E3F"/>
    <w:rsid w:val="004A7331"/>
    <w:rsid w:val="004A7699"/>
    <w:rsid w:val="004A76C9"/>
    <w:rsid w:val="004A791B"/>
    <w:rsid w:val="004A7AFD"/>
    <w:rsid w:val="004A7B2A"/>
    <w:rsid w:val="004A7D54"/>
    <w:rsid w:val="004A7ED3"/>
    <w:rsid w:val="004B0371"/>
    <w:rsid w:val="004B03DA"/>
    <w:rsid w:val="004B06E3"/>
    <w:rsid w:val="004B076C"/>
    <w:rsid w:val="004B0786"/>
    <w:rsid w:val="004B0CEC"/>
    <w:rsid w:val="004B11B2"/>
    <w:rsid w:val="004B18C9"/>
    <w:rsid w:val="004B1A3C"/>
    <w:rsid w:val="004B1AC0"/>
    <w:rsid w:val="004B1C36"/>
    <w:rsid w:val="004B1E4E"/>
    <w:rsid w:val="004B28C6"/>
    <w:rsid w:val="004B321F"/>
    <w:rsid w:val="004B32BE"/>
    <w:rsid w:val="004B3548"/>
    <w:rsid w:val="004B35B9"/>
    <w:rsid w:val="004B376E"/>
    <w:rsid w:val="004B38B6"/>
    <w:rsid w:val="004B38DA"/>
    <w:rsid w:val="004B3C2C"/>
    <w:rsid w:val="004B4106"/>
    <w:rsid w:val="004B43BA"/>
    <w:rsid w:val="004B4612"/>
    <w:rsid w:val="004B4794"/>
    <w:rsid w:val="004B4AB7"/>
    <w:rsid w:val="004B4DCF"/>
    <w:rsid w:val="004B5249"/>
    <w:rsid w:val="004B533C"/>
    <w:rsid w:val="004B5360"/>
    <w:rsid w:val="004B5704"/>
    <w:rsid w:val="004B5FC0"/>
    <w:rsid w:val="004B6002"/>
    <w:rsid w:val="004B6A6D"/>
    <w:rsid w:val="004B6AE7"/>
    <w:rsid w:val="004B6DB5"/>
    <w:rsid w:val="004B733B"/>
    <w:rsid w:val="004B73CA"/>
    <w:rsid w:val="004B748C"/>
    <w:rsid w:val="004B74A5"/>
    <w:rsid w:val="004B7B44"/>
    <w:rsid w:val="004B7C5B"/>
    <w:rsid w:val="004B7E57"/>
    <w:rsid w:val="004C0343"/>
    <w:rsid w:val="004C034B"/>
    <w:rsid w:val="004C041C"/>
    <w:rsid w:val="004C0805"/>
    <w:rsid w:val="004C0932"/>
    <w:rsid w:val="004C0ECD"/>
    <w:rsid w:val="004C1059"/>
    <w:rsid w:val="004C1901"/>
    <w:rsid w:val="004C1905"/>
    <w:rsid w:val="004C1B29"/>
    <w:rsid w:val="004C1C2A"/>
    <w:rsid w:val="004C1CA9"/>
    <w:rsid w:val="004C1DAD"/>
    <w:rsid w:val="004C2035"/>
    <w:rsid w:val="004C20F7"/>
    <w:rsid w:val="004C231A"/>
    <w:rsid w:val="004C254D"/>
    <w:rsid w:val="004C256E"/>
    <w:rsid w:val="004C2AA6"/>
    <w:rsid w:val="004C2E63"/>
    <w:rsid w:val="004C321D"/>
    <w:rsid w:val="004C3535"/>
    <w:rsid w:val="004C36CE"/>
    <w:rsid w:val="004C384B"/>
    <w:rsid w:val="004C3865"/>
    <w:rsid w:val="004C395E"/>
    <w:rsid w:val="004C3F95"/>
    <w:rsid w:val="004C3FD6"/>
    <w:rsid w:val="004C40DB"/>
    <w:rsid w:val="004C4174"/>
    <w:rsid w:val="004C43D6"/>
    <w:rsid w:val="004C4482"/>
    <w:rsid w:val="004C4730"/>
    <w:rsid w:val="004C49EA"/>
    <w:rsid w:val="004C4A1A"/>
    <w:rsid w:val="004C4C3F"/>
    <w:rsid w:val="004C4CDF"/>
    <w:rsid w:val="004C4D4D"/>
    <w:rsid w:val="004C4D88"/>
    <w:rsid w:val="004C543D"/>
    <w:rsid w:val="004C5968"/>
    <w:rsid w:val="004C5BAD"/>
    <w:rsid w:val="004C5D01"/>
    <w:rsid w:val="004C5F5B"/>
    <w:rsid w:val="004C6418"/>
    <w:rsid w:val="004C649C"/>
    <w:rsid w:val="004C684B"/>
    <w:rsid w:val="004C68D6"/>
    <w:rsid w:val="004C7047"/>
    <w:rsid w:val="004C706D"/>
    <w:rsid w:val="004C7130"/>
    <w:rsid w:val="004C716E"/>
    <w:rsid w:val="004C7238"/>
    <w:rsid w:val="004C77B2"/>
    <w:rsid w:val="004C7D66"/>
    <w:rsid w:val="004C7D6A"/>
    <w:rsid w:val="004C7D87"/>
    <w:rsid w:val="004C7FE8"/>
    <w:rsid w:val="004D0196"/>
    <w:rsid w:val="004D060C"/>
    <w:rsid w:val="004D09CB"/>
    <w:rsid w:val="004D0C53"/>
    <w:rsid w:val="004D122D"/>
    <w:rsid w:val="004D1443"/>
    <w:rsid w:val="004D14E7"/>
    <w:rsid w:val="004D1545"/>
    <w:rsid w:val="004D19E9"/>
    <w:rsid w:val="004D1F80"/>
    <w:rsid w:val="004D1FEC"/>
    <w:rsid w:val="004D20A7"/>
    <w:rsid w:val="004D22EC"/>
    <w:rsid w:val="004D2406"/>
    <w:rsid w:val="004D25BD"/>
    <w:rsid w:val="004D273C"/>
    <w:rsid w:val="004D281E"/>
    <w:rsid w:val="004D2C2D"/>
    <w:rsid w:val="004D2DDF"/>
    <w:rsid w:val="004D3035"/>
    <w:rsid w:val="004D358D"/>
    <w:rsid w:val="004D3AE4"/>
    <w:rsid w:val="004D3BAA"/>
    <w:rsid w:val="004D3C92"/>
    <w:rsid w:val="004D3EDD"/>
    <w:rsid w:val="004D3F3A"/>
    <w:rsid w:val="004D3FB7"/>
    <w:rsid w:val="004D423D"/>
    <w:rsid w:val="004D4252"/>
    <w:rsid w:val="004D4360"/>
    <w:rsid w:val="004D447B"/>
    <w:rsid w:val="004D44BF"/>
    <w:rsid w:val="004D45B0"/>
    <w:rsid w:val="004D49E5"/>
    <w:rsid w:val="004D4AAD"/>
    <w:rsid w:val="004D4D7F"/>
    <w:rsid w:val="004D5379"/>
    <w:rsid w:val="004D5588"/>
    <w:rsid w:val="004D5FC7"/>
    <w:rsid w:val="004D6933"/>
    <w:rsid w:val="004D6DDB"/>
    <w:rsid w:val="004D6EE3"/>
    <w:rsid w:val="004D6FE6"/>
    <w:rsid w:val="004D75C3"/>
    <w:rsid w:val="004D76C4"/>
    <w:rsid w:val="004D777E"/>
    <w:rsid w:val="004D7B94"/>
    <w:rsid w:val="004D7C9E"/>
    <w:rsid w:val="004E021A"/>
    <w:rsid w:val="004E0445"/>
    <w:rsid w:val="004E05FA"/>
    <w:rsid w:val="004E0726"/>
    <w:rsid w:val="004E0731"/>
    <w:rsid w:val="004E0FE5"/>
    <w:rsid w:val="004E1125"/>
    <w:rsid w:val="004E11DE"/>
    <w:rsid w:val="004E1520"/>
    <w:rsid w:val="004E15CE"/>
    <w:rsid w:val="004E1681"/>
    <w:rsid w:val="004E1745"/>
    <w:rsid w:val="004E17A6"/>
    <w:rsid w:val="004E1B15"/>
    <w:rsid w:val="004E207F"/>
    <w:rsid w:val="004E22EC"/>
    <w:rsid w:val="004E2670"/>
    <w:rsid w:val="004E2B97"/>
    <w:rsid w:val="004E2E1A"/>
    <w:rsid w:val="004E314A"/>
    <w:rsid w:val="004E365D"/>
    <w:rsid w:val="004E3747"/>
    <w:rsid w:val="004E3AE8"/>
    <w:rsid w:val="004E3B55"/>
    <w:rsid w:val="004E3CA7"/>
    <w:rsid w:val="004E3F6D"/>
    <w:rsid w:val="004E4B0B"/>
    <w:rsid w:val="004E53FD"/>
    <w:rsid w:val="004E542A"/>
    <w:rsid w:val="004E5944"/>
    <w:rsid w:val="004E59C1"/>
    <w:rsid w:val="004E5B53"/>
    <w:rsid w:val="004E5B96"/>
    <w:rsid w:val="004E5BE0"/>
    <w:rsid w:val="004E5C6D"/>
    <w:rsid w:val="004E6303"/>
    <w:rsid w:val="004E63BB"/>
    <w:rsid w:val="004E6A0D"/>
    <w:rsid w:val="004E6ACE"/>
    <w:rsid w:val="004E6BB1"/>
    <w:rsid w:val="004E6C32"/>
    <w:rsid w:val="004E6DA1"/>
    <w:rsid w:val="004E7151"/>
    <w:rsid w:val="004E7E38"/>
    <w:rsid w:val="004E7F32"/>
    <w:rsid w:val="004E7F4F"/>
    <w:rsid w:val="004F0184"/>
    <w:rsid w:val="004F0DEE"/>
    <w:rsid w:val="004F0DF1"/>
    <w:rsid w:val="004F0EF9"/>
    <w:rsid w:val="004F0FC2"/>
    <w:rsid w:val="004F12BD"/>
    <w:rsid w:val="004F1509"/>
    <w:rsid w:val="004F1715"/>
    <w:rsid w:val="004F190C"/>
    <w:rsid w:val="004F19C1"/>
    <w:rsid w:val="004F1B14"/>
    <w:rsid w:val="004F1D00"/>
    <w:rsid w:val="004F1D43"/>
    <w:rsid w:val="004F21B7"/>
    <w:rsid w:val="004F2417"/>
    <w:rsid w:val="004F244C"/>
    <w:rsid w:val="004F2788"/>
    <w:rsid w:val="004F2BFE"/>
    <w:rsid w:val="004F2E07"/>
    <w:rsid w:val="004F2F92"/>
    <w:rsid w:val="004F326E"/>
    <w:rsid w:val="004F357F"/>
    <w:rsid w:val="004F37A0"/>
    <w:rsid w:val="004F37ED"/>
    <w:rsid w:val="004F3807"/>
    <w:rsid w:val="004F3B95"/>
    <w:rsid w:val="004F3D42"/>
    <w:rsid w:val="004F3FFB"/>
    <w:rsid w:val="004F465A"/>
    <w:rsid w:val="004F5113"/>
    <w:rsid w:val="004F56D4"/>
    <w:rsid w:val="004F58A1"/>
    <w:rsid w:val="004F59B5"/>
    <w:rsid w:val="004F59D3"/>
    <w:rsid w:val="004F5ACD"/>
    <w:rsid w:val="004F5BF4"/>
    <w:rsid w:val="004F5BFC"/>
    <w:rsid w:val="004F5D2E"/>
    <w:rsid w:val="004F626B"/>
    <w:rsid w:val="004F63CA"/>
    <w:rsid w:val="004F649D"/>
    <w:rsid w:val="004F6527"/>
    <w:rsid w:val="004F6635"/>
    <w:rsid w:val="004F6957"/>
    <w:rsid w:val="004F697C"/>
    <w:rsid w:val="004F6B81"/>
    <w:rsid w:val="004F6B9A"/>
    <w:rsid w:val="004F6BF5"/>
    <w:rsid w:val="004F6D6B"/>
    <w:rsid w:val="004F6EA9"/>
    <w:rsid w:val="004F7016"/>
    <w:rsid w:val="004F70C7"/>
    <w:rsid w:val="004F73D4"/>
    <w:rsid w:val="004F7522"/>
    <w:rsid w:val="004F75B9"/>
    <w:rsid w:val="004F7A72"/>
    <w:rsid w:val="004F7D84"/>
    <w:rsid w:val="004F7EBC"/>
    <w:rsid w:val="005003CA"/>
    <w:rsid w:val="005006E0"/>
    <w:rsid w:val="00500CB4"/>
    <w:rsid w:val="00501449"/>
    <w:rsid w:val="005019F9"/>
    <w:rsid w:val="00501CA5"/>
    <w:rsid w:val="00501CA9"/>
    <w:rsid w:val="0050202E"/>
    <w:rsid w:val="005022C8"/>
    <w:rsid w:val="0050287D"/>
    <w:rsid w:val="00502889"/>
    <w:rsid w:val="00502B33"/>
    <w:rsid w:val="00502D8D"/>
    <w:rsid w:val="00503248"/>
    <w:rsid w:val="0050328A"/>
    <w:rsid w:val="00503375"/>
    <w:rsid w:val="005034E5"/>
    <w:rsid w:val="00503863"/>
    <w:rsid w:val="0050396F"/>
    <w:rsid w:val="00503B31"/>
    <w:rsid w:val="00503E0E"/>
    <w:rsid w:val="00503E12"/>
    <w:rsid w:val="00503F13"/>
    <w:rsid w:val="005045E0"/>
    <w:rsid w:val="005046E9"/>
    <w:rsid w:val="00504B19"/>
    <w:rsid w:val="00504F8A"/>
    <w:rsid w:val="005052D7"/>
    <w:rsid w:val="00505351"/>
    <w:rsid w:val="005057CE"/>
    <w:rsid w:val="00505931"/>
    <w:rsid w:val="00505E32"/>
    <w:rsid w:val="00506509"/>
    <w:rsid w:val="00506B41"/>
    <w:rsid w:val="00506EE6"/>
    <w:rsid w:val="00507324"/>
    <w:rsid w:val="005073AB"/>
    <w:rsid w:val="00507702"/>
    <w:rsid w:val="00507770"/>
    <w:rsid w:val="00507BFD"/>
    <w:rsid w:val="00507DD6"/>
    <w:rsid w:val="00510005"/>
    <w:rsid w:val="005100A3"/>
    <w:rsid w:val="0051017C"/>
    <w:rsid w:val="005101CB"/>
    <w:rsid w:val="005101CC"/>
    <w:rsid w:val="00510455"/>
    <w:rsid w:val="005104AC"/>
    <w:rsid w:val="005107B3"/>
    <w:rsid w:val="005108F2"/>
    <w:rsid w:val="005109B9"/>
    <w:rsid w:val="005109CD"/>
    <w:rsid w:val="00510AB8"/>
    <w:rsid w:val="00511072"/>
    <w:rsid w:val="005110F8"/>
    <w:rsid w:val="00511160"/>
    <w:rsid w:val="005112DF"/>
    <w:rsid w:val="0051267E"/>
    <w:rsid w:val="00512B4F"/>
    <w:rsid w:val="0051304E"/>
    <w:rsid w:val="005134DB"/>
    <w:rsid w:val="00513550"/>
    <w:rsid w:val="0051382C"/>
    <w:rsid w:val="00513DB8"/>
    <w:rsid w:val="00513DF5"/>
    <w:rsid w:val="00513E96"/>
    <w:rsid w:val="00514224"/>
    <w:rsid w:val="005142A9"/>
    <w:rsid w:val="00514404"/>
    <w:rsid w:val="005146AA"/>
    <w:rsid w:val="00514940"/>
    <w:rsid w:val="00514A75"/>
    <w:rsid w:val="00514AFB"/>
    <w:rsid w:val="0051508D"/>
    <w:rsid w:val="00515462"/>
    <w:rsid w:val="0051573F"/>
    <w:rsid w:val="00515A18"/>
    <w:rsid w:val="00515A1B"/>
    <w:rsid w:val="00515A62"/>
    <w:rsid w:val="00516266"/>
    <w:rsid w:val="0051675F"/>
    <w:rsid w:val="00516DFD"/>
    <w:rsid w:val="00516F38"/>
    <w:rsid w:val="00517143"/>
    <w:rsid w:val="00517193"/>
    <w:rsid w:val="00517288"/>
    <w:rsid w:val="00517670"/>
    <w:rsid w:val="0051778F"/>
    <w:rsid w:val="005177F0"/>
    <w:rsid w:val="0051785E"/>
    <w:rsid w:val="005178B9"/>
    <w:rsid w:val="005178D9"/>
    <w:rsid w:val="00517B4E"/>
    <w:rsid w:val="00517CE4"/>
    <w:rsid w:val="00520158"/>
    <w:rsid w:val="0052074D"/>
    <w:rsid w:val="00520909"/>
    <w:rsid w:val="00521396"/>
    <w:rsid w:val="005214C3"/>
    <w:rsid w:val="005218C3"/>
    <w:rsid w:val="00521DAE"/>
    <w:rsid w:val="00521F7A"/>
    <w:rsid w:val="005225DF"/>
    <w:rsid w:val="005226D5"/>
    <w:rsid w:val="00522726"/>
    <w:rsid w:val="0052319D"/>
    <w:rsid w:val="005231F5"/>
    <w:rsid w:val="0052372D"/>
    <w:rsid w:val="00523F3A"/>
    <w:rsid w:val="00523FAD"/>
    <w:rsid w:val="00523FB2"/>
    <w:rsid w:val="00524074"/>
    <w:rsid w:val="00524384"/>
    <w:rsid w:val="00524398"/>
    <w:rsid w:val="0052442B"/>
    <w:rsid w:val="00524A17"/>
    <w:rsid w:val="00524C43"/>
    <w:rsid w:val="00525294"/>
    <w:rsid w:val="005252D9"/>
    <w:rsid w:val="00525509"/>
    <w:rsid w:val="00525571"/>
    <w:rsid w:val="00525804"/>
    <w:rsid w:val="0052593E"/>
    <w:rsid w:val="005260D9"/>
    <w:rsid w:val="0052637D"/>
    <w:rsid w:val="00526550"/>
    <w:rsid w:val="00526762"/>
    <w:rsid w:val="00526CA7"/>
    <w:rsid w:val="00526CD1"/>
    <w:rsid w:val="00526D9B"/>
    <w:rsid w:val="00527755"/>
    <w:rsid w:val="00527758"/>
    <w:rsid w:val="005277D4"/>
    <w:rsid w:val="00527A33"/>
    <w:rsid w:val="00530112"/>
    <w:rsid w:val="005303BE"/>
    <w:rsid w:val="00530637"/>
    <w:rsid w:val="005308E3"/>
    <w:rsid w:val="00530D5A"/>
    <w:rsid w:val="00530DF9"/>
    <w:rsid w:val="00530E07"/>
    <w:rsid w:val="00531376"/>
    <w:rsid w:val="00531715"/>
    <w:rsid w:val="0053178F"/>
    <w:rsid w:val="00531842"/>
    <w:rsid w:val="00532085"/>
    <w:rsid w:val="0053229A"/>
    <w:rsid w:val="005327B7"/>
    <w:rsid w:val="00532992"/>
    <w:rsid w:val="00532C2B"/>
    <w:rsid w:val="00532CEE"/>
    <w:rsid w:val="00532E09"/>
    <w:rsid w:val="00532F22"/>
    <w:rsid w:val="00532FB5"/>
    <w:rsid w:val="005333C7"/>
    <w:rsid w:val="00533E32"/>
    <w:rsid w:val="00533F99"/>
    <w:rsid w:val="00534029"/>
    <w:rsid w:val="00534873"/>
    <w:rsid w:val="00534AA6"/>
    <w:rsid w:val="00534ABA"/>
    <w:rsid w:val="00534C8B"/>
    <w:rsid w:val="0053582F"/>
    <w:rsid w:val="00535AD5"/>
    <w:rsid w:val="0053630A"/>
    <w:rsid w:val="0053636C"/>
    <w:rsid w:val="0053677A"/>
    <w:rsid w:val="00536DF4"/>
    <w:rsid w:val="00537188"/>
    <w:rsid w:val="005374C1"/>
    <w:rsid w:val="00537534"/>
    <w:rsid w:val="00537561"/>
    <w:rsid w:val="0053756E"/>
    <w:rsid w:val="00537778"/>
    <w:rsid w:val="0053791D"/>
    <w:rsid w:val="00537B52"/>
    <w:rsid w:val="00537F95"/>
    <w:rsid w:val="005408F4"/>
    <w:rsid w:val="005409D2"/>
    <w:rsid w:val="00540B33"/>
    <w:rsid w:val="0054129A"/>
    <w:rsid w:val="00541528"/>
    <w:rsid w:val="0054163F"/>
    <w:rsid w:val="00541789"/>
    <w:rsid w:val="00541A6A"/>
    <w:rsid w:val="0054205B"/>
    <w:rsid w:val="0054210C"/>
    <w:rsid w:val="00542282"/>
    <w:rsid w:val="005422CE"/>
    <w:rsid w:val="005423A1"/>
    <w:rsid w:val="005425E9"/>
    <w:rsid w:val="005428A9"/>
    <w:rsid w:val="00542B44"/>
    <w:rsid w:val="00542EBB"/>
    <w:rsid w:val="00543447"/>
    <w:rsid w:val="00543456"/>
    <w:rsid w:val="0054351E"/>
    <w:rsid w:val="005435DB"/>
    <w:rsid w:val="005437EA"/>
    <w:rsid w:val="005437EE"/>
    <w:rsid w:val="00543B8E"/>
    <w:rsid w:val="00543D99"/>
    <w:rsid w:val="00543DCE"/>
    <w:rsid w:val="00543DE2"/>
    <w:rsid w:val="00543F57"/>
    <w:rsid w:val="0054458B"/>
    <w:rsid w:val="00544B61"/>
    <w:rsid w:val="00544C42"/>
    <w:rsid w:val="00544EED"/>
    <w:rsid w:val="00544F18"/>
    <w:rsid w:val="005452AA"/>
    <w:rsid w:val="005454B9"/>
    <w:rsid w:val="00545B2E"/>
    <w:rsid w:val="00545C18"/>
    <w:rsid w:val="00545E6A"/>
    <w:rsid w:val="0054600C"/>
    <w:rsid w:val="005465B9"/>
    <w:rsid w:val="005467D6"/>
    <w:rsid w:val="00546805"/>
    <w:rsid w:val="00546DEA"/>
    <w:rsid w:val="00546E64"/>
    <w:rsid w:val="005476A1"/>
    <w:rsid w:val="005477B5"/>
    <w:rsid w:val="00547ACD"/>
    <w:rsid w:val="00547D03"/>
    <w:rsid w:val="00547E24"/>
    <w:rsid w:val="00550051"/>
    <w:rsid w:val="0055034A"/>
    <w:rsid w:val="005507D8"/>
    <w:rsid w:val="00550B5B"/>
    <w:rsid w:val="00550BDB"/>
    <w:rsid w:val="00550C48"/>
    <w:rsid w:val="005516A4"/>
    <w:rsid w:val="00551E54"/>
    <w:rsid w:val="00552083"/>
    <w:rsid w:val="005520C0"/>
    <w:rsid w:val="00552464"/>
    <w:rsid w:val="00552554"/>
    <w:rsid w:val="00552B6E"/>
    <w:rsid w:val="00552DDC"/>
    <w:rsid w:val="00552FB2"/>
    <w:rsid w:val="00553861"/>
    <w:rsid w:val="00553980"/>
    <w:rsid w:val="005540B5"/>
    <w:rsid w:val="005545FF"/>
    <w:rsid w:val="0055464D"/>
    <w:rsid w:val="005549FE"/>
    <w:rsid w:val="00554E1C"/>
    <w:rsid w:val="005559E6"/>
    <w:rsid w:val="00555A3A"/>
    <w:rsid w:val="005561D3"/>
    <w:rsid w:val="0055634F"/>
    <w:rsid w:val="005563E6"/>
    <w:rsid w:val="00556642"/>
    <w:rsid w:val="00556CB1"/>
    <w:rsid w:val="00556CD7"/>
    <w:rsid w:val="0055713A"/>
    <w:rsid w:val="00557446"/>
    <w:rsid w:val="00557638"/>
    <w:rsid w:val="00557719"/>
    <w:rsid w:val="00557816"/>
    <w:rsid w:val="00557C9B"/>
    <w:rsid w:val="00557E35"/>
    <w:rsid w:val="00557E37"/>
    <w:rsid w:val="005600C3"/>
    <w:rsid w:val="00560523"/>
    <w:rsid w:val="005605C0"/>
    <w:rsid w:val="005608B4"/>
    <w:rsid w:val="00560B23"/>
    <w:rsid w:val="00560C04"/>
    <w:rsid w:val="00560FE9"/>
    <w:rsid w:val="005619AA"/>
    <w:rsid w:val="00561A98"/>
    <w:rsid w:val="00561F8D"/>
    <w:rsid w:val="0056233F"/>
    <w:rsid w:val="005625B0"/>
    <w:rsid w:val="0056264F"/>
    <w:rsid w:val="0056269D"/>
    <w:rsid w:val="00562E46"/>
    <w:rsid w:val="0056314F"/>
    <w:rsid w:val="005632F7"/>
    <w:rsid w:val="00563828"/>
    <w:rsid w:val="00563A36"/>
    <w:rsid w:val="00563AFD"/>
    <w:rsid w:val="00563E03"/>
    <w:rsid w:val="0056402A"/>
    <w:rsid w:val="005641EB"/>
    <w:rsid w:val="005641F5"/>
    <w:rsid w:val="00564340"/>
    <w:rsid w:val="00564483"/>
    <w:rsid w:val="00564A80"/>
    <w:rsid w:val="00564CB7"/>
    <w:rsid w:val="00565677"/>
    <w:rsid w:val="005659DF"/>
    <w:rsid w:val="00565D50"/>
    <w:rsid w:val="00565E6A"/>
    <w:rsid w:val="00566050"/>
    <w:rsid w:val="005661F3"/>
    <w:rsid w:val="0056620B"/>
    <w:rsid w:val="00566B0E"/>
    <w:rsid w:val="00566E77"/>
    <w:rsid w:val="00566F23"/>
    <w:rsid w:val="0056710A"/>
    <w:rsid w:val="00567136"/>
    <w:rsid w:val="00567307"/>
    <w:rsid w:val="00567731"/>
    <w:rsid w:val="00567D2A"/>
    <w:rsid w:val="00567D4D"/>
    <w:rsid w:val="0057001C"/>
    <w:rsid w:val="00570E7B"/>
    <w:rsid w:val="00571173"/>
    <w:rsid w:val="00571259"/>
    <w:rsid w:val="005712C5"/>
    <w:rsid w:val="00571335"/>
    <w:rsid w:val="0057134F"/>
    <w:rsid w:val="0057175C"/>
    <w:rsid w:val="005717F0"/>
    <w:rsid w:val="00571831"/>
    <w:rsid w:val="005719C0"/>
    <w:rsid w:val="00571A6B"/>
    <w:rsid w:val="00571C01"/>
    <w:rsid w:val="00571E18"/>
    <w:rsid w:val="00571FC4"/>
    <w:rsid w:val="0057245E"/>
    <w:rsid w:val="00573894"/>
    <w:rsid w:val="00573999"/>
    <w:rsid w:val="00573A7B"/>
    <w:rsid w:val="00573A81"/>
    <w:rsid w:val="00573A9F"/>
    <w:rsid w:val="00573C05"/>
    <w:rsid w:val="00573C46"/>
    <w:rsid w:val="00573EBA"/>
    <w:rsid w:val="00574691"/>
    <w:rsid w:val="00574C75"/>
    <w:rsid w:val="00574D45"/>
    <w:rsid w:val="00574DA5"/>
    <w:rsid w:val="00574F5F"/>
    <w:rsid w:val="005751CF"/>
    <w:rsid w:val="00575A56"/>
    <w:rsid w:val="00575CF0"/>
    <w:rsid w:val="00575DBF"/>
    <w:rsid w:val="00575E0D"/>
    <w:rsid w:val="00576224"/>
    <w:rsid w:val="005762A5"/>
    <w:rsid w:val="00576584"/>
    <w:rsid w:val="005767A7"/>
    <w:rsid w:val="0057711B"/>
    <w:rsid w:val="005775E9"/>
    <w:rsid w:val="00577619"/>
    <w:rsid w:val="0057774C"/>
    <w:rsid w:val="00577867"/>
    <w:rsid w:val="005778E6"/>
    <w:rsid w:val="00577C2A"/>
    <w:rsid w:val="00577D4E"/>
    <w:rsid w:val="00580243"/>
    <w:rsid w:val="00580429"/>
    <w:rsid w:val="00580B0F"/>
    <w:rsid w:val="00580B6D"/>
    <w:rsid w:val="00580E86"/>
    <w:rsid w:val="005812B9"/>
    <w:rsid w:val="00581963"/>
    <w:rsid w:val="00581B01"/>
    <w:rsid w:val="00582562"/>
    <w:rsid w:val="0058262A"/>
    <w:rsid w:val="0058262F"/>
    <w:rsid w:val="00582854"/>
    <w:rsid w:val="00582888"/>
    <w:rsid w:val="00582A44"/>
    <w:rsid w:val="00582C3A"/>
    <w:rsid w:val="00582FC7"/>
    <w:rsid w:val="00583222"/>
    <w:rsid w:val="005832C0"/>
    <w:rsid w:val="005837F1"/>
    <w:rsid w:val="00583939"/>
    <w:rsid w:val="00583A6F"/>
    <w:rsid w:val="00583C91"/>
    <w:rsid w:val="00583EB8"/>
    <w:rsid w:val="0058409B"/>
    <w:rsid w:val="00584140"/>
    <w:rsid w:val="00584348"/>
    <w:rsid w:val="00584596"/>
    <w:rsid w:val="00584837"/>
    <w:rsid w:val="005849C7"/>
    <w:rsid w:val="00584A2D"/>
    <w:rsid w:val="00584C19"/>
    <w:rsid w:val="005852EF"/>
    <w:rsid w:val="005853A5"/>
    <w:rsid w:val="005857F2"/>
    <w:rsid w:val="0058585C"/>
    <w:rsid w:val="005858FB"/>
    <w:rsid w:val="00585C12"/>
    <w:rsid w:val="00585C30"/>
    <w:rsid w:val="00585D6D"/>
    <w:rsid w:val="00586348"/>
    <w:rsid w:val="0058634E"/>
    <w:rsid w:val="005864B0"/>
    <w:rsid w:val="00586788"/>
    <w:rsid w:val="00586847"/>
    <w:rsid w:val="00586B21"/>
    <w:rsid w:val="00586CC7"/>
    <w:rsid w:val="00586F80"/>
    <w:rsid w:val="005871B6"/>
    <w:rsid w:val="0058724C"/>
    <w:rsid w:val="005877C8"/>
    <w:rsid w:val="00587A85"/>
    <w:rsid w:val="00587AD5"/>
    <w:rsid w:val="00587B51"/>
    <w:rsid w:val="00587BD8"/>
    <w:rsid w:val="00587C8E"/>
    <w:rsid w:val="00587D91"/>
    <w:rsid w:val="00587EB0"/>
    <w:rsid w:val="00590384"/>
    <w:rsid w:val="005903A9"/>
    <w:rsid w:val="005907FE"/>
    <w:rsid w:val="00590816"/>
    <w:rsid w:val="0059081E"/>
    <w:rsid w:val="00590B1A"/>
    <w:rsid w:val="00590DCD"/>
    <w:rsid w:val="00591043"/>
    <w:rsid w:val="00591078"/>
    <w:rsid w:val="005910C4"/>
    <w:rsid w:val="00591F71"/>
    <w:rsid w:val="0059237C"/>
    <w:rsid w:val="0059243E"/>
    <w:rsid w:val="0059276C"/>
    <w:rsid w:val="005929C4"/>
    <w:rsid w:val="00592BED"/>
    <w:rsid w:val="00592C4A"/>
    <w:rsid w:val="00592FC4"/>
    <w:rsid w:val="00593472"/>
    <w:rsid w:val="0059369B"/>
    <w:rsid w:val="00593E8D"/>
    <w:rsid w:val="00593EB3"/>
    <w:rsid w:val="00593FD5"/>
    <w:rsid w:val="00594797"/>
    <w:rsid w:val="0059481B"/>
    <w:rsid w:val="0059486B"/>
    <w:rsid w:val="0059492D"/>
    <w:rsid w:val="00594AF0"/>
    <w:rsid w:val="0059530E"/>
    <w:rsid w:val="00595649"/>
    <w:rsid w:val="0059579E"/>
    <w:rsid w:val="00595A77"/>
    <w:rsid w:val="00595C6C"/>
    <w:rsid w:val="005961E5"/>
    <w:rsid w:val="005969C1"/>
    <w:rsid w:val="00596B8A"/>
    <w:rsid w:val="00596F7C"/>
    <w:rsid w:val="00597185"/>
    <w:rsid w:val="005972EE"/>
    <w:rsid w:val="00597542"/>
    <w:rsid w:val="005976D6"/>
    <w:rsid w:val="0059778D"/>
    <w:rsid w:val="00597C9F"/>
    <w:rsid w:val="00597CE1"/>
    <w:rsid w:val="005A0316"/>
    <w:rsid w:val="005A084B"/>
    <w:rsid w:val="005A087F"/>
    <w:rsid w:val="005A0C8D"/>
    <w:rsid w:val="005A0D0D"/>
    <w:rsid w:val="005A0E01"/>
    <w:rsid w:val="005A0EFE"/>
    <w:rsid w:val="005A0FB8"/>
    <w:rsid w:val="005A1000"/>
    <w:rsid w:val="005A104D"/>
    <w:rsid w:val="005A10B3"/>
    <w:rsid w:val="005A1121"/>
    <w:rsid w:val="005A112B"/>
    <w:rsid w:val="005A142A"/>
    <w:rsid w:val="005A15C7"/>
    <w:rsid w:val="005A15D5"/>
    <w:rsid w:val="005A161F"/>
    <w:rsid w:val="005A16CA"/>
    <w:rsid w:val="005A1AA5"/>
    <w:rsid w:val="005A1D15"/>
    <w:rsid w:val="005A2857"/>
    <w:rsid w:val="005A299B"/>
    <w:rsid w:val="005A2B9A"/>
    <w:rsid w:val="005A2D6A"/>
    <w:rsid w:val="005A2F3F"/>
    <w:rsid w:val="005A3182"/>
    <w:rsid w:val="005A343B"/>
    <w:rsid w:val="005A343E"/>
    <w:rsid w:val="005A3548"/>
    <w:rsid w:val="005A3750"/>
    <w:rsid w:val="005A38C6"/>
    <w:rsid w:val="005A3DE6"/>
    <w:rsid w:val="005A4345"/>
    <w:rsid w:val="005A440E"/>
    <w:rsid w:val="005A4AA9"/>
    <w:rsid w:val="005A4C78"/>
    <w:rsid w:val="005A4E43"/>
    <w:rsid w:val="005A53E4"/>
    <w:rsid w:val="005A5605"/>
    <w:rsid w:val="005A5716"/>
    <w:rsid w:val="005A5855"/>
    <w:rsid w:val="005A5C5F"/>
    <w:rsid w:val="005A5CC3"/>
    <w:rsid w:val="005A5D7F"/>
    <w:rsid w:val="005A5E04"/>
    <w:rsid w:val="005A6666"/>
    <w:rsid w:val="005A66F6"/>
    <w:rsid w:val="005A671A"/>
    <w:rsid w:val="005A67F3"/>
    <w:rsid w:val="005A6F48"/>
    <w:rsid w:val="005A7023"/>
    <w:rsid w:val="005A74BD"/>
    <w:rsid w:val="005A7653"/>
    <w:rsid w:val="005A7687"/>
    <w:rsid w:val="005A7926"/>
    <w:rsid w:val="005A79F9"/>
    <w:rsid w:val="005A7A9A"/>
    <w:rsid w:val="005A7D52"/>
    <w:rsid w:val="005B009E"/>
    <w:rsid w:val="005B0656"/>
    <w:rsid w:val="005B07B8"/>
    <w:rsid w:val="005B0B09"/>
    <w:rsid w:val="005B104A"/>
    <w:rsid w:val="005B109A"/>
    <w:rsid w:val="005B14F3"/>
    <w:rsid w:val="005B1A4C"/>
    <w:rsid w:val="005B1D7D"/>
    <w:rsid w:val="005B1F9E"/>
    <w:rsid w:val="005B2175"/>
    <w:rsid w:val="005B245D"/>
    <w:rsid w:val="005B2559"/>
    <w:rsid w:val="005B28AE"/>
    <w:rsid w:val="005B30F5"/>
    <w:rsid w:val="005B31F4"/>
    <w:rsid w:val="005B320B"/>
    <w:rsid w:val="005B330F"/>
    <w:rsid w:val="005B3504"/>
    <w:rsid w:val="005B3836"/>
    <w:rsid w:val="005B3953"/>
    <w:rsid w:val="005B3AE5"/>
    <w:rsid w:val="005B3D13"/>
    <w:rsid w:val="005B3EB2"/>
    <w:rsid w:val="005B3FCE"/>
    <w:rsid w:val="005B49F1"/>
    <w:rsid w:val="005B4A92"/>
    <w:rsid w:val="005B4A99"/>
    <w:rsid w:val="005B4CF1"/>
    <w:rsid w:val="005B4DAF"/>
    <w:rsid w:val="005B4ECC"/>
    <w:rsid w:val="005B5017"/>
    <w:rsid w:val="005B5267"/>
    <w:rsid w:val="005B52A4"/>
    <w:rsid w:val="005B54B1"/>
    <w:rsid w:val="005B5A76"/>
    <w:rsid w:val="005B5B5C"/>
    <w:rsid w:val="005B5BD8"/>
    <w:rsid w:val="005B5E4D"/>
    <w:rsid w:val="005B61E3"/>
    <w:rsid w:val="005B61F6"/>
    <w:rsid w:val="005B62E5"/>
    <w:rsid w:val="005B6519"/>
    <w:rsid w:val="005B6568"/>
    <w:rsid w:val="005B6C1B"/>
    <w:rsid w:val="005B6C29"/>
    <w:rsid w:val="005B6EFD"/>
    <w:rsid w:val="005B7314"/>
    <w:rsid w:val="005B736D"/>
    <w:rsid w:val="005B74C1"/>
    <w:rsid w:val="005B7A70"/>
    <w:rsid w:val="005B7BD6"/>
    <w:rsid w:val="005C03CC"/>
    <w:rsid w:val="005C04AD"/>
    <w:rsid w:val="005C139F"/>
    <w:rsid w:val="005C1994"/>
    <w:rsid w:val="005C1AF6"/>
    <w:rsid w:val="005C1D8E"/>
    <w:rsid w:val="005C2022"/>
    <w:rsid w:val="005C2605"/>
    <w:rsid w:val="005C29D7"/>
    <w:rsid w:val="005C2AEE"/>
    <w:rsid w:val="005C2D73"/>
    <w:rsid w:val="005C2E23"/>
    <w:rsid w:val="005C306D"/>
    <w:rsid w:val="005C3120"/>
    <w:rsid w:val="005C31E4"/>
    <w:rsid w:val="005C36AB"/>
    <w:rsid w:val="005C36C4"/>
    <w:rsid w:val="005C3874"/>
    <w:rsid w:val="005C390E"/>
    <w:rsid w:val="005C3C79"/>
    <w:rsid w:val="005C3ECD"/>
    <w:rsid w:val="005C428D"/>
    <w:rsid w:val="005C446B"/>
    <w:rsid w:val="005C4488"/>
    <w:rsid w:val="005C4544"/>
    <w:rsid w:val="005C497C"/>
    <w:rsid w:val="005C4AC5"/>
    <w:rsid w:val="005C4AF9"/>
    <w:rsid w:val="005C4DE7"/>
    <w:rsid w:val="005C4F30"/>
    <w:rsid w:val="005C5001"/>
    <w:rsid w:val="005C527C"/>
    <w:rsid w:val="005C572E"/>
    <w:rsid w:val="005C5A69"/>
    <w:rsid w:val="005C5C72"/>
    <w:rsid w:val="005C6007"/>
    <w:rsid w:val="005C6282"/>
    <w:rsid w:val="005C66B7"/>
    <w:rsid w:val="005C66BF"/>
    <w:rsid w:val="005C6777"/>
    <w:rsid w:val="005C6DC0"/>
    <w:rsid w:val="005C6F99"/>
    <w:rsid w:val="005C711D"/>
    <w:rsid w:val="005C72F0"/>
    <w:rsid w:val="005C7661"/>
    <w:rsid w:val="005C7CE3"/>
    <w:rsid w:val="005D0112"/>
    <w:rsid w:val="005D0249"/>
    <w:rsid w:val="005D0903"/>
    <w:rsid w:val="005D090E"/>
    <w:rsid w:val="005D09DC"/>
    <w:rsid w:val="005D0B3E"/>
    <w:rsid w:val="005D1072"/>
    <w:rsid w:val="005D1160"/>
    <w:rsid w:val="005D1262"/>
    <w:rsid w:val="005D1358"/>
    <w:rsid w:val="005D16AE"/>
    <w:rsid w:val="005D18BC"/>
    <w:rsid w:val="005D1B7A"/>
    <w:rsid w:val="005D1CD4"/>
    <w:rsid w:val="005D1F48"/>
    <w:rsid w:val="005D1F7C"/>
    <w:rsid w:val="005D1FD3"/>
    <w:rsid w:val="005D2093"/>
    <w:rsid w:val="005D21FD"/>
    <w:rsid w:val="005D229B"/>
    <w:rsid w:val="005D24B7"/>
    <w:rsid w:val="005D2829"/>
    <w:rsid w:val="005D2872"/>
    <w:rsid w:val="005D2C0B"/>
    <w:rsid w:val="005D2D89"/>
    <w:rsid w:val="005D363F"/>
    <w:rsid w:val="005D3641"/>
    <w:rsid w:val="005D3F32"/>
    <w:rsid w:val="005D4077"/>
    <w:rsid w:val="005D4121"/>
    <w:rsid w:val="005D421C"/>
    <w:rsid w:val="005D4609"/>
    <w:rsid w:val="005D47F7"/>
    <w:rsid w:val="005D4A68"/>
    <w:rsid w:val="005D4BC6"/>
    <w:rsid w:val="005D57A3"/>
    <w:rsid w:val="005D57E8"/>
    <w:rsid w:val="005D58D6"/>
    <w:rsid w:val="005D61C6"/>
    <w:rsid w:val="005D62F1"/>
    <w:rsid w:val="005D6605"/>
    <w:rsid w:val="005D6637"/>
    <w:rsid w:val="005D687E"/>
    <w:rsid w:val="005D69B6"/>
    <w:rsid w:val="005D6CD6"/>
    <w:rsid w:val="005D6E39"/>
    <w:rsid w:val="005D6E7A"/>
    <w:rsid w:val="005D6F4A"/>
    <w:rsid w:val="005D7265"/>
    <w:rsid w:val="005D7377"/>
    <w:rsid w:val="005D742D"/>
    <w:rsid w:val="005D77F0"/>
    <w:rsid w:val="005D784F"/>
    <w:rsid w:val="005D7AD8"/>
    <w:rsid w:val="005D7FF2"/>
    <w:rsid w:val="005E0340"/>
    <w:rsid w:val="005E0C64"/>
    <w:rsid w:val="005E1124"/>
    <w:rsid w:val="005E14B8"/>
    <w:rsid w:val="005E1572"/>
    <w:rsid w:val="005E1769"/>
    <w:rsid w:val="005E1838"/>
    <w:rsid w:val="005E18C6"/>
    <w:rsid w:val="005E19D7"/>
    <w:rsid w:val="005E1A77"/>
    <w:rsid w:val="005E1C32"/>
    <w:rsid w:val="005E2409"/>
    <w:rsid w:val="005E26B1"/>
    <w:rsid w:val="005E274A"/>
    <w:rsid w:val="005E2B59"/>
    <w:rsid w:val="005E2C30"/>
    <w:rsid w:val="005E316F"/>
    <w:rsid w:val="005E31FA"/>
    <w:rsid w:val="005E32AA"/>
    <w:rsid w:val="005E32FC"/>
    <w:rsid w:val="005E3366"/>
    <w:rsid w:val="005E3443"/>
    <w:rsid w:val="005E3C3C"/>
    <w:rsid w:val="005E3FC5"/>
    <w:rsid w:val="005E41EE"/>
    <w:rsid w:val="005E4528"/>
    <w:rsid w:val="005E460C"/>
    <w:rsid w:val="005E472D"/>
    <w:rsid w:val="005E49F7"/>
    <w:rsid w:val="005E4D8A"/>
    <w:rsid w:val="005E4DAF"/>
    <w:rsid w:val="005E4F49"/>
    <w:rsid w:val="005E527F"/>
    <w:rsid w:val="005E52FC"/>
    <w:rsid w:val="005E53BD"/>
    <w:rsid w:val="005E55B2"/>
    <w:rsid w:val="005E5816"/>
    <w:rsid w:val="005E5A43"/>
    <w:rsid w:val="005E5B66"/>
    <w:rsid w:val="005E63FA"/>
    <w:rsid w:val="005E649F"/>
    <w:rsid w:val="005E704C"/>
    <w:rsid w:val="005E753F"/>
    <w:rsid w:val="005E77A1"/>
    <w:rsid w:val="005E7AC9"/>
    <w:rsid w:val="005E7CFF"/>
    <w:rsid w:val="005F0021"/>
    <w:rsid w:val="005F0273"/>
    <w:rsid w:val="005F08A3"/>
    <w:rsid w:val="005F0C12"/>
    <w:rsid w:val="005F0E8E"/>
    <w:rsid w:val="005F0F1E"/>
    <w:rsid w:val="005F1063"/>
    <w:rsid w:val="005F10A9"/>
    <w:rsid w:val="005F1172"/>
    <w:rsid w:val="005F135B"/>
    <w:rsid w:val="005F171C"/>
    <w:rsid w:val="005F18D8"/>
    <w:rsid w:val="005F1A62"/>
    <w:rsid w:val="005F1ABE"/>
    <w:rsid w:val="005F22EC"/>
    <w:rsid w:val="005F2533"/>
    <w:rsid w:val="005F2635"/>
    <w:rsid w:val="005F3332"/>
    <w:rsid w:val="005F39E5"/>
    <w:rsid w:val="005F3B3D"/>
    <w:rsid w:val="005F3C35"/>
    <w:rsid w:val="005F3D44"/>
    <w:rsid w:val="005F3FDB"/>
    <w:rsid w:val="005F4466"/>
    <w:rsid w:val="005F479E"/>
    <w:rsid w:val="005F490F"/>
    <w:rsid w:val="005F4E5E"/>
    <w:rsid w:val="005F52B5"/>
    <w:rsid w:val="005F5620"/>
    <w:rsid w:val="005F5627"/>
    <w:rsid w:val="005F5684"/>
    <w:rsid w:val="005F5712"/>
    <w:rsid w:val="005F581D"/>
    <w:rsid w:val="005F59F7"/>
    <w:rsid w:val="005F5A6C"/>
    <w:rsid w:val="005F5F31"/>
    <w:rsid w:val="005F6093"/>
    <w:rsid w:val="005F64A6"/>
    <w:rsid w:val="005F6571"/>
    <w:rsid w:val="005F659F"/>
    <w:rsid w:val="005F6F36"/>
    <w:rsid w:val="005F7013"/>
    <w:rsid w:val="005F723B"/>
    <w:rsid w:val="005F7567"/>
    <w:rsid w:val="005F7647"/>
    <w:rsid w:val="005F7661"/>
    <w:rsid w:val="005F7792"/>
    <w:rsid w:val="005F7F58"/>
    <w:rsid w:val="0060006A"/>
    <w:rsid w:val="00600196"/>
    <w:rsid w:val="006002D2"/>
    <w:rsid w:val="006005D3"/>
    <w:rsid w:val="00600608"/>
    <w:rsid w:val="006010C4"/>
    <w:rsid w:val="006011C6"/>
    <w:rsid w:val="006011F3"/>
    <w:rsid w:val="0060129C"/>
    <w:rsid w:val="00601395"/>
    <w:rsid w:val="006014B0"/>
    <w:rsid w:val="0060150B"/>
    <w:rsid w:val="0060228A"/>
    <w:rsid w:val="0060291E"/>
    <w:rsid w:val="00603987"/>
    <w:rsid w:val="00603A13"/>
    <w:rsid w:val="00603A75"/>
    <w:rsid w:val="00603BD9"/>
    <w:rsid w:val="00603CB3"/>
    <w:rsid w:val="0060411C"/>
    <w:rsid w:val="00604291"/>
    <w:rsid w:val="00604324"/>
    <w:rsid w:val="006046DE"/>
    <w:rsid w:val="0060493E"/>
    <w:rsid w:val="00604A60"/>
    <w:rsid w:val="00604BED"/>
    <w:rsid w:val="00604F82"/>
    <w:rsid w:val="00605462"/>
    <w:rsid w:val="0060585C"/>
    <w:rsid w:val="00605B47"/>
    <w:rsid w:val="00605E32"/>
    <w:rsid w:val="00605E5A"/>
    <w:rsid w:val="00605FA0"/>
    <w:rsid w:val="0060681A"/>
    <w:rsid w:val="00606FB5"/>
    <w:rsid w:val="006071C6"/>
    <w:rsid w:val="0060737A"/>
    <w:rsid w:val="00607440"/>
    <w:rsid w:val="00607446"/>
    <w:rsid w:val="0060756C"/>
    <w:rsid w:val="00607986"/>
    <w:rsid w:val="00607A0B"/>
    <w:rsid w:val="00607C6E"/>
    <w:rsid w:val="00607F55"/>
    <w:rsid w:val="00610291"/>
    <w:rsid w:val="0061056D"/>
    <w:rsid w:val="00610579"/>
    <w:rsid w:val="0061057E"/>
    <w:rsid w:val="00610851"/>
    <w:rsid w:val="006108D7"/>
    <w:rsid w:val="00610B1B"/>
    <w:rsid w:val="0061118D"/>
    <w:rsid w:val="006111B5"/>
    <w:rsid w:val="0061179C"/>
    <w:rsid w:val="006117F3"/>
    <w:rsid w:val="006117FB"/>
    <w:rsid w:val="00611BCF"/>
    <w:rsid w:val="00611D11"/>
    <w:rsid w:val="00611DE1"/>
    <w:rsid w:val="00611F73"/>
    <w:rsid w:val="006121B0"/>
    <w:rsid w:val="006121CC"/>
    <w:rsid w:val="0061246B"/>
    <w:rsid w:val="006124CA"/>
    <w:rsid w:val="00612524"/>
    <w:rsid w:val="0061290E"/>
    <w:rsid w:val="00612D3B"/>
    <w:rsid w:val="00612E96"/>
    <w:rsid w:val="00613197"/>
    <w:rsid w:val="00613256"/>
    <w:rsid w:val="00613589"/>
    <w:rsid w:val="00613A32"/>
    <w:rsid w:val="00613C02"/>
    <w:rsid w:val="00614001"/>
    <w:rsid w:val="00614118"/>
    <w:rsid w:val="006144F0"/>
    <w:rsid w:val="006146BF"/>
    <w:rsid w:val="006147B7"/>
    <w:rsid w:val="0061488C"/>
    <w:rsid w:val="00614BB4"/>
    <w:rsid w:val="0061540F"/>
    <w:rsid w:val="00615708"/>
    <w:rsid w:val="006157E4"/>
    <w:rsid w:val="0061599C"/>
    <w:rsid w:val="00615C54"/>
    <w:rsid w:val="00615CE0"/>
    <w:rsid w:val="00615DA9"/>
    <w:rsid w:val="00615EF3"/>
    <w:rsid w:val="006162F7"/>
    <w:rsid w:val="006166F4"/>
    <w:rsid w:val="00616826"/>
    <w:rsid w:val="00616A4B"/>
    <w:rsid w:val="00616CA5"/>
    <w:rsid w:val="00616F5E"/>
    <w:rsid w:val="0061704E"/>
    <w:rsid w:val="006170B6"/>
    <w:rsid w:val="006173EE"/>
    <w:rsid w:val="0061771E"/>
    <w:rsid w:val="0061780B"/>
    <w:rsid w:val="0061793B"/>
    <w:rsid w:val="00617BA6"/>
    <w:rsid w:val="00617D16"/>
    <w:rsid w:val="00617EA7"/>
    <w:rsid w:val="00620034"/>
    <w:rsid w:val="0062008C"/>
    <w:rsid w:val="006201AB"/>
    <w:rsid w:val="00620205"/>
    <w:rsid w:val="006203C0"/>
    <w:rsid w:val="006204BF"/>
    <w:rsid w:val="006210AB"/>
    <w:rsid w:val="00621441"/>
    <w:rsid w:val="006214C1"/>
    <w:rsid w:val="00621B1A"/>
    <w:rsid w:val="00621C49"/>
    <w:rsid w:val="00621DE8"/>
    <w:rsid w:val="00622058"/>
    <w:rsid w:val="006220B3"/>
    <w:rsid w:val="00622275"/>
    <w:rsid w:val="0062270C"/>
    <w:rsid w:val="00622811"/>
    <w:rsid w:val="0062294B"/>
    <w:rsid w:val="00622B57"/>
    <w:rsid w:val="00622CEF"/>
    <w:rsid w:val="0062325F"/>
    <w:rsid w:val="00623446"/>
    <w:rsid w:val="00623465"/>
    <w:rsid w:val="00623651"/>
    <w:rsid w:val="006237D6"/>
    <w:rsid w:val="00623813"/>
    <w:rsid w:val="00623DC9"/>
    <w:rsid w:val="00623E63"/>
    <w:rsid w:val="0062407E"/>
    <w:rsid w:val="00624A01"/>
    <w:rsid w:val="00624B75"/>
    <w:rsid w:val="00625446"/>
    <w:rsid w:val="006254A1"/>
    <w:rsid w:val="006259F7"/>
    <w:rsid w:val="00626119"/>
    <w:rsid w:val="006261A0"/>
    <w:rsid w:val="00626542"/>
    <w:rsid w:val="00626672"/>
    <w:rsid w:val="006267C7"/>
    <w:rsid w:val="00626A6F"/>
    <w:rsid w:val="00626FA6"/>
    <w:rsid w:val="00627142"/>
    <w:rsid w:val="0062721E"/>
    <w:rsid w:val="006272E7"/>
    <w:rsid w:val="006273DD"/>
    <w:rsid w:val="006274A8"/>
    <w:rsid w:val="00627647"/>
    <w:rsid w:val="00627918"/>
    <w:rsid w:val="00627929"/>
    <w:rsid w:val="00627BA4"/>
    <w:rsid w:val="00627DF5"/>
    <w:rsid w:val="00630302"/>
    <w:rsid w:val="0063076C"/>
    <w:rsid w:val="006307FF"/>
    <w:rsid w:val="00630CD6"/>
    <w:rsid w:val="00630DDF"/>
    <w:rsid w:val="00630EDC"/>
    <w:rsid w:val="0063115E"/>
    <w:rsid w:val="006315C0"/>
    <w:rsid w:val="00631753"/>
    <w:rsid w:val="00631885"/>
    <w:rsid w:val="00631FF3"/>
    <w:rsid w:val="006322AB"/>
    <w:rsid w:val="0063234B"/>
    <w:rsid w:val="00632533"/>
    <w:rsid w:val="006325A0"/>
    <w:rsid w:val="0063290B"/>
    <w:rsid w:val="00632EC6"/>
    <w:rsid w:val="00633089"/>
    <w:rsid w:val="006331C3"/>
    <w:rsid w:val="006332A1"/>
    <w:rsid w:val="0063356D"/>
    <w:rsid w:val="00633D78"/>
    <w:rsid w:val="006344AD"/>
    <w:rsid w:val="00634710"/>
    <w:rsid w:val="00634715"/>
    <w:rsid w:val="00634838"/>
    <w:rsid w:val="006349D2"/>
    <w:rsid w:val="006349FB"/>
    <w:rsid w:val="00634D88"/>
    <w:rsid w:val="00634DFE"/>
    <w:rsid w:val="00634EDD"/>
    <w:rsid w:val="00634EFD"/>
    <w:rsid w:val="006350D4"/>
    <w:rsid w:val="0063510F"/>
    <w:rsid w:val="0063550A"/>
    <w:rsid w:val="00635632"/>
    <w:rsid w:val="006357BC"/>
    <w:rsid w:val="0063591B"/>
    <w:rsid w:val="00635E9A"/>
    <w:rsid w:val="00635F6A"/>
    <w:rsid w:val="0063616E"/>
    <w:rsid w:val="00636228"/>
    <w:rsid w:val="006362C3"/>
    <w:rsid w:val="006365BA"/>
    <w:rsid w:val="006366BC"/>
    <w:rsid w:val="006366C3"/>
    <w:rsid w:val="006367F1"/>
    <w:rsid w:val="00636906"/>
    <w:rsid w:val="00636A1B"/>
    <w:rsid w:val="00636ABC"/>
    <w:rsid w:val="00636FAD"/>
    <w:rsid w:val="0063703E"/>
    <w:rsid w:val="006373DD"/>
    <w:rsid w:val="0063766B"/>
    <w:rsid w:val="00637C0D"/>
    <w:rsid w:val="00637C7B"/>
    <w:rsid w:val="006400EE"/>
    <w:rsid w:val="00640178"/>
    <w:rsid w:val="00640196"/>
    <w:rsid w:val="006402AE"/>
    <w:rsid w:val="00640357"/>
    <w:rsid w:val="00640A43"/>
    <w:rsid w:val="00640BBE"/>
    <w:rsid w:val="00640C34"/>
    <w:rsid w:val="00640DB7"/>
    <w:rsid w:val="00640EA2"/>
    <w:rsid w:val="00640F6A"/>
    <w:rsid w:val="00641409"/>
    <w:rsid w:val="00641480"/>
    <w:rsid w:val="006416A3"/>
    <w:rsid w:val="00641C3F"/>
    <w:rsid w:val="006421DF"/>
    <w:rsid w:val="006422A7"/>
    <w:rsid w:val="006423A6"/>
    <w:rsid w:val="006426A4"/>
    <w:rsid w:val="0064275B"/>
    <w:rsid w:val="00642766"/>
    <w:rsid w:val="006427E3"/>
    <w:rsid w:val="006429B7"/>
    <w:rsid w:val="006429E8"/>
    <w:rsid w:val="006429E9"/>
    <w:rsid w:val="00642E89"/>
    <w:rsid w:val="006430A0"/>
    <w:rsid w:val="006430D2"/>
    <w:rsid w:val="0064318E"/>
    <w:rsid w:val="006434C6"/>
    <w:rsid w:val="0064367C"/>
    <w:rsid w:val="0064370E"/>
    <w:rsid w:val="00644033"/>
    <w:rsid w:val="006441C2"/>
    <w:rsid w:val="006441E1"/>
    <w:rsid w:val="006443F8"/>
    <w:rsid w:val="0064443F"/>
    <w:rsid w:val="006446CA"/>
    <w:rsid w:val="006446CF"/>
    <w:rsid w:val="0064472A"/>
    <w:rsid w:val="00644839"/>
    <w:rsid w:val="00644A77"/>
    <w:rsid w:val="00644B0A"/>
    <w:rsid w:val="00644B1B"/>
    <w:rsid w:val="00644DCF"/>
    <w:rsid w:val="00644E86"/>
    <w:rsid w:val="00644F12"/>
    <w:rsid w:val="006453AF"/>
    <w:rsid w:val="006456B9"/>
    <w:rsid w:val="006458BA"/>
    <w:rsid w:val="00645D75"/>
    <w:rsid w:val="00645E2A"/>
    <w:rsid w:val="00646594"/>
    <w:rsid w:val="0064672E"/>
    <w:rsid w:val="00646891"/>
    <w:rsid w:val="006469F2"/>
    <w:rsid w:val="00646B72"/>
    <w:rsid w:val="00646BCF"/>
    <w:rsid w:val="00646D34"/>
    <w:rsid w:val="00646DBF"/>
    <w:rsid w:val="00646DD9"/>
    <w:rsid w:val="00646FF6"/>
    <w:rsid w:val="006471CF"/>
    <w:rsid w:val="006471F1"/>
    <w:rsid w:val="0064755D"/>
    <w:rsid w:val="006475CB"/>
    <w:rsid w:val="0064770C"/>
    <w:rsid w:val="00647C46"/>
    <w:rsid w:val="006502D9"/>
    <w:rsid w:val="0065045D"/>
    <w:rsid w:val="0065057D"/>
    <w:rsid w:val="006506A6"/>
    <w:rsid w:val="0065075E"/>
    <w:rsid w:val="0065099D"/>
    <w:rsid w:val="00650B14"/>
    <w:rsid w:val="00650CE7"/>
    <w:rsid w:val="00650D20"/>
    <w:rsid w:val="00650F8F"/>
    <w:rsid w:val="006510AD"/>
    <w:rsid w:val="006511E8"/>
    <w:rsid w:val="0065178F"/>
    <w:rsid w:val="006518CA"/>
    <w:rsid w:val="00651BC9"/>
    <w:rsid w:val="00651C11"/>
    <w:rsid w:val="0065230A"/>
    <w:rsid w:val="00652633"/>
    <w:rsid w:val="0065264E"/>
    <w:rsid w:val="006528CA"/>
    <w:rsid w:val="00652935"/>
    <w:rsid w:val="00652C0F"/>
    <w:rsid w:val="00652CFB"/>
    <w:rsid w:val="00652DC2"/>
    <w:rsid w:val="00652E95"/>
    <w:rsid w:val="006532C3"/>
    <w:rsid w:val="00653323"/>
    <w:rsid w:val="0065342F"/>
    <w:rsid w:val="00653869"/>
    <w:rsid w:val="00653BC8"/>
    <w:rsid w:val="00653BCF"/>
    <w:rsid w:val="00653C80"/>
    <w:rsid w:val="00653E87"/>
    <w:rsid w:val="00654223"/>
    <w:rsid w:val="0065491B"/>
    <w:rsid w:val="006549E7"/>
    <w:rsid w:val="00654A6A"/>
    <w:rsid w:val="00654AD5"/>
    <w:rsid w:val="00654B51"/>
    <w:rsid w:val="00654F8E"/>
    <w:rsid w:val="00655225"/>
    <w:rsid w:val="00655621"/>
    <w:rsid w:val="006557B9"/>
    <w:rsid w:val="00655938"/>
    <w:rsid w:val="00655948"/>
    <w:rsid w:val="00655A89"/>
    <w:rsid w:val="00655B6C"/>
    <w:rsid w:val="00655E3F"/>
    <w:rsid w:val="006560F0"/>
    <w:rsid w:val="006561C8"/>
    <w:rsid w:val="006564A2"/>
    <w:rsid w:val="00656661"/>
    <w:rsid w:val="00656942"/>
    <w:rsid w:val="00656B00"/>
    <w:rsid w:val="00656B29"/>
    <w:rsid w:val="00656C48"/>
    <w:rsid w:val="00656ED5"/>
    <w:rsid w:val="006572CC"/>
    <w:rsid w:val="0065746B"/>
    <w:rsid w:val="00657637"/>
    <w:rsid w:val="00657675"/>
    <w:rsid w:val="00657967"/>
    <w:rsid w:val="006579A5"/>
    <w:rsid w:val="00657BEA"/>
    <w:rsid w:val="00657EDA"/>
    <w:rsid w:val="006600A3"/>
    <w:rsid w:val="006601B5"/>
    <w:rsid w:val="00660485"/>
    <w:rsid w:val="0066058F"/>
    <w:rsid w:val="0066072B"/>
    <w:rsid w:val="00660A58"/>
    <w:rsid w:val="00660BB8"/>
    <w:rsid w:val="00660C81"/>
    <w:rsid w:val="00660FFD"/>
    <w:rsid w:val="0066148D"/>
    <w:rsid w:val="00661508"/>
    <w:rsid w:val="00661563"/>
    <w:rsid w:val="00661608"/>
    <w:rsid w:val="00661782"/>
    <w:rsid w:val="006619AA"/>
    <w:rsid w:val="00661BC3"/>
    <w:rsid w:val="0066215A"/>
    <w:rsid w:val="006621F2"/>
    <w:rsid w:val="006621F5"/>
    <w:rsid w:val="006623CD"/>
    <w:rsid w:val="006623F5"/>
    <w:rsid w:val="00662907"/>
    <w:rsid w:val="00662E8A"/>
    <w:rsid w:val="00663398"/>
    <w:rsid w:val="0066349A"/>
    <w:rsid w:val="006635C1"/>
    <w:rsid w:val="00663627"/>
    <w:rsid w:val="0066385B"/>
    <w:rsid w:val="00663AC6"/>
    <w:rsid w:val="00663F79"/>
    <w:rsid w:val="00663FD4"/>
    <w:rsid w:val="006640B0"/>
    <w:rsid w:val="0066416D"/>
    <w:rsid w:val="00664246"/>
    <w:rsid w:val="00664257"/>
    <w:rsid w:val="006643F6"/>
    <w:rsid w:val="006644D5"/>
    <w:rsid w:val="00664CA4"/>
    <w:rsid w:val="00664D6D"/>
    <w:rsid w:val="00664D8F"/>
    <w:rsid w:val="00665666"/>
    <w:rsid w:val="006658A2"/>
    <w:rsid w:val="006659F6"/>
    <w:rsid w:val="00665F2D"/>
    <w:rsid w:val="00666170"/>
    <w:rsid w:val="00666183"/>
    <w:rsid w:val="0066684E"/>
    <w:rsid w:val="0066698C"/>
    <w:rsid w:val="00666E7D"/>
    <w:rsid w:val="006673E5"/>
    <w:rsid w:val="006674B6"/>
    <w:rsid w:val="0066780A"/>
    <w:rsid w:val="00667B62"/>
    <w:rsid w:val="006700E5"/>
    <w:rsid w:val="00670159"/>
    <w:rsid w:val="00670278"/>
    <w:rsid w:val="006705D6"/>
    <w:rsid w:val="00670832"/>
    <w:rsid w:val="0067089F"/>
    <w:rsid w:val="00670A4A"/>
    <w:rsid w:val="00670B71"/>
    <w:rsid w:val="00670E9A"/>
    <w:rsid w:val="006710FC"/>
    <w:rsid w:val="006713DA"/>
    <w:rsid w:val="006715F4"/>
    <w:rsid w:val="0067170E"/>
    <w:rsid w:val="00671739"/>
    <w:rsid w:val="0067176B"/>
    <w:rsid w:val="006717E0"/>
    <w:rsid w:val="00671FA9"/>
    <w:rsid w:val="00672B42"/>
    <w:rsid w:val="00672FE6"/>
    <w:rsid w:val="006733CC"/>
    <w:rsid w:val="0067398C"/>
    <w:rsid w:val="006740FD"/>
    <w:rsid w:val="006741DE"/>
    <w:rsid w:val="006745AD"/>
    <w:rsid w:val="006749D8"/>
    <w:rsid w:val="00674C4B"/>
    <w:rsid w:val="00674F99"/>
    <w:rsid w:val="006752DB"/>
    <w:rsid w:val="00675692"/>
    <w:rsid w:val="00675739"/>
    <w:rsid w:val="00675740"/>
    <w:rsid w:val="006758C7"/>
    <w:rsid w:val="00675A6F"/>
    <w:rsid w:val="00675CB2"/>
    <w:rsid w:val="00675D47"/>
    <w:rsid w:val="00676399"/>
    <w:rsid w:val="00676509"/>
    <w:rsid w:val="0067658D"/>
    <w:rsid w:val="0067659C"/>
    <w:rsid w:val="00676928"/>
    <w:rsid w:val="006769DC"/>
    <w:rsid w:val="00676A87"/>
    <w:rsid w:val="00676C14"/>
    <w:rsid w:val="00677394"/>
    <w:rsid w:val="0067785A"/>
    <w:rsid w:val="00677940"/>
    <w:rsid w:val="0067794B"/>
    <w:rsid w:val="00680194"/>
    <w:rsid w:val="006801B7"/>
    <w:rsid w:val="006806D8"/>
    <w:rsid w:val="00680CEC"/>
    <w:rsid w:val="00680D55"/>
    <w:rsid w:val="00680EE4"/>
    <w:rsid w:val="00681067"/>
    <w:rsid w:val="00681304"/>
    <w:rsid w:val="00681555"/>
    <w:rsid w:val="00681753"/>
    <w:rsid w:val="0068175C"/>
    <w:rsid w:val="00681A2E"/>
    <w:rsid w:val="00681B73"/>
    <w:rsid w:val="00681E2B"/>
    <w:rsid w:val="006822C0"/>
    <w:rsid w:val="006823E6"/>
    <w:rsid w:val="0068243D"/>
    <w:rsid w:val="00682499"/>
    <w:rsid w:val="00682591"/>
    <w:rsid w:val="00682A52"/>
    <w:rsid w:val="00682CA9"/>
    <w:rsid w:val="00682DB6"/>
    <w:rsid w:val="00682E11"/>
    <w:rsid w:val="00682FC2"/>
    <w:rsid w:val="006831B5"/>
    <w:rsid w:val="0068384E"/>
    <w:rsid w:val="006838AD"/>
    <w:rsid w:val="006839C2"/>
    <w:rsid w:val="006844A5"/>
    <w:rsid w:val="00684A71"/>
    <w:rsid w:val="00684AEB"/>
    <w:rsid w:val="00684B71"/>
    <w:rsid w:val="00684C5B"/>
    <w:rsid w:val="00684D3C"/>
    <w:rsid w:val="00685C28"/>
    <w:rsid w:val="00685D6C"/>
    <w:rsid w:val="00685E1B"/>
    <w:rsid w:val="00685E8F"/>
    <w:rsid w:val="00686180"/>
    <w:rsid w:val="00686672"/>
    <w:rsid w:val="00686844"/>
    <w:rsid w:val="006869FA"/>
    <w:rsid w:val="00686AF9"/>
    <w:rsid w:val="00686B25"/>
    <w:rsid w:val="00686ECE"/>
    <w:rsid w:val="00687354"/>
    <w:rsid w:val="00687657"/>
    <w:rsid w:val="00687C1B"/>
    <w:rsid w:val="00687E43"/>
    <w:rsid w:val="00687E82"/>
    <w:rsid w:val="0069017C"/>
    <w:rsid w:val="00690320"/>
    <w:rsid w:val="00690438"/>
    <w:rsid w:val="00690678"/>
    <w:rsid w:val="00690874"/>
    <w:rsid w:val="00690979"/>
    <w:rsid w:val="006911CD"/>
    <w:rsid w:val="00691581"/>
    <w:rsid w:val="00691985"/>
    <w:rsid w:val="00691E28"/>
    <w:rsid w:val="006920CC"/>
    <w:rsid w:val="006920F7"/>
    <w:rsid w:val="00692239"/>
    <w:rsid w:val="006925CE"/>
    <w:rsid w:val="00692602"/>
    <w:rsid w:val="00692A8C"/>
    <w:rsid w:val="00692AA5"/>
    <w:rsid w:val="00692AC6"/>
    <w:rsid w:val="00692FFB"/>
    <w:rsid w:val="00693128"/>
    <w:rsid w:val="0069313D"/>
    <w:rsid w:val="00693149"/>
    <w:rsid w:val="006932D4"/>
    <w:rsid w:val="00693610"/>
    <w:rsid w:val="00693D11"/>
    <w:rsid w:val="00693F0A"/>
    <w:rsid w:val="00694040"/>
    <w:rsid w:val="006940C5"/>
    <w:rsid w:val="0069417F"/>
    <w:rsid w:val="00694A55"/>
    <w:rsid w:val="00694D78"/>
    <w:rsid w:val="00695599"/>
    <w:rsid w:val="00695B35"/>
    <w:rsid w:val="00695BA0"/>
    <w:rsid w:val="00695DBD"/>
    <w:rsid w:val="00696500"/>
    <w:rsid w:val="0069664C"/>
    <w:rsid w:val="00696783"/>
    <w:rsid w:val="00696CD2"/>
    <w:rsid w:val="00696DB3"/>
    <w:rsid w:val="00696F02"/>
    <w:rsid w:val="0069709B"/>
    <w:rsid w:val="00697123"/>
    <w:rsid w:val="00697277"/>
    <w:rsid w:val="00697718"/>
    <w:rsid w:val="00697A7F"/>
    <w:rsid w:val="00697CFC"/>
    <w:rsid w:val="006A009B"/>
    <w:rsid w:val="006A0349"/>
    <w:rsid w:val="006A08DD"/>
    <w:rsid w:val="006A095C"/>
    <w:rsid w:val="006A0961"/>
    <w:rsid w:val="006A09DD"/>
    <w:rsid w:val="006A0F16"/>
    <w:rsid w:val="006A0F25"/>
    <w:rsid w:val="006A1781"/>
    <w:rsid w:val="006A179A"/>
    <w:rsid w:val="006A1801"/>
    <w:rsid w:val="006A18B4"/>
    <w:rsid w:val="006A235F"/>
    <w:rsid w:val="006A23AB"/>
    <w:rsid w:val="006A29BA"/>
    <w:rsid w:val="006A2AD7"/>
    <w:rsid w:val="006A3291"/>
    <w:rsid w:val="006A3832"/>
    <w:rsid w:val="006A3B35"/>
    <w:rsid w:val="006A3B57"/>
    <w:rsid w:val="006A3D9E"/>
    <w:rsid w:val="006A3E10"/>
    <w:rsid w:val="006A3F4A"/>
    <w:rsid w:val="006A3F66"/>
    <w:rsid w:val="006A3F6B"/>
    <w:rsid w:val="006A41B3"/>
    <w:rsid w:val="006A49A8"/>
    <w:rsid w:val="006A4CF7"/>
    <w:rsid w:val="006A4F71"/>
    <w:rsid w:val="006A5A5F"/>
    <w:rsid w:val="006A5DED"/>
    <w:rsid w:val="006A5E02"/>
    <w:rsid w:val="006A5E58"/>
    <w:rsid w:val="006A629A"/>
    <w:rsid w:val="006A654D"/>
    <w:rsid w:val="006A68B2"/>
    <w:rsid w:val="006A68D2"/>
    <w:rsid w:val="006A6999"/>
    <w:rsid w:val="006A6AD5"/>
    <w:rsid w:val="006A71F3"/>
    <w:rsid w:val="006A73CA"/>
    <w:rsid w:val="006A774E"/>
    <w:rsid w:val="006A7AC8"/>
    <w:rsid w:val="006A7B1B"/>
    <w:rsid w:val="006A7C76"/>
    <w:rsid w:val="006A7CEA"/>
    <w:rsid w:val="006A7E76"/>
    <w:rsid w:val="006B01B8"/>
    <w:rsid w:val="006B01F9"/>
    <w:rsid w:val="006B0447"/>
    <w:rsid w:val="006B0480"/>
    <w:rsid w:val="006B07EE"/>
    <w:rsid w:val="006B0C22"/>
    <w:rsid w:val="006B1276"/>
    <w:rsid w:val="006B13B7"/>
    <w:rsid w:val="006B158B"/>
    <w:rsid w:val="006B1D1F"/>
    <w:rsid w:val="006B1EA3"/>
    <w:rsid w:val="006B22E1"/>
    <w:rsid w:val="006B2604"/>
    <w:rsid w:val="006B2709"/>
    <w:rsid w:val="006B2926"/>
    <w:rsid w:val="006B2FE0"/>
    <w:rsid w:val="006B3123"/>
    <w:rsid w:val="006B3189"/>
    <w:rsid w:val="006B323A"/>
    <w:rsid w:val="006B3837"/>
    <w:rsid w:val="006B39AF"/>
    <w:rsid w:val="006B3F03"/>
    <w:rsid w:val="006B4338"/>
    <w:rsid w:val="006B4656"/>
    <w:rsid w:val="006B46F2"/>
    <w:rsid w:val="006B4AF2"/>
    <w:rsid w:val="006B4CD0"/>
    <w:rsid w:val="006B4E0B"/>
    <w:rsid w:val="006B527F"/>
    <w:rsid w:val="006B5340"/>
    <w:rsid w:val="006B56DA"/>
    <w:rsid w:val="006B594B"/>
    <w:rsid w:val="006B63BE"/>
    <w:rsid w:val="006B6639"/>
    <w:rsid w:val="006B67DC"/>
    <w:rsid w:val="006B696E"/>
    <w:rsid w:val="006B6BF7"/>
    <w:rsid w:val="006B6D6D"/>
    <w:rsid w:val="006B6F4D"/>
    <w:rsid w:val="006B7316"/>
    <w:rsid w:val="006B742D"/>
    <w:rsid w:val="006B7C66"/>
    <w:rsid w:val="006B7E55"/>
    <w:rsid w:val="006B7F97"/>
    <w:rsid w:val="006C0137"/>
    <w:rsid w:val="006C0468"/>
    <w:rsid w:val="006C0806"/>
    <w:rsid w:val="006C089F"/>
    <w:rsid w:val="006C0973"/>
    <w:rsid w:val="006C0C24"/>
    <w:rsid w:val="006C1048"/>
    <w:rsid w:val="006C1102"/>
    <w:rsid w:val="006C1121"/>
    <w:rsid w:val="006C1329"/>
    <w:rsid w:val="006C135E"/>
    <w:rsid w:val="006C1413"/>
    <w:rsid w:val="006C1434"/>
    <w:rsid w:val="006C16CF"/>
    <w:rsid w:val="006C19F4"/>
    <w:rsid w:val="006C1CA2"/>
    <w:rsid w:val="006C1E18"/>
    <w:rsid w:val="006C1EF7"/>
    <w:rsid w:val="006C221F"/>
    <w:rsid w:val="006C222D"/>
    <w:rsid w:val="006C24FE"/>
    <w:rsid w:val="006C2F4A"/>
    <w:rsid w:val="006C2FF8"/>
    <w:rsid w:val="006C3751"/>
    <w:rsid w:val="006C3883"/>
    <w:rsid w:val="006C38B4"/>
    <w:rsid w:val="006C38F2"/>
    <w:rsid w:val="006C3BD1"/>
    <w:rsid w:val="006C402B"/>
    <w:rsid w:val="006C4141"/>
    <w:rsid w:val="006C446D"/>
    <w:rsid w:val="006C4A3D"/>
    <w:rsid w:val="006C4BB6"/>
    <w:rsid w:val="006C4CD6"/>
    <w:rsid w:val="006C4DFB"/>
    <w:rsid w:val="006C4E18"/>
    <w:rsid w:val="006C4FC0"/>
    <w:rsid w:val="006C5038"/>
    <w:rsid w:val="006C5151"/>
    <w:rsid w:val="006C54C6"/>
    <w:rsid w:val="006C578D"/>
    <w:rsid w:val="006C5B04"/>
    <w:rsid w:val="006C5BB1"/>
    <w:rsid w:val="006C5BCC"/>
    <w:rsid w:val="006C611F"/>
    <w:rsid w:val="006C62AE"/>
    <w:rsid w:val="006C64E3"/>
    <w:rsid w:val="006C6A99"/>
    <w:rsid w:val="006C6C91"/>
    <w:rsid w:val="006C6E8D"/>
    <w:rsid w:val="006C7019"/>
    <w:rsid w:val="006C7190"/>
    <w:rsid w:val="006C76F5"/>
    <w:rsid w:val="006C7994"/>
    <w:rsid w:val="006C7D4D"/>
    <w:rsid w:val="006C7FA9"/>
    <w:rsid w:val="006D040F"/>
    <w:rsid w:val="006D0A45"/>
    <w:rsid w:val="006D0AAE"/>
    <w:rsid w:val="006D0DA7"/>
    <w:rsid w:val="006D11D0"/>
    <w:rsid w:val="006D1592"/>
    <w:rsid w:val="006D15A4"/>
    <w:rsid w:val="006D1710"/>
    <w:rsid w:val="006D17A1"/>
    <w:rsid w:val="006D1848"/>
    <w:rsid w:val="006D19A0"/>
    <w:rsid w:val="006D2020"/>
    <w:rsid w:val="006D20CF"/>
    <w:rsid w:val="006D2220"/>
    <w:rsid w:val="006D27C3"/>
    <w:rsid w:val="006D297E"/>
    <w:rsid w:val="006D29DF"/>
    <w:rsid w:val="006D2A7D"/>
    <w:rsid w:val="006D2C11"/>
    <w:rsid w:val="006D2CA6"/>
    <w:rsid w:val="006D30E9"/>
    <w:rsid w:val="006D358F"/>
    <w:rsid w:val="006D38E1"/>
    <w:rsid w:val="006D3BB0"/>
    <w:rsid w:val="006D3D2C"/>
    <w:rsid w:val="006D41E9"/>
    <w:rsid w:val="006D42E6"/>
    <w:rsid w:val="006D44CD"/>
    <w:rsid w:val="006D4633"/>
    <w:rsid w:val="006D48A9"/>
    <w:rsid w:val="006D4E4E"/>
    <w:rsid w:val="006D4F2B"/>
    <w:rsid w:val="006D53B0"/>
    <w:rsid w:val="006D5458"/>
    <w:rsid w:val="006D5B99"/>
    <w:rsid w:val="006D5C3E"/>
    <w:rsid w:val="006D5DE2"/>
    <w:rsid w:val="006D5E3B"/>
    <w:rsid w:val="006D614A"/>
    <w:rsid w:val="006D6287"/>
    <w:rsid w:val="006D62BA"/>
    <w:rsid w:val="006D6C6E"/>
    <w:rsid w:val="006D6CFD"/>
    <w:rsid w:val="006D6F24"/>
    <w:rsid w:val="006D7329"/>
    <w:rsid w:val="006D7687"/>
    <w:rsid w:val="006D76BA"/>
    <w:rsid w:val="006D7952"/>
    <w:rsid w:val="006D7A11"/>
    <w:rsid w:val="006D7F08"/>
    <w:rsid w:val="006D7F76"/>
    <w:rsid w:val="006E0046"/>
    <w:rsid w:val="006E0053"/>
    <w:rsid w:val="006E010B"/>
    <w:rsid w:val="006E02C9"/>
    <w:rsid w:val="006E0B40"/>
    <w:rsid w:val="006E12E9"/>
    <w:rsid w:val="006E13DA"/>
    <w:rsid w:val="006E1636"/>
    <w:rsid w:val="006E186F"/>
    <w:rsid w:val="006E1D9A"/>
    <w:rsid w:val="006E243B"/>
    <w:rsid w:val="006E25F5"/>
    <w:rsid w:val="006E2666"/>
    <w:rsid w:val="006E27EA"/>
    <w:rsid w:val="006E2B2F"/>
    <w:rsid w:val="006E2C1B"/>
    <w:rsid w:val="006E2E6A"/>
    <w:rsid w:val="006E2FED"/>
    <w:rsid w:val="006E3282"/>
    <w:rsid w:val="006E3334"/>
    <w:rsid w:val="006E33F9"/>
    <w:rsid w:val="006E36DC"/>
    <w:rsid w:val="006E37DE"/>
    <w:rsid w:val="006E38EF"/>
    <w:rsid w:val="006E3FA8"/>
    <w:rsid w:val="006E4201"/>
    <w:rsid w:val="006E4297"/>
    <w:rsid w:val="006E446C"/>
    <w:rsid w:val="006E45F3"/>
    <w:rsid w:val="006E4684"/>
    <w:rsid w:val="006E46F7"/>
    <w:rsid w:val="006E5042"/>
    <w:rsid w:val="006E5656"/>
    <w:rsid w:val="006E5684"/>
    <w:rsid w:val="006E568E"/>
    <w:rsid w:val="006E5691"/>
    <w:rsid w:val="006E56F0"/>
    <w:rsid w:val="006E5714"/>
    <w:rsid w:val="006E5929"/>
    <w:rsid w:val="006E5A2E"/>
    <w:rsid w:val="006E5DED"/>
    <w:rsid w:val="006E5F2E"/>
    <w:rsid w:val="006E64AE"/>
    <w:rsid w:val="006E6BDC"/>
    <w:rsid w:val="006E72DE"/>
    <w:rsid w:val="006E75C3"/>
    <w:rsid w:val="006E76AC"/>
    <w:rsid w:val="006E7893"/>
    <w:rsid w:val="006E79AE"/>
    <w:rsid w:val="006E7A20"/>
    <w:rsid w:val="006E7EEA"/>
    <w:rsid w:val="006F009B"/>
    <w:rsid w:val="006F031B"/>
    <w:rsid w:val="006F04BD"/>
    <w:rsid w:val="006F075E"/>
    <w:rsid w:val="006F0C33"/>
    <w:rsid w:val="006F0D50"/>
    <w:rsid w:val="006F0DB7"/>
    <w:rsid w:val="006F0FE3"/>
    <w:rsid w:val="006F11B0"/>
    <w:rsid w:val="006F1572"/>
    <w:rsid w:val="006F16D1"/>
    <w:rsid w:val="006F1EFE"/>
    <w:rsid w:val="006F2968"/>
    <w:rsid w:val="006F297B"/>
    <w:rsid w:val="006F2A44"/>
    <w:rsid w:val="006F2D0D"/>
    <w:rsid w:val="006F2FE1"/>
    <w:rsid w:val="006F3052"/>
    <w:rsid w:val="006F339E"/>
    <w:rsid w:val="006F33A9"/>
    <w:rsid w:val="006F365F"/>
    <w:rsid w:val="006F42C4"/>
    <w:rsid w:val="006F4516"/>
    <w:rsid w:val="006F4B39"/>
    <w:rsid w:val="006F4C19"/>
    <w:rsid w:val="006F4D9A"/>
    <w:rsid w:val="006F4FEE"/>
    <w:rsid w:val="006F53A1"/>
    <w:rsid w:val="006F5654"/>
    <w:rsid w:val="006F5698"/>
    <w:rsid w:val="006F578D"/>
    <w:rsid w:val="006F5945"/>
    <w:rsid w:val="006F5C07"/>
    <w:rsid w:val="006F5C1A"/>
    <w:rsid w:val="006F6E9F"/>
    <w:rsid w:val="006F6F5C"/>
    <w:rsid w:val="006F71DE"/>
    <w:rsid w:val="006F7525"/>
    <w:rsid w:val="006F75C6"/>
    <w:rsid w:val="006F75D7"/>
    <w:rsid w:val="006F75ED"/>
    <w:rsid w:val="006F7615"/>
    <w:rsid w:val="006F78B0"/>
    <w:rsid w:val="006F7A3C"/>
    <w:rsid w:val="006F7B94"/>
    <w:rsid w:val="006F7DBD"/>
    <w:rsid w:val="0070078B"/>
    <w:rsid w:val="007008E3"/>
    <w:rsid w:val="00701097"/>
    <w:rsid w:val="00701290"/>
    <w:rsid w:val="007017E5"/>
    <w:rsid w:val="00701845"/>
    <w:rsid w:val="00701B79"/>
    <w:rsid w:val="00701C1B"/>
    <w:rsid w:val="00701EF5"/>
    <w:rsid w:val="00701FA9"/>
    <w:rsid w:val="007025AD"/>
    <w:rsid w:val="00702D9C"/>
    <w:rsid w:val="00702E79"/>
    <w:rsid w:val="00702EC7"/>
    <w:rsid w:val="00702EF6"/>
    <w:rsid w:val="00702F48"/>
    <w:rsid w:val="007033A8"/>
    <w:rsid w:val="00703694"/>
    <w:rsid w:val="007036B2"/>
    <w:rsid w:val="00703BD6"/>
    <w:rsid w:val="00703D04"/>
    <w:rsid w:val="00704097"/>
    <w:rsid w:val="00704397"/>
    <w:rsid w:val="00704692"/>
    <w:rsid w:val="00704753"/>
    <w:rsid w:val="007047C5"/>
    <w:rsid w:val="00704F84"/>
    <w:rsid w:val="0070525A"/>
    <w:rsid w:val="00705292"/>
    <w:rsid w:val="007057BE"/>
    <w:rsid w:val="0070581A"/>
    <w:rsid w:val="00705BE8"/>
    <w:rsid w:val="00705C39"/>
    <w:rsid w:val="00705D23"/>
    <w:rsid w:val="007062A4"/>
    <w:rsid w:val="007062E3"/>
    <w:rsid w:val="00706364"/>
    <w:rsid w:val="0070654E"/>
    <w:rsid w:val="00707147"/>
    <w:rsid w:val="0070753A"/>
    <w:rsid w:val="00707638"/>
    <w:rsid w:val="00707C56"/>
    <w:rsid w:val="00707D24"/>
    <w:rsid w:val="00707EEF"/>
    <w:rsid w:val="00710115"/>
    <w:rsid w:val="007104B9"/>
    <w:rsid w:val="007106C8"/>
    <w:rsid w:val="00710CDF"/>
    <w:rsid w:val="00710D19"/>
    <w:rsid w:val="00710F7A"/>
    <w:rsid w:val="0071127D"/>
    <w:rsid w:val="00711562"/>
    <w:rsid w:val="007117D4"/>
    <w:rsid w:val="007117EE"/>
    <w:rsid w:val="00711830"/>
    <w:rsid w:val="00711895"/>
    <w:rsid w:val="00711FEF"/>
    <w:rsid w:val="007121C4"/>
    <w:rsid w:val="00712243"/>
    <w:rsid w:val="00712A27"/>
    <w:rsid w:val="00712AD9"/>
    <w:rsid w:val="00712CB6"/>
    <w:rsid w:val="007130D7"/>
    <w:rsid w:val="007133A1"/>
    <w:rsid w:val="007137B5"/>
    <w:rsid w:val="00713834"/>
    <w:rsid w:val="00713874"/>
    <w:rsid w:val="00713F17"/>
    <w:rsid w:val="007143B4"/>
    <w:rsid w:val="00714424"/>
    <w:rsid w:val="0071447B"/>
    <w:rsid w:val="0071474A"/>
    <w:rsid w:val="00714920"/>
    <w:rsid w:val="00714934"/>
    <w:rsid w:val="00714E34"/>
    <w:rsid w:val="00714F13"/>
    <w:rsid w:val="00714FF8"/>
    <w:rsid w:val="00715433"/>
    <w:rsid w:val="0071553D"/>
    <w:rsid w:val="007156B8"/>
    <w:rsid w:val="00716175"/>
    <w:rsid w:val="007162AF"/>
    <w:rsid w:val="0071631A"/>
    <w:rsid w:val="007169C3"/>
    <w:rsid w:val="00716E5C"/>
    <w:rsid w:val="00716F96"/>
    <w:rsid w:val="0071774C"/>
    <w:rsid w:val="00717A3A"/>
    <w:rsid w:val="00717B53"/>
    <w:rsid w:val="00717B6A"/>
    <w:rsid w:val="007200AA"/>
    <w:rsid w:val="00720225"/>
    <w:rsid w:val="0072086E"/>
    <w:rsid w:val="0072140F"/>
    <w:rsid w:val="00721654"/>
    <w:rsid w:val="007216B6"/>
    <w:rsid w:val="00722127"/>
    <w:rsid w:val="00722233"/>
    <w:rsid w:val="007223B0"/>
    <w:rsid w:val="00722588"/>
    <w:rsid w:val="00722611"/>
    <w:rsid w:val="0072271A"/>
    <w:rsid w:val="0072271E"/>
    <w:rsid w:val="00722FA5"/>
    <w:rsid w:val="007230B8"/>
    <w:rsid w:val="0072391B"/>
    <w:rsid w:val="007243F9"/>
    <w:rsid w:val="007244A2"/>
    <w:rsid w:val="007245C2"/>
    <w:rsid w:val="00724736"/>
    <w:rsid w:val="00724773"/>
    <w:rsid w:val="00724B25"/>
    <w:rsid w:val="00724C21"/>
    <w:rsid w:val="00724C7B"/>
    <w:rsid w:val="00724DB5"/>
    <w:rsid w:val="00724E48"/>
    <w:rsid w:val="00724E7F"/>
    <w:rsid w:val="00724FBC"/>
    <w:rsid w:val="007251BE"/>
    <w:rsid w:val="00725565"/>
    <w:rsid w:val="007256F6"/>
    <w:rsid w:val="00725717"/>
    <w:rsid w:val="007257EC"/>
    <w:rsid w:val="00725A71"/>
    <w:rsid w:val="00725C8C"/>
    <w:rsid w:val="00725CF2"/>
    <w:rsid w:val="00725E62"/>
    <w:rsid w:val="0072605E"/>
    <w:rsid w:val="007262DA"/>
    <w:rsid w:val="00726338"/>
    <w:rsid w:val="00726875"/>
    <w:rsid w:val="007268A0"/>
    <w:rsid w:val="00726A07"/>
    <w:rsid w:val="007272BF"/>
    <w:rsid w:val="00727C27"/>
    <w:rsid w:val="00730946"/>
    <w:rsid w:val="00730F5A"/>
    <w:rsid w:val="007312E9"/>
    <w:rsid w:val="0073184B"/>
    <w:rsid w:val="00731DA3"/>
    <w:rsid w:val="00731F20"/>
    <w:rsid w:val="00731F35"/>
    <w:rsid w:val="0073217B"/>
    <w:rsid w:val="007322AA"/>
    <w:rsid w:val="00732C65"/>
    <w:rsid w:val="00732C87"/>
    <w:rsid w:val="007332C4"/>
    <w:rsid w:val="007334F0"/>
    <w:rsid w:val="007338F4"/>
    <w:rsid w:val="00733C79"/>
    <w:rsid w:val="00733C8F"/>
    <w:rsid w:val="00733D62"/>
    <w:rsid w:val="00733EF8"/>
    <w:rsid w:val="00733FE5"/>
    <w:rsid w:val="00734098"/>
    <w:rsid w:val="00734505"/>
    <w:rsid w:val="0073475A"/>
    <w:rsid w:val="00734811"/>
    <w:rsid w:val="0073487E"/>
    <w:rsid w:val="0073516F"/>
    <w:rsid w:val="00735A78"/>
    <w:rsid w:val="00735DFB"/>
    <w:rsid w:val="00735F88"/>
    <w:rsid w:val="007368A1"/>
    <w:rsid w:val="00736AB2"/>
    <w:rsid w:val="00736D01"/>
    <w:rsid w:val="00737073"/>
    <w:rsid w:val="0073707D"/>
    <w:rsid w:val="007371F0"/>
    <w:rsid w:val="0073762C"/>
    <w:rsid w:val="00737C56"/>
    <w:rsid w:val="00737C8D"/>
    <w:rsid w:val="00737F96"/>
    <w:rsid w:val="007401A5"/>
    <w:rsid w:val="0074028B"/>
    <w:rsid w:val="007404DE"/>
    <w:rsid w:val="00740ADB"/>
    <w:rsid w:val="00740C40"/>
    <w:rsid w:val="00740C8B"/>
    <w:rsid w:val="00740D28"/>
    <w:rsid w:val="00741044"/>
    <w:rsid w:val="007412E8"/>
    <w:rsid w:val="00741730"/>
    <w:rsid w:val="00741B0C"/>
    <w:rsid w:val="00741CF9"/>
    <w:rsid w:val="00741E0F"/>
    <w:rsid w:val="00741FEB"/>
    <w:rsid w:val="007420F2"/>
    <w:rsid w:val="00742238"/>
    <w:rsid w:val="007423AE"/>
    <w:rsid w:val="00742550"/>
    <w:rsid w:val="00742812"/>
    <w:rsid w:val="007428E0"/>
    <w:rsid w:val="00743136"/>
    <w:rsid w:val="007436D9"/>
    <w:rsid w:val="00743E35"/>
    <w:rsid w:val="00744095"/>
    <w:rsid w:val="00744276"/>
    <w:rsid w:val="007444DD"/>
    <w:rsid w:val="00744562"/>
    <w:rsid w:val="0074474D"/>
    <w:rsid w:val="007447A0"/>
    <w:rsid w:val="00744961"/>
    <w:rsid w:val="00744C22"/>
    <w:rsid w:val="00745005"/>
    <w:rsid w:val="007453DA"/>
    <w:rsid w:val="0074542F"/>
    <w:rsid w:val="0074592B"/>
    <w:rsid w:val="00745C34"/>
    <w:rsid w:val="00746036"/>
    <w:rsid w:val="0074618F"/>
    <w:rsid w:val="007461CE"/>
    <w:rsid w:val="00746358"/>
    <w:rsid w:val="00746366"/>
    <w:rsid w:val="007464CC"/>
    <w:rsid w:val="00746572"/>
    <w:rsid w:val="007467ED"/>
    <w:rsid w:val="00746899"/>
    <w:rsid w:val="007468C3"/>
    <w:rsid w:val="00746AE6"/>
    <w:rsid w:val="00746D21"/>
    <w:rsid w:val="00746E0B"/>
    <w:rsid w:val="00746F9B"/>
    <w:rsid w:val="007471B4"/>
    <w:rsid w:val="0074738B"/>
    <w:rsid w:val="007473B3"/>
    <w:rsid w:val="0074777A"/>
    <w:rsid w:val="0074784C"/>
    <w:rsid w:val="0074786A"/>
    <w:rsid w:val="00747AD4"/>
    <w:rsid w:val="00747C3A"/>
    <w:rsid w:val="00750267"/>
    <w:rsid w:val="00750433"/>
    <w:rsid w:val="007505B3"/>
    <w:rsid w:val="00750BD2"/>
    <w:rsid w:val="00750FD7"/>
    <w:rsid w:val="007510F2"/>
    <w:rsid w:val="00751187"/>
    <w:rsid w:val="00751234"/>
    <w:rsid w:val="007515E5"/>
    <w:rsid w:val="00751895"/>
    <w:rsid w:val="007518E4"/>
    <w:rsid w:val="00751C97"/>
    <w:rsid w:val="0075219B"/>
    <w:rsid w:val="0075249A"/>
    <w:rsid w:val="00752783"/>
    <w:rsid w:val="007529E1"/>
    <w:rsid w:val="00752D0C"/>
    <w:rsid w:val="00752D63"/>
    <w:rsid w:val="00752DC7"/>
    <w:rsid w:val="0075321A"/>
    <w:rsid w:val="0075340A"/>
    <w:rsid w:val="00753612"/>
    <w:rsid w:val="007539EC"/>
    <w:rsid w:val="00753AD6"/>
    <w:rsid w:val="00753BB7"/>
    <w:rsid w:val="00753E2F"/>
    <w:rsid w:val="00754283"/>
    <w:rsid w:val="00754397"/>
    <w:rsid w:val="007548C9"/>
    <w:rsid w:val="00754909"/>
    <w:rsid w:val="00754EB4"/>
    <w:rsid w:val="00754F08"/>
    <w:rsid w:val="007553C5"/>
    <w:rsid w:val="0075568E"/>
    <w:rsid w:val="007561E2"/>
    <w:rsid w:val="0075626C"/>
    <w:rsid w:val="00756708"/>
    <w:rsid w:val="007567E9"/>
    <w:rsid w:val="00756F21"/>
    <w:rsid w:val="007571E6"/>
    <w:rsid w:val="00757370"/>
    <w:rsid w:val="007573A7"/>
    <w:rsid w:val="00757742"/>
    <w:rsid w:val="00757A98"/>
    <w:rsid w:val="00760593"/>
    <w:rsid w:val="007605AF"/>
    <w:rsid w:val="0076061E"/>
    <w:rsid w:val="0076083A"/>
    <w:rsid w:val="007608D0"/>
    <w:rsid w:val="00760B87"/>
    <w:rsid w:val="00760BDA"/>
    <w:rsid w:val="00760C6A"/>
    <w:rsid w:val="00760CFF"/>
    <w:rsid w:val="00761372"/>
    <w:rsid w:val="007613FA"/>
    <w:rsid w:val="0076154A"/>
    <w:rsid w:val="00761868"/>
    <w:rsid w:val="00761E54"/>
    <w:rsid w:val="007620CC"/>
    <w:rsid w:val="007621A7"/>
    <w:rsid w:val="00762301"/>
    <w:rsid w:val="00762323"/>
    <w:rsid w:val="00762331"/>
    <w:rsid w:val="007625A6"/>
    <w:rsid w:val="00762BCC"/>
    <w:rsid w:val="00762D96"/>
    <w:rsid w:val="007631C8"/>
    <w:rsid w:val="007632FE"/>
    <w:rsid w:val="00763B25"/>
    <w:rsid w:val="007645E4"/>
    <w:rsid w:val="00764686"/>
    <w:rsid w:val="00764C1B"/>
    <w:rsid w:val="0076534B"/>
    <w:rsid w:val="00765783"/>
    <w:rsid w:val="007658A6"/>
    <w:rsid w:val="00765E4B"/>
    <w:rsid w:val="00766174"/>
    <w:rsid w:val="00766228"/>
    <w:rsid w:val="0076631B"/>
    <w:rsid w:val="0076635A"/>
    <w:rsid w:val="007664F7"/>
    <w:rsid w:val="0076689C"/>
    <w:rsid w:val="007669AB"/>
    <w:rsid w:val="00766C8D"/>
    <w:rsid w:val="00766CB8"/>
    <w:rsid w:val="00767113"/>
    <w:rsid w:val="00767182"/>
    <w:rsid w:val="0076721D"/>
    <w:rsid w:val="00767396"/>
    <w:rsid w:val="0076743C"/>
    <w:rsid w:val="0076752D"/>
    <w:rsid w:val="00767532"/>
    <w:rsid w:val="00767649"/>
    <w:rsid w:val="007676A9"/>
    <w:rsid w:val="007676BD"/>
    <w:rsid w:val="00767A14"/>
    <w:rsid w:val="00767C4D"/>
    <w:rsid w:val="00767D65"/>
    <w:rsid w:val="00767E58"/>
    <w:rsid w:val="00767FC4"/>
    <w:rsid w:val="007700BA"/>
    <w:rsid w:val="00770157"/>
    <w:rsid w:val="007705B0"/>
    <w:rsid w:val="00770649"/>
    <w:rsid w:val="0077080D"/>
    <w:rsid w:val="0077094C"/>
    <w:rsid w:val="00770972"/>
    <w:rsid w:val="00770B41"/>
    <w:rsid w:val="007711B9"/>
    <w:rsid w:val="00771488"/>
    <w:rsid w:val="007715F8"/>
    <w:rsid w:val="00771B3C"/>
    <w:rsid w:val="00771E6E"/>
    <w:rsid w:val="007724F2"/>
    <w:rsid w:val="0077256C"/>
    <w:rsid w:val="00772739"/>
    <w:rsid w:val="00772B29"/>
    <w:rsid w:val="00772D97"/>
    <w:rsid w:val="00773289"/>
    <w:rsid w:val="007733F2"/>
    <w:rsid w:val="00773451"/>
    <w:rsid w:val="00773CDF"/>
    <w:rsid w:val="00773DF8"/>
    <w:rsid w:val="00774190"/>
    <w:rsid w:val="007749BB"/>
    <w:rsid w:val="007749F2"/>
    <w:rsid w:val="00774A1D"/>
    <w:rsid w:val="00774B2A"/>
    <w:rsid w:val="00774B67"/>
    <w:rsid w:val="00774D0E"/>
    <w:rsid w:val="00774DBC"/>
    <w:rsid w:val="00775259"/>
    <w:rsid w:val="0077543E"/>
    <w:rsid w:val="007755FC"/>
    <w:rsid w:val="0077579F"/>
    <w:rsid w:val="0077588A"/>
    <w:rsid w:val="007758E9"/>
    <w:rsid w:val="00775FD2"/>
    <w:rsid w:val="00776193"/>
    <w:rsid w:val="0077637E"/>
    <w:rsid w:val="00776572"/>
    <w:rsid w:val="00776648"/>
    <w:rsid w:val="0077677B"/>
    <w:rsid w:val="0077679C"/>
    <w:rsid w:val="007767B6"/>
    <w:rsid w:val="0077684E"/>
    <w:rsid w:val="00776CF6"/>
    <w:rsid w:val="007774CB"/>
    <w:rsid w:val="00777566"/>
    <w:rsid w:val="00777DCE"/>
    <w:rsid w:val="00780676"/>
    <w:rsid w:val="00780B3E"/>
    <w:rsid w:val="00780CA2"/>
    <w:rsid w:val="00780CB6"/>
    <w:rsid w:val="00780DAE"/>
    <w:rsid w:val="00780EA9"/>
    <w:rsid w:val="00780EAB"/>
    <w:rsid w:val="00780EBA"/>
    <w:rsid w:val="00780FF0"/>
    <w:rsid w:val="007818CB"/>
    <w:rsid w:val="0078195E"/>
    <w:rsid w:val="00781C93"/>
    <w:rsid w:val="0078210E"/>
    <w:rsid w:val="00782458"/>
    <w:rsid w:val="00782630"/>
    <w:rsid w:val="007826BC"/>
    <w:rsid w:val="00783280"/>
    <w:rsid w:val="007832F7"/>
    <w:rsid w:val="007834AC"/>
    <w:rsid w:val="00783537"/>
    <w:rsid w:val="007838D3"/>
    <w:rsid w:val="00783935"/>
    <w:rsid w:val="0078456A"/>
    <w:rsid w:val="00784D81"/>
    <w:rsid w:val="00784E69"/>
    <w:rsid w:val="00784EAD"/>
    <w:rsid w:val="00785010"/>
    <w:rsid w:val="007850AF"/>
    <w:rsid w:val="00785611"/>
    <w:rsid w:val="00785A00"/>
    <w:rsid w:val="00785A8C"/>
    <w:rsid w:val="00785FD1"/>
    <w:rsid w:val="0078631A"/>
    <w:rsid w:val="007864DC"/>
    <w:rsid w:val="007865A9"/>
    <w:rsid w:val="00786A90"/>
    <w:rsid w:val="00786C18"/>
    <w:rsid w:val="00786C9B"/>
    <w:rsid w:val="00786DFA"/>
    <w:rsid w:val="00787156"/>
    <w:rsid w:val="00787231"/>
    <w:rsid w:val="007873F7"/>
    <w:rsid w:val="00787468"/>
    <w:rsid w:val="007876E6"/>
    <w:rsid w:val="00787C32"/>
    <w:rsid w:val="00787DB4"/>
    <w:rsid w:val="007908E9"/>
    <w:rsid w:val="00790B00"/>
    <w:rsid w:val="00791235"/>
    <w:rsid w:val="007912F6"/>
    <w:rsid w:val="007915D6"/>
    <w:rsid w:val="00791756"/>
    <w:rsid w:val="00791864"/>
    <w:rsid w:val="00791950"/>
    <w:rsid w:val="00791E4E"/>
    <w:rsid w:val="007920B9"/>
    <w:rsid w:val="0079219E"/>
    <w:rsid w:val="007922DD"/>
    <w:rsid w:val="00792467"/>
    <w:rsid w:val="00792870"/>
    <w:rsid w:val="00792933"/>
    <w:rsid w:val="00793000"/>
    <w:rsid w:val="00793075"/>
    <w:rsid w:val="007935F6"/>
    <w:rsid w:val="0079384F"/>
    <w:rsid w:val="007939A5"/>
    <w:rsid w:val="007940D4"/>
    <w:rsid w:val="007945D8"/>
    <w:rsid w:val="007949BB"/>
    <w:rsid w:val="00794C2A"/>
    <w:rsid w:val="00794C74"/>
    <w:rsid w:val="007950AC"/>
    <w:rsid w:val="007956D6"/>
    <w:rsid w:val="00795742"/>
    <w:rsid w:val="007958C2"/>
    <w:rsid w:val="00795CA8"/>
    <w:rsid w:val="00795F5B"/>
    <w:rsid w:val="00795FBD"/>
    <w:rsid w:val="00795FEE"/>
    <w:rsid w:val="00796683"/>
    <w:rsid w:val="00796825"/>
    <w:rsid w:val="007968FC"/>
    <w:rsid w:val="00796C31"/>
    <w:rsid w:val="00796FB3"/>
    <w:rsid w:val="00797286"/>
    <w:rsid w:val="007976DB"/>
    <w:rsid w:val="007977FC"/>
    <w:rsid w:val="0079789A"/>
    <w:rsid w:val="00797EF8"/>
    <w:rsid w:val="007A02D6"/>
    <w:rsid w:val="007A03C2"/>
    <w:rsid w:val="007A041E"/>
    <w:rsid w:val="007A0B6F"/>
    <w:rsid w:val="007A115F"/>
    <w:rsid w:val="007A124C"/>
    <w:rsid w:val="007A14F1"/>
    <w:rsid w:val="007A199F"/>
    <w:rsid w:val="007A1E6B"/>
    <w:rsid w:val="007A1FC8"/>
    <w:rsid w:val="007A1FD9"/>
    <w:rsid w:val="007A21A6"/>
    <w:rsid w:val="007A2368"/>
    <w:rsid w:val="007A23FC"/>
    <w:rsid w:val="007A2638"/>
    <w:rsid w:val="007A281B"/>
    <w:rsid w:val="007A2AF7"/>
    <w:rsid w:val="007A2DEC"/>
    <w:rsid w:val="007A2F66"/>
    <w:rsid w:val="007A3485"/>
    <w:rsid w:val="007A3498"/>
    <w:rsid w:val="007A34F8"/>
    <w:rsid w:val="007A3889"/>
    <w:rsid w:val="007A3969"/>
    <w:rsid w:val="007A3B0F"/>
    <w:rsid w:val="007A3CDB"/>
    <w:rsid w:val="007A3F65"/>
    <w:rsid w:val="007A4150"/>
    <w:rsid w:val="007A456A"/>
    <w:rsid w:val="007A4626"/>
    <w:rsid w:val="007A4682"/>
    <w:rsid w:val="007A489B"/>
    <w:rsid w:val="007A4EAD"/>
    <w:rsid w:val="007A4F5D"/>
    <w:rsid w:val="007A529C"/>
    <w:rsid w:val="007A52DE"/>
    <w:rsid w:val="007A5434"/>
    <w:rsid w:val="007A5551"/>
    <w:rsid w:val="007A56C5"/>
    <w:rsid w:val="007A5971"/>
    <w:rsid w:val="007A59CD"/>
    <w:rsid w:val="007A5A66"/>
    <w:rsid w:val="007A5AA5"/>
    <w:rsid w:val="007A5C04"/>
    <w:rsid w:val="007A5DD0"/>
    <w:rsid w:val="007A5EAA"/>
    <w:rsid w:val="007A5FB5"/>
    <w:rsid w:val="007A61DC"/>
    <w:rsid w:val="007A657E"/>
    <w:rsid w:val="007A6654"/>
    <w:rsid w:val="007A745F"/>
    <w:rsid w:val="007A7503"/>
    <w:rsid w:val="007A7577"/>
    <w:rsid w:val="007B0187"/>
    <w:rsid w:val="007B037C"/>
    <w:rsid w:val="007B064A"/>
    <w:rsid w:val="007B0874"/>
    <w:rsid w:val="007B0B41"/>
    <w:rsid w:val="007B0C2A"/>
    <w:rsid w:val="007B0F68"/>
    <w:rsid w:val="007B0FEA"/>
    <w:rsid w:val="007B10F9"/>
    <w:rsid w:val="007B189A"/>
    <w:rsid w:val="007B1ABB"/>
    <w:rsid w:val="007B1EC1"/>
    <w:rsid w:val="007B22C4"/>
    <w:rsid w:val="007B25F4"/>
    <w:rsid w:val="007B2739"/>
    <w:rsid w:val="007B27D1"/>
    <w:rsid w:val="007B2A77"/>
    <w:rsid w:val="007B30F0"/>
    <w:rsid w:val="007B3132"/>
    <w:rsid w:val="007B31C4"/>
    <w:rsid w:val="007B351B"/>
    <w:rsid w:val="007B356A"/>
    <w:rsid w:val="007B35A1"/>
    <w:rsid w:val="007B3982"/>
    <w:rsid w:val="007B3EB2"/>
    <w:rsid w:val="007B406C"/>
    <w:rsid w:val="007B413C"/>
    <w:rsid w:val="007B42F2"/>
    <w:rsid w:val="007B4780"/>
    <w:rsid w:val="007B48D4"/>
    <w:rsid w:val="007B4B05"/>
    <w:rsid w:val="007B4D65"/>
    <w:rsid w:val="007B4E04"/>
    <w:rsid w:val="007B4F9F"/>
    <w:rsid w:val="007B4FBE"/>
    <w:rsid w:val="007B52A5"/>
    <w:rsid w:val="007B547F"/>
    <w:rsid w:val="007B56B2"/>
    <w:rsid w:val="007B5B5D"/>
    <w:rsid w:val="007B5CE4"/>
    <w:rsid w:val="007B5E36"/>
    <w:rsid w:val="007B6064"/>
    <w:rsid w:val="007B60F6"/>
    <w:rsid w:val="007B619C"/>
    <w:rsid w:val="007B67A2"/>
    <w:rsid w:val="007B694E"/>
    <w:rsid w:val="007B7214"/>
    <w:rsid w:val="007B7445"/>
    <w:rsid w:val="007B75D5"/>
    <w:rsid w:val="007B7618"/>
    <w:rsid w:val="007B7819"/>
    <w:rsid w:val="007B7ECD"/>
    <w:rsid w:val="007C03E6"/>
    <w:rsid w:val="007C04EA"/>
    <w:rsid w:val="007C0869"/>
    <w:rsid w:val="007C0999"/>
    <w:rsid w:val="007C0AAC"/>
    <w:rsid w:val="007C12CE"/>
    <w:rsid w:val="007C12E8"/>
    <w:rsid w:val="007C14C7"/>
    <w:rsid w:val="007C1888"/>
    <w:rsid w:val="007C1929"/>
    <w:rsid w:val="007C19C1"/>
    <w:rsid w:val="007C1C9C"/>
    <w:rsid w:val="007C1E1A"/>
    <w:rsid w:val="007C2181"/>
    <w:rsid w:val="007C28EC"/>
    <w:rsid w:val="007C2A46"/>
    <w:rsid w:val="007C2B69"/>
    <w:rsid w:val="007C2C75"/>
    <w:rsid w:val="007C2CB0"/>
    <w:rsid w:val="007C2D20"/>
    <w:rsid w:val="007C2FCB"/>
    <w:rsid w:val="007C37D2"/>
    <w:rsid w:val="007C39A2"/>
    <w:rsid w:val="007C3C0E"/>
    <w:rsid w:val="007C3EB2"/>
    <w:rsid w:val="007C4031"/>
    <w:rsid w:val="007C4565"/>
    <w:rsid w:val="007C4949"/>
    <w:rsid w:val="007C49D7"/>
    <w:rsid w:val="007C4A81"/>
    <w:rsid w:val="007C4ADB"/>
    <w:rsid w:val="007C4BF7"/>
    <w:rsid w:val="007C50D6"/>
    <w:rsid w:val="007C552A"/>
    <w:rsid w:val="007C5E66"/>
    <w:rsid w:val="007C5EB6"/>
    <w:rsid w:val="007C60C0"/>
    <w:rsid w:val="007C66B4"/>
    <w:rsid w:val="007C6A56"/>
    <w:rsid w:val="007C6AD4"/>
    <w:rsid w:val="007C6BB9"/>
    <w:rsid w:val="007C6BE7"/>
    <w:rsid w:val="007C6DFE"/>
    <w:rsid w:val="007C70C2"/>
    <w:rsid w:val="007C71E4"/>
    <w:rsid w:val="007C7234"/>
    <w:rsid w:val="007C7368"/>
    <w:rsid w:val="007C74CB"/>
    <w:rsid w:val="007C753F"/>
    <w:rsid w:val="007C75E9"/>
    <w:rsid w:val="007C77FF"/>
    <w:rsid w:val="007C7BA8"/>
    <w:rsid w:val="007D029F"/>
    <w:rsid w:val="007D0403"/>
    <w:rsid w:val="007D0871"/>
    <w:rsid w:val="007D09F5"/>
    <w:rsid w:val="007D0A1F"/>
    <w:rsid w:val="007D1313"/>
    <w:rsid w:val="007D1AE8"/>
    <w:rsid w:val="007D1E7F"/>
    <w:rsid w:val="007D1FDD"/>
    <w:rsid w:val="007D2019"/>
    <w:rsid w:val="007D2031"/>
    <w:rsid w:val="007D2231"/>
    <w:rsid w:val="007D2DDC"/>
    <w:rsid w:val="007D307B"/>
    <w:rsid w:val="007D32D4"/>
    <w:rsid w:val="007D34D0"/>
    <w:rsid w:val="007D3530"/>
    <w:rsid w:val="007D35B6"/>
    <w:rsid w:val="007D35CB"/>
    <w:rsid w:val="007D3F09"/>
    <w:rsid w:val="007D40ED"/>
    <w:rsid w:val="007D475D"/>
    <w:rsid w:val="007D4BFB"/>
    <w:rsid w:val="007D5031"/>
    <w:rsid w:val="007D506F"/>
    <w:rsid w:val="007D50F1"/>
    <w:rsid w:val="007D5144"/>
    <w:rsid w:val="007D53B1"/>
    <w:rsid w:val="007D554E"/>
    <w:rsid w:val="007D57CB"/>
    <w:rsid w:val="007D5D7C"/>
    <w:rsid w:val="007D5FF6"/>
    <w:rsid w:val="007D650C"/>
    <w:rsid w:val="007D67B2"/>
    <w:rsid w:val="007D6837"/>
    <w:rsid w:val="007D68ED"/>
    <w:rsid w:val="007D6938"/>
    <w:rsid w:val="007D69CE"/>
    <w:rsid w:val="007D6B1E"/>
    <w:rsid w:val="007D6F15"/>
    <w:rsid w:val="007D7148"/>
    <w:rsid w:val="007D71AA"/>
    <w:rsid w:val="007D79D8"/>
    <w:rsid w:val="007D7B77"/>
    <w:rsid w:val="007D7F58"/>
    <w:rsid w:val="007E00A8"/>
    <w:rsid w:val="007E0353"/>
    <w:rsid w:val="007E0637"/>
    <w:rsid w:val="007E07BF"/>
    <w:rsid w:val="007E0AB4"/>
    <w:rsid w:val="007E1622"/>
    <w:rsid w:val="007E1C67"/>
    <w:rsid w:val="007E1E3D"/>
    <w:rsid w:val="007E207C"/>
    <w:rsid w:val="007E20BC"/>
    <w:rsid w:val="007E2111"/>
    <w:rsid w:val="007E2313"/>
    <w:rsid w:val="007E28A4"/>
    <w:rsid w:val="007E336F"/>
    <w:rsid w:val="007E35FD"/>
    <w:rsid w:val="007E3669"/>
    <w:rsid w:val="007E38AD"/>
    <w:rsid w:val="007E3979"/>
    <w:rsid w:val="007E3A2C"/>
    <w:rsid w:val="007E3D51"/>
    <w:rsid w:val="007E4046"/>
    <w:rsid w:val="007E4160"/>
    <w:rsid w:val="007E41A1"/>
    <w:rsid w:val="007E4266"/>
    <w:rsid w:val="007E4299"/>
    <w:rsid w:val="007E44FA"/>
    <w:rsid w:val="007E4568"/>
    <w:rsid w:val="007E4616"/>
    <w:rsid w:val="007E47AD"/>
    <w:rsid w:val="007E482F"/>
    <w:rsid w:val="007E4C2C"/>
    <w:rsid w:val="007E52B7"/>
    <w:rsid w:val="007E53BE"/>
    <w:rsid w:val="007E5645"/>
    <w:rsid w:val="007E5666"/>
    <w:rsid w:val="007E5B95"/>
    <w:rsid w:val="007E5BC8"/>
    <w:rsid w:val="007E5E3F"/>
    <w:rsid w:val="007E665D"/>
    <w:rsid w:val="007E6708"/>
    <w:rsid w:val="007E68B1"/>
    <w:rsid w:val="007E6A8D"/>
    <w:rsid w:val="007E6C6C"/>
    <w:rsid w:val="007E7139"/>
    <w:rsid w:val="007E7562"/>
    <w:rsid w:val="007E77A2"/>
    <w:rsid w:val="007E7EFB"/>
    <w:rsid w:val="007F0435"/>
    <w:rsid w:val="007F05E5"/>
    <w:rsid w:val="007F062E"/>
    <w:rsid w:val="007F0723"/>
    <w:rsid w:val="007F0AE2"/>
    <w:rsid w:val="007F0D26"/>
    <w:rsid w:val="007F0E04"/>
    <w:rsid w:val="007F159E"/>
    <w:rsid w:val="007F16A7"/>
    <w:rsid w:val="007F19D1"/>
    <w:rsid w:val="007F1BD3"/>
    <w:rsid w:val="007F1DD2"/>
    <w:rsid w:val="007F1F4C"/>
    <w:rsid w:val="007F220B"/>
    <w:rsid w:val="007F28F7"/>
    <w:rsid w:val="007F2EE5"/>
    <w:rsid w:val="007F2F38"/>
    <w:rsid w:val="007F2FCC"/>
    <w:rsid w:val="007F3271"/>
    <w:rsid w:val="007F32AB"/>
    <w:rsid w:val="007F3536"/>
    <w:rsid w:val="007F3A54"/>
    <w:rsid w:val="007F3EDD"/>
    <w:rsid w:val="007F3FF5"/>
    <w:rsid w:val="007F456C"/>
    <w:rsid w:val="007F468D"/>
    <w:rsid w:val="007F476E"/>
    <w:rsid w:val="007F4ACA"/>
    <w:rsid w:val="007F4EE5"/>
    <w:rsid w:val="007F4FE1"/>
    <w:rsid w:val="007F5187"/>
    <w:rsid w:val="007F5428"/>
    <w:rsid w:val="007F548C"/>
    <w:rsid w:val="007F5712"/>
    <w:rsid w:val="007F582A"/>
    <w:rsid w:val="007F59EC"/>
    <w:rsid w:val="007F5A9F"/>
    <w:rsid w:val="007F5E3F"/>
    <w:rsid w:val="007F63B9"/>
    <w:rsid w:val="007F647C"/>
    <w:rsid w:val="007F659A"/>
    <w:rsid w:val="007F694F"/>
    <w:rsid w:val="007F6D6B"/>
    <w:rsid w:val="007F74A1"/>
    <w:rsid w:val="007F752B"/>
    <w:rsid w:val="007F763B"/>
    <w:rsid w:val="007F7AB8"/>
    <w:rsid w:val="007F7B63"/>
    <w:rsid w:val="007F7C0C"/>
    <w:rsid w:val="00800179"/>
    <w:rsid w:val="0080038A"/>
    <w:rsid w:val="008003AF"/>
    <w:rsid w:val="008008FE"/>
    <w:rsid w:val="00800BBE"/>
    <w:rsid w:val="00800C2F"/>
    <w:rsid w:val="0080124F"/>
    <w:rsid w:val="008012A7"/>
    <w:rsid w:val="0080185F"/>
    <w:rsid w:val="00801A14"/>
    <w:rsid w:val="00802193"/>
    <w:rsid w:val="008023E3"/>
    <w:rsid w:val="008028EF"/>
    <w:rsid w:val="00802BEE"/>
    <w:rsid w:val="008030C8"/>
    <w:rsid w:val="008030CD"/>
    <w:rsid w:val="00803214"/>
    <w:rsid w:val="00803649"/>
    <w:rsid w:val="00803764"/>
    <w:rsid w:val="00803962"/>
    <w:rsid w:val="008039BC"/>
    <w:rsid w:val="00803B2F"/>
    <w:rsid w:val="00803BCB"/>
    <w:rsid w:val="00803C09"/>
    <w:rsid w:val="00803D9C"/>
    <w:rsid w:val="00803DA9"/>
    <w:rsid w:val="00803F7F"/>
    <w:rsid w:val="00804676"/>
    <w:rsid w:val="00804B38"/>
    <w:rsid w:val="00804FA8"/>
    <w:rsid w:val="0080511F"/>
    <w:rsid w:val="00805293"/>
    <w:rsid w:val="00805787"/>
    <w:rsid w:val="00805A6E"/>
    <w:rsid w:val="00805B79"/>
    <w:rsid w:val="00805D8D"/>
    <w:rsid w:val="00805F0A"/>
    <w:rsid w:val="00805FB9"/>
    <w:rsid w:val="00806103"/>
    <w:rsid w:val="00806432"/>
    <w:rsid w:val="00806FF0"/>
    <w:rsid w:val="00807095"/>
    <w:rsid w:val="008070A1"/>
    <w:rsid w:val="008070A6"/>
    <w:rsid w:val="0080713E"/>
    <w:rsid w:val="00807273"/>
    <w:rsid w:val="008075AD"/>
    <w:rsid w:val="00807642"/>
    <w:rsid w:val="00807845"/>
    <w:rsid w:val="0080792C"/>
    <w:rsid w:val="008079F7"/>
    <w:rsid w:val="00807BE7"/>
    <w:rsid w:val="00807C36"/>
    <w:rsid w:val="00807DE1"/>
    <w:rsid w:val="00807DED"/>
    <w:rsid w:val="00807F47"/>
    <w:rsid w:val="00810075"/>
    <w:rsid w:val="008100A1"/>
    <w:rsid w:val="008107AB"/>
    <w:rsid w:val="008109C1"/>
    <w:rsid w:val="00810A8B"/>
    <w:rsid w:val="00810C92"/>
    <w:rsid w:val="00810EFB"/>
    <w:rsid w:val="0081103A"/>
    <w:rsid w:val="008110D5"/>
    <w:rsid w:val="00811177"/>
    <w:rsid w:val="00811414"/>
    <w:rsid w:val="00811522"/>
    <w:rsid w:val="00811628"/>
    <w:rsid w:val="00811A19"/>
    <w:rsid w:val="00811E44"/>
    <w:rsid w:val="0081257E"/>
    <w:rsid w:val="00812AF6"/>
    <w:rsid w:val="00812D87"/>
    <w:rsid w:val="00812E14"/>
    <w:rsid w:val="008134AC"/>
    <w:rsid w:val="00813934"/>
    <w:rsid w:val="00813B79"/>
    <w:rsid w:val="00813BA1"/>
    <w:rsid w:val="008140DF"/>
    <w:rsid w:val="0081410E"/>
    <w:rsid w:val="00814430"/>
    <w:rsid w:val="00814448"/>
    <w:rsid w:val="0081495B"/>
    <w:rsid w:val="00814983"/>
    <w:rsid w:val="00815050"/>
    <w:rsid w:val="00815213"/>
    <w:rsid w:val="008158F3"/>
    <w:rsid w:val="00815A9B"/>
    <w:rsid w:val="00815AC8"/>
    <w:rsid w:val="00815C76"/>
    <w:rsid w:val="0081611B"/>
    <w:rsid w:val="00816166"/>
    <w:rsid w:val="008161BE"/>
    <w:rsid w:val="00816B09"/>
    <w:rsid w:val="00816E9A"/>
    <w:rsid w:val="00816F3D"/>
    <w:rsid w:val="00817314"/>
    <w:rsid w:val="0081735F"/>
    <w:rsid w:val="0081737B"/>
    <w:rsid w:val="00817477"/>
    <w:rsid w:val="00817548"/>
    <w:rsid w:val="008176A4"/>
    <w:rsid w:val="008179B6"/>
    <w:rsid w:val="00817A07"/>
    <w:rsid w:val="00817A82"/>
    <w:rsid w:val="008209DF"/>
    <w:rsid w:val="00820C6F"/>
    <w:rsid w:val="00821214"/>
    <w:rsid w:val="00821225"/>
    <w:rsid w:val="008212B3"/>
    <w:rsid w:val="00821429"/>
    <w:rsid w:val="008215DD"/>
    <w:rsid w:val="00821823"/>
    <w:rsid w:val="00821C52"/>
    <w:rsid w:val="00821F51"/>
    <w:rsid w:val="00821FD9"/>
    <w:rsid w:val="0082202B"/>
    <w:rsid w:val="00822185"/>
    <w:rsid w:val="0082221B"/>
    <w:rsid w:val="008222B5"/>
    <w:rsid w:val="00822621"/>
    <w:rsid w:val="0082299C"/>
    <w:rsid w:val="008229B9"/>
    <w:rsid w:val="00822ACD"/>
    <w:rsid w:val="00822C12"/>
    <w:rsid w:val="00822C2D"/>
    <w:rsid w:val="00822D48"/>
    <w:rsid w:val="0082300D"/>
    <w:rsid w:val="00823093"/>
    <w:rsid w:val="008230EF"/>
    <w:rsid w:val="008236B7"/>
    <w:rsid w:val="00823A2E"/>
    <w:rsid w:val="00823CF6"/>
    <w:rsid w:val="00823E58"/>
    <w:rsid w:val="00824224"/>
    <w:rsid w:val="008242AC"/>
    <w:rsid w:val="00824342"/>
    <w:rsid w:val="008243F1"/>
    <w:rsid w:val="00824609"/>
    <w:rsid w:val="00824ADE"/>
    <w:rsid w:val="0082590A"/>
    <w:rsid w:val="00825A47"/>
    <w:rsid w:val="00825BDB"/>
    <w:rsid w:val="00825EB0"/>
    <w:rsid w:val="00825F67"/>
    <w:rsid w:val="00825FF5"/>
    <w:rsid w:val="00826141"/>
    <w:rsid w:val="008263B6"/>
    <w:rsid w:val="00826425"/>
    <w:rsid w:val="00826467"/>
    <w:rsid w:val="008265B6"/>
    <w:rsid w:val="00826617"/>
    <w:rsid w:val="00826627"/>
    <w:rsid w:val="008266E9"/>
    <w:rsid w:val="0082688A"/>
    <w:rsid w:val="00826C02"/>
    <w:rsid w:val="00826C03"/>
    <w:rsid w:val="00826C0E"/>
    <w:rsid w:val="00826D82"/>
    <w:rsid w:val="00827329"/>
    <w:rsid w:val="008278C0"/>
    <w:rsid w:val="00827C73"/>
    <w:rsid w:val="00827D1B"/>
    <w:rsid w:val="008307D2"/>
    <w:rsid w:val="00830B1B"/>
    <w:rsid w:val="00830D4A"/>
    <w:rsid w:val="00830DE4"/>
    <w:rsid w:val="0083123A"/>
    <w:rsid w:val="008313C6"/>
    <w:rsid w:val="008315A4"/>
    <w:rsid w:val="00831C91"/>
    <w:rsid w:val="00831DA5"/>
    <w:rsid w:val="00832562"/>
    <w:rsid w:val="008327B8"/>
    <w:rsid w:val="008327C2"/>
    <w:rsid w:val="008328C6"/>
    <w:rsid w:val="00832AD3"/>
    <w:rsid w:val="00832D6E"/>
    <w:rsid w:val="00832E48"/>
    <w:rsid w:val="00832EF8"/>
    <w:rsid w:val="0083304C"/>
    <w:rsid w:val="0083325D"/>
    <w:rsid w:val="00833366"/>
    <w:rsid w:val="008333EA"/>
    <w:rsid w:val="0083361A"/>
    <w:rsid w:val="0083364B"/>
    <w:rsid w:val="00833752"/>
    <w:rsid w:val="00833B93"/>
    <w:rsid w:val="00833C2E"/>
    <w:rsid w:val="00833D19"/>
    <w:rsid w:val="00833D44"/>
    <w:rsid w:val="0083401D"/>
    <w:rsid w:val="0083407D"/>
    <w:rsid w:val="0083432E"/>
    <w:rsid w:val="008343BB"/>
    <w:rsid w:val="00834924"/>
    <w:rsid w:val="00834BB1"/>
    <w:rsid w:val="00834BB7"/>
    <w:rsid w:val="00834CC7"/>
    <w:rsid w:val="00835578"/>
    <w:rsid w:val="008357B1"/>
    <w:rsid w:val="00835B6C"/>
    <w:rsid w:val="00835CF2"/>
    <w:rsid w:val="008361C1"/>
    <w:rsid w:val="0083629F"/>
    <w:rsid w:val="008362BB"/>
    <w:rsid w:val="00836461"/>
    <w:rsid w:val="0083665D"/>
    <w:rsid w:val="008368A4"/>
    <w:rsid w:val="008368D0"/>
    <w:rsid w:val="00836BA1"/>
    <w:rsid w:val="00836E0F"/>
    <w:rsid w:val="00836FF5"/>
    <w:rsid w:val="008371CC"/>
    <w:rsid w:val="00837796"/>
    <w:rsid w:val="0083791E"/>
    <w:rsid w:val="008379B5"/>
    <w:rsid w:val="00837BE5"/>
    <w:rsid w:val="00837F92"/>
    <w:rsid w:val="0084033D"/>
    <w:rsid w:val="008408E3"/>
    <w:rsid w:val="00840962"/>
    <w:rsid w:val="00840B0A"/>
    <w:rsid w:val="00840FB4"/>
    <w:rsid w:val="00841961"/>
    <w:rsid w:val="00841B75"/>
    <w:rsid w:val="00841CF7"/>
    <w:rsid w:val="008420B1"/>
    <w:rsid w:val="0084231F"/>
    <w:rsid w:val="00842326"/>
    <w:rsid w:val="008426B4"/>
    <w:rsid w:val="00842822"/>
    <w:rsid w:val="00842DEF"/>
    <w:rsid w:val="00842EE4"/>
    <w:rsid w:val="008430A6"/>
    <w:rsid w:val="00843780"/>
    <w:rsid w:val="00843CAC"/>
    <w:rsid w:val="00843F94"/>
    <w:rsid w:val="0084405D"/>
    <w:rsid w:val="00844674"/>
    <w:rsid w:val="008446F7"/>
    <w:rsid w:val="0084481B"/>
    <w:rsid w:val="0084566B"/>
    <w:rsid w:val="008457BA"/>
    <w:rsid w:val="0084592C"/>
    <w:rsid w:val="0084598B"/>
    <w:rsid w:val="00845A2B"/>
    <w:rsid w:val="00845C83"/>
    <w:rsid w:val="0084621F"/>
    <w:rsid w:val="008462FB"/>
    <w:rsid w:val="008463D8"/>
    <w:rsid w:val="00846671"/>
    <w:rsid w:val="008467F9"/>
    <w:rsid w:val="0084684D"/>
    <w:rsid w:val="00846BB7"/>
    <w:rsid w:val="00846CC2"/>
    <w:rsid w:val="008477C2"/>
    <w:rsid w:val="008479B9"/>
    <w:rsid w:val="00847B4B"/>
    <w:rsid w:val="00850423"/>
    <w:rsid w:val="008506BD"/>
    <w:rsid w:val="008506D1"/>
    <w:rsid w:val="00850CB7"/>
    <w:rsid w:val="00850D7E"/>
    <w:rsid w:val="00850F35"/>
    <w:rsid w:val="00851831"/>
    <w:rsid w:val="00851AE3"/>
    <w:rsid w:val="00851BB6"/>
    <w:rsid w:val="00851C11"/>
    <w:rsid w:val="00851C16"/>
    <w:rsid w:val="00851C38"/>
    <w:rsid w:val="00851EC1"/>
    <w:rsid w:val="00852141"/>
    <w:rsid w:val="00852316"/>
    <w:rsid w:val="00852500"/>
    <w:rsid w:val="00852BE4"/>
    <w:rsid w:val="008531D8"/>
    <w:rsid w:val="008538F9"/>
    <w:rsid w:val="008545B0"/>
    <w:rsid w:val="00854672"/>
    <w:rsid w:val="008549FB"/>
    <w:rsid w:val="008550B7"/>
    <w:rsid w:val="00855289"/>
    <w:rsid w:val="0085528F"/>
    <w:rsid w:val="00855437"/>
    <w:rsid w:val="008554EB"/>
    <w:rsid w:val="00855652"/>
    <w:rsid w:val="008556D7"/>
    <w:rsid w:val="008557F7"/>
    <w:rsid w:val="0085582E"/>
    <w:rsid w:val="008559A5"/>
    <w:rsid w:val="00855BB1"/>
    <w:rsid w:val="00855EC4"/>
    <w:rsid w:val="00855ECB"/>
    <w:rsid w:val="008567E9"/>
    <w:rsid w:val="00856EBC"/>
    <w:rsid w:val="00857536"/>
    <w:rsid w:val="0085756C"/>
    <w:rsid w:val="008575F0"/>
    <w:rsid w:val="00857721"/>
    <w:rsid w:val="00857A32"/>
    <w:rsid w:val="00857CEA"/>
    <w:rsid w:val="008602DB"/>
    <w:rsid w:val="00860430"/>
    <w:rsid w:val="008604C3"/>
    <w:rsid w:val="008605AA"/>
    <w:rsid w:val="00860B2F"/>
    <w:rsid w:val="00860BFE"/>
    <w:rsid w:val="00861064"/>
    <w:rsid w:val="00861240"/>
    <w:rsid w:val="00861935"/>
    <w:rsid w:val="00861D0B"/>
    <w:rsid w:val="008622E8"/>
    <w:rsid w:val="00862427"/>
    <w:rsid w:val="008626B0"/>
    <w:rsid w:val="008626FC"/>
    <w:rsid w:val="0086274C"/>
    <w:rsid w:val="0086282C"/>
    <w:rsid w:val="00862B88"/>
    <w:rsid w:val="00862C26"/>
    <w:rsid w:val="00862C54"/>
    <w:rsid w:val="00862E0E"/>
    <w:rsid w:val="00863009"/>
    <w:rsid w:val="008630A3"/>
    <w:rsid w:val="00863119"/>
    <w:rsid w:val="008632E8"/>
    <w:rsid w:val="008634F9"/>
    <w:rsid w:val="008635E6"/>
    <w:rsid w:val="008637B9"/>
    <w:rsid w:val="00863A3A"/>
    <w:rsid w:val="008640FD"/>
    <w:rsid w:val="0086416A"/>
    <w:rsid w:val="008649A1"/>
    <w:rsid w:val="00864A37"/>
    <w:rsid w:val="00864BC6"/>
    <w:rsid w:val="00864C1F"/>
    <w:rsid w:val="00864C41"/>
    <w:rsid w:val="00864F1F"/>
    <w:rsid w:val="008654A7"/>
    <w:rsid w:val="008657EF"/>
    <w:rsid w:val="00865EAF"/>
    <w:rsid w:val="00865FEC"/>
    <w:rsid w:val="008660A6"/>
    <w:rsid w:val="008660E0"/>
    <w:rsid w:val="00866339"/>
    <w:rsid w:val="008663FC"/>
    <w:rsid w:val="008665AE"/>
    <w:rsid w:val="008665E9"/>
    <w:rsid w:val="0086669F"/>
    <w:rsid w:val="0086670B"/>
    <w:rsid w:val="00866E21"/>
    <w:rsid w:val="00867257"/>
    <w:rsid w:val="008676FF"/>
    <w:rsid w:val="00867A9E"/>
    <w:rsid w:val="00867AAA"/>
    <w:rsid w:val="00867DE7"/>
    <w:rsid w:val="00870393"/>
    <w:rsid w:val="0087065F"/>
    <w:rsid w:val="00870776"/>
    <w:rsid w:val="008710C5"/>
    <w:rsid w:val="00871219"/>
    <w:rsid w:val="0087138C"/>
    <w:rsid w:val="0087140A"/>
    <w:rsid w:val="00871688"/>
    <w:rsid w:val="008717BE"/>
    <w:rsid w:val="00871B60"/>
    <w:rsid w:val="00871D77"/>
    <w:rsid w:val="00871F53"/>
    <w:rsid w:val="00872496"/>
    <w:rsid w:val="00872561"/>
    <w:rsid w:val="0087287A"/>
    <w:rsid w:val="0087287D"/>
    <w:rsid w:val="00872886"/>
    <w:rsid w:val="00872AA9"/>
    <w:rsid w:val="00872BEF"/>
    <w:rsid w:val="00872FD3"/>
    <w:rsid w:val="0087309B"/>
    <w:rsid w:val="00873284"/>
    <w:rsid w:val="008734B9"/>
    <w:rsid w:val="008734ED"/>
    <w:rsid w:val="008735EA"/>
    <w:rsid w:val="008736A5"/>
    <w:rsid w:val="0087376C"/>
    <w:rsid w:val="00873D8B"/>
    <w:rsid w:val="008743DA"/>
    <w:rsid w:val="008745A5"/>
    <w:rsid w:val="00874728"/>
    <w:rsid w:val="00874803"/>
    <w:rsid w:val="00874ADF"/>
    <w:rsid w:val="00874B08"/>
    <w:rsid w:val="00875148"/>
    <w:rsid w:val="00875455"/>
    <w:rsid w:val="0087550F"/>
    <w:rsid w:val="008756EB"/>
    <w:rsid w:val="008757C1"/>
    <w:rsid w:val="008758C2"/>
    <w:rsid w:val="00875B9F"/>
    <w:rsid w:val="00875D09"/>
    <w:rsid w:val="0087610A"/>
    <w:rsid w:val="00876344"/>
    <w:rsid w:val="00876475"/>
    <w:rsid w:val="008767CE"/>
    <w:rsid w:val="00876978"/>
    <w:rsid w:val="00876A1B"/>
    <w:rsid w:val="00876BC2"/>
    <w:rsid w:val="00876DCD"/>
    <w:rsid w:val="00877245"/>
    <w:rsid w:val="008773D0"/>
    <w:rsid w:val="0087746E"/>
    <w:rsid w:val="008775D1"/>
    <w:rsid w:val="008800F0"/>
    <w:rsid w:val="00880971"/>
    <w:rsid w:val="00880C99"/>
    <w:rsid w:val="00880D5D"/>
    <w:rsid w:val="00880E92"/>
    <w:rsid w:val="00880F63"/>
    <w:rsid w:val="0088112E"/>
    <w:rsid w:val="008812CC"/>
    <w:rsid w:val="00881CB8"/>
    <w:rsid w:val="00881CDB"/>
    <w:rsid w:val="00881DF1"/>
    <w:rsid w:val="008821EA"/>
    <w:rsid w:val="00882392"/>
    <w:rsid w:val="008828F3"/>
    <w:rsid w:val="00882935"/>
    <w:rsid w:val="00882975"/>
    <w:rsid w:val="00882BBC"/>
    <w:rsid w:val="00882E14"/>
    <w:rsid w:val="00883212"/>
    <w:rsid w:val="00883254"/>
    <w:rsid w:val="00883912"/>
    <w:rsid w:val="00883B5E"/>
    <w:rsid w:val="00883C76"/>
    <w:rsid w:val="00883CE9"/>
    <w:rsid w:val="00883E8A"/>
    <w:rsid w:val="008843D8"/>
    <w:rsid w:val="00884757"/>
    <w:rsid w:val="00884866"/>
    <w:rsid w:val="00884901"/>
    <w:rsid w:val="0088499B"/>
    <w:rsid w:val="00884A8F"/>
    <w:rsid w:val="00884AD1"/>
    <w:rsid w:val="00884CE5"/>
    <w:rsid w:val="0088524E"/>
    <w:rsid w:val="00885655"/>
    <w:rsid w:val="0088587F"/>
    <w:rsid w:val="008858B8"/>
    <w:rsid w:val="00885B7D"/>
    <w:rsid w:val="00885CEF"/>
    <w:rsid w:val="0088656B"/>
    <w:rsid w:val="008869C9"/>
    <w:rsid w:val="00886C2D"/>
    <w:rsid w:val="00886EC0"/>
    <w:rsid w:val="00887003"/>
    <w:rsid w:val="008870EA"/>
    <w:rsid w:val="008872F0"/>
    <w:rsid w:val="00887798"/>
    <w:rsid w:val="0088792F"/>
    <w:rsid w:val="00887CB5"/>
    <w:rsid w:val="00890599"/>
    <w:rsid w:val="008905E6"/>
    <w:rsid w:val="008908AD"/>
    <w:rsid w:val="008908EC"/>
    <w:rsid w:val="00890A0A"/>
    <w:rsid w:val="00890C3F"/>
    <w:rsid w:val="00890D95"/>
    <w:rsid w:val="0089147E"/>
    <w:rsid w:val="00891637"/>
    <w:rsid w:val="0089180B"/>
    <w:rsid w:val="0089181C"/>
    <w:rsid w:val="00891BD4"/>
    <w:rsid w:val="00891D27"/>
    <w:rsid w:val="00891D43"/>
    <w:rsid w:val="00892141"/>
    <w:rsid w:val="00892664"/>
    <w:rsid w:val="0089270A"/>
    <w:rsid w:val="008927C2"/>
    <w:rsid w:val="008928E6"/>
    <w:rsid w:val="00892AA4"/>
    <w:rsid w:val="00892C3C"/>
    <w:rsid w:val="008936BB"/>
    <w:rsid w:val="00893CB5"/>
    <w:rsid w:val="00893EF8"/>
    <w:rsid w:val="0089443C"/>
    <w:rsid w:val="0089474B"/>
    <w:rsid w:val="008955DB"/>
    <w:rsid w:val="00895724"/>
    <w:rsid w:val="008957EE"/>
    <w:rsid w:val="0089589D"/>
    <w:rsid w:val="00895AC4"/>
    <w:rsid w:val="00895CC3"/>
    <w:rsid w:val="008964B3"/>
    <w:rsid w:val="008965AE"/>
    <w:rsid w:val="008965E0"/>
    <w:rsid w:val="008969BB"/>
    <w:rsid w:val="008969C9"/>
    <w:rsid w:val="00896D03"/>
    <w:rsid w:val="00896D40"/>
    <w:rsid w:val="00897344"/>
    <w:rsid w:val="0089750E"/>
    <w:rsid w:val="00897613"/>
    <w:rsid w:val="00897770"/>
    <w:rsid w:val="0089777E"/>
    <w:rsid w:val="00897A84"/>
    <w:rsid w:val="00897ACE"/>
    <w:rsid w:val="00897EF1"/>
    <w:rsid w:val="008A05B2"/>
    <w:rsid w:val="008A107E"/>
    <w:rsid w:val="008A11B8"/>
    <w:rsid w:val="008A1387"/>
    <w:rsid w:val="008A191B"/>
    <w:rsid w:val="008A1CEE"/>
    <w:rsid w:val="008A1F2A"/>
    <w:rsid w:val="008A2041"/>
    <w:rsid w:val="008A2210"/>
    <w:rsid w:val="008A238F"/>
    <w:rsid w:val="008A25E4"/>
    <w:rsid w:val="008A2751"/>
    <w:rsid w:val="008A2A2A"/>
    <w:rsid w:val="008A2A63"/>
    <w:rsid w:val="008A2C0B"/>
    <w:rsid w:val="008A2E98"/>
    <w:rsid w:val="008A32F1"/>
    <w:rsid w:val="008A32FB"/>
    <w:rsid w:val="008A3A6D"/>
    <w:rsid w:val="008A3AA7"/>
    <w:rsid w:val="008A3AC1"/>
    <w:rsid w:val="008A401D"/>
    <w:rsid w:val="008A406B"/>
    <w:rsid w:val="008A4168"/>
    <w:rsid w:val="008A4522"/>
    <w:rsid w:val="008A4611"/>
    <w:rsid w:val="008A482D"/>
    <w:rsid w:val="008A49FC"/>
    <w:rsid w:val="008A4AA9"/>
    <w:rsid w:val="008A4DB1"/>
    <w:rsid w:val="008A5136"/>
    <w:rsid w:val="008A59CC"/>
    <w:rsid w:val="008A59DE"/>
    <w:rsid w:val="008A5C18"/>
    <w:rsid w:val="008A5F8F"/>
    <w:rsid w:val="008A6071"/>
    <w:rsid w:val="008A61A7"/>
    <w:rsid w:val="008A66FA"/>
    <w:rsid w:val="008A683F"/>
    <w:rsid w:val="008A69C5"/>
    <w:rsid w:val="008A6AF1"/>
    <w:rsid w:val="008A6C46"/>
    <w:rsid w:val="008A6D74"/>
    <w:rsid w:val="008A6E09"/>
    <w:rsid w:val="008A6ECB"/>
    <w:rsid w:val="008A7169"/>
    <w:rsid w:val="008A7669"/>
    <w:rsid w:val="008A7887"/>
    <w:rsid w:val="008A78B8"/>
    <w:rsid w:val="008A7CBA"/>
    <w:rsid w:val="008A7EA2"/>
    <w:rsid w:val="008A7F8E"/>
    <w:rsid w:val="008B005C"/>
    <w:rsid w:val="008B016D"/>
    <w:rsid w:val="008B0891"/>
    <w:rsid w:val="008B0DE1"/>
    <w:rsid w:val="008B0E5C"/>
    <w:rsid w:val="008B0FE0"/>
    <w:rsid w:val="008B10A8"/>
    <w:rsid w:val="008B12DF"/>
    <w:rsid w:val="008B13CA"/>
    <w:rsid w:val="008B143E"/>
    <w:rsid w:val="008B1543"/>
    <w:rsid w:val="008B193C"/>
    <w:rsid w:val="008B193E"/>
    <w:rsid w:val="008B20D9"/>
    <w:rsid w:val="008B2269"/>
    <w:rsid w:val="008B24D2"/>
    <w:rsid w:val="008B2CE3"/>
    <w:rsid w:val="008B2F30"/>
    <w:rsid w:val="008B34F7"/>
    <w:rsid w:val="008B3719"/>
    <w:rsid w:val="008B37DA"/>
    <w:rsid w:val="008B391F"/>
    <w:rsid w:val="008B3986"/>
    <w:rsid w:val="008B3C5C"/>
    <w:rsid w:val="008B43C8"/>
    <w:rsid w:val="008B4540"/>
    <w:rsid w:val="008B4880"/>
    <w:rsid w:val="008B50C5"/>
    <w:rsid w:val="008B531B"/>
    <w:rsid w:val="008B5618"/>
    <w:rsid w:val="008B572E"/>
    <w:rsid w:val="008B59C2"/>
    <w:rsid w:val="008B5D91"/>
    <w:rsid w:val="008B5DA2"/>
    <w:rsid w:val="008B5FFE"/>
    <w:rsid w:val="008B66CD"/>
    <w:rsid w:val="008B6BE7"/>
    <w:rsid w:val="008B6D9E"/>
    <w:rsid w:val="008B6F46"/>
    <w:rsid w:val="008B7496"/>
    <w:rsid w:val="008B7676"/>
    <w:rsid w:val="008B7710"/>
    <w:rsid w:val="008B7B12"/>
    <w:rsid w:val="008B7C64"/>
    <w:rsid w:val="008C01D6"/>
    <w:rsid w:val="008C022D"/>
    <w:rsid w:val="008C0AC9"/>
    <w:rsid w:val="008C0D86"/>
    <w:rsid w:val="008C0E3E"/>
    <w:rsid w:val="008C1201"/>
    <w:rsid w:val="008C134D"/>
    <w:rsid w:val="008C1A12"/>
    <w:rsid w:val="008C1A5C"/>
    <w:rsid w:val="008C1E75"/>
    <w:rsid w:val="008C1FE2"/>
    <w:rsid w:val="008C22E8"/>
    <w:rsid w:val="008C2D66"/>
    <w:rsid w:val="008C30D7"/>
    <w:rsid w:val="008C315F"/>
    <w:rsid w:val="008C3465"/>
    <w:rsid w:val="008C3772"/>
    <w:rsid w:val="008C383A"/>
    <w:rsid w:val="008C396A"/>
    <w:rsid w:val="008C3B2E"/>
    <w:rsid w:val="008C3C99"/>
    <w:rsid w:val="008C3DD3"/>
    <w:rsid w:val="008C3E61"/>
    <w:rsid w:val="008C3FE2"/>
    <w:rsid w:val="008C401B"/>
    <w:rsid w:val="008C4312"/>
    <w:rsid w:val="008C44F0"/>
    <w:rsid w:val="008C4B9A"/>
    <w:rsid w:val="008C4C66"/>
    <w:rsid w:val="008C4C8F"/>
    <w:rsid w:val="008C4CC1"/>
    <w:rsid w:val="008C4D4A"/>
    <w:rsid w:val="008C4FAD"/>
    <w:rsid w:val="008C525D"/>
    <w:rsid w:val="008C573F"/>
    <w:rsid w:val="008C5CC7"/>
    <w:rsid w:val="008C5D82"/>
    <w:rsid w:val="008C5F7F"/>
    <w:rsid w:val="008C6675"/>
    <w:rsid w:val="008C6881"/>
    <w:rsid w:val="008C689B"/>
    <w:rsid w:val="008C6BA4"/>
    <w:rsid w:val="008C6E12"/>
    <w:rsid w:val="008C73E5"/>
    <w:rsid w:val="008C7BEA"/>
    <w:rsid w:val="008D0339"/>
    <w:rsid w:val="008D03CA"/>
    <w:rsid w:val="008D03E6"/>
    <w:rsid w:val="008D05FB"/>
    <w:rsid w:val="008D07ED"/>
    <w:rsid w:val="008D0CFA"/>
    <w:rsid w:val="008D114C"/>
    <w:rsid w:val="008D139B"/>
    <w:rsid w:val="008D13A9"/>
    <w:rsid w:val="008D1532"/>
    <w:rsid w:val="008D19C0"/>
    <w:rsid w:val="008D212E"/>
    <w:rsid w:val="008D22E8"/>
    <w:rsid w:val="008D23FA"/>
    <w:rsid w:val="008D2625"/>
    <w:rsid w:val="008D2B27"/>
    <w:rsid w:val="008D2D56"/>
    <w:rsid w:val="008D2E67"/>
    <w:rsid w:val="008D33BE"/>
    <w:rsid w:val="008D3620"/>
    <w:rsid w:val="008D397A"/>
    <w:rsid w:val="008D3C2C"/>
    <w:rsid w:val="008D42C6"/>
    <w:rsid w:val="008D44D3"/>
    <w:rsid w:val="008D4525"/>
    <w:rsid w:val="008D47F8"/>
    <w:rsid w:val="008D4DC0"/>
    <w:rsid w:val="008D4DDC"/>
    <w:rsid w:val="008D5876"/>
    <w:rsid w:val="008D59B5"/>
    <w:rsid w:val="008D5B7D"/>
    <w:rsid w:val="008D5DF1"/>
    <w:rsid w:val="008D5E7C"/>
    <w:rsid w:val="008D6092"/>
    <w:rsid w:val="008D6335"/>
    <w:rsid w:val="008D63DA"/>
    <w:rsid w:val="008D66FE"/>
    <w:rsid w:val="008D6BAE"/>
    <w:rsid w:val="008D6EF3"/>
    <w:rsid w:val="008D709C"/>
    <w:rsid w:val="008D711E"/>
    <w:rsid w:val="008D75D0"/>
    <w:rsid w:val="008D7D49"/>
    <w:rsid w:val="008D7EB8"/>
    <w:rsid w:val="008E0093"/>
    <w:rsid w:val="008E025D"/>
    <w:rsid w:val="008E0459"/>
    <w:rsid w:val="008E04E0"/>
    <w:rsid w:val="008E0559"/>
    <w:rsid w:val="008E097B"/>
    <w:rsid w:val="008E0CB3"/>
    <w:rsid w:val="008E108F"/>
    <w:rsid w:val="008E11DC"/>
    <w:rsid w:val="008E1215"/>
    <w:rsid w:val="008E127C"/>
    <w:rsid w:val="008E139F"/>
    <w:rsid w:val="008E156A"/>
    <w:rsid w:val="008E1AC5"/>
    <w:rsid w:val="008E1ADD"/>
    <w:rsid w:val="008E1AFA"/>
    <w:rsid w:val="008E1B23"/>
    <w:rsid w:val="008E1D44"/>
    <w:rsid w:val="008E20F2"/>
    <w:rsid w:val="008E213B"/>
    <w:rsid w:val="008E2269"/>
    <w:rsid w:val="008E233C"/>
    <w:rsid w:val="008E2513"/>
    <w:rsid w:val="008E2595"/>
    <w:rsid w:val="008E2642"/>
    <w:rsid w:val="008E26B1"/>
    <w:rsid w:val="008E2734"/>
    <w:rsid w:val="008E280B"/>
    <w:rsid w:val="008E32F2"/>
    <w:rsid w:val="008E33C2"/>
    <w:rsid w:val="008E34B0"/>
    <w:rsid w:val="008E3829"/>
    <w:rsid w:val="008E3E6B"/>
    <w:rsid w:val="008E43F1"/>
    <w:rsid w:val="008E4961"/>
    <w:rsid w:val="008E4F79"/>
    <w:rsid w:val="008E51A7"/>
    <w:rsid w:val="008E5A63"/>
    <w:rsid w:val="008E5BC6"/>
    <w:rsid w:val="008E5E67"/>
    <w:rsid w:val="008E6045"/>
    <w:rsid w:val="008E61AF"/>
    <w:rsid w:val="008E692F"/>
    <w:rsid w:val="008E6B45"/>
    <w:rsid w:val="008E6CA8"/>
    <w:rsid w:val="008E6D78"/>
    <w:rsid w:val="008E6DED"/>
    <w:rsid w:val="008E7173"/>
    <w:rsid w:val="008E7216"/>
    <w:rsid w:val="008E723D"/>
    <w:rsid w:val="008E752A"/>
    <w:rsid w:val="008E7944"/>
    <w:rsid w:val="008E7A27"/>
    <w:rsid w:val="008E7AB4"/>
    <w:rsid w:val="008E7B2C"/>
    <w:rsid w:val="008E7C14"/>
    <w:rsid w:val="008E7F20"/>
    <w:rsid w:val="008E7F52"/>
    <w:rsid w:val="008E7F96"/>
    <w:rsid w:val="008F0214"/>
    <w:rsid w:val="008F0512"/>
    <w:rsid w:val="008F0E37"/>
    <w:rsid w:val="008F1535"/>
    <w:rsid w:val="008F153E"/>
    <w:rsid w:val="008F19F2"/>
    <w:rsid w:val="008F1A85"/>
    <w:rsid w:val="008F1D7A"/>
    <w:rsid w:val="008F2501"/>
    <w:rsid w:val="008F261C"/>
    <w:rsid w:val="008F2661"/>
    <w:rsid w:val="008F2C90"/>
    <w:rsid w:val="008F2CDF"/>
    <w:rsid w:val="008F2D4B"/>
    <w:rsid w:val="008F2E1A"/>
    <w:rsid w:val="008F2F95"/>
    <w:rsid w:val="008F3162"/>
    <w:rsid w:val="008F3170"/>
    <w:rsid w:val="008F33CA"/>
    <w:rsid w:val="008F41DF"/>
    <w:rsid w:val="008F432C"/>
    <w:rsid w:val="008F4452"/>
    <w:rsid w:val="008F48A1"/>
    <w:rsid w:val="008F49B5"/>
    <w:rsid w:val="008F4B6A"/>
    <w:rsid w:val="008F4C96"/>
    <w:rsid w:val="008F4DCF"/>
    <w:rsid w:val="008F5207"/>
    <w:rsid w:val="008F52C6"/>
    <w:rsid w:val="008F53EB"/>
    <w:rsid w:val="008F567F"/>
    <w:rsid w:val="008F595B"/>
    <w:rsid w:val="008F5988"/>
    <w:rsid w:val="008F599A"/>
    <w:rsid w:val="008F59CE"/>
    <w:rsid w:val="008F59EF"/>
    <w:rsid w:val="008F5B12"/>
    <w:rsid w:val="008F604D"/>
    <w:rsid w:val="008F6127"/>
    <w:rsid w:val="008F61C9"/>
    <w:rsid w:val="008F698F"/>
    <w:rsid w:val="008F69AF"/>
    <w:rsid w:val="008F6D3C"/>
    <w:rsid w:val="008F755C"/>
    <w:rsid w:val="008F7B8A"/>
    <w:rsid w:val="008F7E17"/>
    <w:rsid w:val="0090015E"/>
    <w:rsid w:val="00900197"/>
    <w:rsid w:val="009001A7"/>
    <w:rsid w:val="009003B3"/>
    <w:rsid w:val="00900515"/>
    <w:rsid w:val="00900710"/>
    <w:rsid w:val="00900B3B"/>
    <w:rsid w:val="00900DCA"/>
    <w:rsid w:val="00900E1B"/>
    <w:rsid w:val="00901093"/>
    <w:rsid w:val="00901477"/>
    <w:rsid w:val="009014D9"/>
    <w:rsid w:val="00901F32"/>
    <w:rsid w:val="0090241C"/>
    <w:rsid w:val="00902957"/>
    <w:rsid w:val="0090297E"/>
    <w:rsid w:val="009029A0"/>
    <w:rsid w:val="009029DD"/>
    <w:rsid w:val="00902FF1"/>
    <w:rsid w:val="0090309B"/>
    <w:rsid w:val="009032DF"/>
    <w:rsid w:val="00903433"/>
    <w:rsid w:val="0090383B"/>
    <w:rsid w:val="009039EF"/>
    <w:rsid w:val="00903B3F"/>
    <w:rsid w:val="00903D4B"/>
    <w:rsid w:val="009040F0"/>
    <w:rsid w:val="0090414F"/>
    <w:rsid w:val="0090479A"/>
    <w:rsid w:val="009049D7"/>
    <w:rsid w:val="00904A6F"/>
    <w:rsid w:val="00904BA6"/>
    <w:rsid w:val="00904CE7"/>
    <w:rsid w:val="00904DE5"/>
    <w:rsid w:val="00904EB0"/>
    <w:rsid w:val="00904EE1"/>
    <w:rsid w:val="00904F4D"/>
    <w:rsid w:val="0090508E"/>
    <w:rsid w:val="00905575"/>
    <w:rsid w:val="00905619"/>
    <w:rsid w:val="009056C4"/>
    <w:rsid w:val="009057C7"/>
    <w:rsid w:val="00905930"/>
    <w:rsid w:val="00905F6D"/>
    <w:rsid w:val="009064C5"/>
    <w:rsid w:val="0090670E"/>
    <w:rsid w:val="00906D2E"/>
    <w:rsid w:val="00906E71"/>
    <w:rsid w:val="00906F04"/>
    <w:rsid w:val="0090735E"/>
    <w:rsid w:val="00907A91"/>
    <w:rsid w:val="00907B00"/>
    <w:rsid w:val="00910366"/>
    <w:rsid w:val="0091037A"/>
    <w:rsid w:val="00910415"/>
    <w:rsid w:val="0091069A"/>
    <w:rsid w:val="009106A1"/>
    <w:rsid w:val="00910756"/>
    <w:rsid w:val="009109D6"/>
    <w:rsid w:val="00910A7B"/>
    <w:rsid w:val="00910CCD"/>
    <w:rsid w:val="00910E73"/>
    <w:rsid w:val="00910EA8"/>
    <w:rsid w:val="0091100C"/>
    <w:rsid w:val="00911267"/>
    <w:rsid w:val="00911BCD"/>
    <w:rsid w:val="00911DE6"/>
    <w:rsid w:val="0091217A"/>
    <w:rsid w:val="0091230B"/>
    <w:rsid w:val="009124B8"/>
    <w:rsid w:val="00912687"/>
    <w:rsid w:val="009128B1"/>
    <w:rsid w:val="00912914"/>
    <w:rsid w:val="009129D1"/>
    <w:rsid w:val="00912B90"/>
    <w:rsid w:val="009131F1"/>
    <w:rsid w:val="009136D0"/>
    <w:rsid w:val="00913938"/>
    <w:rsid w:val="00913A12"/>
    <w:rsid w:val="00913C9D"/>
    <w:rsid w:val="00914256"/>
    <w:rsid w:val="009142DD"/>
    <w:rsid w:val="0091455E"/>
    <w:rsid w:val="00914650"/>
    <w:rsid w:val="00914658"/>
    <w:rsid w:val="009149A7"/>
    <w:rsid w:val="00914C42"/>
    <w:rsid w:val="0091506C"/>
    <w:rsid w:val="00915680"/>
    <w:rsid w:val="00915768"/>
    <w:rsid w:val="009157F1"/>
    <w:rsid w:val="00915A27"/>
    <w:rsid w:val="00915B2D"/>
    <w:rsid w:val="00915DE0"/>
    <w:rsid w:val="00915F0E"/>
    <w:rsid w:val="0091636D"/>
    <w:rsid w:val="009164DB"/>
    <w:rsid w:val="00916744"/>
    <w:rsid w:val="0091691D"/>
    <w:rsid w:val="00917134"/>
    <w:rsid w:val="00917193"/>
    <w:rsid w:val="0091729A"/>
    <w:rsid w:val="00917637"/>
    <w:rsid w:val="009178F0"/>
    <w:rsid w:val="00917B60"/>
    <w:rsid w:val="00917FDD"/>
    <w:rsid w:val="009206C6"/>
    <w:rsid w:val="009207E9"/>
    <w:rsid w:val="00920AC6"/>
    <w:rsid w:val="00921192"/>
    <w:rsid w:val="009217B0"/>
    <w:rsid w:val="00921F7E"/>
    <w:rsid w:val="009221C1"/>
    <w:rsid w:val="00922234"/>
    <w:rsid w:val="009225C1"/>
    <w:rsid w:val="009227F8"/>
    <w:rsid w:val="00922886"/>
    <w:rsid w:val="00922919"/>
    <w:rsid w:val="00922A3A"/>
    <w:rsid w:val="00922B2C"/>
    <w:rsid w:val="00922B95"/>
    <w:rsid w:val="00923515"/>
    <w:rsid w:val="00923773"/>
    <w:rsid w:val="00923827"/>
    <w:rsid w:val="00923B23"/>
    <w:rsid w:val="00923BEB"/>
    <w:rsid w:val="009241E6"/>
    <w:rsid w:val="009244A4"/>
    <w:rsid w:val="009244F6"/>
    <w:rsid w:val="009248B7"/>
    <w:rsid w:val="00924FE7"/>
    <w:rsid w:val="009250BD"/>
    <w:rsid w:val="009251FE"/>
    <w:rsid w:val="00925514"/>
    <w:rsid w:val="00925985"/>
    <w:rsid w:val="00925D40"/>
    <w:rsid w:val="00925D7F"/>
    <w:rsid w:val="00925DAF"/>
    <w:rsid w:val="00925DD1"/>
    <w:rsid w:val="00925E1D"/>
    <w:rsid w:val="00925EEC"/>
    <w:rsid w:val="00925F2D"/>
    <w:rsid w:val="00926132"/>
    <w:rsid w:val="00926305"/>
    <w:rsid w:val="00926460"/>
    <w:rsid w:val="0092681B"/>
    <w:rsid w:val="009268A8"/>
    <w:rsid w:val="00926971"/>
    <w:rsid w:val="00926A64"/>
    <w:rsid w:val="00926E74"/>
    <w:rsid w:val="00926E98"/>
    <w:rsid w:val="00927205"/>
    <w:rsid w:val="0092723C"/>
    <w:rsid w:val="009272A9"/>
    <w:rsid w:val="009272C3"/>
    <w:rsid w:val="00927374"/>
    <w:rsid w:val="009276D3"/>
    <w:rsid w:val="009277EB"/>
    <w:rsid w:val="00930085"/>
    <w:rsid w:val="009305C8"/>
    <w:rsid w:val="009307E4"/>
    <w:rsid w:val="00930A04"/>
    <w:rsid w:val="00930D34"/>
    <w:rsid w:val="00930D7C"/>
    <w:rsid w:val="00931056"/>
    <w:rsid w:val="0093178B"/>
    <w:rsid w:val="0093184A"/>
    <w:rsid w:val="00931900"/>
    <w:rsid w:val="0093192D"/>
    <w:rsid w:val="00931AD4"/>
    <w:rsid w:val="00931D50"/>
    <w:rsid w:val="00931E67"/>
    <w:rsid w:val="0093220B"/>
    <w:rsid w:val="00932399"/>
    <w:rsid w:val="00932478"/>
    <w:rsid w:val="00932535"/>
    <w:rsid w:val="00932983"/>
    <w:rsid w:val="00932B1B"/>
    <w:rsid w:val="00932B1D"/>
    <w:rsid w:val="00932C7B"/>
    <w:rsid w:val="0093335B"/>
    <w:rsid w:val="00933608"/>
    <w:rsid w:val="009337CF"/>
    <w:rsid w:val="00933910"/>
    <w:rsid w:val="0093391A"/>
    <w:rsid w:val="00934415"/>
    <w:rsid w:val="00934592"/>
    <w:rsid w:val="00934CE8"/>
    <w:rsid w:val="00934F2A"/>
    <w:rsid w:val="00935097"/>
    <w:rsid w:val="00935447"/>
    <w:rsid w:val="0093572B"/>
    <w:rsid w:val="00935F55"/>
    <w:rsid w:val="00936453"/>
    <w:rsid w:val="009365F0"/>
    <w:rsid w:val="009366B8"/>
    <w:rsid w:val="009366C5"/>
    <w:rsid w:val="009366C8"/>
    <w:rsid w:val="009367D4"/>
    <w:rsid w:val="00936F2A"/>
    <w:rsid w:val="00936FC2"/>
    <w:rsid w:val="00937219"/>
    <w:rsid w:val="0093727C"/>
    <w:rsid w:val="009374C4"/>
    <w:rsid w:val="0093764D"/>
    <w:rsid w:val="009376CD"/>
    <w:rsid w:val="00937801"/>
    <w:rsid w:val="009379DF"/>
    <w:rsid w:val="00940981"/>
    <w:rsid w:val="00940B36"/>
    <w:rsid w:val="00940EC7"/>
    <w:rsid w:val="00940F26"/>
    <w:rsid w:val="00940FFE"/>
    <w:rsid w:val="0094118F"/>
    <w:rsid w:val="00941334"/>
    <w:rsid w:val="00941577"/>
    <w:rsid w:val="00941A6A"/>
    <w:rsid w:val="00941BA7"/>
    <w:rsid w:val="00941D0C"/>
    <w:rsid w:val="009420D2"/>
    <w:rsid w:val="00942230"/>
    <w:rsid w:val="00942613"/>
    <w:rsid w:val="00942C11"/>
    <w:rsid w:val="0094304C"/>
    <w:rsid w:val="009431BC"/>
    <w:rsid w:val="00943694"/>
    <w:rsid w:val="0094392D"/>
    <w:rsid w:val="0094395E"/>
    <w:rsid w:val="00943F1B"/>
    <w:rsid w:val="00944463"/>
    <w:rsid w:val="00944608"/>
    <w:rsid w:val="0094477A"/>
    <w:rsid w:val="00944867"/>
    <w:rsid w:val="00944885"/>
    <w:rsid w:val="00944CA3"/>
    <w:rsid w:val="00944E24"/>
    <w:rsid w:val="00945300"/>
    <w:rsid w:val="0094530D"/>
    <w:rsid w:val="00945669"/>
    <w:rsid w:val="0094568F"/>
    <w:rsid w:val="009456C8"/>
    <w:rsid w:val="00945D27"/>
    <w:rsid w:val="00946573"/>
    <w:rsid w:val="00946EE8"/>
    <w:rsid w:val="009470C8"/>
    <w:rsid w:val="009470E4"/>
    <w:rsid w:val="009472DF"/>
    <w:rsid w:val="00947573"/>
    <w:rsid w:val="009476D6"/>
    <w:rsid w:val="0094797D"/>
    <w:rsid w:val="00947B7A"/>
    <w:rsid w:val="00947DB4"/>
    <w:rsid w:val="009501A0"/>
    <w:rsid w:val="00950290"/>
    <w:rsid w:val="00950467"/>
    <w:rsid w:val="00950677"/>
    <w:rsid w:val="00950823"/>
    <w:rsid w:val="00950934"/>
    <w:rsid w:val="00950BDC"/>
    <w:rsid w:val="00950CB7"/>
    <w:rsid w:val="00950CD5"/>
    <w:rsid w:val="009510C4"/>
    <w:rsid w:val="0095111E"/>
    <w:rsid w:val="00951295"/>
    <w:rsid w:val="009514EA"/>
    <w:rsid w:val="0095176E"/>
    <w:rsid w:val="009517ED"/>
    <w:rsid w:val="00951896"/>
    <w:rsid w:val="00951937"/>
    <w:rsid w:val="00951DB7"/>
    <w:rsid w:val="00951EB8"/>
    <w:rsid w:val="00951F9F"/>
    <w:rsid w:val="00952408"/>
    <w:rsid w:val="009526DE"/>
    <w:rsid w:val="009528EB"/>
    <w:rsid w:val="00952A18"/>
    <w:rsid w:val="00952A80"/>
    <w:rsid w:val="00952AD5"/>
    <w:rsid w:val="00953177"/>
    <w:rsid w:val="009532EF"/>
    <w:rsid w:val="009536E1"/>
    <w:rsid w:val="0095372C"/>
    <w:rsid w:val="00953B21"/>
    <w:rsid w:val="00953F3D"/>
    <w:rsid w:val="00953FBD"/>
    <w:rsid w:val="009541BC"/>
    <w:rsid w:val="00954753"/>
    <w:rsid w:val="00954885"/>
    <w:rsid w:val="009549BF"/>
    <w:rsid w:val="00954A9E"/>
    <w:rsid w:val="00954DC6"/>
    <w:rsid w:val="00954EC6"/>
    <w:rsid w:val="00955136"/>
    <w:rsid w:val="0095521C"/>
    <w:rsid w:val="009552FC"/>
    <w:rsid w:val="00955322"/>
    <w:rsid w:val="00955326"/>
    <w:rsid w:val="009554AF"/>
    <w:rsid w:val="0095559D"/>
    <w:rsid w:val="00955788"/>
    <w:rsid w:val="0095581B"/>
    <w:rsid w:val="00955914"/>
    <w:rsid w:val="00955EE2"/>
    <w:rsid w:val="00955F08"/>
    <w:rsid w:val="0095638A"/>
    <w:rsid w:val="00956499"/>
    <w:rsid w:val="009564E6"/>
    <w:rsid w:val="009566EC"/>
    <w:rsid w:val="00956756"/>
    <w:rsid w:val="0095678D"/>
    <w:rsid w:val="00956A29"/>
    <w:rsid w:val="00956B45"/>
    <w:rsid w:val="00956B91"/>
    <w:rsid w:val="00956EEA"/>
    <w:rsid w:val="00956FEB"/>
    <w:rsid w:val="00957901"/>
    <w:rsid w:val="00957926"/>
    <w:rsid w:val="00957B95"/>
    <w:rsid w:val="00960149"/>
    <w:rsid w:val="0096024F"/>
    <w:rsid w:val="009602AF"/>
    <w:rsid w:val="009603E4"/>
    <w:rsid w:val="0096041D"/>
    <w:rsid w:val="00960702"/>
    <w:rsid w:val="00960975"/>
    <w:rsid w:val="00960D5C"/>
    <w:rsid w:val="00961362"/>
    <w:rsid w:val="00961449"/>
    <w:rsid w:val="009615BF"/>
    <w:rsid w:val="00961744"/>
    <w:rsid w:val="00961B03"/>
    <w:rsid w:val="00961E07"/>
    <w:rsid w:val="00961F4C"/>
    <w:rsid w:val="00961F53"/>
    <w:rsid w:val="00961F9E"/>
    <w:rsid w:val="00962038"/>
    <w:rsid w:val="00962546"/>
    <w:rsid w:val="00962601"/>
    <w:rsid w:val="00962777"/>
    <w:rsid w:val="00962BAE"/>
    <w:rsid w:val="00962CCF"/>
    <w:rsid w:val="00962D34"/>
    <w:rsid w:val="00963075"/>
    <w:rsid w:val="00963333"/>
    <w:rsid w:val="009638BD"/>
    <w:rsid w:val="0096395F"/>
    <w:rsid w:val="00963A29"/>
    <w:rsid w:val="00963A46"/>
    <w:rsid w:val="00963BCB"/>
    <w:rsid w:val="00963C00"/>
    <w:rsid w:val="0096421B"/>
    <w:rsid w:val="009642B5"/>
    <w:rsid w:val="009646AB"/>
    <w:rsid w:val="009647FC"/>
    <w:rsid w:val="00964940"/>
    <w:rsid w:val="00964A42"/>
    <w:rsid w:val="009651DF"/>
    <w:rsid w:val="009656C3"/>
    <w:rsid w:val="009658A8"/>
    <w:rsid w:val="00965A24"/>
    <w:rsid w:val="0096601C"/>
    <w:rsid w:val="00966060"/>
    <w:rsid w:val="00966243"/>
    <w:rsid w:val="00966384"/>
    <w:rsid w:val="009666A8"/>
    <w:rsid w:val="00966864"/>
    <w:rsid w:val="00966912"/>
    <w:rsid w:val="009669D7"/>
    <w:rsid w:val="00967002"/>
    <w:rsid w:val="00967056"/>
    <w:rsid w:val="009671E5"/>
    <w:rsid w:val="0096784F"/>
    <w:rsid w:val="00967946"/>
    <w:rsid w:val="00967A22"/>
    <w:rsid w:val="00967DEB"/>
    <w:rsid w:val="00967EF4"/>
    <w:rsid w:val="0097041A"/>
    <w:rsid w:val="0097093F"/>
    <w:rsid w:val="00970C33"/>
    <w:rsid w:val="009710AB"/>
    <w:rsid w:val="0097117B"/>
    <w:rsid w:val="0097121C"/>
    <w:rsid w:val="00971680"/>
    <w:rsid w:val="009717AB"/>
    <w:rsid w:val="009719EC"/>
    <w:rsid w:val="00971A24"/>
    <w:rsid w:val="00971DFB"/>
    <w:rsid w:val="00971E5A"/>
    <w:rsid w:val="00971FC7"/>
    <w:rsid w:val="0097231F"/>
    <w:rsid w:val="009726A5"/>
    <w:rsid w:val="00972DDB"/>
    <w:rsid w:val="00973282"/>
    <w:rsid w:val="009736A5"/>
    <w:rsid w:val="00973B4D"/>
    <w:rsid w:val="00973F6C"/>
    <w:rsid w:val="0097441F"/>
    <w:rsid w:val="00974799"/>
    <w:rsid w:val="009748D5"/>
    <w:rsid w:val="00974BF3"/>
    <w:rsid w:val="00975287"/>
    <w:rsid w:val="009754BE"/>
    <w:rsid w:val="00975DE3"/>
    <w:rsid w:val="00975DFC"/>
    <w:rsid w:val="00975E8B"/>
    <w:rsid w:val="00975F00"/>
    <w:rsid w:val="00976AFD"/>
    <w:rsid w:val="00976C89"/>
    <w:rsid w:val="00976C8A"/>
    <w:rsid w:val="00976D02"/>
    <w:rsid w:val="00976D32"/>
    <w:rsid w:val="00976FB0"/>
    <w:rsid w:val="009770F8"/>
    <w:rsid w:val="0097724E"/>
    <w:rsid w:val="00977455"/>
    <w:rsid w:val="009776BE"/>
    <w:rsid w:val="0097798A"/>
    <w:rsid w:val="009779D4"/>
    <w:rsid w:val="009779DD"/>
    <w:rsid w:val="00977E18"/>
    <w:rsid w:val="0098033D"/>
    <w:rsid w:val="009804A8"/>
    <w:rsid w:val="00980AE8"/>
    <w:rsid w:val="00980E3F"/>
    <w:rsid w:val="0098114F"/>
    <w:rsid w:val="009818C4"/>
    <w:rsid w:val="0098190F"/>
    <w:rsid w:val="00981A84"/>
    <w:rsid w:val="009822A2"/>
    <w:rsid w:val="00982596"/>
    <w:rsid w:val="009826B0"/>
    <w:rsid w:val="009829A4"/>
    <w:rsid w:val="009829D6"/>
    <w:rsid w:val="00982A3E"/>
    <w:rsid w:val="00982B0C"/>
    <w:rsid w:val="00982CA9"/>
    <w:rsid w:val="00982D9D"/>
    <w:rsid w:val="00982FC2"/>
    <w:rsid w:val="00983049"/>
    <w:rsid w:val="009831F6"/>
    <w:rsid w:val="009832AB"/>
    <w:rsid w:val="009834A8"/>
    <w:rsid w:val="009835A2"/>
    <w:rsid w:val="0098393D"/>
    <w:rsid w:val="009839DF"/>
    <w:rsid w:val="00983AA3"/>
    <w:rsid w:val="009843D3"/>
    <w:rsid w:val="009847C5"/>
    <w:rsid w:val="009847D5"/>
    <w:rsid w:val="0098481B"/>
    <w:rsid w:val="009849E2"/>
    <w:rsid w:val="00984B15"/>
    <w:rsid w:val="00984E97"/>
    <w:rsid w:val="0098571B"/>
    <w:rsid w:val="00985955"/>
    <w:rsid w:val="00985A14"/>
    <w:rsid w:val="00985B31"/>
    <w:rsid w:val="00985E12"/>
    <w:rsid w:val="00986016"/>
    <w:rsid w:val="009860D8"/>
    <w:rsid w:val="0098621A"/>
    <w:rsid w:val="009865D6"/>
    <w:rsid w:val="0098696F"/>
    <w:rsid w:val="00986AD5"/>
    <w:rsid w:val="00986B1F"/>
    <w:rsid w:val="00986D7C"/>
    <w:rsid w:val="0098754F"/>
    <w:rsid w:val="00987579"/>
    <w:rsid w:val="0099008F"/>
    <w:rsid w:val="009903EB"/>
    <w:rsid w:val="00990485"/>
    <w:rsid w:val="009908FA"/>
    <w:rsid w:val="00990DBC"/>
    <w:rsid w:val="0099102F"/>
    <w:rsid w:val="00991340"/>
    <w:rsid w:val="00991386"/>
    <w:rsid w:val="00991876"/>
    <w:rsid w:val="00991F31"/>
    <w:rsid w:val="009920A7"/>
    <w:rsid w:val="00992236"/>
    <w:rsid w:val="009922AB"/>
    <w:rsid w:val="0099240D"/>
    <w:rsid w:val="00992F91"/>
    <w:rsid w:val="0099309E"/>
    <w:rsid w:val="009930B1"/>
    <w:rsid w:val="009930F2"/>
    <w:rsid w:val="0099340E"/>
    <w:rsid w:val="00993424"/>
    <w:rsid w:val="00993561"/>
    <w:rsid w:val="00993737"/>
    <w:rsid w:val="00993976"/>
    <w:rsid w:val="00993A97"/>
    <w:rsid w:val="00993B1E"/>
    <w:rsid w:val="00993D57"/>
    <w:rsid w:val="00994262"/>
    <w:rsid w:val="009945B7"/>
    <w:rsid w:val="009948AA"/>
    <w:rsid w:val="00994A4E"/>
    <w:rsid w:val="00994A62"/>
    <w:rsid w:val="00994D24"/>
    <w:rsid w:val="00994DCA"/>
    <w:rsid w:val="00994E41"/>
    <w:rsid w:val="00994EB4"/>
    <w:rsid w:val="0099500A"/>
    <w:rsid w:val="00995041"/>
    <w:rsid w:val="009956AE"/>
    <w:rsid w:val="009958D3"/>
    <w:rsid w:val="009959ED"/>
    <w:rsid w:val="00995E0F"/>
    <w:rsid w:val="009962D8"/>
    <w:rsid w:val="009967BC"/>
    <w:rsid w:val="009967CB"/>
    <w:rsid w:val="009969D3"/>
    <w:rsid w:val="00996DC6"/>
    <w:rsid w:val="00997200"/>
    <w:rsid w:val="00997219"/>
    <w:rsid w:val="00997493"/>
    <w:rsid w:val="009978E6"/>
    <w:rsid w:val="00997902"/>
    <w:rsid w:val="00997942"/>
    <w:rsid w:val="00997BED"/>
    <w:rsid w:val="00997D6A"/>
    <w:rsid w:val="00997E52"/>
    <w:rsid w:val="009A01B8"/>
    <w:rsid w:val="009A0881"/>
    <w:rsid w:val="009A0DC1"/>
    <w:rsid w:val="009A15FC"/>
    <w:rsid w:val="009A186D"/>
    <w:rsid w:val="009A1D76"/>
    <w:rsid w:val="009A201E"/>
    <w:rsid w:val="009A22F6"/>
    <w:rsid w:val="009A2542"/>
    <w:rsid w:val="009A259F"/>
    <w:rsid w:val="009A27F8"/>
    <w:rsid w:val="009A2FC9"/>
    <w:rsid w:val="009A30B2"/>
    <w:rsid w:val="009A3332"/>
    <w:rsid w:val="009A3FA9"/>
    <w:rsid w:val="009A3FB9"/>
    <w:rsid w:val="009A410E"/>
    <w:rsid w:val="009A42FA"/>
    <w:rsid w:val="009A44F8"/>
    <w:rsid w:val="009A44FB"/>
    <w:rsid w:val="009A462D"/>
    <w:rsid w:val="009A491D"/>
    <w:rsid w:val="009A4D5A"/>
    <w:rsid w:val="009A51CD"/>
    <w:rsid w:val="009A5575"/>
    <w:rsid w:val="009A560A"/>
    <w:rsid w:val="009A5755"/>
    <w:rsid w:val="009A5894"/>
    <w:rsid w:val="009A5C95"/>
    <w:rsid w:val="009A5FC3"/>
    <w:rsid w:val="009A62F9"/>
    <w:rsid w:val="009A65C4"/>
    <w:rsid w:val="009A6B5B"/>
    <w:rsid w:val="009A6FFC"/>
    <w:rsid w:val="009A7199"/>
    <w:rsid w:val="009A75DA"/>
    <w:rsid w:val="009A77FF"/>
    <w:rsid w:val="009A7CBD"/>
    <w:rsid w:val="009B00B7"/>
    <w:rsid w:val="009B026A"/>
    <w:rsid w:val="009B0270"/>
    <w:rsid w:val="009B083F"/>
    <w:rsid w:val="009B09C5"/>
    <w:rsid w:val="009B0B3F"/>
    <w:rsid w:val="009B131A"/>
    <w:rsid w:val="009B1341"/>
    <w:rsid w:val="009B163E"/>
    <w:rsid w:val="009B173F"/>
    <w:rsid w:val="009B1753"/>
    <w:rsid w:val="009B18DF"/>
    <w:rsid w:val="009B19F2"/>
    <w:rsid w:val="009B1A1E"/>
    <w:rsid w:val="009B1D86"/>
    <w:rsid w:val="009B1EEF"/>
    <w:rsid w:val="009B2029"/>
    <w:rsid w:val="009B218D"/>
    <w:rsid w:val="009B2798"/>
    <w:rsid w:val="009B2DEF"/>
    <w:rsid w:val="009B2F98"/>
    <w:rsid w:val="009B306B"/>
    <w:rsid w:val="009B328B"/>
    <w:rsid w:val="009B33D7"/>
    <w:rsid w:val="009B36ED"/>
    <w:rsid w:val="009B376C"/>
    <w:rsid w:val="009B3AD3"/>
    <w:rsid w:val="009B3E89"/>
    <w:rsid w:val="009B3F64"/>
    <w:rsid w:val="009B3FA4"/>
    <w:rsid w:val="009B437E"/>
    <w:rsid w:val="009B47AB"/>
    <w:rsid w:val="009B498C"/>
    <w:rsid w:val="009B4AD6"/>
    <w:rsid w:val="009B508A"/>
    <w:rsid w:val="009B56B4"/>
    <w:rsid w:val="009B594E"/>
    <w:rsid w:val="009B5A25"/>
    <w:rsid w:val="009B5AEF"/>
    <w:rsid w:val="009B5BF4"/>
    <w:rsid w:val="009B5F24"/>
    <w:rsid w:val="009B6238"/>
    <w:rsid w:val="009B64BF"/>
    <w:rsid w:val="009B6772"/>
    <w:rsid w:val="009B67E5"/>
    <w:rsid w:val="009B6C0E"/>
    <w:rsid w:val="009B6CA2"/>
    <w:rsid w:val="009B6CC0"/>
    <w:rsid w:val="009B70F5"/>
    <w:rsid w:val="009B712A"/>
    <w:rsid w:val="009B723A"/>
    <w:rsid w:val="009B74D1"/>
    <w:rsid w:val="009B770F"/>
    <w:rsid w:val="009B7C01"/>
    <w:rsid w:val="009B7C48"/>
    <w:rsid w:val="009B7CDA"/>
    <w:rsid w:val="009B7D48"/>
    <w:rsid w:val="009B7D6D"/>
    <w:rsid w:val="009C0268"/>
    <w:rsid w:val="009C02A5"/>
    <w:rsid w:val="009C0498"/>
    <w:rsid w:val="009C08F9"/>
    <w:rsid w:val="009C1564"/>
    <w:rsid w:val="009C1778"/>
    <w:rsid w:val="009C1875"/>
    <w:rsid w:val="009C23E1"/>
    <w:rsid w:val="009C249F"/>
    <w:rsid w:val="009C2A73"/>
    <w:rsid w:val="009C2B86"/>
    <w:rsid w:val="009C2FD8"/>
    <w:rsid w:val="009C30AF"/>
    <w:rsid w:val="009C3424"/>
    <w:rsid w:val="009C350B"/>
    <w:rsid w:val="009C36B7"/>
    <w:rsid w:val="009C3B1C"/>
    <w:rsid w:val="009C3BA6"/>
    <w:rsid w:val="009C3BEF"/>
    <w:rsid w:val="009C3BFC"/>
    <w:rsid w:val="009C3D7A"/>
    <w:rsid w:val="009C3FCD"/>
    <w:rsid w:val="009C42BB"/>
    <w:rsid w:val="009C4573"/>
    <w:rsid w:val="009C470C"/>
    <w:rsid w:val="009C484C"/>
    <w:rsid w:val="009C49B5"/>
    <w:rsid w:val="009C49F5"/>
    <w:rsid w:val="009C5068"/>
    <w:rsid w:val="009C552F"/>
    <w:rsid w:val="009C5BC2"/>
    <w:rsid w:val="009C5C00"/>
    <w:rsid w:val="009C5D39"/>
    <w:rsid w:val="009C5E06"/>
    <w:rsid w:val="009C6066"/>
    <w:rsid w:val="009C6514"/>
    <w:rsid w:val="009C688C"/>
    <w:rsid w:val="009C6B81"/>
    <w:rsid w:val="009C6BCC"/>
    <w:rsid w:val="009C6F82"/>
    <w:rsid w:val="009C6F9D"/>
    <w:rsid w:val="009C7024"/>
    <w:rsid w:val="009C7047"/>
    <w:rsid w:val="009C70C9"/>
    <w:rsid w:val="009C715D"/>
    <w:rsid w:val="009C730A"/>
    <w:rsid w:val="009C74AB"/>
    <w:rsid w:val="009C7568"/>
    <w:rsid w:val="009C78BF"/>
    <w:rsid w:val="009C7A7E"/>
    <w:rsid w:val="009C7EDF"/>
    <w:rsid w:val="009C7FEA"/>
    <w:rsid w:val="009D03A6"/>
    <w:rsid w:val="009D06DD"/>
    <w:rsid w:val="009D080A"/>
    <w:rsid w:val="009D0C65"/>
    <w:rsid w:val="009D0E2A"/>
    <w:rsid w:val="009D0E44"/>
    <w:rsid w:val="009D0F57"/>
    <w:rsid w:val="009D0FFF"/>
    <w:rsid w:val="009D10BD"/>
    <w:rsid w:val="009D1683"/>
    <w:rsid w:val="009D1751"/>
    <w:rsid w:val="009D18ED"/>
    <w:rsid w:val="009D1AA1"/>
    <w:rsid w:val="009D1C05"/>
    <w:rsid w:val="009D1D2D"/>
    <w:rsid w:val="009D279E"/>
    <w:rsid w:val="009D2C2E"/>
    <w:rsid w:val="009D2E8D"/>
    <w:rsid w:val="009D2FDA"/>
    <w:rsid w:val="009D31CD"/>
    <w:rsid w:val="009D322C"/>
    <w:rsid w:val="009D3265"/>
    <w:rsid w:val="009D3396"/>
    <w:rsid w:val="009D3AC7"/>
    <w:rsid w:val="009D3C04"/>
    <w:rsid w:val="009D3EB1"/>
    <w:rsid w:val="009D407D"/>
    <w:rsid w:val="009D45FF"/>
    <w:rsid w:val="009D4744"/>
    <w:rsid w:val="009D4C8C"/>
    <w:rsid w:val="009D4C8E"/>
    <w:rsid w:val="009D4E65"/>
    <w:rsid w:val="009D52E2"/>
    <w:rsid w:val="009D547F"/>
    <w:rsid w:val="009D59CF"/>
    <w:rsid w:val="009D5C0F"/>
    <w:rsid w:val="009D5FE7"/>
    <w:rsid w:val="009D6280"/>
    <w:rsid w:val="009D63E0"/>
    <w:rsid w:val="009D6814"/>
    <w:rsid w:val="009D6BC5"/>
    <w:rsid w:val="009D6C43"/>
    <w:rsid w:val="009D6D3E"/>
    <w:rsid w:val="009D750E"/>
    <w:rsid w:val="009D770F"/>
    <w:rsid w:val="009D7789"/>
    <w:rsid w:val="009D7BA5"/>
    <w:rsid w:val="009D7EB9"/>
    <w:rsid w:val="009D7F78"/>
    <w:rsid w:val="009E0244"/>
    <w:rsid w:val="009E02F0"/>
    <w:rsid w:val="009E0390"/>
    <w:rsid w:val="009E0395"/>
    <w:rsid w:val="009E039E"/>
    <w:rsid w:val="009E04DF"/>
    <w:rsid w:val="009E0544"/>
    <w:rsid w:val="009E06D4"/>
    <w:rsid w:val="009E0B35"/>
    <w:rsid w:val="009E0BC7"/>
    <w:rsid w:val="009E0BEB"/>
    <w:rsid w:val="009E101F"/>
    <w:rsid w:val="009E1283"/>
    <w:rsid w:val="009E1383"/>
    <w:rsid w:val="009E1522"/>
    <w:rsid w:val="009E183C"/>
    <w:rsid w:val="009E1BC3"/>
    <w:rsid w:val="009E2018"/>
    <w:rsid w:val="009E20AA"/>
    <w:rsid w:val="009E2585"/>
    <w:rsid w:val="009E25C2"/>
    <w:rsid w:val="009E2871"/>
    <w:rsid w:val="009E3872"/>
    <w:rsid w:val="009E3B32"/>
    <w:rsid w:val="009E3C83"/>
    <w:rsid w:val="009E42CA"/>
    <w:rsid w:val="009E47A5"/>
    <w:rsid w:val="009E499F"/>
    <w:rsid w:val="009E4DD7"/>
    <w:rsid w:val="009E4F38"/>
    <w:rsid w:val="009E55F9"/>
    <w:rsid w:val="009E57C7"/>
    <w:rsid w:val="009E58EC"/>
    <w:rsid w:val="009E5ED4"/>
    <w:rsid w:val="009E6130"/>
    <w:rsid w:val="009E64BD"/>
    <w:rsid w:val="009E6740"/>
    <w:rsid w:val="009E69CD"/>
    <w:rsid w:val="009E6AEF"/>
    <w:rsid w:val="009E6C0E"/>
    <w:rsid w:val="009E6D3E"/>
    <w:rsid w:val="009E6E33"/>
    <w:rsid w:val="009E6E7B"/>
    <w:rsid w:val="009E75D8"/>
    <w:rsid w:val="009E77DE"/>
    <w:rsid w:val="009E7981"/>
    <w:rsid w:val="009E7E70"/>
    <w:rsid w:val="009E7FC6"/>
    <w:rsid w:val="009F0605"/>
    <w:rsid w:val="009F083F"/>
    <w:rsid w:val="009F0AC4"/>
    <w:rsid w:val="009F0CE9"/>
    <w:rsid w:val="009F126B"/>
    <w:rsid w:val="009F1388"/>
    <w:rsid w:val="009F1972"/>
    <w:rsid w:val="009F1A5B"/>
    <w:rsid w:val="009F1A86"/>
    <w:rsid w:val="009F1ADB"/>
    <w:rsid w:val="009F1C8F"/>
    <w:rsid w:val="009F1D7A"/>
    <w:rsid w:val="009F1E05"/>
    <w:rsid w:val="009F1EA1"/>
    <w:rsid w:val="009F2466"/>
    <w:rsid w:val="009F2796"/>
    <w:rsid w:val="009F29F5"/>
    <w:rsid w:val="009F2F2D"/>
    <w:rsid w:val="009F3285"/>
    <w:rsid w:val="009F38ED"/>
    <w:rsid w:val="009F3A46"/>
    <w:rsid w:val="009F3CE7"/>
    <w:rsid w:val="009F3DF6"/>
    <w:rsid w:val="009F4443"/>
    <w:rsid w:val="009F473F"/>
    <w:rsid w:val="009F498D"/>
    <w:rsid w:val="009F4B7C"/>
    <w:rsid w:val="009F4C22"/>
    <w:rsid w:val="009F5319"/>
    <w:rsid w:val="009F5499"/>
    <w:rsid w:val="009F55AC"/>
    <w:rsid w:val="009F584C"/>
    <w:rsid w:val="009F5906"/>
    <w:rsid w:val="009F5C69"/>
    <w:rsid w:val="009F5F48"/>
    <w:rsid w:val="009F61C7"/>
    <w:rsid w:val="009F629F"/>
    <w:rsid w:val="009F66B0"/>
    <w:rsid w:val="009F6D6E"/>
    <w:rsid w:val="009F6FA3"/>
    <w:rsid w:val="009F7079"/>
    <w:rsid w:val="009F70D5"/>
    <w:rsid w:val="009F7686"/>
    <w:rsid w:val="009F78DD"/>
    <w:rsid w:val="009F79A9"/>
    <w:rsid w:val="009F7C69"/>
    <w:rsid w:val="009F7F77"/>
    <w:rsid w:val="00A0004D"/>
    <w:rsid w:val="00A002AC"/>
    <w:rsid w:val="00A00354"/>
    <w:rsid w:val="00A00582"/>
    <w:rsid w:val="00A00714"/>
    <w:rsid w:val="00A00803"/>
    <w:rsid w:val="00A00CE1"/>
    <w:rsid w:val="00A00EFF"/>
    <w:rsid w:val="00A010D3"/>
    <w:rsid w:val="00A0145F"/>
    <w:rsid w:val="00A01479"/>
    <w:rsid w:val="00A01484"/>
    <w:rsid w:val="00A017DE"/>
    <w:rsid w:val="00A01852"/>
    <w:rsid w:val="00A018D8"/>
    <w:rsid w:val="00A01A7B"/>
    <w:rsid w:val="00A01CCA"/>
    <w:rsid w:val="00A0235D"/>
    <w:rsid w:val="00A0255E"/>
    <w:rsid w:val="00A0266F"/>
    <w:rsid w:val="00A028B6"/>
    <w:rsid w:val="00A02BBF"/>
    <w:rsid w:val="00A02CAD"/>
    <w:rsid w:val="00A02D0C"/>
    <w:rsid w:val="00A02E00"/>
    <w:rsid w:val="00A02F68"/>
    <w:rsid w:val="00A03184"/>
    <w:rsid w:val="00A0381E"/>
    <w:rsid w:val="00A03B4D"/>
    <w:rsid w:val="00A03BE2"/>
    <w:rsid w:val="00A03C42"/>
    <w:rsid w:val="00A03CE4"/>
    <w:rsid w:val="00A03DD6"/>
    <w:rsid w:val="00A03FB9"/>
    <w:rsid w:val="00A043F2"/>
    <w:rsid w:val="00A0443B"/>
    <w:rsid w:val="00A04625"/>
    <w:rsid w:val="00A047BB"/>
    <w:rsid w:val="00A04C22"/>
    <w:rsid w:val="00A04D54"/>
    <w:rsid w:val="00A0543F"/>
    <w:rsid w:val="00A05528"/>
    <w:rsid w:val="00A0552F"/>
    <w:rsid w:val="00A055A6"/>
    <w:rsid w:val="00A058D7"/>
    <w:rsid w:val="00A05A00"/>
    <w:rsid w:val="00A06288"/>
    <w:rsid w:val="00A064D7"/>
    <w:rsid w:val="00A067DE"/>
    <w:rsid w:val="00A06952"/>
    <w:rsid w:val="00A06BD9"/>
    <w:rsid w:val="00A06DE9"/>
    <w:rsid w:val="00A07047"/>
    <w:rsid w:val="00A07352"/>
    <w:rsid w:val="00A07582"/>
    <w:rsid w:val="00A075F0"/>
    <w:rsid w:val="00A07647"/>
    <w:rsid w:val="00A076E8"/>
    <w:rsid w:val="00A07772"/>
    <w:rsid w:val="00A07BF6"/>
    <w:rsid w:val="00A07EE7"/>
    <w:rsid w:val="00A07F34"/>
    <w:rsid w:val="00A07FF5"/>
    <w:rsid w:val="00A1008B"/>
    <w:rsid w:val="00A10163"/>
    <w:rsid w:val="00A1037C"/>
    <w:rsid w:val="00A10396"/>
    <w:rsid w:val="00A103CE"/>
    <w:rsid w:val="00A10513"/>
    <w:rsid w:val="00A10A10"/>
    <w:rsid w:val="00A10F53"/>
    <w:rsid w:val="00A1108A"/>
    <w:rsid w:val="00A111A6"/>
    <w:rsid w:val="00A11A55"/>
    <w:rsid w:val="00A11AE5"/>
    <w:rsid w:val="00A11D39"/>
    <w:rsid w:val="00A11E03"/>
    <w:rsid w:val="00A11E85"/>
    <w:rsid w:val="00A11EE8"/>
    <w:rsid w:val="00A120E4"/>
    <w:rsid w:val="00A12214"/>
    <w:rsid w:val="00A12542"/>
    <w:rsid w:val="00A12951"/>
    <w:rsid w:val="00A12DC1"/>
    <w:rsid w:val="00A130A7"/>
    <w:rsid w:val="00A13345"/>
    <w:rsid w:val="00A134C6"/>
    <w:rsid w:val="00A137DE"/>
    <w:rsid w:val="00A13802"/>
    <w:rsid w:val="00A140FE"/>
    <w:rsid w:val="00A14272"/>
    <w:rsid w:val="00A14298"/>
    <w:rsid w:val="00A144B0"/>
    <w:rsid w:val="00A147C4"/>
    <w:rsid w:val="00A1495C"/>
    <w:rsid w:val="00A15307"/>
    <w:rsid w:val="00A156A4"/>
    <w:rsid w:val="00A15831"/>
    <w:rsid w:val="00A15A63"/>
    <w:rsid w:val="00A15C43"/>
    <w:rsid w:val="00A166BE"/>
    <w:rsid w:val="00A1692C"/>
    <w:rsid w:val="00A1699E"/>
    <w:rsid w:val="00A169BF"/>
    <w:rsid w:val="00A16D76"/>
    <w:rsid w:val="00A16DBB"/>
    <w:rsid w:val="00A16F9F"/>
    <w:rsid w:val="00A1712D"/>
    <w:rsid w:val="00A17450"/>
    <w:rsid w:val="00A1750B"/>
    <w:rsid w:val="00A17542"/>
    <w:rsid w:val="00A17630"/>
    <w:rsid w:val="00A176B1"/>
    <w:rsid w:val="00A17A16"/>
    <w:rsid w:val="00A17A69"/>
    <w:rsid w:val="00A17CA0"/>
    <w:rsid w:val="00A17D11"/>
    <w:rsid w:val="00A17F9A"/>
    <w:rsid w:val="00A2009C"/>
    <w:rsid w:val="00A2017E"/>
    <w:rsid w:val="00A20305"/>
    <w:rsid w:val="00A20507"/>
    <w:rsid w:val="00A20D71"/>
    <w:rsid w:val="00A21028"/>
    <w:rsid w:val="00A2109E"/>
    <w:rsid w:val="00A21477"/>
    <w:rsid w:val="00A216B3"/>
    <w:rsid w:val="00A22208"/>
    <w:rsid w:val="00A2223F"/>
    <w:rsid w:val="00A22428"/>
    <w:rsid w:val="00A22853"/>
    <w:rsid w:val="00A229CC"/>
    <w:rsid w:val="00A22B7E"/>
    <w:rsid w:val="00A22BF1"/>
    <w:rsid w:val="00A22D6A"/>
    <w:rsid w:val="00A2314C"/>
    <w:rsid w:val="00A23720"/>
    <w:rsid w:val="00A23856"/>
    <w:rsid w:val="00A23954"/>
    <w:rsid w:val="00A23FF9"/>
    <w:rsid w:val="00A244FB"/>
    <w:rsid w:val="00A24586"/>
    <w:rsid w:val="00A245E3"/>
    <w:rsid w:val="00A24917"/>
    <w:rsid w:val="00A24AE3"/>
    <w:rsid w:val="00A24B48"/>
    <w:rsid w:val="00A24B64"/>
    <w:rsid w:val="00A24E7F"/>
    <w:rsid w:val="00A25C73"/>
    <w:rsid w:val="00A26060"/>
    <w:rsid w:val="00A2619E"/>
    <w:rsid w:val="00A26790"/>
    <w:rsid w:val="00A268D6"/>
    <w:rsid w:val="00A26BDC"/>
    <w:rsid w:val="00A26FBE"/>
    <w:rsid w:val="00A27191"/>
    <w:rsid w:val="00A27255"/>
    <w:rsid w:val="00A27724"/>
    <w:rsid w:val="00A27960"/>
    <w:rsid w:val="00A3025F"/>
    <w:rsid w:val="00A30522"/>
    <w:rsid w:val="00A307AB"/>
    <w:rsid w:val="00A30CE6"/>
    <w:rsid w:val="00A30D19"/>
    <w:rsid w:val="00A30E48"/>
    <w:rsid w:val="00A31026"/>
    <w:rsid w:val="00A31174"/>
    <w:rsid w:val="00A3119A"/>
    <w:rsid w:val="00A312B4"/>
    <w:rsid w:val="00A314F2"/>
    <w:rsid w:val="00A31641"/>
    <w:rsid w:val="00A317C6"/>
    <w:rsid w:val="00A31F30"/>
    <w:rsid w:val="00A3270E"/>
    <w:rsid w:val="00A32925"/>
    <w:rsid w:val="00A3293B"/>
    <w:rsid w:val="00A329BB"/>
    <w:rsid w:val="00A32A62"/>
    <w:rsid w:val="00A32BF2"/>
    <w:rsid w:val="00A32C7A"/>
    <w:rsid w:val="00A32F21"/>
    <w:rsid w:val="00A32F75"/>
    <w:rsid w:val="00A332A8"/>
    <w:rsid w:val="00A33398"/>
    <w:rsid w:val="00A333A7"/>
    <w:rsid w:val="00A3368F"/>
    <w:rsid w:val="00A33C68"/>
    <w:rsid w:val="00A33E12"/>
    <w:rsid w:val="00A33F98"/>
    <w:rsid w:val="00A34454"/>
    <w:rsid w:val="00A3457C"/>
    <w:rsid w:val="00A34793"/>
    <w:rsid w:val="00A347F7"/>
    <w:rsid w:val="00A3486C"/>
    <w:rsid w:val="00A348E6"/>
    <w:rsid w:val="00A34A23"/>
    <w:rsid w:val="00A34AB2"/>
    <w:rsid w:val="00A34BBC"/>
    <w:rsid w:val="00A34D5D"/>
    <w:rsid w:val="00A34DCF"/>
    <w:rsid w:val="00A34F96"/>
    <w:rsid w:val="00A35188"/>
    <w:rsid w:val="00A35308"/>
    <w:rsid w:val="00A3538E"/>
    <w:rsid w:val="00A356CD"/>
    <w:rsid w:val="00A35C70"/>
    <w:rsid w:val="00A36221"/>
    <w:rsid w:val="00A3646D"/>
    <w:rsid w:val="00A36804"/>
    <w:rsid w:val="00A36AEC"/>
    <w:rsid w:val="00A36BDB"/>
    <w:rsid w:val="00A37300"/>
    <w:rsid w:val="00A37496"/>
    <w:rsid w:val="00A3761E"/>
    <w:rsid w:val="00A37989"/>
    <w:rsid w:val="00A37BE7"/>
    <w:rsid w:val="00A40156"/>
    <w:rsid w:val="00A402AB"/>
    <w:rsid w:val="00A405BE"/>
    <w:rsid w:val="00A40673"/>
    <w:rsid w:val="00A40971"/>
    <w:rsid w:val="00A409C5"/>
    <w:rsid w:val="00A40A3C"/>
    <w:rsid w:val="00A40C81"/>
    <w:rsid w:val="00A411D6"/>
    <w:rsid w:val="00A41829"/>
    <w:rsid w:val="00A41D62"/>
    <w:rsid w:val="00A41EAB"/>
    <w:rsid w:val="00A4215B"/>
    <w:rsid w:val="00A4222E"/>
    <w:rsid w:val="00A426A5"/>
    <w:rsid w:val="00A42721"/>
    <w:rsid w:val="00A4274A"/>
    <w:rsid w:val="00A42889"/>
    <w:rsid w:val="00A42DC2"/>
    <w:rsid w:val="00A42E9C"/>
    <w:rsid w:val="00A42F23"/>
    <w:rsid w:val="00A43148"/>
    <w:rsid w:val="00A431CE"/>
    <w:rsid w:val="00A43488"/>
    <w:rsid w:val="00A435ED"/>
    <w:rsid w:val="00A4390B"/>
    <w:rsid w:val="00A439A7"/>
    <w:rsid w:val="00A439DE"/>
    <w:rsid w:val="00A43A30"/>
    <w:rsid w:val="00A44416"/>
    <w:rsid w:val="00A446AB"/>
    <w:rsid w:val="00A4484B"/>
    <w:rsid w:val="00A448C0"/>
    <w:rsid w:val="00A44AA0"/>
    <w:rsid w:val="00A44E05"/>
    <w:rsid w:val="00A44E9D"/>
    <w:rsid w:val="00A44F1E"/>
    <w:rsid w:val="00A45455"/>
    <w:rsid w:val="00A455E2"/>
    <w:rsid w:val="00A45627"/>
    <w:rsid w:val="00A45A99"/>
    <w:rsid w:val="00A45F1B"/>
    <w:rsid w:val="00A463F8"/>
    <w:rsid w:val="00A46A06"/>
    <w:rsid w:val="00A46BCE"/>
    <w:rsid w:val="00A46D4A"/>
    <w:rsid w:val="00A46DE7"/>
    <w:rsid w:val="00A46E8A"/>
    <w:rsid w:val="00A46ED4"/>
    <w:rsid w:val="00A4712F"/>
    <w:rsid w:val="00A47587"/>
    <w:rsid w:val="00A47A0B"/>
    <w:rsid w:val="00A47CC7"/>
    <w:rsid w:val="00A47D89"/>
    <w:rsid w:val="00A50196"/>
    <w:rsid w:val="00A509C0"/>
    <w:rsid w:val="00A50B7E"/>
    <w:rsid w:val="00A50CE4"/>
    <w:rsid w:val="00A51069"/>
    <w:rsid w:val="00A510AD"/>
    <w:rsid w:val="00A5154A"/>
    <w:rsid w:val="00A5156C"/>
    <w:rsid w:val="00A51586"/>
    <w:rsid w:val="00A51733"/>
    <w:rsid w:val="00A517D1"/>
    <w:rsid w:val="00A51B3A"/>
    <w:rsid w:val="00A52263"/>
    <w:rsid w:val="00A5232D"/>
    <w:rsid w:val="00A5242A"/>
    <w:rsid w:val="00A529AC"/>
    <w:rsid w:val="00A52A75"/>
    <w:rsid w:val="00A52AB8"/>
    <w:rsid w:val="00A52AF5"/>
    <w:rsid w:val="00A52B26"/>
    <w:rsid w:val="00A52DD4"/>
    <w:rsid w:val="00A532ED"/>
    <w:rsid w:val="00A535AF"/>
    <w:rsid w:val="00A5378C"/>
    <w:rsid w:val="00A53832"/>
    <w:rsid w:val="00A53F0D"/>
    <w:rsid w:val="00A53FAA"/>
    <w:rsid w:val="00A540A4"/>
    <w:rsid w:val="00A5429D"/>
    <w:rsid w:val="00A54472"/>
    <w:rsid w:val="00A54651"/>
    <w:rsid w:val="00A54774"/>
    <w:rsid w:val="00A54775"/>
    <w:rsid w:val="00A54925"/>
    <w:rsid w:val="00A54BE3"/>
    <w:rsid w:val="00A54D01"/>
    <w:rsid w:val="00A54F26"/>
    <w:rsid w:val="00A5529F"/>
    <w:rsid w:val="00A55323"/>
    <w:rsid w:val="00A5565D"/>
    <w:rsid w:val="00A55690"/>
    <w:rsid w:val="00A557D5"/>
    <w:rsid w:val="00A55AE5"/>
    <w:rsid w:val="00A55BC3"/>
    <w:rsid w:val="00A55C7F"/>
    <w:rsid w:val="00A55E47"/>
    <w:rsid w:val="00A563FE"/>
    <w:rsid w:val="00A56446"/>
    <w:rsid w:val="00A564BD"/>
    <w:rsid w:val="00A56C4C"/>
    <w:rsid w:val="00A56F6D"/>
    <w:rsid w:val="00A57229"/>
    <w:rsid w:val="00A57961"/>
    <w:rsid w:val="00A57E76"/>
    <w:rsid w:val="00A6018E"/>
    <w:rsid w:val="00A606C4"/>
    <w:rsid w:val="00A6098E"/>
    <w:rsid w:val="00A61039"/>
    <w:rsid w:val="00A61046"/>
    <w:rsid w:val="00A610A5"/>
    <w:rsid w:val="00A618D2"/>
    <w:rsid w:val="00A61B71"/>
    <w:rsid w:val="00A6236E"/>
    <w:rsid w:val="00A62580"/>
    <w:rsid w:val="00A625F7"/>
    <w:rsid w:val="00A6275A"/>
    <w:rsid w:val="00A629FF"/>
    <w:rsid w:val="00A62A66"/>
    <w:rsid w:val="00A62B0B"/>
    <w:rsid w:val="00A62E73"/>
    <w:rsid w:val="00A62F6C"/>
    <w:rsid w:val="00A63065"/>
    <w:rsid w:val="00A631F6"/>
    <w:rsid w:val="00A63301"/>
    <w:rsid w:val="00A63343"/>
    <w:rsid w:val="00A63460"/>
    <w:rsid w:val="00A63A07"/>
    <w:rsid w:val="00A63C9E"/>
    <w:rsid w:val="00A64073"/>
    <w:rsid w:val="00A64496"/>
    <w:rsid w:val="00A646D4"/>
    <w:rsid w:val="00A64761"/>
    <w:rsid w:val="00A64D12"/>
    <w:rsid w:val="00A64F8B"/>
    <w:rsid w:val="00A65089"/>
    <w:rsid w:val="00A6512E"/>
    <w:rsid w:val="00A651A1"/>
    <w:rsid w:val="00A651B9"/>
    <w:rsid w:val="00A651C5"/>
    <w:rsid w:val="00A65445"/>
    <w:rsid w:val="00A65577"/>
    <w:rsid w:val="00A65817"/>
    <w:rsid w:val="00A65901"/>
    <w:rsid w:val="00A65D5E"/>
    <w:rsid w:val="00A65E7D"/>
    <w:rsid w:val="00A663D8"/>
    <w:rsid w:val="00A66421"/>
    <w:rsid w:val="00A6643B"/>
    <w:rsid w:val="00A666AB"/>
    <w:rsid w:val="00A668A3"/>
    <w:rsid w:val="00A671B4"/>
    <w:rsid w:val="00A67528"/>
    <w:rsid w:val="00A67563"/>
    <w:rsid w:val="00A67894"/>
    <w:rsid w:val="00A67A96"/>
    <w:rsid w:val="00A67D10"/>
    <w:rsid w:val="00A67E50"/>
    <w:rsid w:val="00A70027"/>
    <w:rsid w:val="00A7044D"/>
    <w:rsid w:val="00A7053F"/>
    <w:rsid w:val="00A70784"/>
    <w:rsid w:val="00A7084F"/>
    <w:rsid w:val="00A708A4"/>
    <w:rsid w:val="00A70AB6"/>
    <w:rsid w:val="00A715FD"/>
    <w:rsid w:val="00A71EE5"/>
    <w:rsid w:val="00A71FD5"/>
    <w:rsid w:val="00A721F6"/>
    <w:rsid w:val="00A723D6"/>
    <w:rsid w:val="00A729A1"/>
    <w:rsid w:val="00A72A02"/>
    <w:rsid w:val="00A72C4C"/>
    <w:rsid w:val="00A7404D"/>
    <w:rsid w:val="00A74084"/>
    <w:rsid w:val="00A74363"/>
    <w:rsid w:val="00A74624"/>
    <w:rsid w:val="00A746DA"/>
    <w:rsid w:val="00A7490E"/>
    <w:rsid w:val="00A74A8C"/>
    <w:rsid w:val="00A74C3E"/>
    <w:rsid w:val="00A751D3"/>
    <w:rsid w:val="00A75276"/>
    <w:rsid w:val="00A7563D"/>
    <w:rsid w:val="00A75661"/>
    <w:rsid w:val="00A75954"/>
    <w:rsid w:val="00A75970"/>
    <w:rsid w:val="00A75B7D"/>
    <w:rsid w:val="00A75D75"/>
    <w:rsid w:val="00A75F4F"/>
    <w:rsid w:val="00A766E0"/>
    <w:rsid w:val="00A769C0"/>
    <w:rsid w:val="00A76A65"/>
    <w:rsid w:val="00A76ADC"/>
    <w:rsid w:val="00A76E3D"/>
    <w:rsid w:val="00A7701C"/>
    <w:rsid w:val="00A77253"/>
    <w:rsid w:val="00A77410"/>
    <w:rsid w:val="00A80227"/>
    <w:rsid w:val="00A80276"/>
    <w:rsid w:val="00A804A3"/>
    <w:rsid w:val="00A809CC"/>
    <w:rsid w:val="00A80CD4"/>
    <w:rsid w:val="00A819AA"/>
    <w:rsid w:val="00A81E89"/>
    <w:rsid w:val="00A81EBC"/>
    <w:rsid w:val="00A82491"/>
    <w:rsid w:val="00A8251F"/>
    <w:rsid w:val="00A825BE"/>
    <w:rsid w:val="00A8274E"/>
    <w:rsid w:val="00A828FC"/>
    <w:rsid w:val="00A82C6D"/>
    <w:rsid w:val="00A82F93"/>
    <w:rsid w:val="00A830D8"/>
    <w:rsid w:val="00A8336E"/>
    <w:rsid w:val="00A834B4"/>
    <w:rsid w:val="00A835E3"/>
    <w:rsid w:val="00A83DB8"/>
    <w:rsid w:val="00A83F11"/>
    <w:rsid w:val="00A84220"/>
    <w:rsid w:val="00A8488D"/>
    <w:rsid w:val="00A8496F"/>
    <w:rsid w:val="00A84BB3"/>
    <w:rsid w:val="00A84D65"/>
    <w:rsid w:val="00A84E1C"/>
    <w:rsid w:val="00A85110"/>
    <w:rsid w:val="00A8528D"/>
    <w:rsid w:val="00A85553"/>
    <w:rsid w:val="00A85570"/>
    <w:rsid w:val="00A856F6"/>
    <w:rsid w:val="00A85705"/>
    <w:rsid w:val="00A85851"/>
    <w:rsid w:val="00A85BB2"/>
    <w:rsid w:val="00A85F67"/>
    <w:rsid w:val="00A86639"/>
    <w:rsid w:val="00A86745"/>
    <w:rsid w:val="00A868BB"/>
    <w:rsid w:val="00A86967"/>
    <w:rsid w:val="00A86E44"/>
    <w:rsid w:val="00A86F7A"/>
    <w:rsid w:val="00A87113"/>
    <w:rsid w:val="00A872DE"/>
    <w:rsid w:val="00A87424"/>
    <w:rsid w:val="00A87803"/>
    <w:rsid w:val="00A8782D"/>
    <w:rsid w:val="00A87837"/>
    <w:rsid w:val="00A879C7"/>
    <w:rsid w:val="00A87CA5"/>
    <w:rsid w:val="00A87E2B"/>
    <w:rsid w:val="00A87EFD"/>
    <w:rsid w:val="00A9010C"/>
    <w:rsid w:val="00A904D7"/>
    <w:rsid w:val="00A90D3D"/>
    <w:rsid w:val="00A91820"/>
    <w:rsid w:val="00A91957"/>
    <w:rsid w:val="00A91CD1"/>
    <w:rsid w:val="00A91DA8"/>
    <w:rsid w:val="00A926B1"/>
    <w:rsid w:val="00A928C9"/>
    <w:rsid w:val="00A92A24"/>
    <w:rsid w:val="00A92AF3"/>
    <w:rsid w:val="00A92EBA"/>
    <w:rsid w:val="00A92FC4"/>
    <w:rsid w:val="00A93289"/>
    <w:rsid w:val="00A9350D"/>
    <w:rsid w:val="00A93586"/>
    <w:rsid w:val="00A9369E"/>
    <w:rsid w:val="00A93913"/>
    <w:rsid w:val="00A93B58"/>
    <w:rsid w:val="00A9416E"/>
    <w:rsid w:val="00A94315"/>
    <w:rsid w:val="00A9475E"/>
    <w:rsid w:val="00A94869"/>
    <w:rsid w:val="00A94D62"/>
    <w:rsid w:val="00A94DE7"/>
    <w:rsid w:val="00A95008"/>
    <w:rsid w:val="00A95268"/>
    <w:rsid w:val="00A952C0"/>
    <w:rsid w:val="00A955C2"/>
    <w:rsid w:val="00A959F1"/>
    <w:rsid w:val="00A95E03"/>
    <w:rsid w:val="00A95F9A"/>
    <w:rsid w:val="00A95F9D"/>
    <w:rsid w:val="00A95FC0"/>
    <w:rsid w:val="00A9617A"/>
    <w:rsid w:val="00A96262"/>
    <w:rsid w:val="00A970A3"/>
    <w:rsid w:val="00A97649"/>
    <w:rsid w:val="00A97C30"/>
    <w:rsid w:val="00A97CD8"/>
    <w:rsid w:val="00A97D70"/>
    <w:rsid w:val="00A97D94"/>
    <w:rsid w:val="00AA0480"/>
    <w:rsid w:val="00AA0488"/>
    <w:rsid w:val="00AA084A"/>
    <w:rsid w:val="00AA087B"/>
    <w:rsid w:val="00AA0898"/>
    <w:rsid w:val="00AA0CAE"/>
    <w:rsid w:val="00AA0D82"/>
    <w:rsid w:val="00AA0F55"/>
    <w:rsid w:val="00AA1524"/>
    <w:rsid w:val="00AA1974"/>
    <w:rsid w:val="00AA2704"/>
    <w:rsid w:val="00AA27AC"/>
    <w:rsid w:val="00AA2C9C"/>
    <w:rsid w:val="00AA332D"/>
    <w:rsid w:val="00AA365B"/>
    <w:rsid w:val="00AA3954"/>
    <w:rsid w:val="00AA43CE"/>
    <w:rsid w:val="00AA44C3"/>
    <w:rsid w:val="00AA4601"/>
    <w:rsid w:val="00AA471C"/>
    <w:rsid w:val="00AA4A66"/>
    <w:rsid w:val="00AA4EC1"/>
    <w:rsid w:val="00AA50D7"/>
    <w:rsid w:val="00AA57A6"/>
    <w:rsid w:val="00AA5F47"/>
    <w:rsid w:val="00AA5F71"/>
    <w:rsid w:val="00AA5FB5"/>
    <w:rsid w:val="00AA61F1"/>
    <w:rsid w:val="00AA6259"/>
    <w:rsid w:val="00AA63F9"/>
    <w:rsid w:val="00AA6561"/>
    <w:rsid w:val="00AA6A5A"/>
    <w:rsid w:val="00AA6DE9"/>
    <w:rsid w:val="00AA720D"/>
    <w:rsid w:val="00AA72AA"/>
    <w:rsid w:val="00AA755D"/>
    <w:rsid w:val="00AA75FD"/>
    <w:rsid w:val="00AB049A"/>
    <w:rsid w:val="00AB0AFF"/>
    <w:rsid w:val="00AB0DDD"/>
    <w:rsid w:val="00AB10EF"/>
    <w:rsid w:val="00AB12D1"/>
    <w:rsid w:val="00AB1582"/>
    <w:rsid w:val="00AB188B"/>
    <w:rsid w:val="00AB18CD"/>
    <w:rsid w:val="00AB1C0A"/>
    <w:rsid w:val="00AB2172"/>
    <w:rsid w:val="00AB247B"/>
    <w:rsid w:val="00AB24D0"/>
    <w:rsid w:val="00AB294D"/>
    <w:rsid w:val="00AB29FB"/>
    <w:rsid w:val="00AB2A01"/>
    <w:rsid w:val="00AB2C8F"/>
    <w:rsid w:val="00AB2DC4"/>
    <w:rsid w:val="00AB3005"/>
    <w:rsid w:val="00AB30D4"/>
    <w:rsid w:val="00AB31DE"/>
    <w:rsid w:val="00AB3534"/>
    <w:rsid w:val="00AB3663"/>
    <w:rsid w:val="00AB378C"/>
    <w:rsid w:val="00AB37BD"/>
    <w:rsid w:val="00AB3A1D"/>
    <w:rsid w:val="00AB3C19"/>
    <w:rsid w:val="00AB3D2E"/>
    <w:rsid w:val="00AB3F25"/>
    <w:rsid w:val="00AB44E3"/>
    <w:rsid w:val="00AB45E8"/>
    <w:rsid w:val="00AB4F78"/>
    <w:rsid w:val="00AB546E"/>
    <w:rsid w:val="00AB54C1"/>
    <w:rsid w:val="00AB5938"/>
    <w:rsid w:val="00AB5D0B"/>
    <w:rsid w:val="00AB64DF"/>
    <w:rsid w:val="00AB665B"/>
    <w:rsid w:val="00AB6A43"/>
    <w:rsid w:val="00AB7164"/>
    <w:rsid w:val="00AB745F"/>
    <w:rsid w:val="00AB74A4"/>
    <w:rsid w:val="00AB7515"/>
    <w:rsid w:val="00AB751E"/>
    <w:rsid w:val="00AB7954"/>
    <w:rsid w:val="00AB7A86"/>
    <w:rsid w:val="00AC0270"/>
    <w:rsid w:val="00AC032D"/>
    <w:rsid w:val="00AC0CC4"/>
    <w:rsid w:val="00AC0DFA"/>
    <w:rsid w:val="00AC0E40"/>
    <w:rsid w:val="00AC0E9D"/>
    <w:rsid w:val="00AC1445"/>
    <w:rsid w:val="00AC1B56"/>
    <w:rsid w:val="00AC1BC0"/>
    <w:rsid w:val="00AC1C28"/>
    <w:rsid w:val="00AC2946"/>
    <w:rsid w:val="00AC2DB6"/>
    <w:rsid w:val="00AC2EDB"/>
    <w:rsid w:val="00AC2F93"/>
    <w:rsid w:val="00AC311E"/>
    <w:rsid w:val="00AC35E9"/>
    <w:rsid w:val="00AC35FB"/>
    <w:rsid w:val="00AC390D"/>
    <w:rsid w:val="00AC3A06"/>
    <w:rsid w:val="00AC3C28"/>
    <w:rsid w:val="00AC3C4B"/>
    <w:rsid w:val="00AC3E69"/>
    <w:rsid w:val="00AC4228"/>
    <w:rsid w:val="00AC4373"/>
    <w:rsid w:val="00AC4479"/>
    <w:rsid w:val="00AC4B4A"/>
    <w:rsid w:val="00AC4DD3"/>
    <w:rsid w:val="00AC4F10"/>
    <w:rsid w:val="00AC51CA"/>
    <w:rsid w:val="00AC52A6"/>
    <w:rsid w:val="00AC57A1"/>
    <w:rsid w:val="00AC590F"/>
    <w:rsid w:val="00AC5CBD"/>
    <w:rsid w:val="00AC5F35"/>
    <w:rsid w:val="00AC60AF"/>
    <w:rsid w:val="00AC62D8"/>
    <w:rsid w:val="00AC653D"/>
    <w:rsid w:val="00AC663A"/>
    <w:rsid w:val="00AC6A84"/>
    <w:rsid w:val="00AC6B02"/>
    <w:rsid w:val="00AC6CEC"/>
    <w:rsid w:val="00AC7069"/>
    <w:rsid w:val="00AC7719"/>
    <w:rsid w:val="00AC7945"/>
    <w:rsid w:val="00AC7A3D"/>
    <w:rsid w:val="00AC7AE6"/>
    <w:rsid w:val="00AC7E75"/>
    <w:rsid w:val="00AD014D"/>
    <w:rsid w:val="00AD0589"/>
    <w:rsid w:val="00AD084D"/>
    <w:rsid w:val="00AD0985"/>
    <w:rsid w:val="00AD0F3A"/>
    <w:rsid w:val="00AD1359"/>
    <w:rsid w:val="00AD165A"/>
    <w:rsid w:val="00AD1923"/>
    <w:rsid w:val="00AD1B70"/>
    <w:rsid w:val="00AD1D8C"/>
    <w:rsid w:val="00AD1DEF"/>
    <w:rsid w:val="00AD22A6"/>
    <w:rsid w:val="00AD28E8"/>
    <w:rsid w:val="00AD2CAE"/>
    <w:rsid w:val="00AD2DE4"/>
    <w:rsid w:val="00AD3B1B"/>
    <w:rsid w:val="00AD4817"/>
    <w:rsid w:val="00AD4D7B"/>
    <w:rsid w:val="00AD4D9C"/>
    <w:rsid w:val="00AD5282"/>
    <w:rsid w:val="00AD5680"/>
    <w:rsid w:val="00AD56EC"/>
    <w:rsid w:val="00AD5C52"/>
    <w:rsid w:val="00AD5D8C"/>
    <w:rsid w:val="00AD5F32"/>
    <w:rsid w:val="00AD60E6"/>
    <w:rsid w:val="00AD6158"/>
    <w:rsid w:val="00AD62F0"/>
    <w:rsid w:val="00AD6507"/>
    <w:rsid w:val="00AD664D"/>
    <w:rsid w:val="00AD681E"/>
    <w:rsid w:val="00AD687E"/>
    <w:rsid w:val="00AD6A70"/>
    <w:rsid w:val="00AD6A93"/>
    <w:rsid w:val="00AD6D53"/>
    <w:rsid w:val="00AD789F"/>
    <w:rsid w:val="00AD79F0"/>
    <w:rsid w:val="00AD7B70"/>
    <w:rsid w:val="00AD7BBF"/>
    <w:rsid w:val="00AD7D4F"/>
    <w:rsid w:val="00AD7EA0"/>
    <w:rsid w:val="00AD7F5F"/>
    <w:rsid w:val="00AE0499"/>
    <w:rsid w:val="00AE0AE9"/>
    <w:rsid w:val="00AE0BF1"/>
    <w:rsid w:val="00AE119D"/>
    <w:rsid w:val="00AE153F"/>
    <w:rsid w:val="00AE15D3"/>
    <w:rsid w:val="00AE1876"/>
    <w:rsid w:val="00AE18A7"/>
    <w:rsid w:val="00AE18CB"/>
    <w:rsid w:val="00AE1B12"/>
    <w:rsid w:val="00AE1B36"/>
    <w:rsid w:val="00AE1C87"/>
    <w:rsid w:val="00AE1CB0"/>
    <w:rsid w:val="00AE1DEB"/>
    <w:rsid w:val="00AE2113"/>
    <w:rsid w:val="00AE2662"/>
    <w:rsid w:val="00AE289A"/>
    <w:rsid w:val="00AE2D81"/>
    <w:rsid w:val="00AE302A"/>
    <w:rsid w:val="00AE31E4"/>
    <w:rsid w:val="00AE33E7"/>
    <w:rsid w:val="00AE385B"/>
    <w:rsid w:val="00AE3972"/>
    <w:rsid w:val="00AE3A1E"/>
    <w:rsid w:val="00AE3E15"/>
    <w:rsid w:val="00AE42AD"/>
    <w:rsid w:val="00AE4348"/>
    <w:rsid w:val="00AE4493"/>
    <w:rsid w:val="00AE480C"/>
    <w:rsid w:val="00AE499F"/>
    <w:rsid w:val="00AE49D1"/>
    <w:rsid w:val="00AE4B11"/>
    <w:rsid w:val="00AE4D9A"/>
    <w:rsid w:val="00AE4D9E"/>
    <w:rsid w:val="00AE4E05"/>
    <w:rsid w:val="00AE4E35"/>
    <w:rsid w:val="00AE4F9E"/>
    <w:rsid w:val="00AE5044"/>
    <w:rsid w:val="00AE5902"/>
    <w:rsid w:val="00AE59EA"/>
    <w:rsid w:val="00AE5C80"/>
    <w:rsid w:val="00AE5DB5"/>
    <w:rsid w:val="00AE5E10"/>
    <w:rsid w:val="00AE5FC9"/>
    <w:rsid w:val="00AE6823"/>
    <w:rsid w:val="00AE6A29"/>
    <w:rsid w:val="00AE6A91"/>
    <w:rsid w:val="00AE6CE7"/>
    <w:rsid w:val="00AE6D74"/>
    <w:rsid w:val="00AE72C7"/>
    <w:rsid w:val="00AE7578"/>
    <w:rsid w:val="00AE75AA"/>
    <w:rsid w:val="00AE76C1"/>
    <w:rsid w:val="00AE7966"/>
    <w:rsid w:val="00AE79D2"/>
    <w:rsid w:val="00AE7BCC"/>
    <w:rsid w:val="00AF00C1"/>
    <w:rsid w:val="00AF02DE"/>
    <w:rsid w:val="00AF02FD"/>
    <w:rsid w:val="00AF0504"/>
    <w:rsid w:val="00AF06FC"/>
    <w:rsid w:val="00AF0A13"/>
    <w:rsid w:val="00AF0C96"/>
    <w:rsid w:val="00AF1052"/>
    <w:rsid w:val="00AF1956"/>
    <w:rsid w:val="00AF1F82"/>
    <w:rsid w:val="00AF22D3"/>
    <w:rsid w:val="00AF2348"/>
    <w:rsid w:val="00AF23B2"/>
    <w:rsid w:val="00AF23EA"/>
    <w:rsid w:val="00AF2480"/>
    <w:rsid w:val="00AF26B3"/>
    <w:rsid w:val="00AF2B12"/>
    <w:rsid w:val="00AF2BB7"/>
    <w:rsid w:val="00AF2C92"/>
    <w:rsid w:val="00AF2CA6"/>
    <w:rsid w:val="00AF2EAC"/>
    <w:rsid w:val="00AF2F26"/>
    <w:rsid w:val="00AF2F64"/>
    <w:rsid w:val="00AF3103"/>
    <w:rsid w:val="00AF311E"/>
    <w:rsid w:val="00AF32EB"/>
    <w:rsid w:val="00AF3E1D"/>
    <w:rsid w:val="00AF4143"/>
    <w:rsid w:val="00AF4986"/>
    <w:rsid w:val="00AF4990"/>
    <w:rsid w:val="00AF49A6"/>
    <w:rsid w:val="00AF4BFE"/>
    <w:rsid w:val="00AF4D14"/>
    <w:rsid w:val="00AF55EB"/>
    <w:rsid w:val="00AF5790"/>
    <w:rsid w:val="00AF5873"/>
    <w:rsid w:val="00AF5A24"/>
    <w:rsid w:val="00AF606E"/>
    <w:rsid w:val="00AF610A"/>
    <w:rsid w:val="00AF6683"/>
    <w:rsid w:val="00AF6B0D"/>
    <w:rsid w:val="00AF6B1A"/>
    <w:rsid w:val="00AF70D2"/>
    <w:rsid w:val="00AF7116"/>
    <w:rsid w:val="00AF7B4A"/>
    <w:rsid w:val="00AF7BA3"/>
    <w:rsid w:val="00AF7BB0"/>
    <w:rsid w:val="00B00291"/>
    <w:rsid w:val="00B00596"/>
    <w:rsid w:val="00B00A9F"/>
    <w:rsid w:val="00B00AB7"/>
    <w:rsid w:val="00B00B6B"/>
    <w:rsid w:val="00B00CCE"/>
    <w:rsid w:val="00B00F52"/>
    <w:rsid w:val="00B01160"/>
    <w:rsid w:val="00B01182"/>
    <w:rsid w:val="00B01504"/>
    <w:rsid w:val="00B0154B"/>
    <w:rsid w:val="00B01661"/>
    <w:rsid w:val="00B016F0"/>
    <w:rsid w:val="00B0196A"/>
    <w:rsid w:val="00B01E64"/>
    <w:rsid w:val="00B01FE3"/>
    <w:rsid w:val="00B0207A"/>
    <w:rsid w:val="00B022A2"/>
    <w:rsid w:val="00B02387"/>
    <w:rsid w:val="00B02F8E"/>
    <w:rsid w:val="00B03054"/>
    <w:rsid w:val="00B0316D"/>
    <w:rsid w:val="00B03465"/>
    <w:rsid w:val="00B03512"/>
    <w:rsid w:val="00B03709"/>
    <w:rsid w:val="00B03913"/>
    <w:rsid w:val="00B039D7"/>
    <w:rsid w:val="00B03BD9"/>
    <w:rsid w:val="00B03C24"/>
    <w:rsid w:val="00B04268"/>
    <w:rsid w:val="00B04409"/>
    <w:rsid w:val="00B0446B"/>
    <w:rsid w:val="00B048AA"/>
    <w:rsid w:val="00B0499E"/>
    <w:rsid w:val="00B04C22"/>
    <w:rsid w:val="00B04CAF"/>
    <w:rsid w:val="00B04D13"/>
    <w:rsid w:val="00B04F36"/>
    <w:rsid w:val="00B0500E"/>
    <w:rsid w:val="00B058ED"/>
    <w:rsid w:val="00B059E8"/>
    <w:rsid w:val="00B05D2E"/>
    <w:rsid w:val="00B05E98"/>
    <w:rsid w:val="00B05F69"/>
    <w:rsid w:val="00B064D9"/>
    <w:rsid w:val="00B0674B"/>
    <w:rsid w:val="00B0756C"/>
    <w:rsid w:val="00B075DC"/>
    <w:rsid w:val="00B07719"/>
    <w:rsid w:val="00B07860"/>
    <w:rsid w:val="00B07A3D"/>
    <w:rsid w:val="00B07CC0"/>
    <w:rsid w:val="00B07DCA"/>
    <w:rsid w:val="00B07EF5"/>
    <w:rsid w:val="00B07F38"/>
    <w:rsid w:val="00B07F58"/>
    <w:rsid w:val="00B1033C"/>
    <w:rsid w:val="00B10387"/>
    <w:rsid w:val="00B103C6"/>
    <w:rsid w:val="00B1083E"/>
    <w:rsid w:val="00B108E9"/>
    <w:rsid w:val="00B1098C"/>
    <w:rsid w:val="00B10AD6"/>
    <w:rsid w:val="00B10AEB"/>
    <w:rsid w:val="00B10EFA"/>
    <w:rsid w:val="00B10FBA"/>
    <w:rsid w:val="00B110C3"/>
    <w:rsid w:val="00B116F2"/>
    <w:rsid w:val="00B117A1"/>
    <w:rsid w:val="00B123B0"/>
    <w:rsid w:val="00B127CF"/>
    <w:rsid w:val="00B12A46"/>
    <w:rsid w:val="00B12A6D"/>
    <w:rsid w:val="00B12B31"/>
    <w:rsid w:val="00B12D42"/>
    <w:rsid w:val="00B130D2"/>
    <w:rsid w:val="00B13898"/>
    <w:rsid w:val="00B13A8D"/>
    <w:rsid w:val="00B13B49"/>
    <w:rsid w:val="00B13CC1"/>
    <w:rsid w:val="00B13DB3"/>
    <w:rsid w:val="00B13DD9"/>
    <w:rsid w:val="00B13EFA"/>
    <w:rsid w:val="00B14018"/>
    <w:rsid w:val="00B14367"/>
    <w:rsid w:val="00B143AE"/>
    <w:rsid w:val="00B146A0"/>
    <w:rsid w:val="00B149B0"/>
    <w:rsid w:val="00B14C90"/>
    <w:rsid w:val="00B14E58"/>
    <w:rsid w:val="00B1542E"/>
    <w:rsid w:val="00B156F7"/>
    <w:rsid w:val="00B15829"/>
    <w:rsid w:val="00B158E5"/>
    <w:rsid w:val="00B15C30"/>
    <w:rsid w:val="00B15CDA"/>
    <w:rsid w:val="00B15EE0"/>
    <w:rsid w:val="00B15F51"/>
    <w:rsid w:val="00B166F9"/>
    <w:rsid w:val="00B1723C"/>
    <w:rsid w:val="00B17494"/>
    <w:rsid w:val="00B174DC"/>
    <w:rsid w:val="00B178F5"/>
    <w:rsid w:val="00B17E83"/>
    <w:rsid w:val="00B20812"/>
    <w:rsid w:val="00B20B0D"/>
    <w:rsid w:val="00B2107C"/>
    <w:rsid w:val="00B215D9"/>
    <w:rsid w:val="00B216FA"/>
    <w:rsid w:val="00B218CD"/>
    <w:rsid w:val="00B21A23"/>
    <w:rsid w:val="00B21A49"/>
    <w:rsid w:val="00B21BF5"/>
    <w:rsid w:val="00B21F7B"/>
    <w:rsid w:val="00B22114"/>
    <w:rsid w:val="00B22647"/>
    <w:rsid w:val="00B22A77"/>
    <w:rsid w:val="00B22D07"/>
    <w:rsid w:val="00B22E7F"/>
    <w:rsid w:val="00B23229"/>
    <w:rsid w:val="00B2333A"/>
    <w:rsid w:val="00B2357D"/>
    <w:rsid w:val="00B23986"/>
    <w:rsid w:val="00B23E27"/>
    <w:rsid w:val="00B23F84"/>
    <w:rsid w:val="00B2436A"/>
    <w:rsid w:val="00B24487"/>
    <w:rsid w:val="00B247C2"/>
    <w:rsid w:val="00B24862"/>
    <w:rsid w:val="00B24946"/>
    <w:rsid w:val="00B249B8"/>
    <w:rsid w:val="00B24C30"/>
    <w:rsid w:val="00B24CC3"/>
    <w:rsid w:val="00B252FC"/>
    <w:rsid w:val="00B2537F"/>
    <w:rsid w:val="00B255EE"/>
    <w:rsid w:val="00B25C05"/>
    <w:rsid w:val="00B25D0F"/>
    <w:rsid w:val="00B2699F"/>
    <w:rsid w:val="00B26C17"/>
    <w:rsid w:val="00B26D40"/>
    <w:rsid w:val="00B26D74"/>
    <w:rsid w:val="00B274B4"/>
    <w:rsid w:val="00B27603"/>
    <w:rsid w:val="00B27DB3"/>
    <w:rsid w:val="00B301B4"/>
    <w:rsid w:val="00B30320"/>
    <w:rsid w:val="00B3090A"/>
    <w:rsid w:val="00B30CE4"/>
    <w:rsid w:val="00B31571"/>
    <w:rsid w:val="00B316F0"/>
    <w:rsid w:val="00B31721"/>
    <w:rsid w:val="00B31B0B"/>
    <w:rsid w:val="00B31BB9"/>
    <w:rsid w:val="00B321BA"/>
    <w:rsid w:val="00B3231C"/>
    <w:rsid w:val="00B325C0"/>
    <w:rsid w:val="00B326D9"/>
    <w:rsid w:val="00B328F3"/>
    <w:rsid w:val="00B32EA7"/>
    <w:rsid w:val="00B335C4"/>
    <w:rsid w:val="00B33DD0"/>
    <w:rsid w:val="00B33DE1"/>
    <w:rsid w:val="00B33E0F"/>
    <w:rsid w:val="00B33F50"/>
    <w:rsid w:val="00B3404D"/>
    <w:rsid w:val="00B34104"/>
    <w:rsid w:val="00B3475D"/>
    <w:rsid w:val="00B347AA"/>
    <w:rsid w:val="00B34BFC"/>
    <w:rsid w:val="00B34E32"/>
    <w:rsid w:val="00B34E8E"/>
    <w:rsid w:val="00B35058"/>
    <w:rsid w:val="00B35153"/>
    <w:rsid w:val="00B3518D"/>
    <w:rsid w:val="00B35609"/>
    <w:rsid w:val="00B35B02"/>
    <w:rsid w:val="00B35F83"/>
    <w:rsid w:val="00B364CC"/>
    <w:rsid w:val="00B365E1"/>
    <w:rsid w:val="00B367D7"/>
    <w:rsid w:val="00B36AF6"/>
    <w:rsid w:val="00B36D37"/>
    <w:rsid w:val="00B37367"/>
    <w:rsid w:val="00B3776B"/>
    <w:rsid w:val="00B378A4"/>
    <w:rsid w:val="00B37E51"/>
    <w:rsid w:val="00B4029E"/>
    <w:rsid w:val="00B40575"/>
    <w:rsid w:val="00B40626"/>
    <w:rsid w:val="00B406B0"/>
    <w:rsid w:val="00B407DC"/>
    <w:rsid w:val="00B4087F"/>
    <w:rsid w:val="00B408EB"/>
    <w:rsid w:val="00B40909"/>
    <w:rsid w:val="00B40975"/>
    <w:rsid w:val="00B40AD8"/>
    <w:rsid w:val="00B40EBD"/>
    <w:rsid w:val="00B411C4"/>
    <w:rsid w:val="00B4168B"/>
    <w:rsid w:val="00B416F9"/>
    <w:rsid w:val="00B41BBE"/>
    <w:rsid w:val="00B41CBC"/>
    <w:rsid w:val="00B41EB2"/>
    <w:rsid w:val="00B41F2B"/>
    <w:rsid w:val="00B423DC"/>
    <w:rsid w:val="00B42EA6"/>
    <w:rsid w:val="00B42F33"/>
    <w:rsid w:val="00B433DB"/>
    <w:rsid w:val="00B43508"/>
    <w:rsid w:val="00B43615"/>
    <w:rsid w:val="00B4367B"/>
    <w:rsid w:val="00B438AF"/>
    <w:rsid w:val="00B439F7"/>
    <w:rsid w:val="00B43A7E"/>
    <w:rsid w:val="00B43CE0"/>
    <w:rsid w:val="00B43D93"/>
    <w:rsid w:val="00B440F8"/>
    <w:rsid w:val="00B4485F"/>
    <w:rsid w:val="00B44DDE"/>
    <w:rsid w:val="00B45364"/>
    <w:rsid w:val="00B454C6"/>
    <w:rsid w:val="00B4552B"/>
    <w:rsid w:val="00B455AF"/>
    <w:rsid w:val="00B455D8"/>
    <w:rsid w:val="00B45855"/>
    <w:rsid w:val="00B45CD7"/>
    <w:rsid w:val="00B461D8"/>
    <w:rsid w:val="00B46267"/>
    <w:rsid w:val="00B46603"/>
    <w:rsid w:val="00B46670"/>
    <w:rsid w:val="00B46770"/>
    <w:rsid w:val="00B46876"/>
    <w:rsid w:val="00B46941"/>
    <w:rsid w:val="00B46C39"/>
    <w:rsid w:val="00B46CAD"/>
    <w:rsid w:val="00B46D04"/>
    <w:rsid w:val="00B4713C"/>
    <w:rsid w:val="00B476FB"/>
    <w:rsid w:val="00B47835"/>
    <w:rsid w:val="00B47AFA"/>
    <w:rsid w:val="00B47B20"/>
    <w:rsid w:val="00B47F98"/>
    <w:rsid w:val="00B5002C"/>
    <w:rsid w:val="00B5002D"/>
    <w:rsid w:val="00B50362"/>
    <w:rsid w:val="00B50635"/>
    <w:rsid w:val="00B50B72"/>
    <w:rsid w:val="00B50D37"/>
    <w:rsid w:val="00B50FB2"/>
    <w:rsid w:val="00B51351"/>
    <w:rsid w:val="00B513AF"/>
    <w:rsid w:val="00B5198D"/>
    <w:rsid w:val="00B51B84"/>
    <w:rsid w:val="00B51DCD"/>
    <w:rsid w:val="00B51E1A"/>
    <w:rsid w:val="00B51ED9"/>
    <w:rsid w:val="00B5200C"/>
    <w:rsid w:val="00B5229C"/>
    <w:rsid w:val="00B5231F"/>
    <w:rsid w:val="00B5241B"/>
    <w:rsid w:val="00B52420"/>
    <w:rsid w:val="00B524B1"/>
    <w:rsid w:val="00B52568"/>
    <w:rsid w:val="00B528DF"/>
    <w:rsid w:val="00B52A05"/>
    <w:rsid w:val="00B52CC1"/>
    <w:rsid w:val="00B52F61"/>
    <w:rsid w:val="00B52FBE"/>
    <w:rsid w:val="00B5305F"/>
    <w:rsid w:val="00B5306D"/>
    <w:rsid w:val="00B53223"/>
    <w:rsid w:val="00B5364A"/>
    <w:rsid w:val="00B536CB"/>
    <w:rsid w:val="00B538A8"/>
    <w:rsid w:val="00B53AF9"/>
    <w:rsid w:val="00B53BAA"/>
    <w:rsid w:val="00B53E68"/>
    <w:rsid w:val="00B53F38"/>
    <w:rsid w:val="00B5422E"/>
    <w:rsid w:val="00B54261"/>
    <w:rsid w:val="00B54613"/>
    <w:rsid w:val="00B546C7"/>
    <w:rsid w:val="00B547BC"/>
    <w:rsid w:val="00B54898"/>
    <w:rsid w:val="00B54BF8"/>
    <w:rsid w:val="00B54C62"/>
    <w:rsid w:val="00B54C7E"/>
    <w:rsid w:val="00B54D30"/>
    <w:rsid w:val="00B54D9E"/>
    <w:rsid w:val="00B54F4F"/>
    <w:rsid w:val="00B555A0"/>
    <w:rsid w:val="00B55987"/>
    <w:rsid w:val="00B55B34"/>
    <w:rsid w:val="00B55C11"/>
    <w:rsid w:val="00B55D0F"/>
    <w:rsid w:val="00B561D9"/>
    <w:rsid w:val="00B566AB"/>
    <w:rsid w:val="00B56E6C"/>
    <w:rsid w:val="00B570D6"/>
    <w:rsid w:val="00B57643"/>
    <w:rsid w:val="00B57746"/>
    <w:rsid w:val="00B57E25"/>
    <w:rsid w:val="00B60000"/>
    <w:rsid w:val="00B602D2"/>
    <w:rsid w:val="00B60355"/>
    <w:rsid w:val="00B60697"/>
    <w:rsid w:val="00B6073E"/>
    <w:rsid w:val="00B608AE"/>
    <w:rsid w:val="00B609B5"/>
    <w:rsid w:val="00B6107E"/>
    <w:rsid w:val="00B61366"/>
    <w:rsid w:val="00B61517"/>
    <w:rsid w:val="00B6172F"/>
    <w:rsid w:val="00B6197F"/>
    <w:rsid w:val="00B619ED"/>
    <w:rsid w:val="00B61A51"/>
    <w:rsid w:val="00B61DC0"/>
    <w:rsid w:val="00B61DF6"/>
    <w:rsid w:val="00B6211F"/>
    <w:rsid w:val="00B62142"/>
    <w:rsid w:val="00B621BF"/>
    <w:rsid w:val="00B62308"/>
    <w:rsid w:val="00B628C7"/>
    <w:rsid w:val="00B62AE9"/>
    <w:rsid w:val="00B62B4B"/>
    <w:rsid w:val="00B62DCE"/>
    <w:rsid w:val="00B6304E"/>
    <w:rsid w:val="00B63073"/>
    <w:rsid w:val="00B6314F"/>
    <w:rsid w:val="00B633C2"/>
    <w:rsid w:val="00B637E2"/>
    <w:rsid w:val="00B638B9"/>
    <w:rsid w:val="00B63912"/>
    <w:rsid w:val="00B6395B"/>
    <w:rsid w:val="00B6430B"/>
    <w:rsid w:val="00B64887"/>
    <w:rsid w:val="00B64B4B"/>
    <w:rsid w:val="00B64BBA"/>
    <w:rsid w:val="00B655B5"/>
    <w:rsid w:val="00B657C1"/>
    <w:rsid w:val="00B65B75"/>
    <w:rsid w:val="00B66023"/>
    <w:rsid w:val="00B6604E"/>
    <w:rsid w:val="00B6613A"/>
    <w:rsid w:val="00B66608"/>
    <w:rsid w:val="00B6663C"/>
    <w:rsid w:val="00B6682C"/>
    <w:rsid w:val="00B66CC5"/>
    <w:rsid w:val="00B67106"/>
    <w:rsid w:val="00B67535"/>
    <w:rsid w:val="00B675EA"/>
    <w:rsid w:val="00B6772F"/>
    <w:rsid w:val="00B67B3A"/>
    <w:rsid w:val="00B67F55"/>
    <w:rsid w:val="00B67FBD"/>
    <w:rsid w:val="00B702EF"/>
    <w:rsid w:val="00B70487"/>
    <w:rsid w:val="00B704A4"/>
    <w:rsid w:val="00B70A28"/>
    <w:rsid w:val="00B70AF6"/>
    <w:rsid w:val="00B70B06"/>
    <w:rsid w:val="00B70B59"/>
    <w:rsid w:val="00B70B62"/>
    <w:rsid w:val="00B70BCC"/>
    <w:rsid w:val="00B70C09"/>
    <w:rsid w:val="00B70D97"/>
    <w:rsid w:val="00B712E4"/>
    <w:rsid w:val="00B7150F"/>
    <w:rsid w:val="00B71833"/>
    <w:rsid w:val="00B718F4"/>
    <w:rsid w:val="00B71931"/>
    <w:rsid w:val="00B719CF"/>
    <w:rsid w:val="00B71A84"/>
    <w:rsid w:val="00B71C91"/>
    <w:rsid w:val="00B71D61"/>
    <w:rsid w:val="00B71E11"/>
    <w:rsid w:val="00B71F12"/>
    <w:rsid w:val="00B71F19"/>
    <w:rsid w:val="00B71F3F"/>
    <w:rsid w:val="00B7244B"/>
    <w:rsid w:val="00B724E4"/>
    <w:rsid w:val="00B724EA"/>
    <w:rsid w:val="00B7299A"/>
    <w:rsid w:val="00B729E7"/>
    <w:rsid w:val="00B72B36"/>
    <w:rsid w:val="00B72D16"/>
    <w:rsid w:val="00B72D92"/>
    <w:rsid w:val="00B73156"/>
    <w:rsid w:val="00B73494"/>
    <w:rsid w:val="00B73665"/>
    <w:rsid w:val="00B736C8"/>
    <w:rsid w:val="00B7370C"/>
    <w:rsid w:val="00B73894"/>
    <w:rsid w:val="00B740C8"/>
    <w:rsid w:val="00B740D7"/>
    <w:rsid w:val="00B742D4"/>
    <w:rsid w:val="00B745A5"/>
    <w:rsid w:val="00B748D3"/>
    <w:rsid w:val="00B74D3A"/>
    <w:rsid w:val="00B7519F"/>
    <w:rsid w:val="00B75294"/>
    <w:rsid w:val="00B75414"/>
    <w:rsid w:val="00B754FC"/>
    <w:rsid w:val="00B7635D"/>
    <w:rsid w:val="00B7649F"/>
    <w:rsid w:val="00B76F4D"/>
    <w:rsid w:val="00B7727C"/>
    <w:rsid w:val="00B775EC"/>
    <w:rsid w:val="00B778AE"/>
    <w:rsid w:val="00B77A03"/>
    <w:rsid w:val="00B77A64"/>
    <w:rsid w:val="00B77B59"/>
    <w:rsid w:val="00B77CA4"/>
    <w:rsid w:val="00B77D82"/>
    <w:rsid w:val="00B80035"/>
    <w:rsid w:val="00B8004D"/>
    <w:rsid w:val="00B802D0"/>
    <w:rsid w:val="00B8085C"/>
    <w:rsid w:val="00B8089C"/>
    <w:rsid w:val="00B80B15"/>
    <w:rsid w:val="00B80B19"/>
    <w:rsid w:val="00B80C94"/>
    <w:rsid w:val="00B80E70"/>
    <w:rsid w:val="00B80FD9"/>
    <w:rsid w:val="00B81827"/>
    <w:rsid w:val="00B81C20"/>
    <w:rsid w:val="00B8220A"/>
    <w:rsid w:val="00B82435"/>
    <w:rsid w:val="00B82846"/>
    <w:rsid w:val="00B82869"/>
    <w:rsid w:val="00B829B5"/>
    <w:rsid w:val="00B829F3"/>
    <w:rsid w:val="00B82C3A"/>
    <w:rsid w:val="00B82CA1"/>
    <w:rsid w:val="00B82CE8"/>
    <w:rsid w:val="00B82EFE"/>
    <w:rsid w:val="00B82FF1"/>
    <w:rsid w:val="00B83094"/>
    <w:rsid w:val="00B8325E"/>
    <w:rsid w:val="00B83599"/>
    <w:rsid w:val="00B836D2"/>
    <w:rsid w:val="00B83AE1"/>
    <w:rsid w:val="00B83F20"/>
    <w:rsid w:val="00B83FC1"/>
    <w:rsid w:val="00B84315"/>
    <w:rsid w:val="00B84749"/>
    <w:rsid w:val="00B848D6"/>
    <w:rsid w:val="00B84E25"/>
    <w:rsid w:val="00B84FE7"/>
    <w:rsid w:val="00B855BA"/>
    <w:rsid w:val="00B856A5"/>
    <w:rsid w:val="00B85A61"/>
    <w:rsid w:val="00B85D05"/>
    <w:rsid w:val="00B85E38"/>
    <w:rsid w:val="00B8658F"/>
    <w:rsid w:val="00B865F6"/>
    <w:rsid w:val="00B86897"/>
    <w:rsid w:val="00B86A05"/>
    <w:rsid w:val="00B86B1F"/>
    <w:rsid w:val="00B8726C"/>
    <w:rsid w:val="00B87482"/>
    <w:rsid w:val="00B87555"/>
    <w:rsid w:val="00B875B2"/>
    <w:rsid w:val="00B8780C"/>
    <w:rsid w:val="00B878C0"/>
    <w:rsid w:val="00B87911"/>
    <w:rsid w:val="00B8794C"/>
    <w:rsid w:val="00B87C08"/>
    <w:rsid w:val="00B87C67"/>
    <w:rsid w:val="00B87F76"/>
    <w:rsid w:val="00B90406"/>
    <w:rsid w:val="00B909DA"/>
    <w:rsid w:val="00B914C3"/>
    <w:rsid w:val="00B915C1"/>
    <w:rsid w:val="00B91C78"/>
    <w:rsid w:val="00B91E63"/>
    <w:rsid w:val="00B92266"/>
    <w:rsid w:val="00B92B2D"/>
    <w:rsid w:val="00B92CDF"/>
    <w:rsid w:val="00B92DF7"/>
    <w:rsid w:val="00B92E27"/>
    <w:rsid w:val="00B92FC3"/>
    <w:rsid w:val="00B9337F"/>
    <w:rsid w:val="00B9352A"/>
    <w:rsid w:val="00B93843"/>
    <w:rsid w:val="00B93A25"/>
    <w:rsid w:val="00B93DB2"/>
    <w:rsid w:val="00B93EEC"/>
    <w:rsid w:val="00B93F6B"/>
    <w:rsid w:val="00B940AC"/>
    <w:rsid w:val="00B94562"/>
    <w:rsid w:val="00B94DA7"/>
    <w:rsid w:val="00B9539D"/>
    <w:rsid w:val="00B95421"/>
    <w:rsid w:val="00B954BA"/>
    <w:rsid w:val="00B958B1"/>
    <w:rsid w:val="00B95A34"/>
    <w:rsid w:val="00B95F0F"/>
    <w:rsid w:val="00B9620B"/>
    <w:rsid w:val="00B96378"/>
    <w:rsid w:val="00B96393"/>
    <w:rsid w:val="00B96611"/>
    <w:rsid w:val="00B96702"/>
    <w:rsid w:val="00B96A3A"/>
    <w:rsid w:val="00B96B40"/>
    <w:rsid w:val="00B96E86"/>
    <w:rsid w:val="00B96F56"/>
    <w:rsid w:val="00B96FB5"/>
    <w:rsid w:val="00B9706C"/>
    <w:rsid w:val="00B97203"/>
    <w:rsid w:val="00B9726D"/>
    <w:rsid w:val="00B975DD"/>
    <w:rsid w:val="00B9760E"/>
    <w:rsid w:val="00B976E0"/>
    <w:rsid w:val="00B977DA"/>
    <w:rsid w:val="00B9781A"/>
    <w:rsid w:val="00B97866"/>
    <w:rsid w:val="00B97A1E"/>
    <w:rsid w:val="00B97A23"/>
    <w:rsid w:val="00B97CEC"/>
    <w:rsid w:val="00B97D51"/>
    <w:rsid w:val="00B97D8C"/>
    <w:rsid w:val="00B97F64"/>
    <w:rsid w:val="00B97FB3"/>
    <w:rsid w:val="00BA0240"/>
    <w:rsid w:val="00BA056B"/>
    <w:rsid w:val="00BA0756"/>
    <w:rsid w:val="00BA09FB"/>
    <w:rsid w:val="00BA0B31"/>
    <w:rsid w:val="00BA0D7A"/>
    <w:rsid w:val="00BA100C"/>
    <w:rsid w:val="00BA1658"/>
    <w:rsid w:val="00BA168F"/>
    <w:rsid w:val="00BA19A7"/>
    <w:rsid w:val="00BA1CCF"/>
    <w:rsid w:val="00BA20EE"/>
    <w:rsid w:val="00BA239E"/>
    <w:rsid w:val="00BA24E9"/>
    <w:rsid w:val="00BA2507"/>
    <w:rsid w:val="00BA25A8"/>
    <w:rsid w:val="00BA262E"/>
    <w:rsid w:val="00BA297B"/>
    <w:rsid w:val="00BA2D8A"/>
    <w:rsid w:val="00BA3030"/>
    <w:rsid w:val="00BA37CB"/>
    <w:rsid w:val="00BA3AC3"/>
    <w:rsid w:val="00BA3DC2"/>
    <w:rsid w:val="00BA446E"/>
    <w:rsid w:val="00BA45FF"/>
    <w:rsid w:val="00BA46A2"/>
    <w:rsid w:val="00BA4A07"/>
    <w:rsid w:val="00BA4ACC"/>
    <w:rsid w:val="00BA4B6C"/>
    <w:rsid w:val="00BA5987"/>
    <w:rsid w:val="00BA611C"/>
    <w:rsid w:val="00BA62C1"/>
    <w:rsid w:val="00BA6336"/>
    <w:rsid w:val="00BA694A"/>
    <w:rsid w:val="00BA6B1B"/>
    <w:rsid w:val="00BA6B1D"/>
    <w:rsid w:val="00BA6D83"/>
    <w:rsid w:val="00BA6F60"/>
    <w:rsid w:val="00BA704B"/>
    <w:rsid w:val="00BA70DA"/>
    <w:rsid w:val="00BA7284"/>
    <w:rsid w:val="00BA7315"/>
    <w:rsid w:val="00BA7BB6"/>
    <w:rsid w:val="00BA7C89"/>
    <w:rsid w:val="00BA7FEA"/>
    <w:rsid w:val="00BB0CBE"/>
    <w:rsid w:val="00BB0D56"/>
    <w:rsid w:val="00BB1215"/>
    <w:rsid w:val="00BB13A7"/>
    <w:rsid w:val="00BB1684"/>
    <w:rsid w:val="00BB1A31"/>
    <w:rsid w:val="00BB1C8D"/>
    <w:rsid w:val="00BB209C"/>
    <w:rsid w:val="00BB20C8"/>
    <w:rsid w:val="00BB237D"/>
    <w:rsid w:val="00BB2A86"/>
    <w:rsid w:val="00BB2AB1"/>
    <w:rsid w:val="00BB2F18"/>
    <w:rsid w:val="00BB3348"/>
    <w:rsid w:val="00BB3428"/>
    <w:rsid w:val="00BB3D83"/>
    <w:rsid w:val="00BB3E1B"/>
    <w:rsid w:val="00BB3F45"/>
    <w:rsid w:val="00BB4AFF"/>
    <w:rsid w:val="00BB4BE5"/>
    <w:rsid w:val="00BB4C2A"/>
    <w:rsid w:val="00BB50ED"/>
    <w:rsid w:val="00BB50F9"/>
    <w:rsid w:val="00BB57F4"/>
    <w:rsid w:val="00BB599A"/>
    <w:rsid w:val="00BB59C2"/>
    <w:rsid w:val="00BB5A53"/>
    <w:rsid w:val="00BB5A63"/>
    <w:rsid w:val="00BB5CF5"/>
    <w:rsid w:val="00BB5D64"/>
    <w:rsid w:val="00BB5F06"/>
    <w:rsid w:val="00BB61E9"/>
    <w:rsid w:val="00BB64B9"/>
    <w:rsid w:val="00BB661F"/>
    <w:rsid w:val="00BB665E"/>
    <w:rsid w:val="00BB684C"/>
    <w:rsid w:val="00BB6ED0"/>
    <w:rsid w:val="00BB71F5"/>
    <w:rsid w:val="00BB7310"/>
    <w:rsid w:val="00BB759C"/>
    <w:rsid w:val="00BB7723"/>
    <w:rsid w:val="00BB78D1"/>
    <w:rsid w:val="00BB79AB"/>
    <w:rsid w:val="00BB7A45"/>
    <w:rsid w:val="00BB7CD5"/>
    <w:rsid w:val="00BB7F0B"/>
    <w:rsid w:val="00BC015D"/>
    <w:rsid w:val="00BC03EF"/>
    <w:rsid w:val="00BC05A7"/>
    <w:rsid w:val="00BC08F8"/>
    <w:rsid w:val="00BC0A1B"/>
    <w:rsid w:val="00BC0BFD"/>
    <w:rsid w:val="00BC0E48"/>
    <w:rsid w:val="00BC0E95"/>
    <w:rsid w:val="00BC0F87"/>
    <w:rsid w:val="00BC10D4"/>
    <w:rsid w:val="00BC1357"/>
    <w:rsid w:val="00BC14A9"/>
    <w:rsid w:val="00BC1515"/>
    <w:rsid w:val="00BC1D00"/>
    <w:rsid w:val="00BC1D16"/>
    <w:rsid w:val="00BC1D46"/>
    <w:rsid w:val="00BC1F36"/>
    <w:rsid w:val="00BC2298"/>
    <w:rsid w:val="00BC230C"/>
    <w:rsid w:val="00BC2449"/>
    <w:rsid w:val="00BC24D8"/>
    <w:rsid w:val="00BC267A"/>
    <w:rsid w:val="00BC26CA"/>
    <w:rsid w:val="00BC2A13"/>
    <w:rsid w:val="00BC2A9C"/>
    <w:rsid w:val="00BC2D7E"/>
    <w:rsid w:val="00BC2FC7"/>
    <w:rsid w:val="00BC32CB"/>
    <w:rsid w:val="00BC32DD"/>
    <w:rsid w:val="00BC334D"/>
    <w:rsid w:val="00BC3389"/>
    <w:rsid w:val="00BC3491"/>
    <w:rsid w:val="00BC3494"/>
    <w:rsid w:val="00BC3926"/>
    <w:rsid w:val="00BC3C99"/>
    <w:rsid w:val="00BC3F57"/>
    <w:rsid w:val="00BC4122"/>
    <w:rsid w:val="00BC42F0"/>
    <w:rsid w:val="00BC4667"/>
    <w:rsid w:val="00BC48DB"/>
    <w:rsid w:val="00BC4944"/>
    <w:rsid w:val="00BC5332"/>
    <w:rsid w:val="00BC5490"/>
    <w:rsid w:val="00BC59A8"/>
    <w:rsid w:val="00BC5E03"/>
    <w:rsid w:val="00BC5E69"/>
    <w:rsid w:val="00BC5EA9"/>
    <w:rsid w:val="00BC6348"/>
    <w:rsid w:val="00BC639D"/>
    <w:rsid w:val="00BC63D2"/>
    <w:rsid w:val="00BC67CF"/>
    <w:rsid w:val="00BC69CB"/>
    <w:rsid w:val="00BC7047"/>
    <w:rsid w:val="00BC7286"/>
    <w:rsid w:val="00BC7E3D"/>
    <w:rsid w:val="00BD0D3E"/>
    <w:rsid w:val="00BD1305"/>
    <w:rsid w:val="00BD15BC"/>
    <w:rsid w:val="00BD184B"/>
    <w:rsid w:val="00BD1B52"/>
    <w:rsid w:val="00BD1BD3"/>
    <w:rsid w:val="00BD1E4F"/>
    <w:rsid w:val="00BD2145"/>
    <w:rsid w:val="00BD2358"/>
    <w:rsid w:val="00BD2376"/>
    <w:rsid w:val="00BD25DE"/>
    <w:rsid w:val="00BD25F3"/>
    <w:rsid w:val="00BD2984"/>
    <w:rsid w:val="00BD2B4E"/>
    <w:rsid w:val="00BD2C2A"/>
    <w:rsid w:val="00BD2E96"/>
    <w:rsid w:val="00BD32E3"/>
    <w:rsid w:val="00BD3302"/>
    <w:rsid w:val="00BD36F8"/>
    <w:rsid w:val="00BD3933"/>
    <w:rsid w:val="00BD3B91"/>
    <w:rsid w:val="00BD3E78"/>
    <w:rsid w:val="00BD4128"/>
    <w:rsid w:val="00BD4232"/>
    <w:rsid w:val="00BD42BF"/>
    <w:rsid w:val="00BD460B"/>
    <w:rsid w:val="00BD4A6C"/>
    <w:rsid w:val="00BD4F38"/>
    <w:rsid w:val="00BD5233"/>
    <w:rsid w:val="00BD5266"/>
    <w:rsid w:val="00BD541E"/>
    <w:rsid w:val="00BD58EB"/>
    <w:rsid w:val="00BD5AAB"/>
    <w:rsid w:val="00BD5C1E"/>
    <w:rsid w:val="00BD5FCE"/>
    <w:rsid w:val="00BD60BE"/>
    <w:rsid w:val="00BD68D1"/>
    <w:rsid w:val="00BD6F7E"/>
    <w:rsid w:val="00BD702F"/>
    <w:rsid w:val="00BD714B"/>
    <w:rsid w:val="00BD724E"/>
    <w:rsid w:val="00BD74DB"/>
    <w:rsid w:val="00BD775D"/>
    <w:rsid w:val="00BD7C84"/>
    <w:rsid w:val="00BD7CCA"/>
    <w:rsid w:val="00BD7CD5"/>
    <w:rsid w:val="00BD7E2D"/>
    <w:rsid w:val="00BD7F40"/>
    <w:rsid w:val="00BD7F95"/>
    <w:rsid w:val="00BE0055"/>
    <w:rsid w:val="00BE0276"/>
    <w:rsid w:val="00BE0463"/>
    <w:rsid w:val="00BE07ED"/>
    <w:rsid w:val="00BE09AA"/>
    <w:rsid w:val="00BE0A85"/>
    <w:rsid w:val="00BE0CC5"/>
    <w:rsid w:val="00BE0F2F"/>
    <w:rsid w:val="00BE1391"/>
    <w:rsid w:val="00BE14FD"/>
    <w:rsid w:val="00BE161E"/>
    <w:rsid w:val="00BE1BED"/>
    <w:rsid w:val="00BE1CA0"/>
    <w:rsid w:val="00BE1E8F"/>
    <w:rsid w:val="00BE2262"/>
    <w:rsid w:val="00BE2453"/>
    <w:rsid w:val="00BE2474"/>
    <w:rsid w:val="00BE29B5"/>
    <w:rsid w:val="00BE2CCC"/>
    <w:rsid w:val="00BE30C0"/>
    <w:rsid w:val="00BE30DB"/>
    <w:rsid w:val="00BE3235"/>
    <w:rsid w:val="00BE336B"/>
    <w:rsid w:val="00BE3389"/>
    <w:rsid w:val="00BE35A9"/>
    <w:rsid w:val="00BE35AB"/>
    <w:rsid w:val="00BE35EF"/>
    <w:rsid w:val="00BE3725"/>
    <w:rsid w:val="00BE37C1"/>
    <w:rsid w:val="00BE3FBF"/>
    <w:rsid w:val="00BE423D"/>
    <w:rsid w:val="00BE462D"/>
    <w:rsid w:val="00BE4873"/>
    <w:rsid w:val="00BE4A8B"/>
    <w:rsid w:val="00BE4CE1"/>
    <w:rsid w:val="00BE5140"/>
    <w:rsid w:val="00BE596A"/>
    <w:rsid w:val="00BE5B6E"/>
    <w:rsid w:val="00BE5C36"/>
    <w:rsid w:val="00BE6588"/>
    <w:rsid w:val="00BE66B9"/>
    <w:rsid w:val="00BE6AC2"/>
    <w:rsid w:val="00BE6AFD"/>
    <w:rsid w:val="00BE6B9F"/>
    <w:rsid w:val="00BE6DEB"/>
    <w:rsid w:val="00BE6F67"/>
    <w:rsid w:val="00BE72C1"/>
    <w:rsid w:val="00BE787B"/>
    <w:rsid w:val="00BE7975"/>
    <w:rsid w:val="00BE7D3C"/>
    <w:rsid w:val="00BE7DFC"/>
    <w:rsid w:val="00BF0277"/>
    <w:rsid w:val="00BF0604"/>
    <w:rsid w:val="00BF086B"/>
    <w:rsid w:val="00BF0BC2"/>
    <w:rsid w:val="00BF0BFE"/>
    <w:rsid w:val="00BF137C"/>
    <w:rsid w:val="00BF13B2"/>
    <w:rsid w:val="00BF14C0"/>
    <w:rsid w:val="00BF1580"/>
    <w:rsid w:val="00BF1A38"/>
    <w:rsid w:val="00BF1A50"/>
    <w:rsid w:val="00BF1D63"/>
    <w:rsid w:val="00BF1FC4"/>
    <w:rsid w:val="00BF2678"/>
    <w:rsid w:val="00BF285E"/>
    <w:rsid w:val="00BF2E0E"/>
    <w:rsid w:val="00BF2EA8"/>
    <w:rsid w:val="00BF2FB4"/>
    <w:rsid w:val="00BF34AC"/>
    <w:rsid w:val="00BF34E8"/>
    <w:rsid w:val="00BF353B"/>
    <w:rsid w:val="00BF36CD"/>
    <w:rsid w:val="00BF373A"/>
    <w:rsid w:val="00BF3C06"/>
    <w:rsid w:val="00BF3C73"/>
    <w:rsid w:val="00BF3C84"/>
    <w:rsid w:val="00BF3FA0"/>
    <w:rsid w:val="00BF40FB"/>
    <w:rsid w:val="00BF4353"/>
    <w:rsid w:val="00BF4E4D"/>
    <w:rsid w:val="00BF52CE"/>
    <w:rsid w:val="00BF5426"/>
    <w:rsid w:val="00BF542F"/>
    <w:rsid w:val="00BF5653"/>
    <w:rsid w:val="00BF5770"/>
    <w:rsid w:val="00BF5789"/>
    <w:rsid w:val="00BF59ED"/>
    <w:rsid w:val="00BF5B06"/>
    <w:rsid w:val="00BF5E24"/>
    <w:rsid w:val="00BF5F46"/>
    <w:rsid w:val="00BF6278"/>
    <w:rsid w:val="00BF62B8"/>
    <w:rsid w:val="00BF663B"/>
    <w:rsid w:val="00BF6A3E"/>
    <w:rsid w:val="00BF6C24"/>
    <w:rsid w:val="00BF7357"/>
    <w:rsid w:val="00BF753A"/>
    <w:rsid w:val="00BF79B5"/>
    <w:rsid w:val="00BF7B33"/>
    <w:rsid w:val="00BF7FB0"/>
    <w:rsid w:val="00C001AF"/>
    <w:rsid w:val="00C0038F"/>
    <w:rsid w:val="00C00A15"/>
    <w:rsid w:val="00C00B1E"/>
    <w:rsid w:val="00C00B2E"/>
    <w:rsid w:val="00C00FFA"/>
    <w:rsid w:val="00C01229"/>
    <w:rsid w:val="00C01924"/>
    <w:rsid w:val="00C01A5D"/>
    <w:rsid w:val="00C01D38"/>
    <w:rsid w:val="00C01E9B"/>
    <w:rsid w:val="00C0207E"/>
    <w:rsid w:val="00C0209B"/>
    <w:rsid w:val="00C023F3"/>
    <w:rsid w:val="00C02547"/>
    <w:rsid w:val="00C029DB"/>
    <w:rsid w:val="00C029E2"/>
    <w:rsid w:val="00C02A8C"/>
    <w:rsid w:val="00C02D5A"/>
    <w:rsid w:val="00C02FAA"/>
    <w:rsid w:val="00C03002"/>
    <w:rsid w:val="00C033A1"/>
    <w:rsid w:val="00C03695"/>
    <w:rsid w:val="00C03745"/>
    <w:rsid w:val="00C03792"/>
    <w:rsid w:val="00C03B43"/>
    <w:rsid w:val="00C03E49"/>
    <w:rsid w:val="00C03F65"/>
    <w:rsid w:val="00C040EB"/>
    <w:rsid w:val="00C041F5"/>
    <w:rsid w:val="00C04327"/>
    <w:rsid w:val="00C0438C"/>
    <w:rsid w:val="00C04577"/>
    <w:rsid w:val="00C04C29"/>
    <w:rsid w:val="00C04DF4"/>
    <w:rsid w:val="00C054B6"/>
    <w:rsid w:val="00C055E9"/>
    <w:rsid w:val="00C057D9"/>
    <w:rsid w:val="00C05D3B"/>
    <w:rsid w:val="00C06018"/>
    <w:rsid w:val="00C062B3"/>
    <w:rsid w:val="00C06A1D"/>
    <w:rsid w:val="00C071A5"/>
    <w:rsid w:val="00C07330"/>
    <w:rsid w:val="00C076EA"/>
    <w:rsid w:val="00C076FD"/>
    <w:rsid w:val="00C07835"/>
    <w:rsid w:val="00C07A42"/>
    <w:rsid w:val="00C07F67"/>
    <w:rsid w:val="00C102D5"/>
    <w:rsid w:val="00C107BE"/>
    <w:rsid w:val="00C108E1"/>
    <w:rsid w:val="00C1090B"/>
    <w:rsid w:val="00C10BC0"/>
    <w:rsid w:val="00C10D61"/>
    <w:rsid w:val="00C10D97"/>
    <w:rsid w:val="00C10EC2"/>
    <w:rsid w:val="00C10EFA"/>
    <w:rsid w:val="00C10F75"/>
    <w:rsid w:val="00C11055"/>
    <w:rsid w:val="00C1135E"/>
    <w:rsid w:val="00C11674"/>
    <w:rsid w:val="00C11724"/>
    <w:rsid w:val="00C11943"/>
    <w:rsid w:val="00C11EC3"/>
    <w:rsid w:val="00C12014"/>
    <w:rsid w:val="00C12148"/>
    <w:rsid w:val="00C12347"/>
    <w:rsid w:val="00C12673"/>
    <w:rsid w:val="00C12719"/>
    <w:rsid w:val="00C12774"/>
    <w:rsid w:val="00C127ED"/>
    <w:rsid w:val="00C12972"/>
    <w:rsid w:val="00C129C3"/>
    <w:rsid w:val="00C12CE6"/>
    <w:rsid w:val="00C13200"/>
    <w:rsid w:val="00C13377"/>
    <w:rsid w:val="00C1338F"/>
    <w:rsid w:val="00C1400F"/>
    <w:rsid w:val="00C14639"/>
    <w:rsid w:val="00C1474E"/>
    <w:rsid w:val="00C1482F"/>
    <w:rsid w:val="00C1523A"/>
    <w:rsid w:val="00C157EB"/>
    <w:rsid w:val="00C15A02"/>
    <w:rsid w:val="00C15AC7"/>
    <w:rsid w:val="00C15C9B"/>
    <w:rsid w:val="00C15F14"/>
    <w:rsid w:val="00C160DD"/>
    <w:rsid w:val="00C161AF"/>
    <w:rsid w:val="00C16644"/>
    <w:rsid w:val="00C166C5"/>
    <w:rsid w:val="00C16CCC"/>
    <w:rsid w:val="00C16F74"/>
    <w:rsid w:val="00C17089"/>
    <w:rsid w:val="00C17257"/>
    <w:rsid w:val="00C17926"/>
    <w:rsid w:val="00C17C2E"/>
    <w:rsid w:val="00C17DF3"/>
    <w:rsid w:val="00C17F79"/>
    <w:rsid w:val="00C2000D"/>
    <w:rsid w:val="00C200FB"/>
    <w:rsid w:val="00C208CC"/>
    <w:rsid w:val="00C2122E"/>
    <w:rsid w:val="00C2137D"/>
    <w:rsid w:val="00C213A1"/>
    <w:rsid w:val="00C213E6"/>
    <w:rsid w:val="00C2151E"/>
    <w:rsid w:val="00C21620"/>
    <w:rsid w:val="00C21762"/>
    <w:rsid w:val="00C218F7"/>
    <w:rsid w:val="00C21994"/>
    <w:rsid w:val="00C21A89"/>
    <w:rsid w:val="00C21F34"/>
    <w:rsid w:val="00C223C4"/>
    <w:rsid w:val="00C2254B"/>
    <w:rsid w:val="00C233B5"/>
    <w:rsid w:val="00C234BF"/>
    <w:rsid w:val="00C236AB"/>
    <w:rsid w:val="00C2385F"/>
    <w:rsid w:val="00C23BAE"/>
    <w:rsid w:val="00C2445D"/>
    <w:rsid w:val="00C244D5"/>
    <w:rsid w:val="00C246BF"/>
    <w:rsid w:val="00C24731"/>
    <w:rsid w:val="00C248E9"/>
    <w:rsid w:val="00C24D1D"/>
    <w:rsid w:val="00C24DAF"/>
    <w:rsid w:val="00C24E2A"/>
    <w:rsid w:val="00C24FAC"/>
    <w:rsid w:val="00C256FF"/>
    <w:rsid w:val="00C259C3"/>
    <w:rsid w:val="00C25A1F"/>
    <w:rsid w:val="00C25AA5"/>
    <w:rsid w:val="00C25D9F"/>
    <w:rsid w:val="00C25E19"/>
    <w:rsid w:val="00C25E88"/>
    <w:rsid w:val="00C25EE6"/>
    <w:rsid w:val="00C26086"/>
    <w:rsid w:val="00C261AD"/>
    <w:rsid w:val="00C2620B"/>
    <w:rsid w:val="00C2643D"/>
    <w:rsid w:val="00C264DE"/>
    <w:rsid w:val="00C26772"/>
    <w:rsid w:val="00C26BD0"/>
    <w:rsid w:val="00C26D3F"/>
    <w:rsid w:val="00C27203"/>
    <w:rsid w:val="00C27212"/>
    <w:rsid w:val="00C2726B"/>
    <w:rsid w:val="00C276A0"/>
    <w:rsid w:val="00C2777D"/>
    <w:rsid w:val="00C27C81"/>
    <w:rsid w:val="00C27E05"/>
    <w:rsid w:val="00C30022"/>
    <w:rsid w:val="00C30055"/>
    <w:rsid w:val="00C3049A"/>
    <w:rsid w:val="00C312D2"/>
    <w:rsid w:val="00C315B1"/>
    <w:rsid w:val="00C3164A"/>
    <w:rsid w:val="00C31B88"/>
    <w:rsid w:val="00C31EDD"/>
    <w:rsid w:val="00C321FE"/>
    <w:rsid w:val="00C3282B"/>
    <w:rsid w:val="00C32A20"/>
    <w:rsid w:val="00C32B63"/>
    <w:rsid w:val="00C32D40"/>
    <w:rsid w:val="00C3321F"/>
    <w:rsid w:val="00C3326F"/>
    <w:rsid w:val="00C332C2"/>
    <w:rsid w:val="00C332D7"/>
    <w:rsid w:val="00C332ED"/>
    <w:rsid w:val="00C333E0"/>
    <w:rsid w:val="00C334BF"/>
    <w:rsid w:val="00C3355D"/>
    <w:rsid w:val="00C336A6"/>
    <w:rsid w:val="00C33ED6"/>
    <w:rsid w:val="00C33F2D"/>
    <w:rsid w:val="00C3400A"/>
    <w:rsid w:val="00C3413E"/>
    <w:rsid w:val="00C34B2D"/>
    <w:rsid w:val="00C34DB2"/>
    <w:rsid w:val="00C34E2C"/>
    <w:rsid w:val="00C35566"/>
    <w:rsid w:val="00C359A9"/>
    <w:rsid w:val="00C35B72"/>
    <w:rsid w:val="00C35DF6"/>
    <w:rsid w:val="00C360FF"/>
    <w:rsid w:val="00C36214"/>
    <w:rsid w:val="00C362A7"/>
    <w:rsid w:val="00C3633B"/>
    <w:rsid w:val="00C36389"/>
    <w:rsid w:val="00C363E2"/>
    <w:rsid w:val="00C366A4"/>
    <w:rsid w:val="00C366C8"/>
    <w:rsid w:val="00C36B9D"/>
    <w:rsid w:val="00C36C30"/>
    <w:rsid w:val="00C36EF1"/>
    <w:rsid w:val="00C36FA3"/>
    <w:rsid w:val="00C36FF4"/>
    <w:rsid w:val="00C37BEB"/>
    <w:rsid w:val="00C37C01"/>
    <w:rsid w:val="00C37D81"/>
    <w:rsid w:val="00C40073"/>
    <w:rsid w:val="00C404E5"/>
    <w:rsid w:val="00C405C8"/>
    <w:rsid w:val="00C40931"/>
    <w:rsid w:val="00C40B4E"/>
    <w:rsid w:val="00C40C34"/>
    <w:rsid w:val="00C40C64"/>
    <w:rsid w:val="00C410AD"/>
    <w:rsid w:val="00C4138B"/>
    <w:rsid w:val="00C416A6"/>
    <w:rsid w:val="00C419EB"/>
    <w:rsid w:val="00C41C50"/>
    <w:rsid w:val="00C41D07"/>
    <w:rsid w:val="00C42066"/>
    <w:rsid w:val="00C42322"/>
    <w:rsid w:val="00C423A3"/>
    <w:rsid w:val="00C42695"/>
    <w:rsid w:val="00C4281A"/>
    <w:rsid w:val="00C43316"/>
    <w:rsid w:val="00C434A8"/>
    <w:rsid w:val="00C4382C"/>
    <w:rsid w:val="00C43E3F"/>
    <w:rsid w:val="00C4441C"/>
    <w:rsid w:val="00C445D5"/>
    <w:rsid w:val="00C446FB"/>
    <w:rsid w:val="00C449A7"/>
    <w:rsid w:val="00C44C55"/>
    <w:rsid w:val="00C44CB6"/>
    <w:rsid w:val="00C45102"/>
    <w:rsid w:val="00C45217"/>
    <w:rsid w:val="00C45656"/>
    <w:rsid w:val="00C45ACB"/>
    <w:rsid w:val="00C45BD1"/>
    <w:rsid w:val="00C46082"/>
    <w:rsid w:val="00C46109"/>
    <w:rsid w:val="00C46355"/>
    <w:rsid w:val="00C46430"/>
    <w:rsid w:val="00C46603"/>
    <w:rsid w:val="00C46637"/>
    <w:rsid w:val="00C46AD7"/>
    <w:rsid w:val="00C46C00"/>
    <w:rsid w:val="00C46C60"/>
    <w:rsid w:val="00C46D9B"/>
    <w:rsid w:val="00C470C2"/>
    <w:rsid w:val="00C4726E"/>
    <w:rsid w:val="00C47790"/>
    <w:rsid w:val="00C47B39"/>
    <w:rsid w:val="00C47E06"/>
    <w:rsid w:val="00C500DD"/>
    <w:rsid w:val="00C507EB"/>
    <w:rsid w:val="00C50B52"/>
    <w:rsid w:val="00C50FBD"/>
    <w:rsid w:val="00C512E7"/>
    <w:rsid w:val="00C51593"/>
    <w:rsid w:val="00C5176F"/>
    <w:rsid w:val="00C51EAD"/>
    <w:rsid w:val="00C52118"/>
    <w:rsid w:val="00C5230A"/>
    <w:rsid w:val="00C52371"/>
    <w:rsid w:val="00C532B0"/>
    <w:rsid w:val="00C53313"/>
    <w:rsid w:val="00C53529"/>
    <w:rsid w:val="00C53709"/>
    <w:rsid w:val="00C53CD9"/>
    <w:rsid w:val="00C53EE1"/>
    <w:rsid w:val="00C53EFD"/>
    <w:rsid w:val="00C5429A"/>
    <w:rsid w:val="00C542F9"/>
    <w:rsid w:val="00C5446C"/>
    <w:rsid w:val="00C54904"/>
    <w:rsid w:val="00C54A8B"/>
    <w:rsid w:val="00C54BC8"/>
    <w:rsid w:val="00C550C2"/>
    <w:rsid w:val="00C554EA"/>
    <w:rsid w:val="00C5560E"/>
    <w:rsid w:val="00C55E54"/>
    <w:rsid w:val="00C56341"/>
    <w:rsid w:val="00C564E0"/>
    <w:rsid w:val="00C56508"/>
    <w:rsid w:val="00C5651E"/>
    <w:rsid w:val="00C56921"/>
    <w:rsid w:val="00C56B74"/>
    <w:rsid w:val="00C56CF5"/>
    <w:rsid w:val="00C578D4"/>
    <w:rsid w:val="00C5793A"/>
    <w:rsid w:val="00C57E82"/>
    <w:rsid w:val="00C60147"/>
    <w:rsid w:val="00C601CC"/>
    <w:rsid w:val="00C605FE"/>
    <w:rsid w:val="00C610B8"/>
    <w:rsid w:val="00C616AF"/>
    <w:rsid w:val="00C617D2"/>
    <w:rsid w:val="00C618C2"/>
    <w:rsid w:val="00C6197E"/>
    <w:rsid w:val="00C61996"/>
    <w:rsid w:val="00C62421"/>
    <w:rsid w:val="00C6266B"/>
    <w:rsid w:val="00C62ACD"/>
    <w:rsid w:val="00C62BC2"/>
    <w:rsid w:val="00C62D8F"/>
    <w:rsid w:val="00C62DD3"/>
    <w:rsid w:val="00C6304D"/>
    <w:rsid w:val="00C63971"/>
    <w:rsid w:val="00C63F32"/>
    <w:rsid w:val="00C64439"/>
    <w:rsid w:val="00C64550"/>
    <w:rsid w:val="00C64A17"/>
    <w:rsid w:val="00C6508B"/>
    <w:rsid w:val="00C6510E"/>
    <w:rsid w:val="00C65214"/>
    <w:rsid w:val="00C65496"/>
    <w:rsid w:val="00C656BE"/>
    <w:rsid w:val="00C65B43"/>
    <w:rsid w:val="00C65BD7"/>
    <w:rsid w:val="00C662D2"/>
    <w:rsid w:val="00C66907"/>
    <w:rsid w:val="00C66A51"/>
    <w:rsid w:val="00C66B36"/>
    <w:rsid w:val="00C66E0A"/>
    <w:rsid w:val="00C66EDE"/>
    <w:rsid w:val="00C67CFF"/>
    <w:rsid w:val="00C67D84"/>
    <w:rsid w:val="00C701D3"/>
    <w:rsid w:val="00C7069D"/>
    <w:rsid w:val="00C70957"/>
    <w:rsid w:val="00C70A2D"/>
    <w:rsid w:val="00C70A67"/>
    <w:rsid w:val="00C70A98"/>
    <w:rsid w:val="00C710B1"/>
    <w:rsid w:val="00C71216"/>
    <w:rsid w:val="00C71578"/>
    <w:rsid w:val="00C716F6"/>
    <w:rsid w:val="00C71724"/>
    <w:rsid w:val="00C717B2"/>
    <w:rsid w:val="00C71C52"/>
    <w:rsid w:val="00C71E23"/>
    <w:rsid w:val="00C71E5C"/>
    <w:rsid w:val="00C720ED"/>
    <w:rsid w:val="00C729E6"/>
    <w:rsid w:val="00C72DBD"/>
    <w:rsid w:val="00C72F2E"/>
    <w:rsid w:val="00C72F3A"/>
    <w:rsid w:val="00C736ED"/>
    <w:rsid w:val="00C73B9F"/>
    <w:rsid w:val="00C74191"/>
    <w:rsid w:val="00C742AC"/>
    <w:rsid w:val="00C74301"/>
    <w:rsid w:val="00C7443B"/>
    <w:rsid w:val="00C74647"/>
    <w:rsid w:val="00C74A22"/>
    <w:rsid w:val="00C74EBC"/>
    <w:rsid w:val="00C75095"/>
    <w:rsid w:val="00C7516E"/>
    <w:rsid w:val="00C75233"/>
    <w:rsid w:val="00C75296"/>
    <w:rsid w:val="00C75807"/>
    <w:rsid w:val="00C75A0A"/>
    <w:rsid w:val="00C75F87"/>
    <w:rsid w:val="00C76165"/>
    <w:rsid w:val="00C76740"/>
    <w:rsid w:val="00C7683A"/>
    <w:rsid w:val="00C77172"/>
    <w:rsid w:val="00C771E7"/>
    <w:rsid w:val="00C7732F"/>
    <w:rsid w:val="00C77353"/>
    <w:rsid w:val="00C7737F"/>
    <w:rsid w:val="00C77450"/>
    <w:rsid w:val="00C7747C"/>
    <w:rsid w:val="00C77910"/>
    <w:rsid w:val="00C77AB9"/>
    <w:rsid w:val="00C77B0D"/>
    <w:rsid w:val="00C77D08"/>
    <w:rsid w:val="00C77DEF"/>
    <w:rsid w:val="00C80130"/>
    <w:rsid w:val="00C801A5"/>
    <w:rsid w:val="00C8026F"/>
    <w:rsid w:val="00C80962"/>
    <w:rsid w:val="00C81397"/>
    <w:rsid w:val="00C8177A"/>
    <w:rsid w:val="00C81982"/>
    <w:rsid w:val="00C81A43"/>
    <w:rsid w:val="00C81B6A"/>
    <w:rsid w:val="00C81C08"/>
    <w:rsid w:val="00C81EC3"/>
    <w:rsid w:val="00C81ECC"/>
    <w:rsid w:val="00C81FFE"/>
    <w:rsid w:val="00C820BA"/>
    <w:rsid w:val="00C821C6"/>
    <w:rsid w:val="00C823A4"/>
    <w:rsid w:val="00C827AC"/>
    <w:rsid w:val="00C82839"/>
    <w:rsid w:val="00C82A66"/>
    <w:rsid w:val="00C82B23"/>
    <w:rsid w:val="00C82DD8"/>
    <w:rsid w:val="00C8312F"/>
    <w:rsid w:val="00C832D4"/>
    <w:rsid w:val="00C833C2"/>
    <w:rsid w:val="00C8368F"/>
    <w:rsid w:val="00C836BC"/>
    <w:rsid w:val="00C83C86"/>
    <w:rsid w:val="00C83F5F"/>
    <w:rsid w:val="00C83F6C"/>
    <w:rsid w:val="00C83F72"/>
    <w:rsid w:val="00C841B6"/>
    <w:rsid w:val="00C84398"/>
    <w:rsid w:val="00C84445"/>
    <w:rsid w:val="00C8458B"/>
    <w:rsid w:val="00C84A69"/>
    <w:rsid w:val="00C84D89"/>
    <w:rsid w:val="00C84E44"/>
    <w:rsid w:val="00C84E6F"/>
    <w:rsid w:val="00C84EB8"/>
    <w:rsid w:val="00C85300"/>
    <w:rsid w:val="00C85859"/>
    <w:rsid w:val="00C858B7"/>
    <w:rsid w:val="00C85B96"/>
    <w:rsid w:val="00C85ECB"/>
    <w:rsid w:val="00C86403"/>
    <w:rsid w:val="00C865AE"/>
    <w:rsid w:val="00C86A34"/>
    <w:rsid w:val="00C874C4"/>
    <w:rsid w:val="00C90A2D"/>
    <w:rsid w:val="00C90C26"/>
    <w:rsid w:val="00C90F5C"/>
    <w:rsid w:val="00C91912"/>
    <w:rsid w:val="00C91A6B"/>
    <w:rsid w:val="00C91B38"/>
    <w:rsid w:val="00C91C16"/>
    <w:rsid w:val="00C92143"/>
    <w:rsid w:val="00C9265C"/>
    <w:rsid w:val="00C9269E"/>
    <w:rsid w:val="00C92A12"/>
    <w:rsid w:val="00C92ED6"/>
    <w:rsid w:val="00C9346E"/>
    <w:rsid w:val="00C93E03"/>
    <w:rsid w:val="00C93FB2"/>
    <w:rsid w:val="00C940B1"/>
    <w:rsid w:val="00C940CC"/>
    <w:rsid w:val="00C9414C"/>
    <w:rsid w:val="00C941E7"/>
    <w:rsid w:val="00C94374"/>
    <w:rsid w:val="00C94B3D"/>
    <w:rsid w:val="00C95374"/>
    <w:rsid w:val="00C953C2"/>
    <w:rsid w:val="00C954F8"/>
    <w:rsid w:val="00C955DF"/>
    <w:rsid w:val="00C9568C"/>
    <w:rsid w:val="00C958E8"/>
    <w:rsid w:val="00C95938"/>
    <w:rsid w:val="00C959DD"/>
    <w:rsid w:val="00C95B9A"/>
    <w:rsid w:val="00C95C37"/>
    <w:rsid w:val="00C95C43"/>
    <w:rsid w:val="00C96129"/>
    <w:rsid w:val="00C961A0"/>
    <w:rsid w:val="00C963AB"/>
    <w:rsid w:val="00C964C6"/>
    <w:rsid w:val="00C9698A"/>
    <w:rsid w:val="00C96AD8"/>
    <w:rsid w:val="00C96CE3"/>
    <w:rsid w:val="00C96FD5"/>
    <w:rsid w:val="00C970C2"/>
    <w:rsid w:val="00C970DD"/>
    <w:rsid w:val="00C976A5"/>
    <w:rsid w:val="00C97777"/>
    <w:rsid w:val="00C9786B"/>
    <w:rsid w:val="00C979C9"/>
    <w:rsid w:val="00C97DCF"/>
    <w:rsid w:val="00C97DFB"/>
    <w:rsid w:val="00CA0022"/>
    <w:rsid w:val="00CA032D"/>
    <w:rsid w:val="00CA0337"/>
    <w:rsid w:val="00CA042F"/>
    <w:rsid w:val="00CA0B8D"/>
    <w:rsid w:val="00CA12FF"/>
    <w:rsid w:val="00CA13A3"/>
    <w:rsid w:val="00CA1A76"/>
    <w:rsid w:val="00CA1C42"/>
    <w:rsid w:val="00CA21B4"/>
    <w:rsid w:val="00CA2333"/>
    <w:rsid w:val="00CA2559"/>
    <w:rsid w:val="00CA2A06"/>
    <w:rsid w:val="00CA300B"/>
    <w:rsid w:val="00CA3120"/>
    <w:rsid w:val="00CA3434"/>
    <w:rsid w:val="00CA366C"/>
    <w:rsid w:val="00CA430C"/>
    <w:rsid w:val="00CA47D9"/>
    <w:rsid w:val="00CA571A"/>
    <w:rsid w:val="00CA5741"/>
    <w:rsid w:val="00CA5CCB"/>
    <w:rsid w:val="00CA60A0"/>
    <w:rsid w:val="00CA6225"/>
    <w:rsid w:val="00CA6235"/>
    <w:rsid w:val="00CA6387"/>
    <w:rsid w:val="00CA63CC"/>
    <w:rsid w:val="00CA6628"/>
    <w:rsid w:val="00CA6928"/>
    <w:rsid w:val="00CA6FF5"/>
    <w:rsid w:val="00CA7242"/>
    <w:rsid w:val="00CA72B4"/>
    <w:rsid w:val="00CA75E4"/>
    <w:rsid w:val="00CA7867"/>
    <w:rsid w:val="00CA79B1"/>
    <w:rsid w:val="00CA7CC3"/>
    <w:rsid w:val="00CB04A4"/>
    <w:rsid w:val="00CB04E3"/>
    <w:rsid w:val="00CB0946"/>
    <w:rsid w:val="00CB0BA2"/>
    <w:rsid w:val="00CB0CD9"/>
    <w:rsid w:val="00CB105C"/>
    <w:rsid w:val="00CB10CB"/>
    <w:rsid w:val="00CB11C9"/>
    <w:rsid w:val="00CB132F"/>
    <w:rsid w:val="00CB1348"/>
    <w:rsid w:val="00CB13F0"/>
    <w:rsid w:val="00CB1832"/>
    <w:rsid w:val="00CB183D"/>
    <w:rsid w:val="00CB1ACD"/>
    <w:rsid w:val="00CB1BE7"/>
    <w:rsid w:val="00CB1C5A"/>
    <w:rsid w:val="00CB1F15"/>
    <w:rsid w:val="00CB265B"/>
    <w:rsid w:val="00CB2C7B"/>
    <w:rsid w:val="00CB3146"/>
    <w:rsid w:val="00CB32DD"/>
    <w:rsid w:val="00CB3951"/>
    <w:rsid w:val="00CB3E1D"/>
    <w:rsid w:val="00CB3EBC"/>
    <w:rsid w:val="00CB3F78"/>
    <w:rsid w:val="00CB429A"/>
    <w:rsid w:val="00CB42A8"/>
    <w:rsid w:val="00CB4349"/>
    <w:rsid w:val="00CB4CDA"/>
    <w:rsid w:val="00CB4E97"/>
    <w:rsid w:val="00CB4EF7"/>
    <w:rsid w:val="00CB4FCF"/>
    <w:rsid w:val="00CB56CC"/>
    <w:rsid w:val="00CB5753"/>
    <w:rsid w:val="00CB5BCB"/>
    <w:rsid w:val="00CB72AC"/>
    <w:rsid w:val="00CB751E"/>
    <w:rsid w:val="00CB7BEE"/>
    <w:rsid w:val="00CB7D7B"/>
    <w:rsid w:val="00CB7DD7"/>
    <w:rsid w:val="00CC03D0"/>
    <w:rsid w:val="00CC0A58"/>
    <w:rsid w:val="00CC0AF1"/>
    <w:rsid w:val="00CC0C46"/>
    <w:rsid w:val="00CC0CC3"/>
    <w:rsid w:val="00CC0CF4"/>
    <w:rsid w:val="00CC0F7E"/>
    <w:rsid w:val="00CC125F"/>
    <w:rsid w:val="00CC1536"/>
    <w:rsid w:val="00CC1848"/>
    <w:rsid w:val="00CC190C"/>
    <w:rsid w:val="00CC1B79"/>
    <w:rsid w:val="00CC1B84"/>
    <w:rsid w:val="00CC22B6"/>
    <w:rsid w:val="00CC2A9D"/>
    <w:rsid w:val="00CC34E7"/>
    <w:rsid w:val="00CC35A6"/>
    <w:rsid w:val="00CC375F"/>
    <w:rsid w:val="00CC3AE6"/>
    <w:rsid w:val="00CC3C91"/>
    <w:rsid w:val="00CC3F46"/>
    <w:rsid w:val="00CC4071"/>
    <w:rsid w:val="00CC4387"/>
    <w:rsid w:val="00CC45A3"/>
    <w:rsid w:val="00CC4831"/>
    <w:rsid w:val="00CC4BD4"/>
    <w:rsid w:val="00CC4E1F"/>
    <w:rsid w:val="00CC598C"/>
    <w:rsid w:val="00CC5BD6"/>
    <w:rsid w:val="00CC6687"/>
    <w:rsid w:val="00CC6748"/>
    <w:rsid w:val="00CC692A"/>
    <w:rsid w:val="00CC70C9"/>
    <w:rsid w:val="00CC745A"/>
    <w:rsid w:val="00CC764F"/>
    <w:rsid w:val="00CC79B8"/>
    <w:rsid w:val="00CC7A30"/>
    <w:rsid w:val="00CC7C42"/>
    <w:rsid w:val="00CD01DC"/>
    <w:rsid w:val="00CD06C1"/>
    <w:rsid w:val="00CD09E1"/>
    <w:rsid w:val="00CD17BA"/>
    <w:rsid w:val="00CD18CE"/>
    <w:rsid w:val="00CD1A8F"/>
    <w:rsid w:val="00CD1AE2"/>
    <w:rsid w:val="00CD2533"/>
    <w:rsid w:val="00CD2863"/>
    <w:rsid w:val="00CD2A67"/>
    <w:rsid w:val="00CD2BD2"/>
    <w:rsid w:val="00CD31C3"/>
    <w:rsid w:val="00CD33AD"/>
    <w:rsid w:val="00CD352B"/>
    <w:rsid w:val="00CD387C"/>
    <w:rsid w:val="00CD3893"/>
    <w:rsid w:val="00CD3904"/>
    <w:rsid w:val="00CD3950"/>
    <w:rsid w:val="00CD3A5D"/>
    <w:rsid w:val="00CD3D35"/>
    <w:rsid w:val="00CD3EE4"/>
    <w:rsid w:val="00CD3F2E"/>
    <w:rsid w:val="00CD3FA4"/>
    <w:rsid w:val="00CD44AC"/>
    <w:rsid w:val="00CD4A5B"/>
    <w:rsid w:val="00CD4A77"/>
    <w:rsid w:val="00CD4D78"/>
    <w:rsid w:val="00CD500F"/>
    <w:rsid w:val="00CD5238"/>
    <w:rsid w:val="00CD531F"/>
    <w:rsid w:val="00CD538C"/>
    <w:rsid w:val="00CD54BB"/>
    <w:rsid w:val="00CD54DC"/>
    <w:rsid w:val="00CD5532"/>
    <w:rsid w:val="00CD55EF"/>
    <w:rsid w:val="00CD560F"/>
    <w:rsid w:val="00CD5630"/>
    <w:rsid w:val="00CD5692"/>
    <w:rsid w:val="00CD577A"/>
    <w:rsid w:val="00CD5996"/>
    <w:rsid w:val="00CD5CBF"/>
    <w:rsid w:val="00CD61C3"/>
    <w:rsid w:val="00CD641D"/>
    <w:rsid w:val="00CD67E8"/>
    <w:rsid w:val="00CD68C5"/>
    <w:rsid w:val="00CD6B38"/>
    <w:rsid w:val="00CD6B5B"/>
    <w:rsid w:val="00CD6F0D"/>
    <w:rsid w:val="00CD6F56"/>
    <w:rsid w:val="00CD7340"/>
    <w:rsid w:val="00CD736E"/>
    <w:rsid w:val="00CD740F"/>
    <w:rsid w:val="00CD7640"/>
    <w:rsid w:val="00CD7878"/>
    <w:rsid w:val="00CD79BB"/>
    <w:rsid w:val="00CD79C6"/>
    <w:rsid w:val="00CD79DA"/>
    <w:rsid w:val="00CD7F40"/>
    <w:rsid w:val="00CE0174"/>
    <w:rsid w:val="00CE0268"/>
    <w:rsid w:val="00CE0568"/>
    <w:rsid w:val="00CE070B"/>
    <w:rsid w:val="00CE0A37"/>
    <w:rsid w:val="00CE0BD9"/>
    <w:rsid w:val="00CE1881"/>
    <w:rsid w:val="00CE19A0"/>
    <w:rsid w:val="00CE19C6"/>
    <w:rsid w:val="00CE268C"/>
    <w:rsid w:val="00CE273A"/>
    <w:rsid w:val="00CE28EC"/>
    <w:rsid w:val="00CE29F7"/>
    <w:rsid w:val="00CE2D99"/>
    <w:rsid w:val="00CE2FBC"/>
    <w:rsid w:val="00CE324D"/>
    <w:rsid w:val="00CE372E"/>
    <w:rsid w:val="00CE3C05"/>
    <w:rsid w:val="00CE3F3E"/>
    <w:rsid w:val="00CE410F"/>
    <w:rsid w:val="00CE438D"/>
    <w:rsid w:val="00CE440A"/>
    <w:rsid w:val="00CE4885"/>
    <w:rsid w:val="00CE4BEA"/>
    <w:rsid w:val="00CE4F93"/>
    <w:rsid w:val="00CE53A5"/>
    <w:rsid w:val="00CE5686"/>
    <w:rsid w:val="00CE5C55"/>
    <w:rsid w:val="00CE5D94"/>
    <w:rsid w:val="00CE602B"/>
    <w:rsid w:val="00CE67C7"/>
    <w:rsid w:val="00CE7170"/>
    <w:rsid w:val="00CE71A6"/>
    <w:rsid w:val="00CE787A"/>
    <w:rsid w:val="00CE79E1"/>
    <w:rsid w:val="00CE7D23"/>
    <w:rsid w:val="00CF0328"/>
    <w:rsid w:val="00CF0478"/>
    <w:rsid w:val="00CF052C"/>
    <w:rsid w:val="00CF088E"/>
    <w:rsid w:val="00CF1148"/>
    <w:rsid w:val="00CF137D"/>
    <w:rsid w:val="00CF1607"/>
    <w:rsid w:val="00CF16D0"/>
    <w:rsid w:val="00CF1945"/>
    <w:rsid w:val="00CF1AC0"/>
    <w:rsid w:val="00CF1F78"/>
    <w:rsid w:val="00CF2087"/>
    <w:rsid w:val="00CF2BA6"/>
    <w:rsid w:val="00CF31F8"/>
    <w:rsid w:val="00CF3225"/>
    <w:rsid w:val="00CF3849"/>
    <w:rsid w:val="00CF39E0"/>
    <w:rsid w:val="00CF3E80"/>
    <w:rsid w:val="00CF4222"/>
    <w:rsid w:val="00CF43E0"/>
    <w:rsid w:val="00CF472B"/>
    <w:rsid w:val="00CF477D"/>
    <w:rsid w:val="00CF4831"/>
    <w:rsid w:val="00CF4E79"/>
    <w:rsid w:val="00CF5145"/>
    <w:rsid w:val="00CF51D3"/>
    <w:rsid w:val="00CF5716"/>
    <w:rsid w:val="00CF5836"/>
    <w:rsid w:val="00CF5948"/>
    <w:rsid w:val="00CF5D9E"/>
    <w:rsid w:val="00CF5F2B"/>
    <w:rsid w:val="00CF615E"/>
    <w:rsid w:val="00CF61FC"/>
    <w:rsid w:val="00CF68F4"/>
    <w:rsid w:val="00CF6906"/>
    <w:rsid w:val="00CF696F"/>
    <w:rsid w:val="00CF699C"/>
    <w:rsid w:val="00CF721C"/>
    <w:rsid w:val="00CF742F"/>
    <w:rsid w:val="00CF743C"/>
    <w:rsid w:val="00CF7696"/>
    <w:rsid w:val="00CF7E1D"/>
    <w:rsid w:val="00D0020D"/>
    <w:rsid w:val="00D005D5"/>
    <w:rsid w:val="00D00A53"/>
    <w:rsid w:val="00D00A67"/>
    <w:rsid w:val="00D00EE6"/>
    <w:rsid w:val="00D00F72"/>
    <w:rsid w:val="00D017A2"/>
    <w:rsid w:val="00D01DE5"/>
    <w:rsid w:val="00D01E04"/>
    <w:rsid w:val="00D022E4"/>
    <w:rsid w:val="00D02639"/>
    <w:rsid w:val="00D02774"/>
    <w:rsid w:val="00D02C1C"/>
    <w:rsid w:val="00D03289"/>
    <w:rsid w:val="00D03971"/>
    <w:rsid w:val="00D039C1"/>
    <w:rsid w:val="00D03EF3"/>
    <w:rsid w:val="00D03F65"/>
    <w:rsid w:val="00D03F94"/>
    <w:rsid w:val="00D042BA"/>
    <w:rsid w:val="00D045D7"/>
    <w:rsid w:val="00D049AB"/>
    <w:rsid w:val="00D04C53"/>
    <w:rsid w:val="00D05287"/>
    <w:rsid w:val="00D05871"/>
    <w:rsid w:val="00D05BC5"/>
    <w:rsid w:val="00D05D57"/>
    <w:rsid w:val="00D06030"/>
    <w:rsid w:val="00D06052"/>
    <w:rsid w:val="00D06186"/>
    <w:rsid w:val="00D0627B"/>
    <w:rsid w:val="00D06885"/>
    <w:rsid w:val="00D06975"/>
    <w:rsid w:val="00D06E29"/>
    <w:rsid w:val="00D06EEF"/>
    <w:rsid w:val="00D06FC2"/>
    <w:rsid w:val="00D0718B"/>
    <w:rsid w:val="00D07346"/>
    <w:rsid w:val="00D077DC"/>
    <w:rsid w:val="00D07801"/>
    <w:rsid w:val="00D07F50"/>
    <w:rsid w:val="00D100DC"/>
    <w:rsid w:val="00D10189"/>
    <w:rsid w:val="00D102F8"/>
    <w:rsid w:val="00D1052E"/>
    <w:rsid w:val="00D10566"/>
    <w:rsid w:val="00D10763"/>
    <w:rsid w:val="00D10805"/>
    <w:rsid w:val="00D10C11"/>
    <w:rsid w:val="00D10E0A"/>
    <w:rsid w:val="00D11348"/>
    <w:rsid w:val="00D116C0"/>
    <w:rsid w:val="00D12048"/>
    <w:rsid w:val="00D1234F"/>
    <w:rsid w:val="00D12433"/>
    <w:rsid w:val="00D1274D"/>
    <w:rsid w:val="00D132D8"/>
    <w:rsid w:val="00D13828"/>
    <w:rsid w:val="00D13B01"/>
    <w:rsid w:val="00D1444C"/>
    <w:rsid w:val="00D14D05"/>
    <w:rsid w:val="00D14D6A"/>
    <w:rsid w:val="00D14E76"/>
    <w:rsid w:val="00D1503E"/>
    <w:rsid w:val="00D152F1"/>
    <w:rsid w:val="00D153EE"/>
    <w:rsid w:val="00D15467"/>
    <w:rsid w:val="00D15667"/>
    <w:rsid w:val="00D156AE"/>
    <w:rsid w:val="00D158D4"/>
    <w:rsid w:val="00D15AE1"/>
    <w:rsid w:val="00D15C7E"/>
    <w:rsid w:val="00D15E58"/>
    <w:rsid w:val="00D16068"/>
    <w:rsid w:val="00D16701"/>
    <w:rsid w:val="00D16CB9"/>
    <w:rsid w:val="00D16E90"/>
    <w:rsid w:val="00D16ED5"/>
    <w:rsid w:val="00D17166"/>
    <w:rsid w:val="00D176EE"/>
    <w:rsid w:val="00D177DA"/>
    <w:rsid w:val="00D17913"/>
    <w:rsid w:val="00D17B19"/>
    <w:rsid w:val="00D20093"/>
    <w:rsid w:val="00D201D4"/>
    <w:rsid w:val="00D208AE"/>
    <w:rsid w:val="00D20D16"/>
    <w:rsid w:val="00D20E1A"/>
    <w:rsid w:val="00D20EA3"/>
    <w:rsid w:val="00D210D2"/>
    <w:rsid w:val="00D21232"/>
    <w:rsid w:val="00D2134D"/>
    <w:rsid w:val="00D21572"/>
    <w:rsid w:val="00D2162D"/>
    <w:rsid w:val="00D2173E"/>
    <w:rsid w:val="00D21751"/>
    <w:rsid w:val="00D2182F"/>
    <w:rsid w:val="00D2203B"/>
    <w:rsid w:val="00D221DB"/>
    <w:rsid w:val="00D22380"/>
    <w:rsid w:val="00D22438"/>
    <w:rsid w:val="00D224F9"/>
    <w:rsid w:val="00D225A9"/>
    <w:rsid w:val="00D22979"/>
    <w:rsid w:val="00D22986"/>
    <w:rsid w:val="00D22F8D"/>
    <w:rsid w:val="00D23015"/>
    <w:rsid w:val="00D23382"/>
    <w:rsid w:val="00D233A0"/>
    <w:rsid w:val="00D233F7"/>
    <w:rsid w:val="00D2352A"/>
    <w:rsid w:val="00D23AFD"/>
    <w:rsid w:val="00D23BF4"/>
    <w:rsid w:val="00D23C1F"/>
    <w:rsid w:val="00D23CCF"/>
    <w:rsid w:val="00D23D39"/>
    <w:rsid w:val="00D23D46"/>
    <w:rsid w:val="00D23D62"/>
    <w:rsid w:val="00D241C9"/>
    <w:rsid w:val="00D2431E"/>
    <w:rsid w:val="00D24664"/>
    <w:rsid w:val="00D24AE9"/>
    <w:rsid w:val="00D24E39"/>
    <w:rsid w:val="00D25374"/>
    <w:rsid w:val="00D253D3"/>
    <w:rsid w:val="00D254FC"/>
    <w:rsid w:val="00D25511"/>
    <w:rsid w:val="00D2564B"/>
    <w:rsid w:val="00D25771"/>
    <w:rsid w:val="00D25928"/>
    <w:rsid w:val="00D25C2C"/>
    <w:rsid w:val="00D26388"/>
    <w:rsid w:val="00D26762"/>
    <w:rsid w:val="00D2678A"/>
    <w:rsid w:val="00D268E3"/>
    <w:rsid w:val="00D26962"/>
    <w:rsid w:val="00D269B8"/>
    <w:rsid w:val="00D26A5C"/>
    <w:rsid w:val="00D26B15"/>
    <w:rsid w:val="00D26BD9"/>
    <w:rsid w:val="00D26D44"/>
    <w:rsid w:val="00D2726D"/>
    <w:rsid w:val="00D27391"/>
    <w:rsid w:val="00D27A64"/>
    <w:rsid w:val="00D27FA6"/>
    <w:rsid w:val="00D300DC"/>
    <w:rsid w:val="00D30183"/>
    <w:rsid w:val="00D30735"/>
    <w:rsid w:val="00D30920"/>
    <w:rsid w:val="00D30AED"/>
    <w:rsid w:val="00D30D20"/>
    <w:rsid w:val="00D31093"/>
    <w:rsid w:val="00D31266"/>
    <w:rsid w:val="00D314BF"/>
    <w:rsid w:val="00D31561"/>
    <w:rsid w:val="00D316A7"/>
    <w:rsid w:val="00D31876"/>
    <w:rsid w:val="00D31C3A"/>
    <w:rsid w:val="00D31D86"/>
    <w:rsid w:val="00D31E87"/>
    <w:rsid w:val="00D31F12"/>
    <w:rsid w:val="00D32947"/>
    <w:rsid w:val="00D32C39"/>
    <w:rsid w:val="00D32C88"/>
    <w:rsid w:val="00D32CC0"/>
    <w:rsid w:val="00D32D51"/>
    <w:rsid w:val="00D32E0B"/>
    <w:rsid w:val="00D32EF7"/>
    <w:rsid w:val="00D32F0E"/>
    <w:rsid w:val="00D3323A"/>
    <w:rsid w:val="00D33282"/>
    <w:rsid w:val="00D33765"/>
    <w:rsid w:val="00D3385C"/>
    <w:rsid w:val="00D338B4"/>
    <w:rsid w:val="00D338FA"/>
    <w:rsid w:val="00D339AD"/>
    <w:rsid w:val="00D339CE"/>
    <w:rsid w:val="00D346B0"/>
    <w:rsid w:val="00D349FB"/>
    <w:rsid w:val="00D34A37"/>
    <w:rsid w:val="00D34B42"/>
    <w:rsid w:val="00D34C44"/>
    <w:rsid w:val="00D34C57"/>
    <w:rsid w:val="00D35040"/>
    <w:rsid w:val="00D354BD"/>
    <w:rsid w:val="00D3551D"/>
    <w:rsid w:val="00D35ECB"/>
    <w:rsid w:val="00D35FD3"/>
    <w:rsid w:val="00D35FD6"/>
    <w:rsid w:val="00D3633F"/>
    <w:rsid w:val="00D3666A"/>
    <w:rsid w:val="00D36813"/>
    <w:rsid w:val="00D36998"/>
    <w:rsid w:val="00D369C3"/>
    <w:rsid w:val="00D36AEE"/>
    <w:rsid w:val="00D36B7F"/>
    <w:rsid w:val="00D377F7"/>
    <w:rsid w:val="00D37979"/>
    <w:rsid w:val="00D37987"/>
    <w:rsid w:val="00D37B9E"/>
    <w:rsid w:val="00D4013D"/>
    <w:rsid w:val="00D40512"/>
    <w:rsid w:val="00D4094D"/>
    <w:rsid w:val="00D41146"/>
    <w:rsid w:val="00D415F6"/>
    <w:rsid w:val="00D416D1"/>
    <w:rsid w:val="00D417CB"/>
    <w:rsid w:val="00D41B5A"/>
    <w:rsid w:val="00D41C1F"/>
    <w:rsid w:val="00D41E10"/>
    <w:rsid w:val="00D41E25"/>
    <w:rsid w:val="00D4201A"/>
    <w:rsid w:val="00D4201B"/>
    <w:rsid w:val="00D4229D"/>
    <w:rsid w:val="00D42770"/>
    <w:rsid w:val="00D42811"/>
    <w:rsid w:val="00D429DA"/>
    <w:rsid w:val="00D42A44"/>
    <w:rsid w:val="00D42A8D"/>
    <w:rsid w:val="00D42B6A"/>
    <w:rsid w:val="00D4301E"/>
    <w:rsid w:val="00D437A1"/>
    <w:rsid w:val="00D439C7"/>
    <w:rsid w:val="00D43A3C"/>
    <w:rsid w:val="00D43C19"/>
    <w:rsid w:val="00D43CCA"/>
    <w:rsid w:val="00D442CC"/>
    <w:rsid w:val="00D443E2"/>
    <w:rsid w:val="00D4448B"/>
    <w:rsid w:val="00D44579"/>
    <w:rsid w:val="00D4468D"/>
    <w:rsid w:val="00D446EE"/>
    <w:rsid w:val="00D448ED"/>
    <w:rsid w:val="00D449C3"/>
    <w:rsid w:val="00D44C88"/>
    <w:rsid w:val="00D44CC4"/>
    <w:rsid w:val="00D44EB3"/>
    <w:rsid w:val="00D45148"/>
    <w:rsid w:val="00D4558A"/>
    <w:rsid w:val="00D459E6"/>
    <w:rsid w:val="00D45B55"/>
    <w:rsid w:val="00D45FF2"/>
    <w:rsid w:val="00D46AA1"/>
    <w:rsid w:val="00D46CF9"/>
    <w:rsid w:val="00D46F54"/>
    <w:rsid w:val="00D47273"/>
    <w:rsid w:val="00D476CA"/>
    <w:rsid w:val="00D478D3"/>
    <w:rsid w:val="00D47A75"/>
    <w:rsid w:val="00D47B8F"/>
    <w:rsid w:val="00D47EC0"/>
    <w:rsid w:val="00D501F9"/>
    <w:rsid w:val="00D50613"/>
    <w:rsid w:val="00D5064F"/>
    <w:rsid w:val="00D50683"/>
    <w:rsid w:val="00D508C4"/>
    <w:rsid w:val="00D5097A"/>
    <w:rsid w:val="00D50BEB"/>
    <w:rsid w:val="00D50D34"/>
    <w:rsid w:val="00D51A62"/>
    <w:rsid w:val="00D51C08"/>
    <w:rsid w:val="00D520CD"/>
    <w:rsid w:val="00D52271"/>
    <w:rsid w:val="00D52388"/>
    <w:rsid w:val="00D5246A"/>
    <w:rsid w:val="00D52602"/>
    <w:rsid w:val="00D5266D"/>
    <w:rsid w:val="00D5266F"/>
    <w:rsid w:val="00D528BD"/>
    <w:rsid w:val="00D52B29"/>
    <w:rsid w:val="00D52B4A"/>
    <w:rsid w:val="00D52C46"/>
    <w:rsid w:val="00D52C88"/>
    <w:rsid w:val="00D52C9D"/>
    <w:rsid w:val="00D530A5"/>
    <w:rsid w:val="00D53123"/>
    <w:rsid w:val="00D53425"/>
    <w:rsid w:val="00D53659"/>
    <w:rsid w:val="00D53923"/>
    <w:rsid w:val="00D53E5C"/>
    <w:rsid w:val="00D53EEC"/>
    <w:rsid w:val="00D54835"/>
    <w:rsid w:val="00D54B21"/>
    <w:rsid w:val="00D54DF9"/>
    <w:rsid w:val="00D54F2C"/>
    <w:rsid w:val="00D551F5"/>
    <w:rsid w:val="00D5560F"/>
    <w:rsid w:val="00D55936"/>
    <w:rsid w:val="00D55EC6"/>
    <w:rsid w:val="00D56043"/>
    <w:rsid w:val="00D5630B"/>
    <w:rsid w:val="00D56589"/>
    <w:rsid w:val="00D56BC2"/>
    <w:rsid w:val="00D56FB3"/>
    <w:rsid w:val="00D570BD"/>
    <w:rsid w:val="00D57464"/>
    <w:rsid w:val="00D5769C"/>
    <w:rsid w:val="00D57864"/>
    <w:rsid w:val="00D57A27"/>
    <w:rsid w:val="00D57A89"/>
    <w:rsid w:val="00D57B29"/>
    <w:rsid w:val="00D57D5F"/>
    <w:rsid w:val="00D57F60"/>
    <w:rsid w:val="00D600EE"/>
    <w:rsid w:val="00D60532"/>
    <w:rsid w:val="00D60B69"/>
    <w:rsid w:val="00D60BD3"/>
    <w:rsid w:val="00D60C2B"/>
    <w:rsid w:val="00D61398"/>
    <w:rsid w:val="00D61DF4"/>
    <w:rsid w:val="00D6216D"/>
    <w:rsid w:val="00D6217B"/>
    <w:rsid w:val="00D62500"/>
    <w:rsid w:val="00D627BF"/>
    <w:rsid w:val="00D62C0E"/>
    <w:rsid w:val="00D62DCC"/>
    <w:rsid w:val="00D62F4E"/>
    <w:rsid w:val="00D630E2"/>
    <w:rsid w:val="00D63336"/>
    <w:rsid w:val="00D636E3"/>
    <w:rsid w:val="00D63C0C"/>
    <w:rsid w:val="00D63DBF"/>
    <w:rsid w:val="00D63E3F"/>
    <w:rsid w:val="00D64136"/>
    <w:rsid w:val="00D644B9"/>
    <w:rsid w:val="00D64545"/>
    <w:rsid w:val="00D64873"/>
    <w:rsid w:val="00D648FA"/>
    <w:rsid w:val="00D649AF"/>
    <w:rsid w:val="00D662A1"/>
    <w:rsid w:val="00D662EE"/>
    <w:rsid w:val="00D66307"/>
    <w:rsid w:val="00D66420"/>
    <w:rsid w:val="00D669DB"/>
    <w:rsid w:val="00D669E1"/>
    <w:rsid w:val="00D6716C"/>
    <w:rsid w:val="00D673F7"/>
    <w:rsid w:val="00D675EA"/>
    <w:rsid w:val="00D676F8"/>
    <w:rsid w:val="00D67C12"/>
    <w:rsid w:val="00D67CC1"/>
    <w:rsid w:val="00D70157"/>
    <w:rsid w:val="00D701E3"/>
    <w:rsid w:val="00D7070A"/>
    <w:rsid w:val="00D708A4"/>
    <w:rsid w:val="00D708DD"/>
    <w:rsid w:val="00D70A25"/>
    <w:rsid w:val="00D70A35"/>
    <w:rsid w:val="00D70A3B"/>
    <w:rsid w:val="00D70B30"/>
    <w:rsid w:val="00D70EBE"/>
    <w:rsid w:val="00D71017"/>
    <w:rsid w:val="00D71456"/>
    <w:rsid w:val="00D71768"/>
    <w:rsid w:val="00D718B5"/>
    <w:rsid w:val="00D71CC7"/>
    <w:rsid w:val="00D71D0C"/>
    <w:rsid w:val="00D722F7"/>
    <w:rsid w:val="00D72526"/>
    <w:rsid w:val="00D72E0B"/>
    <w:rsid w:val="00D72F36"/>
    <w:rsid w:val="00D72FC1"/>
    <w:rsid w:val="00D7351E"/>
    <w:rsid w:val="00D73939"/>
    <w:rsid w:val="00D7395A"/>
    <w:rsid w:val="00D73BA4"/>
    <w:rsid w:val="00D73EE0"/>
    <w:rsid w:val="00D74065"/>
    <w:rsid w:val="00D74207"/>
    <w:rsid w:val="00D746F1"/>
    <w:rsid w:val="00D74813"/>
    <w:rsid w:val="00D749E2"/>
    <w:rsid w:val="00D74AD3"/>
    <w:rsid w:val="00D74F70"/>
    <w:rsid w:val="00D7520F"/>
    <w:rsid w:val="00D758DB"/>
    <w:rsid w:val="00D75AA8"/>
    <w:rsid w:val="00D75AD2"/>
    <w:rsid w:val="00D75E04"/>
    <w:rsid w:val="00D75EB3"/>
    <w:rsid w:val="00D75ECF"/>
    <w:rsid w:val="00D75F38"/>
    <w:rsid w:val="00D76236"/>
    <w:rsid w:val="00D763E2"/>
    <w:rsid w:val="00D765B1"/>
    <w:rsid w:val="00D765E1"/>
    <w:rsid w:val="00D77B6B"/>
    <w:rsid w:val="00D77E41"/>
    <w:rsid w:val="00D80029"/>
    <w:rsid w:val="00D80182"/>
    <w:rsid w:val="00D807F2"/>
    <w:rsid w:val="00D81094"/>
    <w:rsid w:val="00D810B4"/>
    <w:rsid w:val="00D813EA"/>
    <w:rsid w:val="00D81476"/>
    <w:rsid w:val="00D81FE9"/>
    <w:rsid w:val="00D82041"/>
    <w:rsid w:val="00D82959"/>
    <w:rsid w:val="00D829BF"/>
    <w:rsid w:val="00D82AC7"/>
    <w:rsid w:val="00D82CA2"/>
    <w:rsid w:val="00D82E59"/>
    <w:rsid w:val="00D82F35"/>
    <w:rsid w:val="00D835C2"/>
    <w:rsid w:val="00D83883"/>
    <w:rsid w:val="00D83A70"/>
    <w:rsid w:val="00D83BE2"/>
    <w:rsid w:val="00D83C83"/>
    <w:rsid w:val="00D8410A"/>
    <w:rsid w:val="00D84ABC"/>
    <w:rsid w:val="00D84D4A"/>
    <w:rsid w:val="00D851E7"/>
    <w:rsid w:val="00D857A3"/>
    <w:rsid w:val="00D85ADA"/>
    <w:rsid w:val="00D85F6F"/>
    <w:rsid w:val="00D85F7F"/>
    <w:rsid w:val="00D863C0"/>
    <w:rsid w:val="00D86455"/>
    <w:rsid w:val="00D866C7"/>
    <w:rsid w:val="00D86B82"/>
    <w:rsid w:val="00D86C69"/>
    <w:rsid w:val="00D86CC4"/>
    <w:rsid w:val="00D8705B"/>
    <w:rsid w:val="00D871CA"/>
    <w:rsid w:val="00D87467"/>
    <w:rsid w:val="00D8785C"/>
    <w:rsid w:val="00D87E95"/>
    <w:rsid w:val="00D87FC5"/>
    <w:rsid w:val="00D90006"/>
    <w:rsid w:val="00D903F0"/>
    <w:rsid w:val="00D90790"/>
    <w:rsid w:val="00D90994"/>
    <w:rsid w:val="00D90AD6"/>
    <w:rsid w:val="00D90D66"/>
    <w:rsid w:val="00D911C6"/>
    <w:rsid w:val="00D9121F"/>
    <w:rsid w:val="00D912D3"/>
    <w:rsid w:val="00D91499"/>
    <w:rsid w:val="00D919B3"/>
    <w:rsid w:val="00D91C0E"/>
    <w:rsid w:val="00D92068"/>
    <w:rsid w:val="00D921A6"/>
    <w:rsid w:val="00D9235F"/>
    <w:rsid w:val="00D92CA3"/>
    <w:rsid w:val="00D93043"/>
    <w:rsid w:val="00D936AF"/>
    <w:rsid w:val="00D936C7"/>
    <w:rsid w:val="00D9374E"/>
    <w:rsid w:val="00D93791"/>
    <w:rsid w:val="00D93888"/>
    <w:rsid w:val="00D939B0"/>
    <w:rsid w:val="00D939E5"/>
    <w:rsid w:val="00D93C82"/>
    <w:rsid w:val="00D93E1E"/>
    <w:rsid w:val="00D94115"/>
    <w:rsid w:val="00D94768"/>
    <w:rsid w:val="00D948FA"/>
    <w:rsid w:val="00D9496D"/>
    <w:rsid w:val="00D94B45"/>
    <w:rsid w:val="00D95385"/>
    <w:rsid w:val="00D953F9"/>
    <w:rsid w:val="00D95405"/>
    <w:rsid w:val="00D95933"/>
    <w:rsid w:val="00D96CB7"/>
    <w:rsid w:val="00D96E82"/>
    <w:rsid w:val="00D96F19"/>
    <w:rsid w:val="00D97328"/>
    <w:rsid w:val="00D9762D"/>
    <w:rsid w:val="00D978D0"/>
    <w:rsid w:val="00D97AAC"/>
    <w:rsid w:val="00D97B02"/>
    <w:rsid w:val="00DA007A"/>
    <w:rsid w:val="00DA00F4"/>
    <w:rsid w:val="00DA0337"/>
    <w:rsid w:val="00DA0440"/>
    <w:rsid w:val="00DA0799"/>
    <w:rsid w:val="00DA07C3"/>
    <w:rsid w:val="00DA0A73"/>
    <w:rsid w:val="00DA0F08"/>
    <w:rsid w:val="00DA1086"/>
    <w:rsid w:val="00DA163D"/>
    <w:rsid w:val="00DA1815"/>
    <w:rsid w:val="00DA18CD"/>
    <w:rsid w:val="00DA1D2E"/>
    <w:rsid w:val="00DA1E2C"/>
    <w:rsid w:val="00DA1E2E"/>
    <w:rsid w:val="00DA2185"/>
    <w:rsid w:val="00DA239E"/>
    <w:rsid w:val="00DA2BCD"/>
    <w:rsid w:val="00DA30C5"/>
    <w:rsid w:val="00DA32AD"/>
    <w:rsid w:val="00DA3444"/>
    <w:rsid w:val="00DA36D8"/>
    <w:rsid w:val="00DA3701"/>
    <w:rsid w:val="00DA37FE"/>
    <w:rsid w:val="00DA3CC3"/>
    <w:rsid w:val="00DA3E65"/>
    <w:rsid w:val="00DA4220"/>
    <w:rsid w:val="00DA42A9"/>
    <w:rsid w:val="00DA46B2"/>
    <w:rsid w:val="00DA4970"/>
    <w:rsid w:val="00DA4B10"/>
    <w:rsid w:val="00DA4D54"/>
    <w:rsid w:val="00DA4E31"/>
    <w:rsid w:val="00DA4E79"/>
    <w:rsid w:val="00DA5048"/>
    <w:rsid w:val="00DA55C1"/>
    <w:rsid w:val="00DA566F"/>
    <w:rsid w:val="00DA56BC"/>
    <w:rsid w:val="00DA5716"/>
    <w:rsid w:val="00DA572C"/>
    <w:rsid w:val="00DA5986"/>
    <w:rsid w:val="00DA5C00"/>
    <w:rsid w:val="00DA5F4D"/>
    <w:rsid w:val="00DA5F77"/>
    <w:rsid w:val="00DA6058"/>
    <w:rsid w:val="00DA62E5"/>
    <w:rsid w:val="00DA63F3"/>
    <w:rsid w:val="00DA6489"/>
    <w:rsid w:val="00DA64DB"/>
    <w:rsid w:val="00DA69A6"/>
    <w:rsid w:val="00DA69EF"/>
    <w:rsid w:val="00DA6B78"/>
    <w:rsid w:val="00DA6C22"/>
    <w:rsid w:val="00DA6CBD"/>
    <w:rsid w:val="00DA6DC1"/>
    <w:rsid w:val="00DA71EA"/>
    <w:rsid w:val="00DA76E0"/>
    <w:rsid w:val="00DA7819"/>
    <w:rsid w:val="00DA78B7"/>
    <w:rsid w:val="00DA7A85"/>
    <w:rsid w:val="00DA7C21"/>
    <w:rsid w:val="00DB015B"/>
    <w:rsid w:val="00DB0343"/>
    <w:rsid w:val="00DB03CA"/>
    <w:rsid w:val="00DB05F9"/>
    <w:rsid w:val="00DB06C7"/>
    <w:rsid w:val="00DB0799"/>
    <w:rsid w:val="00DB091F"/>
    <w:rsid w:val="00DB0BAF"/>
    <w:rsid w:val="00DB0BC5"/>
    <w:rsid w:val="00DB0C8C"/>
    <w:rsid w:val="00DB0CD9"/>
    <w:rsid w:val="00DB0D98"/>
    <w:rsid w:val="00DB0FA7"/>
    <w:rsid w:val="00DB1697"/>
    <w:rsid w:val="00DB16BE"/>
    <w:rsid w:val="00DB1BD0"/>
    <w:rsid w:val="00DB1D6A"/>
    <w:rsid w:val="00DB2107"/>
    <w:rsid w:val="00DB2524"/>
    <w:rsid w:val="00DB2585"/>
    <w:rsid w:val="00DB2794"/>
    <w:rsid w:val="00DB2858"/>
    <w:rsid w:val="00DB2934"/>
    <w:rsid w:val="00DB2DB5"/>
    <w:rsid w:val="00DB2E28"/>
    <w:rsid w:val="00DB2FFB"/>
    <w:rsid w:val="00DB34BB"/>
    <w:rsid w:val="00DB3A95"/>
    <w:rsid w:val="00DB40C7"/>
    <w:rsid w:val="00DB4351"/>
    <w:rsid w:val="00DB44E7"/>
    <w:rsid w:val="00DB44E9"/>
    <w:rsid w:val="00DB4548"/>
    <w:rsid w:val="00DB4712"/>
    <w:rsid w:val="00DB4818"/>
    <w:rsid w:val="00DB4971"/>
    <w:rsid w:val="00DB4AB5"/>
    <w:rsid w:val="00DB4BC0"/>
    <w:rsid w:val="00DB4BDF"/>
    <w:rsid w:val="00DB4DBB"/>
    <w:rsid w:val="00DB4E5C"/>
    <w:rsid w:val="00DB501C"/>
    <w:rsid w:val="00DB5113"/>
    <w:rsid w:val="00DB5180"/>
    <w:rsid w:val="00DB528A"/>
    <w:rsid w:val="00DB5447"/>
    <w:rsid w:val="00DB57D2"/>
    <w:rsid w:val="00DB57DD"/>
    <w:rsid w:val="00DB590E"/>
    <w:rsid w:val="00DB5A51"/>
    <w:rsid w:val="00DB5B13"/>
    <w:rsid w:val="00DB5B92"/>
    <w:rsid w:val="00DB5E05"/>
    <w:rsid w:val="00DB5E87"/>
    <w:rsid w:val="00DB6626"/>
    <w:rsid w:val="00DB6B8C"/>
    <w:rsid w:val="00DB6F79"/>
    <w:rsid w:val="00DB7184"/>
    <w:rsid w:val="00DB739A"/>
    <w:rsid w:val="00DB7544"/>
    <w:rsid w:val="00DB7936"/>
    <w:rsid w:val="00DB7D54"/>
    <w:rsid w:val="00DC011C"/>
    <w:rsid w:val="00DC0369"/>
    <w:rsid w:val="00DC038E"/>
    <w:rsid w:val="00DC08D6"/>
    <w:rsid w:val="00DC0D8D"/>
    <w:rsid w:val="00DC0ED0"/>
    <w:rsid w:val="00DC144E"/>
    <w:rsid w:val="00DC14BE"/>
    <w:rsid w:val="00DC1920"/>
    <w:rsid w:val="00DC19E1"/>
    <w:rsid w:val="00DC1ECD"/>
    <w:rsid w:val="00DC2344"/>
    <w:rsid w:val="00DC24CF"/>
    <w:rsid w:val="00DC2781"/>
    <w:rsid w:val="00DC299B"/>
    <w:rsid w:val="00DC2AE4"/>
    <w:rsid w:val="00DC2C72"/>
    <w:rsid w:val="00DC30F8"/>
    <w:rsid w:val="00DC340E"/>
    <w:rsid w:val="00DC356A"/>
    <w:rsid w:val="00DC3705"/>
    <w:rsid w:val="00DC38A5"/>
    <w:rsid w:val="00DC3A51"/>
    <w:rsid w:val="00DC3B15"/>
    <w:rsid w:val="00DC3B3B"/>
    <w:rsid w:val="00DC41EB"/>
    <w:rsid w:val="00DC4688"/>
    <w:rsid w:val="00DC4B6B"/>
    <w:rsid w:val="00DC4C19"/>
    <w:rsid w:val="00DC4C73"/>
    <w:rsid w:val="00DC4D3B"/>
    <w:rsid w:val="00DC5157"/>
    <w:rsid w:val="00DC53CB"/>
    <w:rsid w:val="00DC547C"/>
    <w:rsid w:val="00DC588C"/>
    <w:rsid w:val="00DC5AFB"/>
    <w:rsid w:val="00DC5B77"/>
    <w:rsid w:val="00DC635F"/>
    <w:rsid w:val="00DC64F3"/>
    <w:rsid w:val="00DC660E"/>
    <w:rsid w:val="00DC66D6"/>
    <w:rsid w:val="00DC6BF6"/>
    <w:rsid w:val="00DC6FD6"/>
    <w:rsid w:val="00DC719E"/>
    <w:rsid w:val="00DC71AD"/>
    <w:rsid w:val="00DC72BB"/>
    <w:rsid w:val="00DC73E0"/>
    <w:rsid w:val="00DC7495"/>
    <w:rsid w:val="00DC7A33"/>
    <w:rsid w:val="00DC7C50"/>
    <w:rsid w:val="00DC7FB4"/>
    <w:rsid w:val="00DD00BE"/>
    <w:rsid w:val="00DD084E"/>
    <w:rsid w:val="00DD0B53"/>
    <w:rsid w:val="00DD0E21"/>
    <w:rsid w:val="00DD1326"/>
    <w:rsid w:val="00DD142A"/>
    <w:rsid w:val="00DD166B"/>
    <w:rsid w:val="00DD16D0"/>
    <w:rsid w:val="00DD16D6"/>
    <w:rsid w:val="00DD1867"/>
    <w:rsid w:val="00DD1A85"/>
    <w:rsid w:val="00DD2067"/>
    <w:rsid w:val="00DD20AF"/>
    <w:rsid w:val="00DD22FC"/>
    <w:rsid w:val="00DD250B"/>
    <w:rsid w:val="00DD276F"/>
    <w:rsid w:val="00DD27EF"/>
    <w:rsid w:val="00DD2840"/>
    <w:rsid w:val="00DD2D6C"/>
    <w:rsid w:val="00DD2D8C"/>
    <w:rsid w:val="00DD2DEA"/>
    <w:rsid w:val="00DD33FA"/>
    <w:rsid w:val="00DD355B"/>
    <w:rsid w:val="00DD3A94"/>
    <w:rsid w:val="00DD3D8A"/>
    <w:rsid w:val="00DD3EEA"/>
    <w:rsid w:val="00DD3FC4"/>
    <w:rsid w:val="00DD3FCB"/>
    <w:rsid w:val="00DD412D"/>
    <w:rsid w:val="00DD4258"/>
    <w:rsid w:val="00DD460B"/>
    <w:rsid w:val="00DD48B1"/>
    <w:rsid w:val="00DD4DBC"/>
    <w:rsid w:val="00DD4E06"/>
    <w:rsid w:val="00DD4EEE"/>
    <w:rsid w:val="00DD54B2"/>
    <w:rsid w:val="00DD54D0"/>
    <w:rsid w:val="00DD54E4"/>
    <w:rsid w:val="00DD5517"/>
    <w:rsid w:val="00DD5663"/>
    <w:rsid w:val="00DD5994"/>
    <w:rsid w:val="00DD5B1C"/>
    <w:rsid w:val="00DD5FE8"/>
    <w:rsid w:val="00DD62A2"/>
    <w:rsid w:val="00DD6A2D"/>
    <w:rsid w:val="00DD6B21"/>
    <w:rsid w:val="00DD6D18"/>
    <w:rsid w:val="00DD6F1D"/>
    <w:rsid w:val="00DD717D"/>
    <w:rsid w:val="00DD7658"/>
    <w:rsid w:val="00DD78BC"/>
    <w:rsid w:val="00DD7B27"/>
    <w:rsid w:val="00DD7C0A"/>
    <w:rsid w:val="00DE0A2A"/>
    <w:rsid w:val="00DE0A70"/>
    <w:rsid w:val="00DE0EC3"/>
    <w:rsid w:val="00DE1391"/>
    <w:rsid w:val="00DE1E41"/>
    <w:rsid w:val="00DE1F2E"/>
    <w:rsid w:val="00DE28F4"/>
    <w:rsid w:val="00DE2A1E"/>
    <w:rsid w:val="00DE2F5B"/>
    <w:rsid w:val="00DE2F64"/>
    <w:rsid w:val="00DE2F9C"/>
    <w:rsid w:val="00DE340D"/>
    <w:rsid w:val="00DE35BE"/>
    <w:rsid w:val="00DE35EE"/>
    <w:rsid w:val="00DE3F70"/>
    <w:rsid w:val="00DE4113"/>
    <w:rsid w:val="00DE4637"/>
    <w:rsid w:val="00DE49A9"/>
    <w:rsid w:val="00DE4B1E"/>
    <w:rsid w:val="00DE4BA6"/>
    <w:rsid w:val="00DE4DC3"/>
    <w:rsid w:val="00DE4EED"/>
    <w:rsid w:val="00DE58FE"/>
    <w:rsid w:val="00DE596A"/>
    <w:rsid w:val="00DE5EDB"/>
    <w:rsid w:val="00DE648A"/>
    <w:rsid w:val="00DE654C"/>
    <w:rsid w:val="00DE657F"/>
    <w:rsid w:val="00DE6B91"/>
    <w:rsid w:val="00DE6C10"/>
    <w:rsid w:val="00DE6C9D"/>
    <w:rsid w:val="00DE6D3D"/>
    <w:rsid w:val="00DE6ECF"/>
    <w:rsid w:val="00DE73A6"/>
    <w:rsid w:val="00DE74CD"/>
    <w:rsid w:val="00DE7528"/>
    <w:rsid w:val="00DE797A"/>
    <w:rsid w:val="00DE7C7A"/>
    <w:rsid w:val="00DE7E24"/>
    <w:rsid w:val="00DF00C8"/>
    <w:rsid w:val="00DF0368"/>
    <w:rsid w:val="00DF0B71"/>
    <w:rsid w:val="00DF0C84"/>
    <w:rsid w:val="00DF144D"/>
    <w:rsid w:val="00DF15A1"/>
    <w:rsid w:val="00DF1B03"/>
    <w:rsid w:val="00DF1B3C"/>
    <w:rsid w:val="00DF1D83"/>
    <w:rsid w:val="00DF235C"/>
    <w:rsid w:val="00DF282A"/>
    <w:rsid w:val="00DF2AE3"/>
    <w:rsid w:val="00DF2B96"/>
    <w:rsid w:val="00DF2D06"/>
    <w:rsid w:val="00DF2FA6"/>
    <w:rsid w:val="00DF3058"/>
    <w:rsid w:val="00DF3098"/>
    <w:rsid w:val="00DF3124"/>
    <w:rsid w:val="00DF3227"/>
    <w:rsid w:val="00DF32BF"/>
    <w:rsid w:val="00DF3605"/>
    <w:rsid w:val="00DF3922"/>
    <w:rsid w:val="00DF3A64"/>
    <w:rsid w:val="00DF3BB2"/>
    <w:rsid w:val="00DF3E5F"/>
    <w:rsid w:val="00DF412C"/>
    <w:rsid w:val="00DF46EA"/>
    <w:rsid w:val="00DF4D5C"/>
    <w:rsid w:val="00DF4DE3"/>
    <w:rsid w:val="00DF4DFE"/>
    <w:rsid w:val="00DF5402"/>
    <w:rsid w:val="00DF58DF"/>
    <w:rsid w:val="00DF59F0"/>
    <w:rsid w:val="00DF5BE2"/>
    <w:rsid w:val="00DF5FB4"/>
    <w:rsid w:val="00DF5FEB"/>
    <w:rsid w:val="00DF604D"/>
    <w:rsid w:val="00DF644C"/>
    <w:rsid w:val="00DF64C9"/>
    <w:rsid w:val="00DF69D1"/>
    <w:rsid w:val="00DF6EE7"/>
    <w:rsid w:val="00DF6EF7"/>
    <w:rsid w:val="00DF6EFD"/>
    <w:rsid w:val="00DF76B8"/>
    <w:rsid w:val="00DF79B1"/>
    <w:rsid w:val="00DF7CFF"/>
    <w:rsid w:val="00E0023A"/>
    <w:rsid w:val="00E003EA"/>
    <w:rsid w:val="00E00465"/>
    <w:rsid w:val="00E0064E"/>
    <w:rsid w:val="00E0076B"/>
    <w:rsid w:val="00E00C1B"/>
    <w:rsid w:val="00E01087"/>
    <w:rsid w:val="00E014FF"/>
    <w:rsid w:val="00E016C9"/>
    <w:rsid w:val="00E017C0"/>
    <w:rsid w:val="00E0189F"/>
    <w:rsid w:val="00E01C46"/>
    <w:rsid w:val="00E01CD4"/>
    <w:rsid w:val="00E025BB"/>
    <w:rsid w:val="00E02D76"/>
    <w:rsid w:val="00E02F8B"/>
    <w:rsid w:val="00E03232"/>
    <w:rsid w:val="00E03485"/>
    <w:rsid w:val="00E03A20"/>
    <w:rsid w:val="00E03C6A"/>
    <w:rsid w:val="00E04045"/>
    <w:rsid w:val="00E04115"/>
    <w:rsid w:val="00E0414D"/>
    <w:rsid w:val="00E041C6"/>
    <w:rsid w:val="00E04250"/>
    <w:rsid w:val="00E045BA"/>
    <w:rsid w:val="00E04876"/>
    <w:rsid w:val="00E04E75"/>
    <w:rsid w:val="00E04EAE"/>
    <w:rsid w:val="00E05006"/>
    <w:rsid w:val="00E051C3"/>
    <w:rsid w:val="00E05858"/>
    <w:rsid w:val="00E05A73"/>
    <w:rsid w:val="00E05CDF"/>
    <w:rsid w:val="00E05E58"/>
    <w:rsid w:val="00E065D2"/>
    <w:rsid w:val="00E0695E"/>
    <w:rsid w:val="00E069A6"/>
    <w:rsid w:val="00E075CF"/>
    <w:rsid w:val="00E07661"/>
    <w:rsid w:val="00E07A70"/>
    <w:rsid w:val="00E07A80"/>
    <w:rsid w:val="00E07BDE"/>
    <w:rsid w:val="00E100DC"/>
    <w:rsid w:val="00E1067A"/>
    <w:rsid w:val="00E1092E"/>
    <w:rsid w:val="00E1094B"/>
    <w:rsid w:val="00E109C6"/>
    <w:rsid w:val="00E10AF1"/>
    <w:rsid w:val="00E10E09"/>
    <w:rsid w:val="00E10E68"/>
    <w:rsid w:val="00E1112D"/>
    <w:rsid w:val="00E111C4"/>
    <w:rsid w:val="00E1132F"/>
    <w:rsid w:val="00E116C5"/>
    <w:rsid w:val="00E1193E"/>
    <w:rsid w:val="00E11B34"/>
    <w:rsid w:val="00E11B9F"/>
    <w:rsid w:val="00E11BC0"/>
    <w:rsid w:val="00E11FE5"/>
    <w:rsid w:val="00E121B3"/>
    <w:rsid w:val="00E12761"/>
    <w:rsid w:val="00E12811"/>
    <w:rsid w:val="00E12CD6"/>
    <w:rsid w:val="00E135A2"/>
    <w:rsid w:val="00E136DA"/>
    <w:rsid w:val="00E1370D"/>
    <w:rsid w:val="00E13F85"/>
    <w:rsid w:val="00E142C9"/>
    <w:rsid w:val="00E14566"/>
    <w:rsid w:val="00E1469D"/>
    <w:rsid w:val="00E1488D"/>
    <w:rsid w:val="00E14993"/>
    <w:rsid w:val="00E14C1B"/>
    <w:rsid w:val="00E14C87"/>
    <w:rsid w:val="00E14DC8"/>
    <w:rsid w:val="00E14F93"/>
    <w:rsid w:val="00E15151"/>
    <w:rsid w:val="00E151C7"/>
    <w:rsid w:val="00E159F1"/>
    <w:rsid w:val="00E15CC2"/>
    <w:rsid w:val="00E15D42"/>
    <w:rsid w:val="00E15ED3"/>
    <w:rsid w:val="00E15F1A"/>
    <w:rsid w:val="00E1602D"/>
    <w:rsid w:val="00E161DF"/>
    <w:rsid w:val="00E1635B"/>
    <w:rsid w:val="00E16AC9"/>
    <w:rsid w:val="00E16CC7"/>
    <w:rsid w:val="00E175D6"/>
    <w:rsid w:val="00E17720"/>
    <w:rsid w:val="00E17A2B"/>
    <w:rsid w:val="00E17AB9"/>
    <w:rsid w:val="00E17AFC"/>
    <w:rsid w:val="00E17D85"/>
    <w:rsid w:val="00E2065F"/>
    <w:rsid w:val="00E207F2"/>
    <w:rsid w:val="00E20BC6"/>
    <w:rsid w:val="00E212D9"/>
    <w:rsid w:val="00E21333"/>
    <w:rsid w:val="00E217FC"/>
    <w:rsid w:val="00E21922"/>
    <w:rsid w:val="00E21C11"/>
    <w:rsid w:val="00E21CBD"/>
    <w:rsid w:val="00E21EA7"/>
    <w:rsid w:val="00E229E4"/>
    <w:rsid w:val="00E22BAD"/>
    <w:rsid w:val="00E22EBB"/>
    <w:rsid w:val="00E22EBC"/>
    <w:rsid w:val="00E22F1A"/>
    <w:rsid w:val="00E231AB"/>
    <w:rsid w:val="00E23310"/>
    <w:rsid w:val="00E23380"/>
    <w:rsid w:val="00E233C5"/>
    <w:rsid w:val="00E23474"/>
    <w:rsid w:val="00E234B9"/>
    <w:rsid w:val="00E23945"/>
    <w:rsid w:val="00E23A08"/>
    <w:rsid w:val="00E23AB6"/>
    <w:rsid w:val="00E23C9A"/>
    <w:rsid w:val="00E23D47"/>
    <w:rsid w:val="00E242BE"/>
    <w:rsid w:val="00E24BC8"/>
    <w:rsid w:val="00E24C1A"/>
    <w:rsid w:val="00E24C53"/>
    <w:rsid w:val="00E24E2A"/>
    <w:rsid w:val="00E2537A"/>
    <w:rsid w:val="00E25877"/>
    <w:rsid w:val="00E267CD"/>
    <w:rsid w:val="00E26A11"/>
    <w:rsid w:val="00E26BCA"/>
    <w:rsid w:val="00E2700D"/>
    <w:rsid w:val="00E27141"/>
    <w:rsid w:val="00E27222"/>
    <w:rsid w:val="00E27769"/>
    <w:rsid w:val="00E278C7"/>
    <w:rsid w:val="00E279FA"/>
    <w:rsid w:val="00E3057E"/>
    <w:rsid w:val="00E3062B"/>
    <w:rsid w:val="00E309E9"/>
    <w:rsid w:val="00E30A01"/>
    <w:rsid w:val="00E30CC2"/>
    <w:rsid w:val="00E3100A"/>
    <w:rsid w:val="00E310F6"/>
    <w:rsid w:val="00E311B6"/>
    <w:rsid w:val="00E314A1"/>
    <w:rsid w:val="00E31609"/>
    <w:rsid w:val="00E31C43"/>
    <w:rsid w:val="00E31DC3"/>
    <w:rsid w:val="00E32107"/>
    <w:rsid w:val="00E32131"/>
    <w:rsid w:val="00E32196"/>
    <w:rsid w:val="00E32934"/>
    <w:rsid w:val="00E3298E"/>
    <w:rsid w:val="00E32A35"/>
    <w:rsid w:val="00E32A73"/>
    <w:rsid w:val="00E32B1D"/>
    <w:rsid w:val="00E32E54"/>
    <w:rsid w:val="00E32F6F"/>
    <w:rsid w:val="00E335B1"/>
    <w:rsid w:val="00E335F3"/>
    <w:rsid w:val="00E33750"/>
    <w:rsid w:val="00E339BB"/>
    <w:rsid w:val="00E33A13"/>
    <w:rsid w:val="00E33CD3"/>
    <w:rsid w:val="00E341FD"/>
    <w:rsid w:val="00E343AF"/>
    <w:rsid w:val="00E34423"/>
    <w:rsid w:val="00E344A8"/>
    <w:rsid w:val="00E344F2"/>
    <w:rsid w:val="00E3461E"/>
    <w:rsid w:val="00E347A7"/>
    <w:rsid w:val="00E34D0C"/>
    <w:rsid w:val="00E34E03"/>
    <w:rsid w:val="00E350D2"/>
    <w:rsid w:val="00E3515A"/>
    <w:rsid w:val="00E3573A"/>
    <w:rsid w:val="00E35779"/>
    <w:rsid w:val="00E35C31"/>
    <w:rsid w:val="00E365BA"/>
    <w:rsid w:val="00E3692C"/>
    <w:rsid w:val="00E36D40"/>
    <w:rsid w:val="00E37175"/>
    <w:rsid w:val="00E3723F"/>
    <w:rsid w:val="00E374ED"/>
    <w:rsid w:val="00E37553"/>
    <w:rsid w:val="00E37987"/>
    <w:rsid w:val="00E37989"/>
    <w:rsid w:val="00E37CB1"/>
    <w:rsid w:val="00E37EFB"/>
    <w:rsid w:val="00E37FC3"/>
    <w:rsid w:val="00E401D5"/>
    <w:rsid w:val="00E40392"/>
    <w:rsid w:val="00E406F9"/>
    <w:rsid w:val="00E41179"/>
    <w:rsid w:val="00E4122D"/>
    <w:rsid w:val="00E41317"/>
    <w:rsid w:val="00E41B53"/>
    <w:rsid w:val="00E41BF7"/>
    <w:rsid w:val="00E41C36"/>
    <w:rsid w:val="00E41C72"/>
    <w:rsid w:val="00E42114"/>
    <w:rsid w:val="00E427AB"/>
    <w:rsid w:val="00E42A2E"/>
    <w:rsid w:val="00E42AA6"/>
    <w:rsid w:val="00E42E64"/>
    <w:rsid w:val="00E432FC"/>
    <w:rsid w:val="00E435DD"/>
    <w:rsid w:val="00E437BD"/>
    <w:rsid w:val="00E438BA"/>
    <w:rsid w:val="00E439DF"/>
    <w:rsid w:val="00E43A5F"/>
    <w:rsid w:val="00E43D78"/>
    <w:rsid w:val="00E43E17"/>
    <w:rsid w:val="00E441E4"/>
    <w:rsid w:val="00E449A3"/>
    <w:rsid w:val="00E44C6A"/>
    <w:rsid w:val="00E44DD1"/>
    <w:rsid w:val="00E456C3"/>
    <w:rsid w:val="00E45992"/>
    <w:rsid w:val="00E45F8F"/>
    <w:rsid w:val="00E46208"/>
    <w:rsid w:val="00E463BB"/>
    <w:rsid w:val="00E467FE"/>
    <w:rsid w:val="00E46EFA"/>
    <w:rsid w:val="00E46FBD"/>
    <w:rsid w:val="00E470E2"/>
    <w:rsid w:val="00E47212"/>
    <w:rsid w:val="00E474F3"/>
    <w:rsid w:val="00E4768F"/>
    <w:rsid w:val="00E476D5"/>
    <w:rsid w:val="00E477AF"/>
    <w:rsid w:val="00E47C3C"/>
    <w:rsid w:val="00E47C43"/>
    <w:rsid w:val="00E47F02"/>
    <w:rsid w:val="00E47F67"/>
    <w:rsid w:val="00E5072D"/>
    <w:rsid w:val="00E50C56"/>
    <w:rsid w:val="00E50FEA"/>
    <w:rsid w:val="00E51084"/>
    <w:rsid w:val="00E5156C"/>
    <w:rsid w:val="00E5164D"/>
    <w:rsid w:val="00E51B33"/>
    <w:rsid w:val="00E51DC6"/>
    <w:rsid w:val="00E520BF"/>
    <w:rsid w:val="00E52242"/>
    <w:rsid w:val="00E52387"/>
    <w:rsid w:val="00E5239A"/>
    <w:rsid w:val="00E5263F"/>
    <w:rsid w:val="00E527EE"/>
    <w:rsid w:val="00E52DD0"/>
    <w:rsid w:val="00E52E09"/>
    <w:rsid w:val="00E52F94"/>
    <w:rsid w:val="00E535CB"/>
    <w:rsid w:val="00E53645"/>
    <w:rsid w:val="00E53787"/>
    <w:rsid w:val="00E53AE0"/>
    <w:rsid w:val="00E544F8"/>
    <w:rsid w:val="00E54807"/>
    <w:rsid w:val="00E54909"/>
    <w:rsid w:val="00E549E4"/>
    <w:rsid w:val="00E54AF9"/>
    <w:rsid w:val="00E54B0A"/>
    <w:rsid w:val="00E54B25"/>
    <w:rsid w:val="00E54B3B"/>
    <w:rsid w:val="00E54F7F"/>
    <w:rsid w:val="00E550A7"/>
    <w:rsid w:val="00E55275"/>
    <w:rsid w:val="00E55746"/>
    <w:rsid w:val="00E55A61"/>
    <w:rsid w:val="00E55D55"/>
    <w:rsid w:val="00E561A7"/>
    <w:rsid w:val="00E564E1"/>
    <w:rsid w:val="00E56789"/>
    <w:rsid w:val="00E56D9A"/>
    <w:rsid w:val="00E56DCC"/>
    <w:rsid w:val="00E56F31"/>
    <w:rsid w:val="00E573CE"/>
    <w:rsid w:val="00E57747"/>
    <w:rsid w:val="00E57B92"/>
    <w:rsid w:val="00E57C2F"/>
    <w:rsid w:val="00E57C62"/>
    <w:rsid w:val="00E57C73"/>
    <w:rsid w:val="00E57D6B"/>
    <w:rsid w:val="00E57E82"/>
    <w:rsid w:val="00E57FEC"/>
    <w:rsid w:val="00E600E1"/>
    <w:rsid w:val="00E601A8"/>
    <w:rsid w:val="00E607BC"/>
    <w:rsid w:val="00E609E0"/>
    <w:rsid w:val="00E60D0A"/>
    <w:rsid w:val="00E61368"/>
    <w:rsid w:val="00E6164A"/>
    <w:rsid w:val="00E617C9"/>
    <w:rsid w:val="00E618CA"/>
    <w:rsid w:val="00E61DDE"/>
    <w:rsid w:val="00E61E82"/>
    <w:rsid w:val="00E61F41"/>
    <w:rsid w:val="00E624B6"/>
    <w:rsid w:val="00E6306C"/>
    <w:rsid w:val="00E63B8B"/>
    <w:rsid w:val="00E6407F"/>
    <w:rsid w:val="00E64180"/>
    <w:rsid w:val="00E64195"/>
    <w:rsid w:val="00E6421F"/>
    <w:rsid w:val="00E647D6"/>
    <w:rsid w:val="00E64C2E"/>
    <w:rsid w:val="00E64E30"/>
    <w:rsid w:val="00E652BF"/>
    <w:rsid w:val="00E65AEB"/>
    <w:rsid w:val="00E65D2A"/>
    <w:rsid w:val="00E65D5D"/>
    <w:rsid w:val="00E66055"/>
    <w:rsid w:val="00E660A2"/>
    <w:rsid w:val="00E66216"/>
    <w:rsid w:val="00E66873"/>
    <w:rsid w:val="00E66A42"/>
    <w:rsid w:val="00E66D54"/>
    <w:rsid w:val="00E66E63"/>
    <w:rsid w:val="00E66E9C"/>
    <w:rsid w:val="00E671BF"/>
    <w:rsid w:val="00E675B1"/>
    <w:rsid w:val="00E675EF"/>
    <w:rsid w:val="00E677FA"/>
    <w:rsid w:val="00E67AEB"/>
    <w:rsid w:val="00E67DAD"/>
    <w:rsid w:val="00E70139"/>
    <w:rsid w:val="00E701A5"/>
    <w:rsid w:val="00E7086B"/>
    <w:rsid w:val="00E70ADA"/>
    <w:rsid w:val="00E70D54"/>
    <w:rsid w:val="00E71011"/>
    <w:rsid w:val="00E713C2"/>
    <w:rsid w:val="00E71453"/>
    <w:rsid w:val="00E714AE"/>
    <w:rsid w:val="00E714EA"/>
    <w:rsid w:val="00E7156F"/>
    <w:rsid w:val="00E71AEE"/>
    <w:rsid w:val="00E71BEE"/>
    <w:rsid w:val="00E7249D"/>
    <w:rsid w:val="00E72877"/>
    <w:rsid w:val="00E72A1C"/>
    <w:rsid w:val="00E72E57"/>
    <w:rsid w:val="00E72EA6"/>
    <w:rsid w:val="00E72EEB"/>
    <w:rsid w:val="00E733A0"/>
    <w:rsid w:val="00E73C6D"/>
    <w:rsid w:val="00E73DF0"/>
    <w:rsid w:val="00E74065"/>
    <w:rsid w:val="00E74376"/>
    <w:rsid w:val="00E743E0"/>
    <w:rsid w:val="00E749B7"/>
    <w:rsid w:val="00E74D7C"/>
    <w:rsid w:val="00E74DD5"/>
    <w:rsid w:val="00E75885"/>
    <w:rsid w:val="00E7589B"/>
    <w:rsid w:val="00E75ACB"/>
    <w:rsid w:val="00E75B7E"/>
    <w:rsid w:val="00E75D7C"/>
    <w:rsid w:val="00E75EA7"/>
    <w:rsid w:val="00E75F1D"/>
    <w:rsid w:val="00E75F22"/>
    <w:rsid w:val="00E75F3C"/>
    <w:rsid w:val="00E7614E"/>
    <w:rsid w:val="00E769C0"/>
    <w:rsid w:val="00E76A52"/>
    <w:rsid w:val="00E76B7E"/>
    <w:rsid w:val="00E76D97"/>
    <w:rsid w:val="00E7739B"/>
    <w:rsid w:val="00E774DF"/>
    <w:rsid w:val="00E776BD"/>
    <w:rsid w:val="00E77929"/>
    <w:rsid w:val="00E77DD6"/>
    <w:rsid w:val="00E80FC8"/>
    <w:rsid w:val="00E812D7"/>
    <w:rsid w:val="00E814A6"/>
    <w:rsid w:val="00E81D90"/>
    <w:rsid w:val="00E81E45"/>
    <w:rsid w:val="00E82185"/>
    <w:rsid w:val="00E8255B"/>
    <w:rsid w:val="00E828EA"/>
    <w:rsid w:val="00E82B7A"/>
    <w:rsid w:val="00E82E25"/>
    <w:rsid w:val="00E83132"/>
    <w:rsid w:val="00E8332F"/>
    <w:rsid w:val="00E83347"/>
    <w:rsid w:val="00E833CF"/>
    <w:rsid w:val="00E836C3"/>
    <w:rsid w:val="00E83758"/>
    <w:rsid w:val="00E8386C"/>
    <w:rsid w:val="00E83A36"/>
    <w:rsid w:val="00E83D84"/>
    <w:rsid w:val="00E83E11"/>
    <w:rsid w:val="00E83F7B"/>
    <w:rsid w:val="00E840F6"/>
    <w:rsid w:val="00E842B7"/>
    <w:rsid w:val="00E842EB"/>
    <w:rsid w:val="00E8437A"/>
    <w:rsid w:val="00E846C1"/>
    <w:rsid w:val="00E84771"/>
    <w:rsid w:val="00E84B74"/>
    <w:rsid w:val="00E84DCC"/>
    <w:rsid w:val="00E85129"/>
    <w:rsid w:val="00E8515D"/>
    <w:rsid w:val="00E85390"/>
    <w:rsid w:val="00E85499"/>
    <w:rsid w:val="00E855A1"/>
    <w:rsid w:val="00E85FBD"/>
    <w:rsid w:val="00E8608D"/>
    <w:rsid w:val="00E87254"/>
    <w:rsid w:val="00E872C5"/>
    <w:rsid w:val="00E873A5"/>
    <w:rsid w:val="00E873B0"/>
    <w:rsid w:val="00E87829"/>
    <w:rsid w:val="00E879EA"/>
    <w:rsid w:val="00E87D48"/>
    <w:rsid w:val="00E87EDF"/>
    <w:rsid w:val="00E90128"/>
    <w:rsid w:val="00E9032C"/>
    <w:rsid w:val="00E90619"/>
    <w:rsid w:val="00E908D2"/>
    <w:rsid w:val="00E90C71"/>
    <w:rsid w:val="00E91036"/>
    <w:rsid w:val="00E912B2"/>
    <w:rsid w:val="00E912DB"/>
    <w:rsid w:val="00E91455"/>
    <w:rsid w:val="00E919A3"/>
    <w:rsid w:val="00E91A35"/>
    <w:rsid w:val="00E91D3B"/>
    <w:rsid w:val="00E91E0C"/>
    <w:rsid w:val="00E9219C"/>
    <w:rsid w:val="00E921B4"/>
    <w:rsid w:val="00E921D6"/>
    <w:rsid w:val="00E92218"/>
    <w:rsid w:val="00E92280"/>
    <w:rsid w:val="00E92668"/>
    <w:rsid w:val="00E9295E"/>
    <w:rsid w:val="00E92A85"/>
    <w:rsid w:val="00E92C79"/>
    <w:rsid w:val="00E9343E"/>
    <w:rsid w:val="00E93754"/>
    <w:rsid w:val="00E93C1D"/>
    <w:rsid w:val="00E93C6A"/>
    <w:rsid w:val="00E93D41"/>
    <w:rsid w:val="00E93F94"/>
    <w:rsid w:val="00E94715"/>
    <w:rsid w:val="00E94747"/>
    <w:rsid w:val="00E94975"/>
    <w:rsid w:val="00E94A42"/>
    <w:rsid w:val="00E94ADB"/>
    <w:rsid w:val="00E94B48"/>
    <w:rsid w:val="00E94FFD"/>
    <w:rsid w:val="00E9504C"/>
    <w:rsid w:val="00E95185"/>
    <w:rsid w:val="00E95497"/>
    <w:rsid w:val="00E95598"/>
    <w:rsid w:val="00E95599"/>
    <w:rsid w:val="00E959A1"/>
    <w:rsid w:val="00E960CA"/>
    <w:rsid w:val="00E963AC"/>
    <w:rsid w:val="00E96531"/>
    <w:rsid w:val="00E967F7"/>
    <w:rsid w:val="00E968DB"/>
    <w:rsid w:val="00E9694D"/>
    <w:rsid w:val="00E969E3"/>
    <w:rsid w:val="00E96B96"/>
    <w:rsid w:val="00E97198"/>
    <w:rsid w:val="00E973DA"/>
    <w:rsid w:val="00E9784B"/>
    <w:rsid w:val="00E97A94"/>
    <w:rsid w:val="00E97AEB"/>
    <w:rsid w:val="00E97E92"/>
    <w:rsid w:val="00EA03C7"/>
    <w:rsid w:val="00EA07F2"/>
    <w:rsid w:val="00EA0B95"/>
    <w:rsid w:val="00EA0BC6"/>
    <w:rsid w:val="00EA0F49"/>
    <w:rsid w:val="00EA0FC7"/>
    <w:rsid w:val="00EA104E"/>
    <w:rsid w:val="00EA1309"/>
    <w:rsid w:val="00EA162D"/>
    <w:rsid w:val="00EA1631"/>
    <w:rsid w:val="00EA172D"/>
    <w:rsid w:val="00EA181E"/>
    <w:rsid w:val="00EA1A4F"/>
    <w:rsid w:val="00EA239C"/>
    <w:rsid w:val="00EA24FF"/>
    <w:rsid w:val="00EA2572"/>
    <w:rsid w:val="00EA258B"/>
    <w:rsid w:val="00EA2632"/>
    <w:rsid w:val="00EA28EF"/>
    <w:rsid w:val="00EA2934"/>
    <w:rsid w:val="00EA2AE3"/>
    <w:rsid w:val="00EA2B95"/>
    <w:rsid w:val="00EA2DAC"/>
    <w:rsid w:val="00EA3028"/>
    <w:rsid w:val="00EA3051"/>
    <w:rsid w:val="00EA3098"/>
    <w:rsid w:val="00EA3126"/>
    <w:rsid w:val="00EA33A5"/>
    <w:rsid w:val="00EA3578"/>
    <w:rsid w:val="00EA374B"/>
    <w:rsid w:val="00EA39C8"/>
    <w:rsid w:val="00EA3CD8"/>
    <w:rsid w:val="00EA3D48"/>
    <w:rsid w:val="00EA3EBF"/>
    <w:rsid w:val="00EA3F80"/>
    <w:rsid w:val="00EA4475"/>
    <w:rsid w:val="00EA4C7F"/>
    <w:rsid w:val="00EA4ECF"/>
    <w:rsid w:val="00EA54EE"/>
    <w:rsid w:val="00EA5727"/>
    <w:rsid w:val="00EA578F"/>
    <w:rsid w:val="00EA5981"/>
    <w:rsid w:val="00EA5E32"/>
    <w:rsid w:val="00EA6283"/>
    <w:rsid w:val="00EA6563"/>
    <w:rsid w:val="00EA663F"/>
    <w:rsid w:val="00EA6854"/>
    <w:rsid w:val="00EA6857"/>
    <w:rsid w:val="00EA6865"/>
    <w:rsid w:val="00EA6909"/>
    <w:rsid w:val="00EA6975"/>
    <w:rsid w:val="00EA69A5"/>
    <w:rsid w:val="00EA6C10"/>
    <w:rsid w:val="00EA70FA"/>
    <w:rsid w:val="00EA744E"/>
    <w:rsid w:val="00EA74B8"/>
    <w:rsid w:val="00EA74BB"/>
    <w:rsid w:val="00EA75A1"/>
    <w:rsid w:val="00EA799C"/>
    <w:rsid w:val="00EA7A91"/>
    <w:rsid w:val="00EA7F76"/>
    <w:rsid w:val="00EB0167"/>
    <w:rsid w:val="00EB0466"/>
    <w:rsid w:val="00EB0686"/>
    <w:rsid w:val="00EB0AE4"/>
    <w:rsid w:val="00EB0B53"/>
    <w:rsid w:val="00EB0CDB"/>
    <w:rsid w:val="00EB0D37"/>
    <w:rsid w:val="00EB1300"/>
    <w:rsid w:val="00EB13FD"/>
    <w:rsid w:val="00EB177E"/>
    <w:rsid w:val="00EB1A22"/>
    <w:rsid w:val="00EB1C38"/>
    <w:rsid w:val="00EB1DA8"/>
    <w:rsid w:val="00EB1FBB"/>
    <w:rsid w:val="00EB21E5"/>
    <w:rsid w:val="00EB2470"/>
    <w:rsid w:val="00EB28C6"/>
    <w:rsid w:val="00EB2EA0"/>
    <w:rsid w:val="00EB2F61"/>
    <w:rsid w:val="00EB300A"/>
    <w:rsid w:val="00EB3228"/>
    <w:rsid w:val="00EB32DD"/>
    <w:rsid w:val="00EB34AB"/>
    <w:rsid w:val="00EB37C3"/>
    <w:rsid w:val="00EB3941"/>
    <w:rsid w:val="00EB398F"/>
    <w:rsid w:val="00EB3B29"/>
    <w:rsid w:val="00EB3FA4"/>
    <w:rsid w:val="00EB4038"/>
    <w:rsid w:val="00EB4047"/>
    <w:rsid w:val="00EB40AE"/>
    <w:rsid w:val="00EB4308"/>
    <w:rsid w:val="00EB437A"/>
    <w:rsid w:val="00EB46BD"/>
    <w:rsid w:val="00EB474D"/>
    <w:rsid w:val="00EB4BC2"/>
    <w:rsid w:val="00EB4CBD"/>
    <w:rsid w:val="00EB4CC0"/>
    <w:rsid w:val="00EB4EF1"/>
    <w:rsid w:val="00EB4F3B"/>
    <w:rsid w:val="00EB4F44"/>
    <w:rsid w:val="00EB50B5"/>
    <w:rsid w:val="00EB51D7"/>
    <w:rsid w:val="00EB52FE"/>
    <w:rsid w:val="00EB54A5"/>
    <w:rsid w:val="00EB5511"/>
    <w:rsid w:val="00EB56F7"/>
    <w:rsid w:val="00EB59FA"/>
    <w:rsid w:val="00EB5BB7"/>
    <w:rsid w:val="00EB5C0F"/>
    <w:rsid w:val="00EB5F44"/>
    <w:rsid w:val="00EB659F"/>
    <w:rsid w:val="00EB6945"/>
    <w:rsid w:val="00EB6C74"/>
    <w:rsid w:val="00EB6EA9"/>
    <w:rsid w:val="00EB701F"/>
    <w:rsid w:val="00EB772E"/>
    <w:rsid w:val="00EB78DB"/>
    <w:rsid w:val="00EB7E95"/>
    <w:rsid w:val="00EC0037"/>
    <w:rsid w:val="00EC05A3"/>
    <w:rsid w:val="00EC0D1D"/>
    <w:rsid w:val="00EC0EB8"/>
    <w:rsid w:val="00EC0F59"/>
    <w:rsid w:val="00EC0FE3"/>
    <w:rsid w:val="00EC1234"/>
    <w:rsid w:val="00EC13E0"/>
    <w:rsid w:val="00EC156E"/>
    <w:rsid w:val="00EC159A"/>
    <w:rsid w:val="00EC1840"/>
    <w:rsid w:val="00EC18CC"/>
    <w:rsid w:val="00EC1A8E"/>
    <w:rsid w:val="00EC1B02"/>
    <w:rsid w:val="00EC2420"/>
    <w:rsid w:val="00EC2488"/>
    <w:rsid w:val="00EC2698"/>
    <w:rsid w:val="00EC288E"/>
    <w:rsid w:val="00EC2D6A"/>
    <w:rsid w:val="00EC30BF"/>
    <w:rsid w:val="00EC30D8"/>
    <w:rsid w:val="00EC3162"/>
    <w:rsid w:val="00EC322D"/>
    <w:rsid w:val="00EC3517"/>
    <w:rsid w:val="00EC3742"/>
    <w:rsid w:val="00EC3998"/>
    <w:rsid w:val="00EC4038"/>
    <w:rsid w:val="00EC4072"/>
    <w:rsid w:val="00EC41B3"/>
    <w:rsid w:val="00EC446E"/>
    <w:rsid w:val="00EC4CF1"/>
    <w:rsid w:val="00EC4D33"/>
    <w:rsid w:val="00EC5995"/>
    <w:rsid w:val="00EC59CF"/>
    <w:rsid w:val="00EC5A10"/>
    <w:rsid w:val="00EC5B31"/>
    <w:rsid w:val="00EC5CB2"/>
    <w:rsid w:val="00EC5D2B"/>
    <w:rsid w:val="00EC5F4D"/>
    <w:rsid w:val="00EC69DC"/>
    <w:rsid w:val="00EC6B45"/>
    <w:rsid w:val="00EC6D05"/>
    <w:rsid w:val="00EC703B"/>
    <w:rsid w:val="00EC7901"/>
    <w:rsid w:val="00EC7A22"/>
    <w:rsid w:val="00EC7A6E"/>
    <w:rsid w:val="00ED0238"/>
    <w:rsid w:val="00ED0474"/>
    <w:rsid w:val="00ED0536"/>
    <w:rsid w:val="00ED0738"/>
    <w:rsid w:val="00ED1665"/>
    <w:rsid w:val="00ED1C0E"/>
    <w:rsid w:val="00ED1E00"/>
    <w:rsid w:val="00ED1EF7"/>
    <w:rsid w:val="00ED1F4F"/>
    <w:rsid w:val="00ED203A"/>
    <w:rsid w:val="00ED2050"/>
    <w:rsid w:val="00ED2051"/>
    <w:rsid w:val="00ED2168"/>
    <w:rsid w:val="00ED2E91"/>
    <w:rsid w:val="00ED2EBD"/>
    <w:rsid w:val="00ED2EC6"/>
    <w:rsid w:val="00ED2ECB"/>
    <w:rsid w:val="00ED2FCE"/>
    <w:rsid w:val="00ED30E7"/>
    <w:rsid w:val="00ED335C"/>
    <w:rsid w:val="00ED3509"/>
    <w:rsid w:val="00ED3608"/>
    <w:rsid w:val="00ED36EE"/>
    <w:rsid w:val="00ED3A2E"/>
    <w:rsid w:val="00ED3D90"/>
    <w:rsid w:val="00ED3DD5"/>
    <w:rsid w:val="00ED3F2B"/>
    <w:rsid w:val="00ED467C"/>
    <w:rsid w:val="00ED4DE7"/>
    <w:rsid w:val="00ED4F24"/>
    <w:rsid w:val="00ED4FE8"/>
    <w:rsid w:val="00ED5265"/>
    <w:rsid w:val="00ED53B2"/>
    <w:rsid w:val="00ED5632"/>
    <w:rsid w:val="00ED5CB3"/>
    <w:rsid w:val="00ED5D2E"/>
    <w:rsid w:val="00ED5EE2"/>
    <w:rsid w:val="00ED6959"/>
    <w:rsid w:val="00ED69A4"/>
    <w:rsid w:val="00ED6AE4"/>
    <w:rsid w:val="00ED6B2A"/>
    <w:rsid w:val="00ED6EBB"/>
    <w:rsid w:val="00ED6F70"/>
    <w:rsid w:val="00ED7112"/>
    <w:rsid w:val="00ED722E"/>
    <w:rsid w:val="00ED7441"/>
    <w:rsid w:val="00ED74ED"/>
    <w:rsid w:val="00ED7AA6"/>
    <w:rsid w:val="00ED7B22"/>
    <w:rsid w:val="00ED7BD2"/>
    <w:rsid w:val="00ED7F14"/>
    <w:rsid w:val="00EE0232"/>
    <w:rsid w:val="00EE0293"/>
    <w:rsid w:val="00EE02A2"/>
    <w:rsid w:val="00EE038E"/>
    <w:rsid w:val="00EE06AD"/>
    <w:rsid w:val="00EE0C1C"/>
    <w:rsid w:val="00EE0CCB"/>
    <w:rsid w:val="00EE1134"/>
    <w:rsid w:val="00EE1507"/>
    <w:rsid w:val="00EE187F"/>
    <w:rsid w:val="00EE1C39"/>
    <w:rsid w:val="00EE3103"/>
    <w:rsid w:val="00EE31D8"/>
    <w:rsid w:val="00EE3253"/>
    <w:rsid w:val="00EE35D3"/>
    <w:rsid w:val="00EE3840"/>
    <w:rsid w:val="00EE39EB"/>
    <w:rsid w:val="00EE3EB0"/>
    <w:rsid w:val="00EE425D"/>
    <w:rsid w:val="00EE4480"/>
    <w:rsid w:val="00EE4B3F"/>
    <w:rsid w:val="00EE4C26"/>
    <w:rsid w:val="00EE4C54"/>
    <w:rsid w:val="00EE515F"/>
    <w:rsid w:val="00EE580B"/>
    <w:rsid w:val="00EE5C21"/>
    <w:rsid w:val="00EE632A"/>
    <w:rsid w:val="00EE643F"/>
    <w:rsid w:val="00EE6763"/>
    <w:rsid w:val="00EE6B89"/>
    <w:rsid w:val="00EE6BA1"/>
    <w:rsid w:val="00EE6C31"/>
    <w:rsid w:val="00EE6E0E"/>
    <w:rsid w:val="00EE6E0F"/>
    <w:rsid w:val="00EE6E66"/>
    <w:rsid w:val="00EE7470"/>
    <w:rsid w:val="00EE777A"/>
    <w:rsid w:val="00EE79F2"/>
    <w:rsid w:val="00EF00B6"/>
    <w:rsid w:val="00EF026D"/>
    <w:rsid w:val="00EF0459"/>
    <w:rsid w:val="00EF04F4"/>
    <w:rsid w:val="00EF0602"/>
    <w:rsid w:val="00EF07A4"/>
    <w:rsid w:val="00EF096A"/>
    <w:rsid w:val="00EF0B79"/>
    <w:rsid w:val="00EF0D68"/>
    <w:rsid w:val="00EF0EA8"/>
    <w:rsid w:val="00EF101F"/>
    <w:rsid w:val="00EF109A"/>
    <w:rsid w:val="00EF1160"/>
    <w:rsid w:val="00EF1934"/>
    <w:rsid w:val="00EF1B06"/>
    <w:rsid w:val="00EF1B1C"/>
    <w:rsid w:val="00EF222B"/>
    <w:rsid w:val="00EF27B7"/>
    <w:rsid w:val="00EF286D"/>
    <w:rsid w:val="00EF2F4B"/>
    <w:rsid w:val="00EF32BD"/>
    <w:rsid w:val="00EF32D4"/>
    <w:rsid w:val="00EF38F2"/>
    <w:rsid w:val="00EF3ABC"/>
    <w:rsid w:val="00EF3D3A"/>
    <w:rsid w:val="00EF3EE9"/>
    <w:rsid w:val="00EF4040"/>
    <w:rsid w:val="00EF40C4"/>
    <w:rsid w:val="00EF4110"/>
    <w:rsid w:val="00EF4236"/>
    <w:rsid w:val="00EF45EA"/>
    <w:rsid w:val="00EF46D1"/>
    <w:rsid w:val="00EF4A8D"/>
    <w:rsid w:val="00EF4D70"/>
    <w:rsid w:val="00EF4F1C"/>
    <w:rsid w:val="00EF5B35"/>
    <w:rsid w:val="00EF5D67"/>
    <w:rsid w:val="00EF5DF7"/>
    <w:rsid w:val="00EF5ED3"/>
    <w:rsid w:val="00EF5EDD"/>
    <w:rsid w:val="00EF5FC1"/>
    <w:rsid w:val="00EF6221"/>
    <w:rsid w:val="00EF6388"/>
    <w:rsid w:val="00EF6590"/>
    <w:rsid w:val="00EF6679"/>
    <w:rsid w:val="00EF6903"/>
    <w:rsid w:val="00EF6EBF"/>
    <w:rsid w:val="00EF725E"/>
    <w:rsid w:val="00EF7DAA"/>
    <w:rsid w:val="00EF7DEC"/>
    <w:rsid w:val="00F002A2"/>
    <w:rsid w:val="00F00958"/>
    <w:rsid w:val="00F01056"/>
    <w:rsid w:val="00F01236"/>
    <w:rsid w:val="00F0167C"/>
    <w:rsid w:val="00F01769"/>
    <w:rsid w:val="00F017CB"/>
    <w:rsid w:val="00F017D3"/>
    <w:rsid w:val="00F017D5"/>
    <w:rsid w:val="00F01FB1"/>
    <w:rsid w:val="00F02107"/>
    <w:rsid w:val="00F021EF"/>
    <w:rsid w:val="00F02C4C"/>
    <w:rsid w:val="00F02F53"/>
    <w:rsid w:val="00F02FD6"/>
    <w:rsid w:val="00F02FEA"/>
    <w:rsid w:val="00F037BB"/>
    <w:rsid w:val="00F03A4A"/>
    <w:rsid w:val="00F03C06"/>
    <w:rsid w:val="00F03D21"/>
    <w:rsid w:val="00F047D6"/>
    <w:rsid w:val="00F04982"/>
    <w:rsid w:val="00F04A9B"/>
    <w:rsid w:val="00F04B42"/>
    <w:rsid w:val="00F050E3"/>
    <w:rsid w:val="00F051C6"/>
    <w:rsid w:val="00F0567E"/>
    <w:rsid w:val="00F05CA1"/>
    <w:rsid w:val="00F05EF5"/>
    <w:rsid w:val="00F065AB"/>
    <w:rsid w:val="00F0680F"/>
    <w:rsid w:val="00F06967"/>
    <w:rsid w:val="00F069EC"/>
    <w:rsid w:val="00F06A8F"/>
    <w:rsid w:val="00F06BF1"/>
    <w:rsid w:val="00F071E7"/>
    <w:rsid w:val="00F074C2"/>
    <w:rsid w:val="00F078F6"/>
    <w:rsid w:val="00F07D44"/>
    <w:rsid w:val="00F1013A"/>
    <w:rsid w:val="00F10241"/>
    <w:rsid w:val="00F103C0"/>
    <w:rsid w:val="00F107E9"/>
    <w:rsid w:val="00F108C0"/>
    <w:rsid w:val="00F10A57"/>
    <w:rsid w:val="00F10B8D"/>
    <w:rsid w:val="00F10ED7"/>
    <w:rsid w:val="00F10F25"/>
    <w:rsid w:val="00F119EC"/>
    <w:rsid w:val="00F11AD5"/>
    <w:rsid w:val="00F121E2"/>
    <w:rsid w:val="00F12B7F"/>
    <w:rsid w:val="00F12FF7"/>
    <w:rsid w:val="00F13460"/>
    <w:rsid w:val="00F13645"/>
    <w:rsid w:val="00F13A8E"/>
    <w:rsid w:val="00F1461F"/>
    <w:rsid w:val="00F14C99"/>
    <w:rsid w:val="00F15164"/>
    <w:rsid w:val="00F15244"/>
    <w:rsid w:val="00F153F2"/>
    <w:rsid w:val="00F15A57"/>
    <w:rsid w:val="00F15BFC"/>
    <w:rsid w:val="00F15C3C"/>
    <w:rsid w:val="00F15D07"/>
    <w:rsid w:val="00F15DEE"/>
    <w:rsid w:val="00F160E3"/>
    <w:rsid w:val="00F16489"/>
    <w:rsid w:val="00F1677D"/>
    <w:rsid w:val="00F169FA"/>
    <w:rsid w:val="00F16DD3"/>
    <w:rsid w:val="00F17110"/>
    <w:rsid w:val="00F17149"/>
    <w:rsid w:val="00F1731B"/>
    <w:rsid w:val="00F174F7"/>
    <w:rsid w:val="00F175C2"/>
    <w:rsid w:val="00F1794B"/>
    <w:rsid w:val="00F17BFF"/>
    <w:rsid w:val="00F20418"/>
    <w:rsid w:val="00F2067C"/>
    <w:rsid w:val="00F2071C"/>
    <w:rsid w:val="00F20E1C"/>
    <w:rsid w:val="00F20EC1"/>
    <w:rsid w:val="00F20EFD"/>
    <w:rsid w:val="00F2130D"/>
    <w:rsid w:val="00F214F2"/>
    <w:rsid w:val="00F21A20"/>
    <w:rsid w:val="00F222BD"/>
    <w:rsid w:val="00F22730"/>
    <w:rsid w:val="00F227D6"/>
    <w:rsid w:val="00F22994"/>
    <w:rsid w:val="00F22AC2"/>
    <w:rsid w:val="00F22D0C"/>
    <w:rsid w:val="00F22D29"/>
    <w:rsid w:val="00F231E7"/>
    <w:rsid w:val="00F2325D"/>
    <w:rsid w:val="00F2333B"/>
    <w:rsid w:val="00F23433"/>
    <w:rsid w:val="00F235D2"/>
    <w:rsid w:val="00F23699"/>
    <w:rsid w:val="00F23B1F"/>
    <w:rsid w:val="00F23B4C"/>
    <w:rsid w:val="00F23E6B"/>
    <w:rsid w:val="00F23E7C"/>
    <w:rsid w:val="00F23ED6"/>
    <w:rsid w:val="00F2406C"/>
    <w:rsid w:val="00F241C2"/>
    <w:rsid w:val="00F24275"/>
    <w:rsid w:val="00F2453A"/>
    <w:rsid w:val="00F24570"/>
    <w:rsid w:val="00F24596"/>
    <w:rsid w:val="00F24A4D"/>
    <w:rsid w:val="00F24AD9"/>
    <w:rsid w:val="00F25177"/>
    <w:rsid w:val="00F255C5"/>
    <w:rsid w:val="00F25B8A"/>
    <w:rsid w:val="00F25BAA"/>
    <w:rsid w:val="00F25C31"/>
    <w:rsid w:val="00F25E4C"/>
    <w:rsid w:val="00F2617A"/>
    <w:rsid w:val="00F2678E"/>
    <w:rsid w:val="00F26893"/>
    <w:rsid w:val="00F26B92"/>
    <w:rsid w:val="00F26E63"/>
    <w:rsid w:val="00F271D7"/>
    <w:rsid w:val="00F272DF"/>
    <w:rsid w:val="00F27414"/>
    <w:rsid w:val="00F274A8"/>
    <w:rsid w:val="00F27881"/>
    <w:rsid w:val="00F27A48"/>
    <w:rsid w:val="00F27A73"/>
    <w:rsid w:val="00F301DA"/>
    <w:rsid w:val="00F30229"/>
    <w:rsid w:val="00F303E3"/>
    <w:rsid w:val="00F30406"/>
    <w:rsid w:val="00F3081F"/>
    <w:rsid w:val="00F30853"/>
    <w:rsid w:val="00F30A15"/>
    <w:rsid w:val="00F30B7F"/>
    <w:rsid w:val="00F30BDE"/>
    <w:rsid w:val="00F30C1E"/>
    <w:rsid w:val="00F30E0A"/>
    <w:rsid w:val="00F3102E"/>
    <w:rsid w:val="00F31380"/>
    <w:rsid w:val="00F319AE"/>
    <w:rsid w:val="00F31F62"/>
    <w:rsid w:val="00F32102"/>
    <w:rsid w:val="00F3225F"/>
    <w:rsid w:val="00F325B3"/>
    <w:rsid w:val="00F325B7"/>
    <w:rsid w:val="00F32800"/>
    <w:rsid w:val="00F32ADE"/>
    <w:rsid w:val="00F32C10"/>
    <w:rsid w:val="00F32C1A"/>
    <w:rsid w:val="00F3340D"/>
    <w:rsid w:val="00F33725"/>
    <w:rsid w:val="00F338A3"/>
    <w:rsid w:val="00F339B7"/>
    <w:rsid w:val="00F33C68"/>
    <w:rsid w:val="00F33DC4"/>
    <w:rsid w:val="00F33F15"/>
    <w:rsid w:val="00F3475B"/>
    <w:rsid w:val="00F348CB"/>
    <w:rsid w:val="00F349AF"/>
    <w:rsid w:val="00F34C6C"/>
    <w:rsid w:val="00F34C93"/>
    <w:rsid w:val="00F3527F"/>
    <w:rsid w:val="00F35347"/>
    <w:rsid w:val="00F3556A"/>
    <w:rsid w:val="00F3558C"/>
    <w:rsid w:val="00F35BDC"/>
    <w:rsid w:val="00F35E5C"/>
    <w:rsid w:val="00F35F16"/>
    <w:rsid w:val="00F36049"/>
    <w:rsid w:val="00F36149"/>
    <w:rsid w:val="00F36434"/>
    <w:rsid w:val="00F36621"/>
    <w:rsid w:val="00F368A5"/>
    <w:rsid w:val="00F36933"/>
    <w:rsid w:val="00F3723D"/>
    <w:rsid w:val="00F37550"/>
    <w:rsid w:val="00F40017"/>
    <w:rsid w:val="00F40260"/>
    <w:rsid w:val="00F40513"/>
    <w:rsid w:val="00F4062C"/>
    <w:rsid w:val="00F40AA0"/>
    <w:rsid w:val="00F40BB6"/>
    <w:rsid w:val="00F40DDD"/>
    <w:rsid w:val="00F41023"/>
    <w:rsid w:val="00F41203"/>
    <w:rsid w:val="00F41539"/>
    <w:rsid w:val="00F415C1"/>
    <w:rsid w:val="00F419EF"/>
    <w:rsid w:val="00F41C06"/>
    <w:rsid w:val="00F41C37"/>
    <w:rsid w:val="00F41D09"/>
    <w:rsid w:val="00F424DE"/>
    <w:rsid w:val="00F42642"/>
    <w:rsid w:val="00F42672"/>
    <w:rsid w:val="00F42B4B"/>
    <w:rsid w:val="00F42CCB"/>
    <w:rsid w:val="00F42F1D"/>
    <w:rsid w:val="00F42F36"/>
    <w:rsid w:val="00F4312B"/>
    <w:rsid w:val="00F4333E"/>
    <w:rsid w:val="00F43DA1"/>
    <w:rsid w:val="00F43E3D"/>
    <w:rsid w:val="00F44058"/>
    <w:rsid w:val="00F441AC"/>
    <w:rsid w:val="00F444D3"/>
    <w:rsid w:val="00F4450E"/>
    <w:rsid w:val="00F44631"/>
    <w:rsid w:val="00F44751"/>
    <w:rsid w:val="00F44776"/>
    <w:rsid w:val="00F44B7C"/>
    <w:rsid w:val="00F44B83"/>
    <w:rsid w:val="00F44D54"/>
    <w:rsid w:val="00F4518E"/>
    <w:rsid w:val="00F451B8"/>
    <w:rsid w:val="00F45613"/>
    <w:rsid w:val="00F456F0"/>
    <w:rsid w:val="00F457AE"/>
    <w:rsid w:val="00F4583B"/>
    <w:rsid w:val="00F45C48"/>
    <w:rsid w:val="00F46058"/>
    <w:rsid w:val="00F4628E"/>
    <w:rsid w:val="00F462E2"/>
    <w:rsid w:val="00F46336"/>
    <w:rsid w:val="00F463FE"/>
    <w:rsid w:val="00F46A53"/>
    <w:rsid w:val="00F46A87"/>
    <w:rsid w:val="00F474ED"/>
    <w:rsid w:val="00F479BA"/>
    <w:rsid w:val="00F47A22"/>
    <w:rsid w:val="00F47CE3"/>
    <w:rsid w:val="00F47DB1"/>
    <w:rsid w:val="00F47DB4"/>
    <w:rsid w:val="00F504B1"/>
    <w:rsid w:val="00F508B2"/>
    <w:rsid w:val="00F5091A"/>
    <w:rsid w:val="00F50E34"/>
    <w:rsid w:val="00F51638"/>
    <w:rsid w:val="00F51ED2"/>
    <w:rsid w:val="00F521FA"/>
    <w:rsid w:val="00F5265F"/>
    <w:rsid w:val="00F526E2"/>
    <w:rsid w:val="00F52931"/>
    <w:rsid w:val="00F52ED1"/>
    <w:rsid w:val="00F52FCA"/>
    <w:rsid w:val="00F52FCD"/>
    <w:rsid w:val="00F53011"/>
    <w:rsid w:val="00F537EC"/>
    <w:rsid w:val="00F539F1"/>
    <w:rsid w:val="00F53EAA"/>
    <w:rsid w:val="00F53FEE"/>
    <w:rsid w:val="00F54097"/>
    <w:rsid w:val="00F543A5"/>
    <w:rsid w:val="00F545D7"/>
    <w:rsid w:val="00F54777"/>
    <w:rsid w:val="00F54A15"/>
    <w:rsid w:val="00F54EB5"/>
    <w:rsid w:val="00F55547"/>
    <w:rsid w:val="00F55608"/>
    <w:rsid w:val="00F5563C"/>
    <w:rsid w:val="00F55B0D"/>
    <w:rsid w:val="00F5616A"/>
    <w:rsid w:val="00F56185"/>
    <w:rsid w:val="00F561FD"/>
    <w:rsid w:val="00F56240"/>
    <w:rsid w:val="00F563B7"/>
    <w:rsid w:val="00F5667B"/>
    <w:rsid w:val="00F56C10"/>
    <w:rsid w:val="00F56C35"/>
    <w:rsid w:val="00F56D3B"/>
    <w:rsid w:val="00F56E92"/>
    <w:rsid w:val="00F570DA"/>
    <w:rsid w:val="00F5718A"/>
    <w:rsid w:val="00F57330"/>
    <w:rsid w:val="00F574AB"/>
    <w:rsid w:val="00F575E0"/>
    <w:rsid w:val="00F57632"/>
    <w:rsid w:val="00F5770C"/>
    <w:rsid w:val="00F60194"/>
    <w:rsid w:val="00F60547"/>
    <w:rsid w:val="00F610E4"/>
    <w:rsid w:val="00F613C8"/>
    <w:rsid w:val="00F613DE"/>
    <w:rsid w:val="00F61618"/>
    <w:rsid w:val="00F61990"/>
    <w:rsid w:val="00F61DCD"/>
    <w:rsid w:val="00F61EDB"/>
    <w:rsid w:val="00F620EB"/>
    <w:rsid w:val="00F62865"/>
    <w:rsid w:val="00F629EC"/>
    <w:rsid w:val="00F62B84"/>
    <w:rsid w:val="00F62C43"/>
    <w:rsid w:val="00F62E72"/>
    <w:rsid w:val="00F6302A"/>
    <w:rsid w:val="00F6332F"/>
    <w:rsid w:val="00F63678"/>
    <w:rsid w:val="00F6372F"/>
    <w:rsid w:val="00F637A2"/>
    <w:rsid w:val="00F63BB5"/>
    <w:rsid w:val="00F63C20"/>
    <w:rsid w:val="00F6409C"/>
    <w:rsid w:val="00F644E7"/>
    <w:rsid w:val="00F6457A"/>
    <w:rsid w:val="00F645DD"/>
    <w:rsid w:val="00F649F0"/>
    <w:rsid w:val="00F64AB7"/>
    <w:rsid w:val="00F64E90"/>
    <w:rsid w:val="00F651A2"/>
    <w:rsid w:val="00F652AA"/>
    <w:rsid w:val="00F65355"/>
    <w:rsid w:val="00F6542F"/>
    <w:rsid w:val="00F654C4"/>
    <w:rsid w:val="00F6574A"/>
    <w:rsid w:val="00F65E59"/>
    <w:rsid w:val="00F65F79"/>
    <w:rsid w:val="00F65F8F"/>
    <w:rsid w:val="00F65FC0"/>
    <w:rsid w:val="00F65FCA"/>
    <w:rsid w:val="00F6603C"/>
    <w:rsid w:val="00F6630A"/>
    <w:rsid w:val="00F6672E"/>
    <w:rsid w:val="00F67509"/>
    <w:rsid w:val="00F67591"/>
    <w:rsid w:val="00F675A8"/>
    <w:rsid w:val="00F67720"/>
    <w:rsid w:val="00F67E74"/>
    <w:rsid w:val="00F67F97"/>
    <w:rsid w:val="00F70053"/>
    <w:rsid w:val="00F7006A"/>
    <w:rsid w:val="00F704DD"/>
    <w:rsid w:val="00F705F2"/>
    <w:rsid w:val="00F70600"/>
    <w:rsid w:val="00F70680"/>
    <w:rsid w:val="00F706B1"/>
    <w:rsid w:val="00F70811"/>
    <w:rsid w:val="00F70AE3"/>
    <w:rsid w:val="00F70DC6"/>
    <w:rsid w:val="00F70E1F"/>
    <w:rsid w:val="00F70F17"/>
    <w:rsid w:val="00F71088"/>
    <w:rsid w:val="00F71215"/>
    <w:rsid w:val="00F7143F"/>
    <w:rsid w:val="00F71B6D"/>
    <w:rsid w:val="00F71D34"/>
    <w:rsid w:val="00F720CB"/>
    <w:rsid w:val="00F7247F"/>
    <w:rsid w:val="00F724E3"/>
    <w:rsid w:val="00F7257A"/>
    <w:rsid w:val="00F725F2"/>
    <w:rsid w:val="00F72BA4"/>
    <w:rsid w:val="00F730C2"/>
    <w:rsid w:val="00F730E3"/>
    <w:rsid w:val="00F733B6"/>
    <w:rsid w:val="00F734C4"/>
    <w:rsid w:val="00F73716"/>
    <w:rsid w:val="00F73738"/>
    <w:rsid w:val="00F73A9B"/>
    <w:rsid w:val="00F73B99"/>
    <w:rsid w:val="00F73C9C"/>
    <w:rsid w:val="00F73EBF"/>
    <w:rsid w:val="00F73F18"/>
    <w:rsid w:val="00F73F7A"/>
    <w:rsid w:val="00F73FCF"/>
    <w:rsid w:val="00F74100"/>
    <w:rsid w:val="00F741CA"/>
    <w:rsid w:val="00F744CA"/>
    <w:rsid w:val="00F74B6F"/>
    <w:rsid w:val="00F74BB6"/>
    <w:rsid w:val="00F74E7E"/>
    <w:rsid w:val="00F7519D"/>
    <w:rsid w:val="00F754A1"/>
    <w:rsid w:val="00F75825"/>
    <w:rsid w:val="00F762B4"/>
    <w:rsid w:val="00F7635E"/>
    <w:rsid w:val="00F764C6"/>
    <w:rsid w:val="00F76AD6"/>
    <w:rsid w:val="00F76F27"/>
    <w:rsid w:val="00F77892"/>
    <w:rsid w:val="00F77F09"/>
    <w:rsid w:val="00F77FFE"/>
    <w:rsid w:val="00F801D4"/>
    <w:rsid w:val="00F805F1"/>
    <w:rsid w:val="00F80D8C"/>
    <w:rsid w:val="00F80DC1"/>
    <w:rsid w:val="00F81067"/>
    <w:rsid w:val="00F8113E"/>
    <w:rsid w:val="00F81470"/>
    <w:rsid w:val="00F816C7"/>
    <w:rsid w:val="00F819AB"/>
    <w:rsid w:val="00F819C2"/>
    <w:rsid w:val="00F819E3"/>
    <w:rsid w:val="00F81D2F"/>
    <w:rsid w:val="00F821AC"/>
    <w:rsid w:val="00F82505"/>
    <w:rsid w:val="00F829CC"/>
    <w:rsid w:val="00F82AD5"/>
    <w:rsid w:val="00F830BF"/>
    <w:rsid w:val="00F83105"/>
    <w:rsid w:val="00F834C5"/>
    <w:rsid w:val="00F83770"/>
    <w:rsid w:val="00F83B9D"/>
    <w:rsid w:val="00F83D1C"/>
    <w:rsid w:val="00F84361"/>
    <w:rsid w:val="00F84371"/>
    <w:rsid w:val="00F848F9"/>
    <w:rsid w:val="00F84959"/>
    <w:rsid w:val="00F84C4E"/>
    <w:rsid w:val="00F84F0C"/>
    <w:rsid w:val="00F84FCE"/>
    <w:rsid w:val="00F85114"/>
    <w:rsid w:val="00F856DB"/>
    <w:rsid w:val="00F85825"/>
    <w:rsid w:val="00F85A1C"/>
    <w:rsid w:val="00F85BF9"/>
    <w:rsid w:val="00F863ED"/>
    <w:rsid w:val="00F8675E"/>
    <w:rsid w:val="00F86766"/>
    <w:rsid w:val="00F86979"/>
    <w:rsid w:val="00F869B9"/>
    <w:rsid w:val="00F86A59"/>
    <w:rsid w:val="00F87165"/>
    <w:rsid w:val="00F872DE"/>
    <w:rsid w:val="00F8732B"/>
    <w:rsid w:val="00F876DF"/>
    <w:rsid w:val="00F905E8"/>
    <w:rsid w:val="00F908DE"/>
    <w:rsid w:val="00F9091F"/>
    <w:rsid w:val="00F90923"/>
    <w:rsid w:val="00F90AE9"/>
    <w:rsid w:val="00F90C15"/>
    <w:rsid w:val="00F90FEC"/>
    <w:rsid w:val="00F9134C"/>
    <w:rsid w:val="00F91D22"/>
    <w:rsid w:val="00F922F4"/>
    <w:rsid w:val="00F9239E"/>
    <w:rsid w:val="00F92437"/>
    <w:rsid w:val="00F9269E"/>
    <w:rsid w:val="00F928F4"/>
    <w:rsid w:val="00F929AC"/>
    <w:rsid w:val="00F92A10"/>
    <w:rsid w:val="00F9304F"/>
    <w:rsid w:val="00F9333B"/>
    <w:rsid w:val="00F93804"/>
    <w:rsid w:val="00F93ACD"/>
    <w:rsid w:val="00F93AEA"/>
    <w:rsid w:val="00F93EE5"/>
    <w:rsid w:val="00F93F12"/>
    <w:rsid w:val="00F94094"/>
    <w:rsid w:val="00F94185"/>
    <w:rsid w:val="00F9437B"/>
    <w:rsid w:val="00F9446A"/>
    <w:rsid w:val="00F94720"/>
    <w:rsid w:val="00F94B36"/>
    <w:rsid w:val="00F94CEC"/>
    <w:rsid w:val="00F94E04"/>
    <w:rsid w:val="00F94E47"/>
    <w:rsid w:val="00F9526A"/>
    <w:rsid w:val="00F952C0"/>
    <w:rsid w:val="00F953AD"/>
    <w:rsid w:val="00F953E1"/>
    <w:rsid w:val="00F956F0"/>
    <w:rsid w:val="00F95BCB"/>
    <w:rsid w:val="00F95E75"/>
    <w:rsid w:val="00F95FDC"/>
    <w:rsid w:val="00F9632F"/>
    <w:rsid w:val="00F9648B"/>
    <w:rsid w:val="00F9651A"/>
    <w:rsid w:val="00F96783"/>
    <w:rsid w:val="00F96CDC"/>
    <w:rsid w:val="00F96F04"/>
    <w:rsid w:val="00F970A6"/>
    <w:rsid w:val="00F9747F"/>
    <w:rsid w:val="00F976DF"/>
    <w:rsid w:val="00F97775"/>
    <w:rsid w:val="00F97896"/>
    <w:rsid w:val="00F97C98"/>
    <w:rsid w:val="00F97E23"/>
    <w:rsid w:val="00F97E5D"/>
    <w:rsid w:val="00FA02F4"/>
    <w:rsid w:val="00FA0538"/>
    <w:rsid w:val="00FA1194"/>
    <w:rsid w:val="00FA18CD"/>
    <w:rsid w:val="00FA19D1"/>
    <w:rsid w:val="00FA1A03"/>
    <w:rsid w:val="00FA1AF5"/>
    <w:rsid w:val="00FA1D82"/>
    <w:rsid w:val="00FA1EB1"/>
    <w:rsid w:val="00FA1FF3"/>
    <w:rsid w:val="00FA278A"/>
    <w:rsid w:val="00FA2B06"/>
    <w:rsid w:val="00FA2C18"/>
    <w:rsid w:val="00FA3092"/>
    <w:rsid w:val="00FA32A7"/>
    <w:rsid w:val="00FA341F"/>
    <w:rsid w:val="00FA34F9"/>
    <w:rsid w:val="00FA378E"/>
    <w:rsid w:val="00FA389C"/>
    <w:rsid w:val="00FA3A0A"/>
    <w:rsid w:val="00FA3A64"/>
    <w:rsid w:val="00FA3B42"/>
    <w:rsid w:val="00FA3CE6"/>
    <w:rsid w:val="00FA3F95"/>
    <w:rsid w:val="00FA3FF1"/>
    <w:rsid w:val="00FA431A"/>
    <w:rsid w:val="00FA4577"/>
    <w:rsid w:val="00FA4ACB"/>
    <w:rsid w:val="00FA4B87"/>
    <w:rsid w:val="00FA4C67"/>
    <w:rsid w:val="00FA4C97"/>
    <w:rsid w:val="00FA4F99"/>
    <w:rsid w:val="00FA5161"/>
    <w:rsid w:val="00FA5215"/>
    <w:rsid w:val="00FA536D"/>
    <w:rsid w:val="00FA54D8"/>
    <w:rsid w:val="00FA5E6B"/>
    <w:rsid w:val="00FA5EC5"/>
    <w:rsid w:val="00FA60E7"/>
    <w:rsid w:val="00FA66F9"/>
    <w:rsid w:val="00FA6863"/>
    <w:rsid w:val="00FA68D2"/>
    <w:rsid w:val="00FA69FE"/>
    <w:rsid w:val="00FA6D67"/>
    <w:rsid w:val="00FA6F7F"/>
    <w:rsid w:val="00FA7296"/>
    <w:rsid w:val="00FA750F"/>
    <w:rsid w:val="00FA7534"/>
    <w:rsid w:val="00FA76CA"/>
    <w:rsid w:val="00FA77B7"/>
    <w:rsid w:val="00FA78BE"/>
    <w:rsid w:val="00FA78D5"/>
    <w:rsid w:val="00FA7C4A"/>
    <w:rsid w:val="00FA7D7A"/>
    <w:rsid w:val="00FA7D7C"/>
    <w:rsid w:val="00FB0032"/>
    <w:rsid w:val="00FB047F"/>
    <w:rsid w:val="00FB0692"/>
    <w:rsid w:val="00FB0C0C"/>
    <w:rsid w:val="00FB0E50"/>
    <w:rsid w:val="00FB0E68"/>
    <w:rsid w:val="00FB145C"/>
    <w:rsid w:val="00FB1814"/>
    <w:rsid w:val="00FB18DF"/>
    <w:rsid w:val="00FB1BB6"/>
    <w:rsid w:val="00FB2403"/>
    <w:rsid w:val="00FB2728"/>
    <w:rsid w:val="00FB2871"/>
    <w:rsid w:val="00FB2890"/>
    <w:rsid w:val="00FB30D7"/>
    <w:rsid w:val="00FB3405"/>
    <w:rsid w:val="00FB3465"/>
    <w:rsid w:val="00FB3971"/>
    <w:rsid w:val="00FB3A39"/>
    <w:rsid w:val="00FB3BB9"/>
    <w:rsid w:val="00FB3D55"/>
    <w:rsid w:val="00FB3E95"/>
    <w:rsid w:val="00FB4127"/>
    <w:rsid w:val="00FB41D5"/>
    <w:rsid w:val="00FB4461"/>
    <w:rsid w:val="00FB478E"/>
    <w:rsid w:val="00FB4930"/>
    <w:rsid w:val="00FB4F18"/>
    <w:rsid w:val="00FB513F"/>
    <w:rsid w:val="00FB5146"/>
    <w:rsid w:val="00FB52E6"/>
    <w:rsid w:val="00FB54BB"/>
    <w:rsid w:val="00FB5505"/>
    <w:rsid w:val="00FB56A1"/>
    <w:rsid w:val="00FB5E43"/>
    <w:rsid w:val="00FB601D"/>
    <w:rsid w:val="00FB62DC"/>
    <w:rsid w:val="00FB6303"/>
    <w:rsid w:val="00FB6342"/>
    <w:rsid w:val="00FB6942"/>
    <w:rsid w:val="00FB6E1A"/>
    <w:rsid w:val="00FB6E43"/>
    <w:rsid w:val="00FC087D"/>
    <w:rsid w:val="00FC09CB"/>
    <w:rsid w:val="00FC09DC"/>
    <w:rsid w:val="00FC09E8"/>
    <w:rsid w:val="00FC0A5A"/>
    <w:rsid w:val="00FC0D2C"/>
    <w:rsid w:val="00FC1014"/>
    <w:rsid w:val="00FC12C3"/>
    <w:rsid w:val="00FC15EB"/>
    <w:rsid w:val="00FC22F1"/>
    <w:rsid w:val="00FC28F0"/>
    <w:rsid w:val="00FC2964"/>
    <w:rsid w:val="00FC2BBC"/>
    <w:rsid w:val="00FC2C5F"/>
    <w:rsid w:val="00FC319F"/>
    <w:rsid w:val="00FC322B"/>
    <w:rsid w:val="00FC336F"/>
    <w:rsid w:val="00FC33AF"/>
    <w:rsid w:val="00FC349C"/>
    <w:rsid w:val="00FC34FB"/>
    <w:rsid w:val="00FC371C"/>
    <w:rsid w:val="00FC3B59"/>
    <w:rsid w:val="00FC4392"/>
    <w:rsid w:val="00FC44BE"/>
    <w:rsid w:val="00FC4642"/>
    <w:rsid w:val="00FC46AF"/>
    <w:rsid w:val="00FC4999"/>
    <w:rsid w:val="00FC4B91"/>
    <w:rsid w:val="00FC4D6E"/>
    <w:rsid w:val="00FC4D7A"/>
    <w:rsid w:val="00FC4FEF"/>
    <w:rsid w:val="00FC527F"/>
    <w:rsid w:val="00FC52F0"/>
    <w:rsid w:val="00FC563A"/>
    <w:rsid w:val="00FC589B"/>
    <w:rsid w:val="00FC5A49"/>
    <w:rsid w:val="00FC5C33"/>
    <w:rsid w:val="00FC5C35"/>
    <w:rsid w:val="00FC5FB5"/>
    <w:rsid w:val="00FC674A"/>
    <w:rsid w:val="00FC6A43"/>
    <w:rsid w:val="00FC6C4C"/>
    <w:rsid w:val="00FC70B4"/>
    <w:rsid w:val="00FC72D4"/>
    <w:rsid w:val="00FC7455"/>
    <w:rsid w:val="00FC7A6D"/>
    <w:rsid w:val="00FD003C"/>
    <w:rsid w:val="00FD04BD"/>
    <w:rsid w:val="00FD0868"/>
    <w:rsid w:val="00FD0A3D"/>
    <w:rsid w:val="00FD0E26"/>
    <w:rsid w:val="00FD0E9B"/>
    <w:rsid w:val="00FD14D9"/>
    <w:rsid w:val="00FD153A"/>
    <w:rsid w:val="00FD1AFC"/>
    <w:rsid w:val="00FD1EF2"/>
    <w:rsid w:val="00FD20CD"/>
    <w:rsid w:val="00FD2112"/>
    <w:rsid w:val="00FD23A2"/>
    <w:rsid w:val="00FD2546"/>
    <w:rsid w:val="00FD25CC"/>
    <w:rsid w:val="00FD25E6"/>
    <w:rsid w:val="00FD2945"/>
    <w:rsid w:val="00FD2ABB"/>
    <w:rsid w:val="00FD2D40"/>
    <w:rsid w:val="00FD2D61"/>
    <w:rsid w:val="00FD2E35"/>
    <w:rsid w:val="00FD2F52"/>
    <w:rsid w:val="00FD3264"/>
    <w:rsid w:val="00FD3450"/>
    <w:rsid w:val="00FD34D6"/>
    <w:rsid w:val="00FD35E3"/>
    <w:rsid w:val="00FD368E"/>
    <w:rsid w:val="00FD3812"/>
    <w:rsid w:val="00FD3964"/>
    <w:rsid w:val="00FD3D0C"/>
    <w:rsid w:val="00FD3D60"/>
    <w:rsid w:val="00FD3F88"/>
    <w:rsid w:val="00FD419F"/>
    <w:rsid w:val="00FD4471"/>
    <w:rsid w:val="00FD467C"/>
    <w:rsid w:val="00FD46E6"/>
    <w:rsid w:val="00FD47C1"/>
    <w:rsid w:val="00FD486C"/>
    <w:rsid w:val="00FD48AF"/>
    <w:rsid w:val="00FD49F4"/>
    <w:rsid w:val="00FD4B39"/>
    <w:rsid w:val="00FD4C10"/>
    <w:rsid w:val="00FD4F70"/>
    <w:rsid w:val="00FD5260"/>
    <w:rsid w:val="00FD527E"/>
    <w:rsid w:val="00FD538C"/>
    <w:rsid w:val="00FD548C"/>
    <w:rsid w:val="00FD5712"/>
    <w:rsid w:val="00FD5AF0"/>
    <w:rsid w:val="00FD5C26"/>
    <w:rsid w:val="00FD5EE6"/>
    <w:rsid w:val="00FD601D"/>
    <w:rsid w:val="00FD60AE"/>
    <w:rsid w:val="00FD616C"/>
    <w:rsid w:val="00FD6A01"/>
    <w:rsid w:val="00FD6F26"/>
    <w:rsid w:val="00FD7046"/>
    <w:rsid w:val="00FD72AE"/>
    <w:rsid w:val="00FD763F"/>
    <w:rsid w:val="00FD78B4"/>
    <w:rsid w:val="00FD7C0E"/>
    <w:rsid w:val="00FD7C65"/>
    <w:rsid w:val="00FD7E3F"/>
    <w:rsid w:val="00FE0011"/>
    <w:rsid w:val="00FE004A"/>
    <w:rsid w:val="00FE00BA"/>
    <w:rsid w:val="00FE079C"/>
    <w:rsid w:val="00FE09C3"/>
    <w:rsid w:val="00FE0C6D"/>
    <w:rsid w:val="00FE0DBF"/>
    <w:rsid w:val="00FE1030"/>
    <w:rsid w:val="00FE10CA"/>
    <w:rsid w:val="00FE143D"/>
    <w:rsid w:val="00FE155C"/>
    <w:rsid w:val="00FE1599"/>
    <w:rsid w:val="00FE169C"/>
    <w:rsid w:val="00FE16AD"/>
    <w:rsid w:val="00FE16D8"/>
    <w:rsid w:val="00FE178D"/>
    <w:rsid w:val="00FE191E"/>
    <w:rsid w:val="00FE1A1D"/>
    <w:rsid w:val="00FE1A73"/>
    <w:rsid w:val="00FE1BF4"/>
    <w:rsid w:val="00FE1C1A"/>
    <w:rsid w:val="00FE1E53"/>
    <w:rsid w:val="00FE20D6"/>
    <w:rsid w:val="00FE2405"/>
    <w:rsid w:val="00FE2515"/>
    <w:rsid w:val="00FE266D"/>
    <w:rsid w:val="00FE2C24"/>
    <w:rsid w:val="00FE2CEA"/>
    <w:rsid w:val="00FE2D4B"/>
    <w:rsid w:val="00FE31B1"/>
    <w:rsid w:val="00FE33F0"/>
    <w:rsid w:val="00FE3CC8"/>
    <w:rsid w:val="00FE3E87"/>
    <w:rsid w:val="00FE4049"/>
    <w:rsid w:val="00FE42F3"/>
    <w:rsid w:val="00FE4406"/>
    <w:rsid w:val="00FE4774"/>
    <w:rsid w:val="00FE4B08"/>
    <w:rsid w:val="00FE4B62"/>
    <w:rsid w:val="00FE511C"/>
    <w:rsid w:val="00FE55FB"/>
    <w:rsid w:val="00FE566F"/>
    <w:rsid w:val="00FE56F0"/>
    <w:rsid w:val="00FE5958"/>
    <w:rsid w:val="00FE5AB5"/>
    <w:rsid w:val="00FE5B18"/>
    <w:rsid w:val="00FE5B50"/>
    <w:rsid w:val="00FE5B78"/>
    <w:rsid w:val="00FE5E2B"/>
    <w:rsid w:val="00FE6236"/>
    <w:rsid w:val="00FE692A"/>
    <w:rsid w:val="00FE6998"/>
    <w:rsid w:val="00FE700A"/>
    <w:rsid w:val="00FE7035"/>
    <w:rsid w:val="00FE76B9"/>
    <w:rsid w:val="00FE7A62"/>
    <w:rsid w:val="00FF0221"/>
    <w:rsid w:val="00FF0873"/>
    <w:rsid w:val="00FF0977"/>
    <w:rsid w:val="00FF09BD"/>
    <w:rsid w:val="00FF0E47"/>
    <w:rsid w:val="00FF0E65"/>
    <w:rsid w:val="00FF0E90"/>
    <w:rsid w:val="00FF121E"/>
    <w:rsid w:val="00FF14B9"/>
    <w:rsid w:val="00FF1566"/>
    <w:rsid w:val="00FF16AC"/>
    <w:rsid w:val="00FF183C"/>
    <w:rsid w:val="00FF1BE0"/>
    <w:rsid w:val="00FF1EEF"/>
    <w:rsid w:val="00FF254D"/>
    <w:rsid w:val="00FF2684"/>
    <w:rsid w:val="00FF2756"/>
    <w:rsid w:val="00FF2914"/>
    <w:rsid w:val="00FF2959"/>
    <w:rsid w:val="00FF2B2C"/>
    <w:rsid w:val="00FF3046"/>
    <w:rsid w:val="00FF30A2"/>
    <w:rsid w:val="00FF3919"/>
    <w:rsid w:val="00FF400D"/>
    <w:rsid w:val="00FF4420"/>
    <w:rsid w:val="00FF46A0"/>
    <w:rsid w:val="00FF46D8"/>
    <w:rsid w:val="00FF4774"/>
    <w:rsid w:val="00FF48DD"/>
    <w:rsid w:val="00FF4A1D"/>
    <w:rsid w:val="00FF4A36"/>
    <w:rsid w:val="00FF4F1D"/>
    <w:rsid w:val="00FF5085"/>
    <w:rsid w:val="00FF50B4"/>
    <w:rsid w:val="00FF585A"/>
    <w:rsid w:val="00FF5A29"/>
    <w:rsid w:val="00FF5ED0"/>
    <w:rsid w:val="00FF6656"/>
    <w:rsid w:val="00FF683E"/>
    <w:rsid w:val="00FF6B56"/>
    <w:rsid w:val="00FF70DC"/>
    <w:rsid w:val="00FF769A"/>
    <w:rsid w:val="00FF76A6"/>
    <w:rsid w:val="00FF79EC"/>
    <w:rsid w:val="00FF7AE8"/>
    <w:rsid w:val="00FF7E25"/>
    <w:rsid w:val="01481F61"/>
    <w:rsid w:val="01DC205A"/>
    <w:rsid w:val="03403824"/>
    <w:rsid w:val="03B23164"/>
    <w:rsid w:val="04113491"/>
    <w:rsid w:val="04A10A00"/>
    <w:rsid w:val="04F66433"/>
    <w:rsid w:val="05590F2D"/>
    <w:rsid w:val="079755B6"/>
    <w:rsid w:val="0AB67394"/>
    <w:rsid w:val="0AC30E17"/>
    <w:rsid w:val="0AFF3031"/>
    <w:rsid w:val="0C4D55EB"/>
    <w:rsid w:val="0CCA6447"/>
    <w:rsid w:val="0E564E7E"/>
    <w:rsid w:val="124B5A14"/>
    <w:rsid w:val="12830BA0"/>
    <w:rsid w:val="13F303C0"/>
    <w:rsid w:val="14C975A1"/>
    <w:rsid w:val="15074552"/>
    <w:rsid w:val="16D35EE9"/>
    <w:rsid w:val="173375DA"/>
    <w:rsid w:val="187F487B"/>
    <w:rsid w:val="19AE13FD"/>
    <w:rsid w:val="1A581B72"/>
    <w:rsid w:val="1B254F7C"/>
    <w:rsid w:val="1C4D2029"/>
    <w:rsid w:val="1E824E63"/>
    <w:rsid w:val="1F1F54B1"/>
    <w:rsid w:val="225D28D4"/>
    <w:rsid w:val="226F27F9"/>
    <w:rsid w:val="24525225"/>
    <w:rsid w:val="258B5AE2"/>
    <w:rsid w:val="25F66E79"/>
    <w:rsid w:val="261A1D87"/>
    <w:rsid w:val="269614E4"/>
    <w:rsid w:val="27F73E34"/>
    <w:rsid w:val="2822307C"/>
    <w:rsid w:val="29176519"/>
    <w:rsid w:val="291C5A01"/>
    <w:rsid w:val="2975220D"/>
    <w:rsid w:val="29E22C4B"/>
    <w:rsid w:val="29EC4E48"/>
    <w:rsid w:val="2A395271"/>
    <w:rsid w:val="2AA970E6"/>
    <w:rsid w:val="2B1E5233"/>
    <w:rsid w:val="2B840957"/>
    <w:rsid w:val="2BD96579"/>
    <w:rsid w:val="2D87044C"/>
    <w:rsid w:val="2EC669B7"/>
    <w:rsid w:val="317F1594"/>
    <w:rsid w:val="31AC514C"/>
    <w:rsid w:val="32126B31"/>
    <w:rsid w:val="336B3C00"/>
    <w:rsid w:val="34822873"/>
    <w:rsid w:val="36D20CEC"/>
    <w:rsid w:val="38741E2D"/>
    <w:rsid w:val="39857B51"/>
    <w:rsid w:val="399B408D"/>
    <w:rsid w:val="39BD66DE"/>
    <w:rsid w:val="3A560101"/>
    <w:rsid w:val="3A694C61"/>
    <w:rsid w:val="3B060403"/>
    <w:rsid w:val="3E23010F"/>
    <w:rsid w:val="3E3A2EC8"/>
    <w:rsid w:val="3E945C3F"/>
    <w:rsid w:val="3F285813"/>
    <w:rsid w:val="404B05E8"/>
    <w:rsid w:val="40543D63"/>
    <w:rsid w:val="405F3372"/>
    <w:rsid w:val="42205A3D"/>
    <w:rsid w:val="424963FD"/>
    <w:rsid w:val="424B3B6E"/>
    <w:rsid w:val="42936099"/>
    <w:rsid w:val="42F67E8D"/>
    <w:rsid w:val="438721B9"/>
    <w:rsid w:val="455D6B88"/>
    <w:rsid w:val="45FF53FA"/>
    <w:rsid w:val="46796179"/>
    <w:rsid w:val="469B6D37"/>
    <w:rsid w:val="469C0F4A"/>
    <w:rsid w:val="47665968"/>
    <w:rsid w:val="47B91CA9"/>
    <w:rsid w:val="48B073B7"/>
    <w:rsid w:val="49073E02"/>
    <w:rsid w:val="4BF969F1"/>
    <w:rsid w:val="4C29537C"/>
    <w:rsid w:val="4C730D31"/>
    <w:rsid w:val="4CC35610"/>
    <w:rsid w:val="4CE07358"/>
    <w:rsid w:val="4D803D09"/>
    <w:rsid w:val="4EF26C40"/>
    <w:rsid w:val="4F2A2C97"/>
    <w:rsid w:val="4F93369F"/>
    <w:rsid w:val="4FBF35C3"/>
    <w:rsid w:val="4FF37825"/>
    <w:rsid w:val="51062474"/>
    <w:rsid w:val="51146D65"/>
    <w:rsid w:val="53877EE3"/>
    <w:rsid w:val="54163FEA"/>
    <w:rsid w:val="54BF4226"/>
    <w:rsid w:val="577C7AC6"/>
    <w:rsid w:val="57E42BF3"/>
    <w:rsid w:val="59755EFE"/>
    <w:rsid w:val="5AE60A77"/>
    <w:rsid w:val="5B034700"/>
    <w:rsid w:val="5B6D206E"/>
    <w:rsid w:val="5B723569"/>
    <w:rsid w:val="5B7323EA"/>
    <w:rsid w:val="5CA60B91"/>
    <w:rsid w:val="5ED74CCA"/>
    <w:rsid w:val="60003672"/>
    <w:rsid w:val="60605083"/>
    <w:rsid w:val="61F82F8C"/>
    <w:rsid w:val="624F55DB"/>
    <w:rsid w:val="63C4650E"/>
    <w:rsid w:val="63F21E66"/>
    <w:rsid w:val="64254B82"/>
    <w:rsid w:val="6607131C"/>
    <w:rsid w:val="696918A1"/>
    <w:rsid w:val="69C57991"/>
    <w:rsid w:val="6A4865AD"/>
    <w:rsid w:val="6B851FAB"/>
    <w:rsid w:val="6C487FE7"/>
    <w:rsid w:val="6F161537"/>
    <w:rsid w:val="6FDB3EF1"/>
    <w:rsid w:val="73CE0DD4"/>
    <w:rsid w:val="748E6EDF"/>
    <w:rsid w:val="74B81BAB"/>
    <w:rsid w:val="75567977"/>
    <w:rsid w:val="77247046"/>
    <w:rsid w:val="78465552"/>
    <w:rsid w:val="784E2951"/>
    <w:rsid w:val="79705538"/>
    <w:rsid w:val="798E5718"/>
    <w:rsid w:val="7A3F5031"/>
    <w:rsid w:val="7CF62E2F"/>
    <w:rsid w:val="7D045E7C"/>
    <w:rsid w:val="7FAF1180"/>
    <w:rsid w:val="7FF8616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20" w:lineRule="exact"/>
      <w:ind w:firstLine="200" w:firstLineChars="200"/>
      <w:jc w:val="both"/>
    </w:pPr>
    <w:rPr>
      <w:rFonts w:ascii="仿宋" w:hAnsi="仿宋" w:eastAsia="宋体" w:cs="Times New Roman"/>
      <w:kern w:val="2"/>
      <w:sz w:val="24"/>
      <w:szCs w:val="24"/>
      <w:lang w:val="en-US" w:eastAsia="zh-CN" w:bidi="ar-SA"/>
    </w:rPr>
  </w:style>
  <w:style w:type="paragraph" w:styleId="3">
    <w:name w:val="heading 1"/>
    <w:basedOn w:val="1"/>
    <w:next w:val="1"/>
    <w:link w:val="53"/>
    <w:qFormat/>
    <w:uiPriority w:val="99"/>
    <w:pPr>
      <w:keepNext/>
      <w:keepLines/>
      <w:numPr>
        <w:ilvl w:val="0"/>
        <w:numId w:val="1"/>
      </w:numPr>
      <w:snapToGrid w:val="0"/>
      <w:spacing w:line="600" w:lineRule="exact"/>
      <w:ind w:firstLine="0" w:firstLineChars="0"/>
      <w:jc w:val="left"/>
      <w:outlineLvl w:val="0"/>
    </w:pPr>
    <w:rPr>
      <w:b/>
      <w:bCs/>
      <w:kern w:val="44"/>
      <w:sz w:val="30"/>
      <w:szCs w:val="30"/>
      <w:lang w:val="zh-CN"/>
    </w:rPr>
  </w:style>
  <w:style w:type="paragraph" w:styleId="4">
    <w:name w:val="heading 2"/>
    <w:basedOn w:val="1"/>
    <w:next w:val="1"/>
    <w:link w:val="54"/>
    <w:qFormat/>
    <w:uiPriority w:val="99"/>
    <w:pPr>
      <w:keepNext/>
      <w:keepLines/>
      <w:numPr>
        <w:ilvl w:val="1"/>
        <w:numId w:val="1"/>
      </w:numPr>
      <w:spacing w:line="600" w:lineRule="exact"/>
      <w:ind w:firstLine="0" w:firstLineChars="0"/>
      <w:outlineLvl w:val="1"/>
    </w:pPr>
    <w:rPr>
      <w:b/>
      <w:bCs/>
      <w:sz w:val="28"/>
      <w:szCs w:val="30"/>
      <w:lang w:val="zh-CN"/>
    </w:rPr>
  </w:style>
  <w:style w:type="paragraph" w:styleId="5">
    <w:name w:val="heading 3"/>
    <w:basedOn w:val="1"/>
    <w:next w:val="6"/>
    <w:link w:val="55"/>
    <w:qFormat/>
    <w:uiPriority w:val="99"/>
    <w:pPr>
      <w:keepNext/>
      <w:keepLines/>
      <w:numPr>
        <w:ilvl w:val="2"/>
        <w:numId w:val="1"/>
      </w:numPr>
      <w:spacing w:line="600" w:lineRule="exact"/>
      <w:ind w:firstLine="0" w:firstLineChars="0"/>
      <w:outlineLvl w:val="2"/>
    </w:pPr>
    <w:rPr>
      <w:b/>
      <w:bCs/>
      <w:sz w:val="28"/>
      <w:lang w:val="zh-CN"/>
    </w:rPr>
  </w:style>
  <w:style w:type="paragraph" w:styleId="7">
    <w:name w:val="heading 4"/>
    <w:basedOn w:val="1"/>
    <w:next w:val="6"/>
    <w:link w:val="56"/>
    <w:qFormat/>
    <w:uiPriority w:val="99"/>
    <w:pPr>
      <w:keepNext/>
      <w:keepLines/>
      <w:numPr>
        <w:ilvl w:val="3"/>
        <w:numId w:val="1"/>
      </w:numPr>
      <w:spacing w:line="600" w:lineRule="exact"/>
      <w:ind w:firstLine="0" w:firstLineChars="0"/>
      <w:outlineLvl w:val="3"/>
    </w:pPr>
    <w:rPr>
      <w:rFonts w:ascii="宋体" w:hAnsi="宋体"/>
      <w:b/>
      <w:bCs/>
      <w:lang w:val="zh-CN"/>
    </w:rPr>
  </w:style>
  <w:style w:type="paragraph" w:styleId="8">
    <w:name w:val="heading 5"/>
    <w:basedOn w:val="1"/>
    <w:next w:val="1"/>
    <w:link w:val="57"/>
    <w:qFormat/>
    <w:uiPriority w:val="99"/>
    <w:pPr>
      <w:keepNext/>
      <w:keepLines/>
      <w:tabs>
        <w:tab w:val="left" w:pos="1008"/>
      </w:tabs>
      <w:spacing w:before="60" w:after="60" w:line="360" w:lineRule="auto"/>
      <w:ind w:left="1008" w:hanging="1008" w:firstLineChars="0"/>
      <w:outlineLvl w:val="4"/>
    </w:pPr>
    <w:rPr>
      <w:rFonts w:ascii="Times New Roman" w:hAnsi="Times New Roman"/>
      <w:b/>
      <w:bCs/>
      <w:i/>
      <w:kern w:val="0"/>
      <w:szCs w:val="28"/>
    </w:rPr>
  </w:style>
  <w:style w:type="paragraph" w:styleId="9">
    <w:name w:val="heading 6"/>
    <w:basedOn w:val="1"/>
    <w:next w:val="1"/>
    <w:link w:val="58"/>
    <w:qFormat/>
    <w:uiPriority w:val="99"/>
    <w:pPr>
      <w:keepNext/>
      <w:keepLines/>
      <w:tabs>
        <w:tab w:val="left" w:pos="1152"/>
      </w:tabs>
      <w:spacing w:before="240" w:after="64" w:line="320" w:lineRule="auto"/>
      <w:ind w:left="1152" w:hanging="1152" w:firstLineChars="0"/>
      <w:outlineLvl w:val="5"/>
    </w:pPr>
    <w:rPr>
      <w:rFonts w:ascii="Arial" w:hAnsi="Arial" w:eastAsia="黑体"/>
      <w:bCs/>
      <w:kern w:val="0"/>
    </w:rPr>
  </w:style>
  <w:style w:type="paragraph" w:styleId="10">
    <w:name w:val="heading 7"/>
    <w:basedOn w:val="1"/>
    <w:next w:val="1"/>
    <w:link w:val="59"/>
    <w:qFormat/>
    <w:uiPriority w:val="99"/>
    <w:pPr>
      <w:keepNext/>
      <w:keepLines/>
      <w:tabs>
        <w:tab w:val="left" w:pos="1296"/>
      </w:tabs>
      <w:spacing w:before="240" w:after="64" w:line="320" w:lineRule="auto"/>
      <w:ind w:left="1296" w:hanging="1296" w:firstLineChars="0"/>
      <w:outlineLvl w:val="6"/>
    </w:pPr>
    <w:rPr>
      <w:rFonts w:ascii="Times New Roman" w:hAnsi="Times New Roman"/>
      <w:bCs/>
      <w:kern w:val="0"/>
    </w:rPr>
  </w:style>
  <w:style w:type="paragraph" w:styleId="11">
    <w:name w:val="heading 8"/>
    <w:basedOn w:val="1"/>
    <w:next w:val="1"/>
    <w:link w:val="60"/>
    <w:qFormat/>
    <w:uiPriority w:val="99"/>
    <w:pPr>
      <w:keepNext/>
      <w:keepLines/>
      <w:tabs>
        <w:tab w:val="left" w:pos="1440"/>
      </w:tabs>
      <w:spacing w:before="240" w:after="64" w:line="320" w:lineRule="auto"/>
      <w:ind w:left="1440" w:hanging="1440" w:firstLineChars="0"/>
      <w:outlineLvl w:val="7"/>
    </w:pPr>
    <w:rPr>
      <w:rFonts w:ascii="Arial" w:hAnsi="Arial"/>
      <w:kern w:val="0"/>
    </w:rPr>
  </w:style>
  <w:style w:type="paragraph" w:styleId="12">
    <w:name w:val="heading 9"/>
    <w:basedOn w:val="1"/>
    <w:next w:val="1"/>
    <w:link w:val="61"/>
    <w:qFormat/>
    <w:uiPriority w:val="99"/>
    <w:pPr>
      <w:keepNext/>
      <w:keepLines/>
      <w:tabs>
        <w:tab w:val="left" w:pos="1584"/>
      </w:tabs>
      <w:spacing w:before="240" w:after="64" w:line="320" w:lineRule="auto"/>
      <w:ind w:left="1584" w:hanging="1584" w:firstLineChars="0"/>
      <w:outlineLvl w:val="8"/>
    </w:pPr>
    <w:rPr>
      <w:rFonts w:ascii="Arial" w:hAnsi="Arial"/>
      <w:kern w:val="0"/>
      <w:sz w:val="20"/>
      <w:szCs w:val="21"/>
    </w:rPr>
  </w:style>
  <w:style w:type="character" w:default="1" w:styleId="47">
    <w:name w:val="Default Paragraph Font"/>
    <w:semiHidden/>
    <w:qFormat/>
    <w:uiPriority w:val="99"/>
  </w:style>
  <w:style w:type="table" w:default="1" w:styleId="4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link w:val="62"/>
    <w:qFormat/>
    <w:uiPriority w:val="99"/>
    <w:pPr>
      <w:adjustRightInd w:val="0"/>
      <w:snapToGrid w:val="0"/>
      <w:spacing w:after="120" w:line="480" w:lineRule="auto"/>
      <w:ind w:left="420" w:leftChars="200"/>
    </w:pPr>
    <w:rPr>
      <w:rFonts w:ascii="Times New Roman" w:hAnsi="Times New Roman"/>
      <w:sz w:val="28"/>
    </w:rPr>
  </w:style>
  <w:style w:type="paragraph" w:customStyle="1" w:styleId="6">
    <w:name w:val="报告正文"/>
    <w:basedOn w:val="1"/>
    <w:link w:val="80"/>
    <w:qFormat/>
    <w:uiPriority w:val="99"/>
    <w:pPr>
      <w:spacing w:line="360" w:lineRule="auto"/>
    </w:pPr>
    <w:rPr>
      <w:rFonts w:ascii="Times New Roman" w:hAnsi="Times New Roman"/>
      <w:kern w:val="0"/>
    </w:rPr>
  </w:style>
  <w:style w:type="paragraph" w:styleId="13">
    <w:name w:val="toc 7"/>
    <w:basedOn w:val="1"/>
    <w:next w:val="1"/>
    <w:qFormat/>
    <w:uiPriority w:val="99"/>
    <w:pPr>
      <w:spacing w:line="240" w:lineRule="auto"/>
      <w:ind w:left="1260" w:firstLine="0" w:firstLineChars="0"/>
      <w:jc w:val="left"/>
    </w:pPr>
    <w:rPr>
      <w:rFonts w:ascii="Calibri" w:hAnsi="Calibri"/>
      <w:sz w:val="18"/>
      <w:szCs w:val="18"/>
    </w:rPr>
  </w:style>
  <w:style w:type="paragraph" w:styleId="14">
    <w:name w:val="Normal Indent"/>
    <w:basedOn w:val="1"/>
    <w:link w:val="102"/>
    <w:qFormat/>
    <w:uiPriority w:val="99"/>
    <w:pPr>
      <w:spacing w:line="240" w:lineRule="auto"/>
      <w:ind w:firstLine="420" w:firstLineChars="0"/>
    </w:pPr>
    <w:rPr>
      <w:rFonts w:ascii="Times New Roman" w:hAnsi="Times New Roman"/>
      <w:kern w:val="0"/>
      <w:sz w:val="28"/>
      <w:szCs w:val="20"/>
    </w:rPr>
  </w:style>
  <w:style w:type="paragraph" w:styleId="15">
    <w:name w:val="caption"/>
    <w:basedOn w:val="1"/>
    <w:next w:val="1"/>
    <w:link w:val="199"/>
    <w:qFormat/>
    <w:uiPriority w:val="99"/>
    <w:pPr>
      <w:spacing w:line="240" w:lineRule="auto"/>
      <w:ind w:firstLine="0" w:firstLineChars="0"/>
    </w:pPr>
    <w:rPr>
      <w:rFonts w:ascii="Cambria" w:hAnsi="Cambria" w:eastAsia="黑体"/>
      <w:sz w:val="20"/>
      <w:szCs w:val="20"/>
    </w:rPr>
  </w:style>
  <w:style w:type="paragraph" w:styleId="16">
    <w:name w:val="Document Map"/>
    <w:basedOn w:val="1"/>
    <w:link w:val="63"/>
    <w:qFormat/>
    <w:uiPriority w:val="99"/>
    <w:rPr>
      <w:rFonts w:ascii="宋体" w:hAnsi="Times New Roman"/>
      <w:kern w:val="0"/>
      <w:sz w:val="18"/>
      <w:szCs w:val="18"/>
    </w:rPr>
  </w:style>
  <w:style w:type="paragraph" w:styleId="17">
    <w:name w:val="annotation text"/>
    <w:basedOn w:val="1"/>
    <w:link w:val="64"/>
    <w:semiHidden/>
    <w:qFormat/>
    <w:uiPriority w:val="99"/>
    <w:pPr>
      <w:jc w:val="left"/>
    </w:pPr>
    <w:rPr>
      <w:rFonts w:ascii="Times New Roman" w:hAnsi="Times New Roman"/>
      <w:kern w:val="0"/>
    </w:rPr>
  </w:style>
  <w:style w:type="paragraph" w:styleId="18">
    <w:name w:val="Body Text 3"/>
    <w:basedOn w:val="1"/>
    <w:link w:val="65"/>
    <w:qFormat/>
    <w:uiPriority w:val="99"/>
    <w:pPr>
      <w:spacing w:after="120" w:line="240" w:lineRule="auto"/>
      <w:ind w:firstLine="0" w:firstLineChars="0"/>
    </w:pPr>
    <w:rPr>
      <w:rFonts w:ascii="Times New Roman" w:hAnsi="Times New Roman" w:eastAsia="仿宋_GB2312"/>
      <w:sz w:val="16"/>
      <w:szCs w:val="16"/>
    </w:rPr>
  </w:style>
  <w:style w:type="paragraph" w:styleId="19">
    <w:name w:val="Body Text"/>
    <w:basedOn w:val="1"/>
    <w:link w:val="66"/>
    <w:qFormat/>
    <w:uiPriority w:val="99"/>
    <w:pPr>
      <w:spacing w:after="120"/>
    </w:pPr>
    <w:rPr>
      <w:rFonts w:ascii="Times New Roman" w:hAnsi="Times New Roman"/>
      <w:kern w:val="0"/>
    </w:rPr>
  </w:style>
  <w:style w:type="paragraph" w:styleId="20">
    <w:name w:val="Body Text Indent"/>
    <w:basedOn w:val="1"/>
    <w:link w:val="67"/>
    <w:qFormat/>
    <w:uiPriority w:val="99"/>
    <w:pPr>
      <w:widowControl/>
      <w:spacing w:line="460" w:lineRule="exact"/>
      <w:ind w:firstLine="560" w:firstLineChars="0"/>
      <w:jc w:val="left"/>
    </w:pPr>
    <w:rPr>
      <w:rFonts w:ascii="Times New Roman" w:hAnsi="Times New Roman"/>
      <w:kern w:val="0"/>
    </w:rPr>
  </w:style>
  <w:style w:type="paragraph" w:styleId="21">
    <w:name w:val="List 2"/>
    <w:basedOn w:val="1"/>
    <w:qFormat/>
    <w:uiPriority w:val="99"/>
    <w:pPr>
      <w:spacing w:line="240" w:lineRule="auto"/>
      <w:ind w:left="100" w:leftChars="200" w:hanging="200" w:hangingChars="200"/>
      <w:contextualSpacing/>
    </w:pPr>
    <w:rPr>
      <w:rFonts w:ascii="Calibri" w:hAnsi="Calibri"/>
      <w:sz w:val="21"/>
      <w:szCs w:val="22"/>
    </w:rPr>
  </w:style>
  <w:style w:type="paragraph" w:styleId="22">
    <w:name w:val="toc 5"/>
    <w:basedOn w:val="1"/>
    <w:next w:val="1"/>
    <w:qFormat/>
    <w:uiPriority w:val="99"/>
    <w:pPr>
      <w:spacing w:line="240" w:lineRule="auto"/>
      <w:ind w:left="840" w:firstLine="0" w:firstLineChars="0"/>
      <w:jc w:val="left"/>
    </w:pPr>
    <w:rPr>
      <w:rFonts w:ascii="Calibri" w:hAnsi="Calibri"/>
      <w:sz w:val="18"/>
      <w:szCs w:val="18"/>
    </w:rPr>
  </w:style>
  <w:style w:type="paragraph" w:styleId="23">
    <w:name w:val="toc 3"/>
    <w:basedOn w:val="1"/>
    <w:next w:val="1"/>
    <w:qFormat/>
    <w:uiPriority w:val="99"/>
    <w:pPr>
      <w:spacing w:beforeLines="50" w:afterLines="50" w:line="240" w:lineRule="auto"/>
      <w:ind w:left="420" w:firstLine="0" w:firstLineChars="0"/>
      <w:jc w:val="left"/>
    </w:pPr>
    <w:rPr>
      <w:iCs/>
      <w:szCs w:val="20"/>
    </w:rPr>
  </w:style>
  <w:style w:type="paragraph" w:styleId="24">
    <w:name w:val="Plain Text"/>
    <w:basedOn w:val="1"/>
    <w:link w:val="108"/>
    <w:qFormat/>
    <w:uiPriority w:val="99"/>
    <w:rPr>
      <w:rFonts w:ascii="宋体" w:hAnsi="Courier New"/>
      <w:kern w:val="0"/>
      <w:sz w:val="20"/>
      <w:szCs w:val="21"/>
    </w:rPr>
  </w:style>
  <w:style w:type="paragraph" w:styleId="25">
    <w:name w:val="toc 8"/>
    <w:basedOn w:val="1"/>
    <w:next w:val="1"/>
    <w:qFormat/>
    <w:uiPriority w:val="99"/>
    <w:pPr>
      <w:spacing w:line="240" w:lineRule="auto"/>
      <w:ind w:left="1470" w:firstLine="0" w:firstLineChars="0"/>
      <w:jc w:val="left"/>
    </w:pPr>
    <w:rPr>
      <w:rFonts w:ascii="Calibri" w:hAnsi="Calibri"/>
      <w:sz w:val="18"/>
      <w:szCs w:val="18"/>
    </w:rPr>
  </w:style>
  <w:style w:type="paragraph" w:styleId="26">
    <w:name w:val="Date"/>
    <w:basedOn w:val="1"/>
    <w:next w:val="1"/>
    <w:link w:val="69"/>
    <w:qFormat/>
    <w:uiPriority w:val="99"/>
    <w:pPr>
      <w:spacing w:line="240" w:lineRule="auto"/>
      <w:ind w:firstLine="0" w:firstLineChars="0"/>
    </w:pPr>
    <w:rPr>
      <w:rFonts w:ascii="Times New Roman" w:hAnsi="Times New Roman"/>
      <w:kern w:val="0"/>
      <w:sz w:val="32"/>
      <w:szCs w:val="20"/>
    </w:rPr>
  </w:style>
  <w:style w:type="paragraph" w:styleId="27">
    <w:name w:val="Balloon Text"/>
    <w:basedOn w:val="1"/>
    <w:link w:val="70"/>
    <w:qFormat/>
    <w:uiPriority w:val="99"/>
    <w:rPr>
      <w:rFonts w:ascii="Times New Roman" w:hAnsi="Times New Roman"/>
      <w:kern w:val="0"/>
      <w:sz w:val="18"/>
      <w:szCs w:val="18"/>
    </w:rPr>
  </w:style>
  <w:style w:type="paragraph" w:styleId="28">
    <w:name w:val="footer"/>
    <w:basedOn w:val="1"/>
    <w:link w:val="71"/>
    <w:qFormat/>
    <w:uiPriority w:val="99"/>
    <w:pPr>
      <w:tabs>
        <w:tab w:val="center" w:pos="4153"/>
        <w:tab w:val="right" w:pos="8306"/>
      </w:tabs>
      <w:snapToGrid w:val="0"/>
      <w:jc w:val="left"/>
    </w:pPr>
    <w:rPr>
      <w:rFonts w:ascii="Times New Roman" w:hAnsi="Times New Roman"/>
      <w:kern w:val="0"/>
      <w:sz w:val="18"/>
      <w:szCs w:val="18"/>
    </w:rPr>
  </w:style>
  <w:style w:type="paragraph" w:styleId="29">
    <w:name w:val="header"/>
    <w:basedOn w:val="1"/>
    <w:link w:val="72"/>
    <w:qFormat/>
    <w:uiPriority w:val="99"/>
    <w:pPr>
      <w:pBdr>
        <w:bottom w:val="single" w:color="auto" w:sz="6" w:space="1"/>
      </w:pBdr>
      <w:tabs>
        <w:tab w:val="center" w:pos="4153"/>
        <w:tab w:val="right" w:pos="8306"/>
      </w:tabs>
      <w:snapToGrid w:val="0"/>
      <w:spacing w:line="240" w:lineRule="atLeast"/>
      <w:ind w:firstLine="0" w:firstLineChars="0"/>
      <w:jc w:val="center"/>
    </w:pPr>
    <w:rPr>
      <w:rFonts w:ascii="Calibri" w:hAnsi="Calibri"/>
      <w:kern w:val="0"/>
      <w:sz w:val="18"/>
      <w:szCs w:val="18"/>
    </w:rPr>
  </w:style>
  <w:style w:type="paragraph" w:styleId="30">
    <w:name w:val="toc 1"/>
    <w:basedOn w:val="1"/>
    <w:next w:val="1"/>
    <w:qFormat/>
    <w:uiPriority w:val="99"/>
    <w:pPr>
      <w:ind w:firstLine="0" w:firstLineChars="0"/>
    </w:pPr>
    <w:rPr>
      <w:b/>
    </w:rPr>
  </w:style>
  <w:style w:type="paragraph" w:styleId="31">
    <w:name w:val="toc 4"/>
    <w:basedOn w:val="1"/>
    <w:next w:val="1"/>
    <w:qFormat/>
    <w:uiPriority w:val="99"/>
    <w:pPr>
      <w:spacing w:line="240" w:lineRule="auto"/>
      <w:ind w:left="630" w:firstLine="0" w:firstLineChars="0"/>
      <w:jc w:val="left"/>
    </w:pPr>
    <w:rPr>
      <w:rFonts w:ascii="Calibri" w:hAnsi="Calibri"/>
      <w:sz w:val="18"/>
      <w:szCs w:val="18"/>
    </w:rPr>
  </w:style>
  <w:style w:type="paragraph" w:styleId="32">
    <w:name w:val="Subtitle"/>
    <w:basedOn w:val="1"/>
    <w:next w:val="1"/>
    <w:link w:val="73"/>
    <w:qFormat/>
    <w:uiPriority w:val="99"/>
    <w:pPr>
      <w:adjustRightInd w:val="0"/>
      <w:snapToGrid w:val="0"/>
      <w:spacing w:line="360" w:lineRule="auto"/>
      <w:ind w:firstLine="0" w:firstLineChars="0"/>
      <w:jc w:val="center"/>
      <w:outlineLvl w:val="1"/>
    </w:pPr>
    <w:rPr>
      <w:rFonts w:ascii="宋体" w:hAnsi="宋体"/>
      <w:b/>
      <w:bCs/>
      <w:kern w:val="28"/>
      <w:sz w:val="32"/>
      <w:szCs w:val="32"/>
    </w:rPr>
  </w:style>
  <w:style w:type="paragraph" w:styleId="33">
    <w:name w:val="List"/>
    <w:basedOn w:val="1"/>
    <w:qFormat/>
    <w:uiPriority w:val="99"/>
    <w:pPr>
      <w:spacing w:line="240" w:lineRule="auto"/>
      <w:ind w:left="200" w:hanging="200" w:hangingChars="200"/>
      <w:contextualSpacing/>
    </w:pPr>
    <w:rPr>
      <w:rFonts w:ascii="Calibri" w:hAnsi="Calibri"/>
      <w:sz w:val="21"/>
      <w:szCs w:val="22"/>
    </w:rPr>
  </w:style>
  <w:style w:type="paragraph" w:styleId="34">
    <w:name w:val="toc 6"/>
    <w:basedOn w:val="1"/>
    <w:next w:val="1"/>
    <w:qFormat/>
    <w:uiPriority w:val="99"/>
    <w:pPr>
      <w:ind w:left="2100" w:leftChars="1000"/>
    </w:pPr>
  </w:style>
  <w:style w:type="paragraph" w:styleId="35">
    <w:name w:val="Body Text Indent 3"/>
    <w:basedOn w:val="1"/>
    <w:link w:val="74"/>
    <w:qFormat/>
    <w:uiPriority w:val="99"/>
    <w:pPr>
      <w:adjustRightInd w:val="0"/>
      <w:snapToGrid w:val="0"/>
      <w:spacing w:line="360" w:lineRule="auto"/>
      <w:ind w:firstLine="480"/>
    </w:pPr>
    <w:rPr>
      <w:rFonts w:ascii="仿宋_GB2312" w:hAnsi="Times New Roman" w:eastAsia="仿宋_GB2312"/>
      <w:color w:val="000000"/>
      <w:szCs w:val="21"/>
    </w:rPr>
  </w:style>
  <w:style w:type="paragraph" w:styleId="36">
    <w:name w:val="toc 2"/>
    <w:basedOn w:val="1"/>
    <w:next w:val="1"/>
    <w:link w:val="173"/>
    <w:qFormat/>
    <w:uiPriority w:val="99"/>
    <w:rPr>
      <w:rFonts w:ascii="Times New Roman" w:hAnsi="Times New Roman"/>
      <w:lang w:val="zh-CN"/>
    </w:rPr>
  </w:style>
  <w:style w:type="paragraph" w:styleId="37">
    <w:name w:val="toc 9"/>
    <w:basedOn w:val="1"/>
    <w:next w:val="1"/>
    <w:qFormat/>
    <w:uiPriority w:val="99"/>
    <w:pPr>
      <w:spacing w:line="240" w:lineRule="auto"/>
      <w:ind w:left="1680" w:firstLine="0" w:firstLineChars="0"/>
      <w:jc w:val="left"/>
    </w:pPr>
    <w:rPr>
      <w:rFonts w:ascii="Calibri" w:hAnsi="Calibri"/>
      <w:sz w:val="18"/>
      <w:szCs w:val="18"/>
    </w:rPr>
  </w:style>
  <w:style w:type="paragraph" w:styleId="38">
    <w:name w:val="Body Text 2"/>
    <w:basedOn w:val="1"/>
    <w:link w:val="75"/>
    <w:qFormat/>
    <w:uiPriority w:val="99"/>
    <w:pPr>
      <w:spacing w:line="360" w:lineRule="auto"/>
      <w:ind w:firstLine="0" w:firstLineChars="0"/>
    </w:pPr>
    <w:rPr>
      <w:rFonts w:ascii="Times New Roman" w:hAnsi="Times New Roman" w:eastAsia="仿宋_GB2312"/>
      <w:sz w:val="20"/>
      <w:szCs w:val="21"/>
    </w:rPr>
  </w:style>
  <w:style w:type="paragraph" w:styleId="39">
    <w:name w:val="Normal (Web)"/>
    <w:basedOn w:val="1"/>
    <w:qFormat/>
    <w:uiPriority w:val="99"/>
    <w:pPr>
      <w:widowControl/>
      <w:spacing w:before="100" w:beforeAutospacing="1" w:after="100" w:afterAutospacing="1" w:line="240" w:lineRule="auto"/>
      <w:ind w:firstLine="0" w:firstLineChars="0"/>
      <w:jc w:val="left"/>
    </w:pPr>
    <w:rPr>
      <w:rFonts w:ascii="宋体" w:hAnsi="宋体" w:cs="宋体"/>
      <w:kern w:val="0"/>
    </w:rPr>
  </w:style>
  <w:style w:type="paragraph" w:styleId="40">
    <w:name w:val="index 1"/>
    <w:basedOn w:val="1"/>
    <w:next w:val="1"/>
    <w:qFormat/>
    <w:uiPriority w:val="99"/>
    <w:pPr>
      <w:adjustRightInd w:val="0"/>
      <w:snapToGrid w:val="0"/>
      <w:spacing w:line="480" w:lineRule="auto"/>
    </w:pPr>
    <w:rPr>
      <w:rFonts w:ascii="宋体" w:hAnsi="宋体" w:eastAsia="仿宋_GB2312"/>
      <w:szCs w:val="20"/>
    </w:rPr>
  </w:style>
  <w:style w:type="paragraph" w:styleId="41">
    <w:name w:val="Title"/>
    <w:basedOn w:val="1"/>
    <w:link w:val="76"/>
    <w:qFormat/>
    <w:uiPriority w:val="99"/>
    <w:pPr>
      <w:spacing w:beforeLines="50" w:afterLines="50" w:line="240" w:lineRule="auto"/>
      <w:ind w:firstLine="0" w:firstLineChars="0"/>
      <w:jc w:val="center"/>
      <w:outlineLvl w:val="0"/>
    </w:pPr>
    <w:rPr>
      <w:rFonts w:ascii="Times New Roman" w:hAnsi="Times New Roman" w:eastAsia="黑体"/>
      <w:b/>
      <w:bCs/>
      <w:kern w:val="0"/>
      <w:sz w:val="44"/>
      <w:szCs w:val="32"/>
    </w:rPr>
  </w:style>
  <w:style w:type="paragraph" w:styleId="42">
    <w:name w:val="annotation subject"/>
    <w:basedOn w:val="17"/>
    <w:next w:val="17"/>
    <w:link w:val="77"/>
    <w:semiHidden/>
    <w:qFormat/>
    <w:uiPriority w:val="99"/>
    <w:rPr>
      <w:b/>
      <w:bCs/>
    </w:rPr>
  </w:style>
  <w:style w:type="paragraph" w:styleId="43">
    <w:name w:val="Body Text First Indent"/>
    <w:basedOn w:val="19"/>
    <w:link w:val="78"/>
    <w:qFormat/>
    <w:uiPriority w:val="99"/>
    <w:pPr>
      <w:spacing w:line="240" w:lineRule="auto"/>
      <w:ind w:firstLine="420" w:firstLineChars="100"/>
    </w:pPr>
    <w:rPr>
      <w:rFonts w:eastAsia="黑体"/>
    </w:rPr>
  </w:style>
  <w:style w:type="paragraph" w:styleId="44">
    <w:name w:val="Body Text First Indent 2"/>
    <w:basedOn w:val="20"/>
    <w:link w:val="79"/>
    <w:qFormat/>
    <w:uiPriority w:val="99"/>
    <w:pPr>
      <w:widowControl w:val="0"/>
      <w:spacing w:after="120" w:line="240" w:lineRule="auto"/>
      <w:ind w:left="420" w:leftChars="200" w:firstLine="420" w:firstLineChars="200"/>
      <w:jc w:val="both"/>
    </w:pPr>
  </w:style>
  <w:style w:type="table" w:styleId="46">
    <w:name w:val="Table Grid"/>
    <w:basedOn w:val="45"/>
    <w:qFormat/>
    <w:uiPriority w:val="99"/>
    <w:pPr>
      <w:widowControl w:val="0"/>
      <w:spacing w:line="360" w:lineRule="exact"/>
      <w:jc w:val="both"/>
    </w:pPr>
    <w:rPr>
      <w:rFonts w:ascii="Times New Roman" w:hAnsi="Times New Roman"/>
      <w:kern w:val="0"/>
      <w:sz w:val="24"/>
      <w:szCs w:val="20"/>
    </w:rPr>
    <w:tblP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style>
  <w:style w:type="character" w:styleId="48">
    <w:name w:val="Strong"/>
    <w:basedOn w:val="47"/>
    <w:qFormat/>
    <w:uiPriority w:val="99"/>
    <w:rPr>
      <w:rFonts w:cs="Times New Roman"/>
      <w:b/>
    </w:rPr>
  </w:style>
  <w:style w:type="character" w:styleId="49">
    <w:name w:val="page number"/>
    <w:basedOn w:val="47"/>
    <w:qFormat/>
    <w:uiPriority w:val="99"/>
    <w:rPr>
      <w:rFonts w:ascii="Times New Roman" w:hAnsi="Times New Roman" w:cs="Times New Roman"/>
      <w:sz w:val="24"/>
    </w:rPr>
  </w:style>
  <w:style w:type="character" w:styleId="50">
    <w:name w:val="FollowedHyperlink"/>
    <w:basedOn w:val="47"/>
    <w:qFormat/>
    <w:uiPriority w:val="99"/>
    <w:rPr>
      <w:rFonts w:cs="Times New Roman"/>
      <w:color w:val="800080"/>
      <w:u w:val="single"/>
    </w:rPr>
  </w:style>
  <w:style w:type="character" w:styleId="51">
    <w:name w:val="Hyperlink"/>
    <w:basedOn w:val="47"/>
    <w:qFormat/>
    <w:uiPriority w:val="99"/>
    <w:rPr>
      <w:rFonts w:cs="Times New Roman"/>
      <w:color w:val="0000FF"/>
      <w:u w:val="single"/>
    </w:rPr>
  </w:style>
  <w:style w:type="character" w:styleId="52">
    <w:name w:val="annotation reference"/>
    <w:basedOn w:val="47"/>
    <w:semiHidden/>
    <w:qFormat/>
    <w:uiPriority w:val="99"/>
    <w:rPr>
      <w:rFonts w:cs="Times New Roman"/>
      <w:sz w:val="21"/>
    </w:rPr>
  </w:style>
  <w:style w:type="character" w:customStyle="1" w:styleId="53">
    <w:name w:val="Heading 1 Char"/>
    <w:basedOn w:val="47"/>
    <w:link w:val="3"/>
    <w:qFormat/>
    <w:locked/>
    <w:uiPriority w:val="99"/>
    <w:rPr>
      <w:rFonts w:ascii="仿宋" w:eastAsia="仿宋"/>
      <w:b/>
      <w:kern w:val="44"/>
      <w:sz w:val="30"/>
      <w:lang w:val="zh-CN" w:eastAsia="zh-CN"/>
    </w:rPr>
  </w:style>
  <w:style w:type="character" w:customStyle="1" w:styleId="54">
    <w:name w:val="Heading 2 Char"/>
    <w:basedOn w:val="47"/>
    <w:link w:val="4"/>
    <w:qFormat/>
    <w:locked/>
    <w:uiPriority w:val="99"/>
    <w:rPr>
      <w:rFonts w:ascii="仿宋" w:eastAsia="仿宋"/>
      <w:b/>
      <w:kern w:val="2"/>
      <w:sz w:val="30"/>
      <w:lang w:val="zh-CN" w:eastAsia="zh-CN"/>
    </w:rPr>
  </w:style>
  <w:style w:type="character" w:customStyle="1" w:styleId="55">
    <w:name w:val="Heading 3 Char"/>
    <w:basedOn w:val="47"/>
    <w:link w:val="5"/>
    <w:qFormat/>
    <w:locked/>
    <w:uiPriority w:val="99"/>
    <w:rPr>
      <w:rFonts w:ascii="仿宋" w:eastAsia="仿宋"/>
      <w:b/>
      <w:kern w:val="2"/>
      <w:sz w:val="24"/>
      <w:lang w:val="zh-CN" w:eastAsia="zh-CN"/>
    </w:rPr>
  </w:style>
  <w:style w:type="character" w:customStyle="1" w:styleId="56">
    <w:name w:val="Heading 4 Char"/>
    <w:basedOn w:val="47"/>
    <w:link w:val="7"/>
    <w:qFormat/>
    <w:locked/>
    <w:uiPriority w:val="99"/>
    <w:rPr>
      <w:rFonts w:ascii="宋体" w:eastAsia="宋体"/>
      <w:b/>
      <w:kern w:val="2"/>
      <w:sz w:val="24"/>
      <w:lang w:val="zh-CN" w:eastAsia="zh-CN"/>
    </w:rPr>
  </w:style>
  <w:style w:type="character" w:customStyle="1" w:styleId="57">
    <w:name w:val="Heading 5 Char"/>
    <w:basedOn w:val="47"/>
    <w:link w:val="8"/>
    <w:qFormat/>
    <w:locked/>
    <w:uiPriority w:val="99"/>
    <w:rPr>
      <w:rFonts w:ascii="Times New Roman" w:hAnsi="Times New Roman" w:eastAsia="宋体"/>
      <w:b/>
      <w:i/>
      <w:sz w:val="28"/>
    </w:rPr>
  </w:style>
  <w:style w:type="character" w:customStyle="1" w:styleId="58">
    <w:name w:val="Heading 6 Char"/>
    <w:basedOn w:val="47"/>
    <w:link w:val="9"/>
    <w:qFormat/>
    <w:locked/>
    <w:uiPriority w:val="99"/>
    <w:rPr>
      <w:rFonts w:ascii="Arial" w:hAnsi="Arial" w:eastAsia="黑体"/>
      <w:sz w:val="24"/>
    </w:rPr>
  </w:style>
  <w:style w:type="character" w:customStyle="1" w:styleId="59">
    <w:name w:val="Heading 7 Char"/>
    <w:basedOn w:val="47"/>
    <w:link w:val="10"/>
    <w:qFormat/>
    <w:locked/>
    <w:uiPriority w:val="99"/>
    <w:rPr>
      <w:rFonts w:ascii="Times New Roman" w:hAnsi="Times New Roman" w:eastAsia="宋体"/>
      <w:sz w:val="24"/>
    </w:rPr>
  </w:style>
  <w:style w:type="character" w:customStyle="1" w:styleId="60">
    <w:name w:val="Heading 8 Char"/>
    <w:basedOn w:val="47"/>
    <w:link w:val="11"/>
    <w:qFormat/>
    <w:locked/>
    <w:uiPriority w:val="99"/>
    <w:rPr>
      <w:rFonts w:ascii="Arial" w:hAnsi="Arial" w:eastAsia="宋体"/>
      <w:sz w:val="24"/>
    </w:rPr>
  </w:style>
  <w:style w:type="character" w:customStyle="1" w:styleId="61">
    <w:name w:val="Heading 9 Char"/>
    <w:basedOn w:val="47"/>
    <w:link w:val="12"/>
    <w:qFormat/>
    <w:locked/>
    <w:uiPriority w:val="99"/>
    <w:rPr>
      <w:rFonts w:ascii="Arial" w:hAnsi="Arial" w:eastAsia="宋体"/>
      <w:sz w:val="21"/>
    </w:rPr>
  </w:style>
  <w:style w:type="character" w:customStyle="1" w:styleId="62">
    <w:name w:val="Body Text Indent 2 Char"/>
    <w:basedOn w:val="47"/>
    <w:link w:val="2"/>
    <w:qFormat/>
    <w:locked/>
    <w:uiPriority w:val="99"/>
    <w:rPr>
      <w:rFonts w:ascii="Times New Roman" w:hAnsi="Times New Roman"/>
      <w:kern w:val="2"/>
      <w:sz w:val="24"/>
    </w:rPr>
  </w:style>
  <w:style w:type="character" w:customStyle="1" w:styleId="63">
    <w:name w:val="Document Map Char"/>
    <w:basedOn w:val="47"/>
    <w:link w:val="16"/>
    <w:qFormat/>
    <w:locked/>
    <w:uiPriority w:val="99"/>
    <w:rPr>
      <w:rFonts w:ascii="宋体" w:hAnsi="Times New Roman" w:eastAsia="宋体"/>
      <w:sz w:val="18"/>
    </w:rPr>
  </w:style>
  <w:style w:type="character" w:customStyle="1" w:styleId="64">
    <w:name w:val="Comment Text Char"/>
    <w:basedOn w:val="47"/>
    <w:link w:val="17"/>
    <w:semiHidden/>
    <w:qFormat/>
    <w:locked/>
    <w:uiPriority w:val="99"/>
    <w:rPr>
      <w:rFonts w:ascii="Times New Roman" w:hAnsi="Times New Roman"/>
      <w:sz w:val="24"/>
    </w:rPr>
  </w:style>
  <w:style w:type="character" w:customStyle="1" w:styleId="65">
    <w:name w:val="Body Text 3 Char"/>
    <w:basedOn w:val="47"/>
    <w:link w:val="18"/>
    <w:qFormat/>
    <w:locked/>
    <w:uiPriority w:val="99"/>
    <w:rPr>
      <w:rFonts w:ascii="Times New Roman" w:hAnsi="Times New Roman" w:eastAsia="仿宋_GB2312"/>
      <w:kern w:val="2"/>
      <w:sz w:val="16"/>
    </w:rPr>
  </w:style>
  <w:style w:type="character" w:customStyle="1" w:styleId="66">
    <w:name w:val="Body Text Char"/>
    <w:basedOn w:val="47"/>
    <w:link w:val="19"/>
    <w:qFormat/>
    <w:locked/>
    <w:uiPriority w:val="99"/>
    <w:rPr>
      <w:rFonts w:ascii="Times New Roman" w:hAnsi="Times New Roman"/>
      <w:sz w:val="24"/>
    </w:rPr>
  </w:style>
  <w:style w:type="character" w:customStyle="1" w:styleId="67">
    <w:name w:val="Body Text Indent Char"/>
    <w:basedOn w:val="47"/>
    <w:link w:val="20"/>
    <w:qFormat/>
    <w:locked/>
    <w:uiPriority w:val="99"/>
    <w:rPr>
      <w:rFonts w:ascii="Times New Roman" w:hAnsi="Times New Roman" w:eastAsia="宋体"/>
      <w:kern w:val="0"/>
      <w:sz w:val="24"/>
    </w:rPr>
  </w:style>
  <w:style w:type="character" w:customStyle="1" w:styleId="68">
    <w:name w:val="Plain Text Char"/>
    <w:basedOn w:val="47"/>
    <w:link w:val="24"/>
    <w:qFormat/>
    <w:uiPriority w:val="99"/>
    <w:rPr>
      <w:rFonts w:ascii="宋体" w:hAnsi="Courier New" w:eastAsia="宋体"/>
      <w:sz w:val="20"/>
    </w:rPr>
  </w:style>
  <w:style w:type="character" w:customStyle="1" w:styleId="69">
    <w:name w:val="Date Char"/>
    <w:basedOn w:val="47"/>
    <w:link w:val="26"/>
    <w:qFormat/>
    <w:locked/>
    <w:uiPriority w:val="99"/>
    <w:rPr>
      <w:rFonts w:ascii="Times New Roman" w:hAnsi="Times New Roman" w:eastAsia="宋体"/>
      <w:sz w:val="20"/>
    </w:rPr>
  </w:style>
  <w:style w:type="character" w:customStyle="1" w:styleId="70">
    <w:name w:val="Balloon Text Char"/>
    <w:basedOn w:val="47"/>
    <w:link w:val="27"/>
    <w:qFormat/>
    <w:locked/>
    <w:uiPriority w:val="99"/>
    <w:rPr>
      <w:rFonts w:ascii="Times New Roman" w:hAnsi="Times New Roman" w:eastAsia="宋体"/>
      <w:sz w:val="18"/>
    </w:rPr>
  </w:style>
  <w:style w:type="character" w:customStyle="1" w:styleId="71">
    <w:name w:val="Footer Char"/>
    <w:basedOn w:val="47"/>
    <w:link w:val="28"/>
    <w:qFormat/>
    <w:locked/>
    <w:uiPriority w:val="99"/>
    <w:rPr>
      <w:rFonts w:ascii="Times New Roman" w:hAnsi="Times New Roman" w:eastAsia="宋体"/>
      <w:sz w:val="18"/>
    </w:rPr>
  </w:style>
  <w:style w:type="character" w:customStyle="1" w:styleId="72">
    <w:name w:val="Header Char"/>
    <w:basedOn w:val="47"/>
    <w:link w:val="29"/>
    <w:qFormat/>
    <w:locked/>
    <w:uiPriority w:val="99"/>
    <w:rPr>
      <w:sz w:val="18"/>
    </w:rPr>
  </w:style>
  <w:style w:type="character" w:customStyle="1" w:styleId="73">
    <w:name w:val="Subtitle Char"/>
    <w:basedOn w:val="47"/>
    <w:link w:val="32"/>
    <w:qFormat/>
    <w:locked/>
    <w:uiPriority w:val="99"/>
    <w:rPr>
      <w:rFonts w:ascii="宋体" w:eastAsia="宋体"/>
      <w:b/>
      <w:kern w:val="28"/>
      <w:sz w:val="32"/>
    </w:rPr>
  </w:style>
  <w:style w:type="character" w:customStyle="1" w:styleId="74">
    <w:name w:val="Body Text Indent 3 Char"/>
    <w:basedOn w:val="47"/>
    <w:link w:val="35"/>
    <w:qFormat/>
    <w:locked/>
    <w:uiPriority w:val="99"/>
    <w:rPr>
      <w:rFonts w:ascii="仿宋_GB2312" w:hAnsi="Times New Roman" w:eastAsia="仿宋_GB2312"/>
      <w:color w:val="000000"/>
      <w:kern w:val="2"/>
      <w:sz w:val="21"/>
    </w:rPr>
  </w:style>
  <w:style w:type="character" w:customStyle="1" w:styleId="75">
    <w:name w:val="Body Text 2 Char"/>
    <w:basedOn w:val="47"/>
    <w:link w:val="38"/>
    <w:qFormat/>
    <w:locked/>
    <w:uiPriority w:val="99"/>
    <w:rPr>
      <w:rFonts w:ascii="Times New Roman" w:hAnsi="Times New Roman" w:eastAsia="仿宋_GB2312"/>
      <w:kern w:val="2"/>
      <w:sz w:val="21"/>
    </w:rPr>
  </w:style>
  <w:style w:type="character" w:customStyle="1" w:styleId="76">
    <w:name w:val="Title Char"/>
    <w:basedOn w:val="47"/>
    <w:link w:val="41"/>
    <w:qFormat/>
    <w:locked/>
    <w:uiPriority w:val="99"/>
    <w:rPr>
      <w:rFonts w:ascii="Times New Roman" w:hAnsi="Times New Roman" w:eastAsia="黑体"/>
      <w:b/>
      <w:sz w:val="32"/>
    </w:rPr>
  </w:style>
  <w:style w:type="character" w:customStyle="1" w:styleId="77">
    <w:name w:val="Comment Subject Char"/>
    <w:basedOn w:val="64"/>
    <w:link w:val="42"/>
    <w:semiHidden/>
    <w:qFormat/>
    <w:locked/>
    <w:uiPriority w:val="99"/>
    <w:rPr>
      <w:b/>
    </w:rPr>
  </w:style>
  <w:style w:type="character" w:customStyle="1" w:styleId="78">
    <w:name w:val="Body Text First Indent Char"/>
    <w:basedOn w:val="66"/>
    <w:link w:val="43"/>
    <w:qFormat/>
    <w:locked/>
    <w:uiPriority w:val="99"/>
    <w:rPr>
      <w:rFonts w:eastAsia="黑体"/>
      <w:lang w:val="zh-CN" w:eastAsia="zh-CN"/>
    </w:rPr>
  </w:style>
  <w:style w:type="character" w:customStyle="1" w:styleId="79">
    <w:name w:val="Body Text First Indent 2 Char"/>
    <w:basedOn w:val="67"/>
    <w:link w:val="44"/>
    <w:qFormat/>
    <w:locked/>
    <w:uiPriority w:val="99"/>
  </w:style>
  <w:style w:type="character" w:customStyle="1" w:styleId="80">
    <w:name w:val="报告正文 Char Char"/>
    <w:link w:val="6"/>
    <w:qFormat/>
    <w:locked/>
    <w:uiPriority w:val="99"/>
    <w:rPr>
      <w:rFonts w:ascii="Times New Roman" w:hAnsi="Times New Roman" w:eastAsia="宋体"/>
      <w:sz w:val="24"/>
    </w:rPr>
  </w:style>
  <w:style w:type="paragraph" w:customStyle="1" w:styleId="81">
    <w:name w:val="样式ljj"/>
    <w:basedOn w:val="1"/>
    <w:link w:val="82"/>
    <w:qFormat/>
    <w:uiPriority w:val="99"/>
    <w:pPr>
      <w:widowControl/>
      <w:jc w:val="left"/>
    </w:pPr>
    <w:rPr>
      <w:rFonts w:ascii="Times New Roman" w:hAnsi="Times New Roman"/>
      <w:kern w:val="0"/>
    </w:rPr>
  </w:style>
  <w:style w:type="character" w:customStyle="1" w:styleId="82">
    <w:name w:val="样式ljj Char"/>
    <w:link w:val="81"/>
    <w:qFormat/>
    <w:locked/>
    <w:uiPriority w:val="99"/>
    <w:rPr>
      <w:rFonts w:ascii="Times New Roman" w:hAnsi="Times New Roman" w:eastAsia="宋体"/>
      <w:kern w:val="0"/>
      <w:sz w:val="24"/>
    </w:rPr>
  </w:style>
  <w:style w:type="paragraph" w:customStyle="1" w:styleId="83">
    <w:name w:val="1-正文"/>
    <w:basedOn w:val="1"/>
    <w:qFormat/>
    <w:uiPriority w:val="99"/>
    <w:pPr>
      <w:adjustRightInd w:val="0"/>
      <w:snapToGrid w:val="0"/>
    </w:pPr>
    <w:rPr>
      <w:rFonts w:ascii="宋体" w:hAnsi="宋体"/>
      <w:szCs w:val="20"/>
    </w:rPr>
  </w:style>
  <w:style w:type="paragraph" w:customStyle="1" w:styleId="84">
    <w:name w:val="样式 首行缩进:  2 字符"/>
    <w:basedOn w:val="1"/>
    <w:link w:val="85"/>
    <w:qFormat/>
    <w:uiPriority w:val="99"/>
    <w:pPr>
      <w:spacing w:line="560" w:lineRule="exact"/>
      <w:ind w:firstLine="560"/>
    </w:pPr>
    <w:rPr>
      <w:rFonts w:ascii="Times New Roman" w:hAnsi="Times New Roman"/>
      <w:kern w:val="0"/>
      <w:sz w:val="28"/>
      <w:szCs w:val="20"/>
    </w:rPr>
  </w:style>
  <w:style w:type="character" w:customStyle="1" w:styleId="85">
    <w:name w:val="样式 首行缩进:  2 字符 Char"/>
    <w:link w:val="84"/>
    <w:qFormat/>
    <w:locked/>
    <w:uiPriority w:val="99"/>
    <w:rPr>
      <w:rFonts w:ascii="Times New Roman" w:hAnsi="Times New Roman" w:eastAsia="宋体"/>
      <w:sz w:val="20"/>
    </w:rPr>
  </w:style>
  <w:style w:type="paragraph" w:customStyle="1" w:styleId="86">
    <w:name w:val="报告正文  cj"/>
    <w:basedOn w:val="1"/>
    <w:link w:val="87"/>
    <w:qFormat/>
    <w:uiPriority w:val="99"/>
    <w:pPr>
      <w:spacing w:line="480" w:lineRule="exact"/>
      <w:ind w:firstLine="105" w:firstLineChars="50"/>
    </w:pPr>
    <w:rPr>
      <w:rFonts w:ascii="Times New Roman" w:hAnsi="Times New Roman"/>
      <w:kern w:val="0"/>
    </w:rPr>
  </w:style>
  <w:style w:type="character" w:customStyle="1" w:styleId="87">
    <w:name w:val="报告正文  cj Char"/>
    <w:link w:val="86"/>
    <w:qFormat/>
    <w:locked/>
    <w:uiPriority w:val="99"/>
    <w:rPr>
      <w:rFonts w:ascii="Times New Roman" w:hAnsi="Times New Roman"/>
      <w:snapToGrid w:val="0"/>
      <w:kern w:val="0"/>
      <w:sz w:val="24"/>
    </w:rPr>
  </w:style>
  <w:style w:type="paragraph" w:customStyle="1" w:styleId="88">
    <w:name w:val="图标题"/>
    <w:link w:val="89"/>
    <w:qFormat/>
    <w:uiPriority w:val="99"/>
    <w:pPr>
      <w:spacing w:line="500" w:lineRule="exact"/>
      <w:jc w:val="center"/>
    </w:pPr>
    <w:rPr>
      <w:rFonts w:ascii="宋体" w:hAnsi="Times New Roman" w:eastAsia="宋体" w:cs="Times New Roman"/>
      <w:b/>
      <w:kern w:val="2"/>
      <w:sz w:val="24"/>
      <w:szCs w:val="24"/>
      <w:lang w:val="en-US" w:eastAsia="zh-CN" w:bidi="ar-SA"/>
    </w:rPr>
  </w:style>
  <w:style w:type="character" w:customStyle="1" w:styleId="89">
    <w:name w:val="图标题 Char"/>
    <w:link w:val="88"/>
    <w:qFormat/>
    <w:locked/>
    <w:uiPriority w:val="99"/>
    <w:rPr>
      <w:rFonts w:ascii="宋体" w:eastAsia="宋体"/>
      <w:b/>
      <w:kern w:val="2"/>
      <w:sz w:val="24"/>
      <w:lang w:val="en-US" w:eastAsia="zh-CN"/>
    </w:rPr>
  </w:style>
  <w:style w:type="paragraph" w:customStyle="1" w:styleId="90">
    <w:name w:val="表头"/>
    <w:basedOn w:val="1"/>
    <w:next w:val="1"/>
    <w:link w:val="91"/>
    <w:qFormat/>
    <w:uiPriority w:val="99"/>
    <w:pPr>
      <w:tabs>
        <w:tab w:val="left" w:pos="369"/>
        <w:tab w:val="left" w:pos="7740"/>
      </w:tabs>
      <w:snapToGrid w:val="0"/>
      <w:spacing w:line="400" w:lineRule="exact"/>
      <w:ind w:firstLine="0" w:firstLineChars="0"/>
      <w:jc w:val="center"/>
    </w:pPr>
    <w:rPr>
      <w:rFonts w:ascii="宋体" w:hAnsi="宋体"/>
      <w:b/>
      <w:spacing w:val="10"/>
      <w:kern w:val="0"/>
      <w:lang w:val="zh-CN"/>
    </w:rPr>
  </w:style>
  <w:style w:type="character" w:customStyle="1" w:styleId="91">
    <w:name w:val="表头 Char"/>
    <w:link w:val="90"/>
    <w:qFormat/>
    <w:locked/>
    <w:uiPriority w:val="99"/>
    <w:rPr>
      <w:rFonts w:ascii="宋体" w:eastAsia="宋体"/>
      <w:b/>
      <w:spacing w:val="10"/>
      <w:sz w:val="24"/>
      <w:lang w:val="zh-CN" w:eastAsia="zh-CN"/>
    </w:rPr>
  </w:style>
  <w:style w:type="paragraph" w:customStyle="1" w:styleId="92">
    <w:name w:val="表号"/>
    <w:basedOn w:val="1"/>
    <w:link w:val="93"/>
    <w:qFormat/>
    <w:uiPriority w:val="99"/>
    <w:pPr>
      <w:spacing w:line="460" w:lineRule="exact"/>
    </w:pPr>
    <w:rPr>
      <w:rFonts w:ascii="Times New Roman" w:hAnsi="Times New Roman" w:eastAsia="黑体"/>
      <w:kern w:val="0"/>
    </w:rPr>
  </w:style>
  <w:style w:type="character" w:customStyle="1" w:styleId="93">
    <w:name w:val="表号 Char"/>
    <w:link w:val="92"/>
    <w:qFormat/>
    <w:locked/>
    <w:uiPriority w:val="99"/>
    <w:rPr>
      <w:rFonts w:ascii="Times New Roman" w:hAnsi="Times New Roman" w:eastAsia="黑体"/>
      <w:kern w:val="0"/>
      <w:sz w:val="24"/>
    </w:rPr>
  </w:style>
  <w:style w:type="paragraph" w:customStyle="1" w:styleId="94">
    <w:name w:val="图表号"/>
    <w:basedOn w:val="92"/>
    <w:link w:val="95"/>
    <w:qFormat/>
    <w:uiPriority w:val="99"/>
    <w:pPr>
      <w:spacing w:line="320" w:lineRule="exact"/>
      <w:ind w:firstLine="50" w:firstLineChars="50"/>
    </w:pPr>
    <w:rPr>
      <w:rFonts w:hAnsi="宋体" w:eastAsia="Times New Roman"/>
      <w:szCs w:val="21"/>
    </w:rPr>
  </w:style>
  <w:style w:type="character" w:customStyle="1" w:styleId="95">
    <w:name w:val="图表号 Char"/>
    <w:link w:val="94"/>
    <w:qFormat/>
    <w:locked/>
    <w:uiPriority w:val="99"/>
    <w:rPr>
      <w:rFonts w:ascii="Times New Roman" w:hAnsi="宋体" w:eastAsia="Times New Roman"/>
      <w:kern w:val="0"/>
      <w:sz w:val="21"/>
    </w:rPr>
  </w:style>
  <w:style w:type="paragraph" w:customStyle="1" w:styleId="96">
    <w:name w:val="图表标题"/>
    <w:basedOn w:val="90"/>
    <w:link w:val="97"/>
    <w:qFormat/>
    <w:uiPriority w:val="99"/>
    <w:rPr>
      <w:rFonts w:hAnsi="Times New Roman"/>
      <w:lang w:val="en-US"/>
    </w:rPr>
  </w:style>
  <w:style w:type="character" w:customStyle="1" w:styleId="97">
    <w:name w:val="图表标题 Char"/>
    <w:link w:val="96"/>
    <w:qFormat/>
    <w:locked/>
    <w:uiPriority w:val="99"/>
    <w:rPr>
      <w:rFonts w:ascii="宋体" w:eastAsia="宋体"/>
      <w:b/>
      <w:spacing w:val="10"/>
      <w:kern w:val="0"/>
      <w:sz w:val="24"/>
    </w:rPr>
  </w:style>
  <w:style w:type="paragraph" w:customStyle="1" w:styleId="98">
    <w:name w:val="图表表号"/>
    <w:basedOn w:val="81"/>
    <w:link w:val="99"/>
    <w:qFormat/>
    <w:uiPriority w:val="99"/>
    <w:pPr>
      <w:spacing w:line="300" w:lineRule="exact"/>
      <w:ind w:firstLine="50" w:firstLineChars="50"/>
    </w:pPr>
  </w:style>
  <w:style w:type="character" w:customStyle="1" w:styleId="99">
    <w:name w:val="图表表号 Char"/>
    <w:link w:val="98"/>
    <w:qFormat/>
    <w:locked/>
    <w:uiPriority w:val="99"/>
    <w:rPr>
      <w:rFonts w:ascii="Times New Roman" w:hAnsi="Times New Roman"/>
      <w:kern w:val="0"/>
      <w:sz w:val="24"/>
    </w:rPr>
  </w:style>
  <w:style w:type="character" w:customStyle="1" w:styleId="100">
    <w:name w:val="4444444444"/>
    <w:qFormat/>
    <w:uiPriority w:val="99"/>
    <w:rPr>
      <w:rFonts w:ascii="宋体" w:hAnsi="宋体" w:eastAsia="宋体"/>
      <w:sz w:val="24"/>
    </w:rPr>
  </w:style>
  <w:style w:type="paragraph" w:customStyle="1" w:styleId="101">
    <w:name w:val="11111111111111111111111111111111111111111111111111111111"/>
    <w:qFormat/>
    <w:uiPriority w:val="99"/>
    <w:pPr>
      <w:widowControl w:val="0"/>
      <w:adjustRightInd w:val="0"/>
      <w:snapToGrid w:val="0"/>
      <w:spacing w:line="460" w:lineRule="exact"/>
      <w:ind w:firstLine="480" w:firstLineChars="200"/>
      <w:jc w:val="both"/>
    </w:pPr>
    <w:rPr>
      <w:rFonts w:ascii="宋体" w:hAnsi="宋体" w:eastAsia="宋体" w:cs="Times New Roman"/>
      <w:kern w:val="0"/>
      <w:sz w:val="24"/>
      <w:szCs w:val="28"/>
      <w:lang w:val="en-US" w:eastAsia="zh-CN" w:bidi="ar-SA"/>
    </w:rPr>
  </w:style>
  <w:style w:type="character" w:customStyle="1" w:styleId="102">
    <w:name w:val="Normal Indent Char"/>
    <w:link w:val="14"/>
    <w:qFormat/>
    <w:locked/>
    <w:uiPriority w:val="99"/>
    <w:rPr>
      <w:rFonts w:ascii="Times New Roman" w:hAnsi="Times New Roman" w:eastAsia="宋体"/>
      <w:sz w:val="20"/>
    </w:rPr>
  </w:style>
  <w:style w:type="paragraph" w:customStyle="1" w:styleId="103">
    <w:name w:val="样式2"/>
    <w:basedOn w:val="1"/>
    <w:qFormat/>
    <w:uiPriority w:val="99"/>
    <w:pPr>
      <w:spacing w:before="240" w:line="240" w:lineRule="auto"/>
      <w:ind w:firstLine="0" w:firstLineChars="0"/>
      <w:jc w:val="center"/>
    </w:pPr>
    <w:rPr>
      <w:rFonts w:ascii="黑体" w:eastAsia="黑体"/>
      <w:sz w:val="28"/>
      <w:szCs w:val="28"/>
    </w:rPr>
  </w:style>
  <w:style w:type="paragraph" w:customStyle="1" w:styleId="104">
    <w:name w:val="表格"/>
    <w:basedOn w:val="1"/>
    <w:link w:val="105"/>
    <w:qFormat/>
    <w:uiPriority w:val="99"/>
    <w:pPr>
      <w:spacing w:line="240" w:lineRule="exact"/>
    </w:pPr>
    <w:rPr>
      <w:rFonts w:ascii="宋体" w:hAnsi="Times New Roman"/>
      <w:kern w:val="0"/>
      <w:sz w:val="18"/>
      <w:szCs w:val="18"/>
    </w:rPr>
  </w:style>
  <w:style w:type="character" w:customStyle="1" w:styleId="105">
    <w:name w:val="表格 Char"/>
    <w:link w:val="104"/>
    <w:qFormat/>
    <w:locked/>
    <w:uiPriority w:val="99"/>
    <w:rPr>
      <w:rFonts w:ascii="宋体" w:eastAsia="宋体"/>
      <w:kern w:val="0"/>
      <w:sz w:val="18"/>
    </w:rPr>
  </w:style>
  <w:style w:type="paragraph" w:customStyle="1" w:styleId="106">
    <w:name w:val="cjjjjjjjjjj"/>
    <w:basedOn w:val="1"/>
    <w:qFormat/>
    <w:uiPriority w:val="99"/>
    <w:pPr>
      <w:spacing w:line="480" w:lineRule="exact"/>
      <w:ind w:firstLine="480"/>
    </w:pPr>
    <w:rPr>
      <w:rFonts w:ascii="宋体" w:hAnsi="宋体"/>
    </w:rPr>
  </w:style>
  <w:style w:type="paragraph" w:customStyle="1" w:styleId="107">
    <w:name w:val="纯文本 Char Char Char Char Char"/>
    <w:basedOn w:val="1"/>
    <w:next w:val="24"/>
    <w:qFormat/>
    <w:uiPriority w:val="99"/>
    <w:pPr>
      <w:tabs>
        <w:tab w:val="left" w:pos="6397"/>
      </w:tabs>
      <w:spacing w:line="240" w:lineRule="auto"/>
      <w:ind w:firstLine="0" w:firstLineChars="0"/>
    </w:pPr>
    <w:rPr>
      <w:rFonts w:ascii="宋体" w:hAnsi="宋体"/>
      <w:sz w:val="28"/>
      <w:szCs w:val="20"/>
    </w:rPr>
  </w:style>
  <w:style w:type="character" w:customStyle="1" w:styleId="108">
    <w:name w:val="Plain Text Char1"/>
    <w:link w:val="24"/>
    <w:qFormat/>
    <w:locked/>
    <w:uiPriority w:val="99"/>
    <w:rPr>
      <w:rFonts w:ascii="宋体" w:hAnsi="Courier New" w:eastAsia="宋体"/>
      <w:sz w:val="21"/>
    </w:rPr>
  </w:style>
  <w:style w:type="paragraph" w:customStyle="1" w:styleId="109">
    <w:name w:val="正缩"/>
    <w:basedOn w:val="1"/>
    <w:link w:val="110"/>
    <w:qFormat/>
    <w:uiPriority w:val="99"/>
    <w:pPr>
      <w:adjustRightInd w:val="0"/>
      <w:spacing w:line="460" w:lineRule="exact"/>
      <w:ind w:firstLine="567" w:firstLineChars="0"/>
      <w:textAlignment w:val="baseline"/>
    </w:pPr>
    <w:rPr>
      <w:rFonts w:ascii="Times New Roman" w:hAnsi="Times New Roman"/>
      <w:kern w:val="0"/>
      <w:szCs w:val="20"/>
    </w:rPr>
  </w:style>
  <w:style w:type="character" w:customStyle="1" w:styleId="110">
    <w:name w:val="正缩 Char"/>
    <w:link w:val="109"/>
    <w:qFormat/>
    <w:locked/>
    <w:uiPriority w:val="99"/>
    <w:rPr>
      <w:rFonts w:ascii="Times New Roman" w:hAnsi="Times New Roman" w:eastAsia="宋体"/>
      <w:sz w:val="20"/>
    </w:rPr>
  </w:style>
  <w:style w:type="paragraph" w:customStyle="1" w:styleId="111">
    <w:name w:val="1 cj正文"/>
    <w:basedOn w:val="1"/>
    <w:qFormat/>
    <w:uiPriority w:val="99"/>
    <w:pPr>
      <w:spacing w:line="460" w:lineRule="exact"/>
      <w:ind w:firstLine="480"/>
    </w:pPr>
    <w:rPr>
      <w:rFonts w:ascii="宋体" w:hAnsi="宋体"/>
      <w:kern w:val="0"/>
    </w:rPr>
  </w:style>
  <w:style w:type="paragraph" w:styleId="112">
    <w:name w:val="List Paragraph"/>
    <w:basedOn w:val="1"/>
    <w:qFormat/>
    <w:uiPriority w:val="99"/>
    <w:pPr>
      <w:spacing w:line="460" w:lineRule="exact"/>
      <w:ind w:firstLine="420"/>
    </w:pPr>
    <w:rPr>
      <w:rFonts w:ascii="宋体" w:hAnsi="宋体"/>
      <w:szCs w:val="21"/>
    </w:rPr>
  </w:style>
  <w:style w:type="paragraph" w:customStyle="1" w:styleId="113">
    <w:name w:val="bbbbb"/>
    <w:basedOn w:val="1"/>
    <w:link w:val="114"/>
    <w:qFormat/>
    <w:uiPriority w:val="99"/>
    <w:pPr>
      <w:adjustRightInd w:val="0"/>
      <w:snapToGrid w:val="0"/>
      <w:spacing w:line="440" w:lineRule="exact"/>
      <w:textAlignment w:val="baseline"/>
    </w:pPr>
    <w:rPr>
      <w:rFonts w:ascii="Times New Roman" w:hAnsi="Times New Roman"/>
      <w:kern w:val="24"/>
    </w:rPr>
  </w:style>
  <w:style w:type="character" w:customStyle="1" w:styleId="114">
    <w:name w:val="bbbbb Char1"/>
    <w:link w:val="113"/>
    <w:qFormat/>
    <w:locked/>
    <w:uiPriority w:val="99"/>
    <w:rPr>
      <w:rFonts w:ascii="Times New Roman" w:hAnsi="Times New Roman" w:eastAsia="宋体"/>
      <w:kern w:val="24"/>
      <w:sz w:val="24"/>
    </w:rPr>
  </w:style>
  <w:style w:type="paragraph" w:customStyle="1" w:styleId="115">
    <w:name w:val="Default"/>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116">
    <w:name w:val="CM1"/>
    <w:basedOn w:val="115"/>
    <w:next w:val="115"/>
    <w:qFormat/>
    <w:uiPriority w:val="99"/>
    <w:rPr>
      <w:rFonts w:cs="Times New Roman"/>
      <w:color w:val="auto"/>
    </w:rPr>
  </w:style>
  <w:style w:type="paragraph" w:customStyle="1" w:styleId="117">
    <w:name w:val="CM44"/>
    <w:basedOn w:val="115"/>
    <w:next w:val="115"/>
    <w:qFormat/>
    <w:uiPriority w:val="99"/>
    <w:pPr>
      <w:spacing w:after="330"/>
    </w:pPr>
    <w:rPr>
      <w:rFonts w:cs="Times New Roman"/>
      <w:color w:val="auto"/>
    </w:rPr>
  </w:style>
  <w:style w:type="paragraph" w:customStyle="1" w:styleId="118">
    <w:name w:val="CM7"/>
    <w:basedOn w:val="115"/>
    <w:next w:val="115"/>
    <w:qFormat/>
    <w:uiPriority w:val="99"/>
    <w:pPr>
      <w:spacing w:line="573" w:lineRule="atLeast"/>
    </w:pPr>
    <w:rPr>
      <w:rFonts w:cs="Times New Roman"/>
      <w:color w:val="auto"/>
    </w:rPr>
  </w:style>
  <w:style w:type="paragraph" w:customStyle="1" w:styleId="119">
    <w:name w:val="CM39"/>
    <w:basedOn w:val="115"/>
    <w:next w:val="115"/>
    <w:qFormat/>
    <w:uiPriority w:val="99"/>
    <w:pPr>
      <w:spacing w:after="128"/>
    </w:pPr>
    <w:rPr>
      <w:rFonts w:cs="Times New Roman"/>
      <w:color w:val="auto"/>
    </w:rPr>
  </w:style>
  <w:style w:type="paragraph" w:customStyle="1" w:styleId="120">
    <w:name w:val="CM8"/>
    <w:basedOn w:val="115"/>
    <w:next w:val="115"/>
    <w:qFormat/>
    <w:uiPriority w:val="99"/>
    <w:pPr>
      <w:spacing w:line="573" w:lineRule="atLeast"/>
    </w:pPr>
    <w:rPr>
      <w:rFonts w:cs="Times New Roman"/>
      <w:color w:val="auto"/>
    </w:rPr>
  </w:style>
  <w:style w:type="paragraph" w:customStyle="1" w:styleId="121">
    <w:name w:val="CM9"/>
    <w:basedOn w:val="115"/>
    <w:next w:val="115"/>
    <w:qFormat/>
    <w:uiPriority w:val="99"/>
    <w:pPr>
      <w:spacing w:line="573" w:lineRule="atLeast"/>
    </w:pPr>
    <w:rPr>
      <w:rFonts w:cs="Times New Roman"/>
      <w:color w:val="auto"/>
    </w:rPr>
  </w:style>
  <w:style w:type="paragraph" w:customStyle="1" w:styleId="122">
    <w:name w:val="CM11"/>
    <w:basedOn w:val="115"/>
    <w:next w:val="115"/>
    <w:qFormat/>
    <w:uiPriority w:val="99"/>
    <w:pPr>
      <w:spacing w:line="573" w:lineRule="atLeast"/>
    </w:pPr>
    <w:rPr>
      <w:rFonts w:cs="Times New Roman"/>
      <w:color w:val="auto"/>
    </w:rPr>
  </w:style>
  <w:style w:type="paragraph" w:customStyle="1" w:styleId="123">
    <w:name w:val="CM17"/>
    <w:basedOn w:val="115"/>
    <w:next w:val="115"/>
    <w:qFormat/>
    <w:uiPriority w:val="99"/>
    <w:pPr>
      <w:spacing w:line="573" w:lineRule="atLeast"/>
    </w:pPr>
    <w:rPr>
      <w:rFonts w:cs="Times New Roman"/>
      <w:color w:val="auto"/>
    </w:rPr>
  </w:style>
  <w:style w:type="paragraph" w:customStyle="1" w:styleId="124">
    <w:name w:val="CM43"/>
    <w:basedOn w:val="115"/>
    <w:next w:val="115"/>
    <w:qFormat/>
    <w:uiPriority w:val="99"/>
    <w:pPr>
      <w:spacing w:after="263"/>
    </w:pPr>
    <w:rPr>
      <w:rFonts w:cs="Times New Roman"/>
      <w:color w:val="auto"/>
    </w:rPr>
  </w:style>
  <w:style w:type="paragraph" w:customStyle="1" w:styleId="125">
    <w:name w:val="CM19"/>
    <w:basedOn w:val="115"/>
    <w:next w:val="115"/>
    <w:qFormat/>
    <w:uiPriority w:val="99"/>
    <w:rPr>
      <w:rFonts w:cs="Times New Roman"/>
      <w:color w:val="auto"/>
    </w:rPr>
  </w:style>
  <w:style w:type="paragraph" w:customStyle="1" w:styleId="126">
    <w:name w:val="CM14"/>
    <w:basedOn w:val="115"/>
    <w:next w:val="115"/>
    <w:qFormat/>
    <w:uiPriority w:val="99"/>
    <w:pPr>
      <w:spacing w:line="573" w:lineRule="atLeast"/>
    </w:pPr>
    <w:rPr>
      <w:rFonts w:cs="Times New Roman"/>
      <w:color w:val="auto"/>
    </w:rPr>
  </w:style>
  <w:style w:type="paragraph" w:customStyle="1" w:styleId="127">
    <w:name w:val="CM16"/>
    <w:basedOn w:val="115"/>
    <w:next w:val="115"/>
    <w:qFormat/>
    <w:uiPriority w:val="99"/>
    <w:pPr>
      <w:spacing w:line="573" w:lineRule="atLeast"/>
    </w:pPr>
    <w:rPr>
      <w:rFonts w:cs="Times New Roman"/>
      <w:color w:val="auto"/>
    </w:rPr>
  </w:style>
  <w:style w:type="paragraph" w:customStyle="1" w:styleId="128">
    <w:name w:val="CM40"/>
    <w:basedOn w:val="115"/>
    <w:next w:val="115"/>
    <w:qFormat/>
    <w:uiPriority w:val="99"/>
    <w:pPr>
      <w:spacing w:after="405"/>
    </w:pPr>
    <w:rPr>
      <w:rFonts w:cs="Times New Roman"/>
      <w:color w:val="auto"/>
    </w:rPr>
  </w:style>
  <w:style w:type="paragraph" w:customStyle="1" w:styleId="129">
    <w:name w:val="CM2"/>
    <w:basedOn w:val="115"/>
    <w:next w:val="115"/>
    <w:qFormat/>
    <w:uiPriority w:val="99"/>
    <w:rPr>
      <w:rFonts w:cs="Times New Roman"/>
      <w:color w:val="auto"/>
    </w:rPr>
  </w:style>
  <w:style w:type="paragraph" w:customStyle="1" w:styleId="130">
    <w:name w:val="CM21"/>
    <w:basedOn w:val="115"/>
    <w:next w:val="115"/>
    <w:qFormat/>
    <w:uiPriority w:val="99"/>
    <w:pPr>
      <w:spacing w:line="623" w:lineRule="atLeast"/>
    </w:pPr>
    <w:rPr>
      <w:rFonts w:cs="Times New Roman"/>
      <w:color w:val="auto"/>
    </w:rPr>
  </w:style>
  <w:style w:type="paragraph" w:customStyle="1" w:styleId="131">
    <w:name w:val="CM3"/>
    <w:basedOn w:val="115"/>
    <w:next w:val="115"/>
    <w:qFormat/>
    <w:uiPriority w:val="99"/>
    <w:rPr>
      <w:rFonts w:cs="Times New Roman"/>
      <w:color w:val="auto"/>
    </w:rPr>
  </w:style>
  <w:style w:type="paragraph" w:customStyle="1" w:styleId="132">
    <w:name w:val="CM20"/>
    <w:basedOn w:val="115"/>
    <w:next w:val="115"/>
    <w:qFormat/>
    <w:uiPriority w:val="99"/>
    <w:pPr>
      <w:spacing w:line="623" w:lineRule="atLeast"/>
    </w:pPr>
    <w:rPr>
      <w:rFonts w:cs="Times New Roman"/>
      <w:color w:val="auto"/>
    </w:rPr>
  </w:style>
  <w:style w:type="paragraph" w:customStyle="1" w:styleId="133">
    <w:name w:val="CM32"/>
    <w:basedOn w:val="115"/>
    <w:next w:val="115"/>
    <w:qFormat/>
    <w:uiPriority w:val="99"/>
    <w:pPr>
      <w:spacing w:line="626" w:lineRule="atLeast"/>
    </w:pPr>
    <w:rPr>
      <w:rFonts w:cs="Times New Roman"/>
      <w:color w:val="auto"/>
    </w:rPr>
  </w:style>
  <w:style w:type="paragraph" w:customStyle="1" w:styleId="134">
    <w:name w:val="CM27"/>
    <w:basedOn w:val="115"/>
    <w:next w:val="115"/>
    <w:qFormat/>
    <w:uiPriority w:val="99"/>
    <w:pPr>
      <w:spacing w:line="626" w:lineRule="atLeast"/>
    </w:pPr>
    <w:rPr>
      <w:rFonts w:cs="Times New Roman"/>
      <w:color w:val="auto"/>
    </w:rPr>
  </w:style>
  <w:style w:type="paragraph" w:customStyle="1" w:styleId="135">
    <w:name w:val="CM28"/>
    <w:basedOn w:val="115"/>
    <w:next w:val="115"/>
    <w:qFormat/>
    <w:uiPriority w:val="99"/>
    <w:pPr>
      <w:spacing w:line="626" w:lineRule="atLeast"/>
    </w:pPr>
    <w:rPr>
      <w:rFonts w:cs="Times New Roman"/>
      <w:color w:val="auto"/>
    </w:rPr>
  </w:style>
  <w:style w:type="paragraph" w:customStyle="1" w:styleId="136">
    <w:name w:val="CM30"/>
    <w:basedOn w:val="115"/>
    <w:next w:val="115"/>
    <w:qFormat/>
    <w:uiPriority w:val="99"/>
    <w:pPr>
      <w:spacing w:line="626" w:lineRule="atLeast"/>
    </w:pPr>
    <w:rPr>
      <w:rFonts w:cs="Times New Roman"/>
      <w:color w:val="auto"/>
    </w:rPr>
  </w:style>
  <w:style w:type="paragraph" w:customStyle="1" w:styleId="137">
    <w:name w:val="CM47"/>
    <w:basedOn w:val="115"/>
    <w:next w:val="115"/>
    <w:qFormat/>
    <w:uiPriority w:val="99"/>
    <w:pPr>
      <w:spacing w:after="535"/>
    </w:pPr>
    <w:rPr>
      <w:rFonts w:cs="Times New Roman"/>
      <w:color w:val="auto"/>
    </w:rPr>
  </w:style>
  <w:style w:type="paragraph" w:customStyle="1" w:styleId="138">
    <w:name w:val="正文文字 王8"/>
    <w:next w:val="1"/>
    <w:qFormat/>
    <w:uiPriority w:val="99"/>
    <w:pPr>
      <w:widowControl w:val="0"/>
      <w:spacing w:line="500" w:lineRule="exact"/>
      <w:ind w:firstLine="480" w:firstLineChars="200"/>
      <w:jc w:val="both"/>
    </w:pPr>
    <w:rPr>
      <w:rFonts w:ascii="Times New Roman" w:hAnsi="宋体" w:eastAsia="宋体" w:cs="Times New Roman"/>
      <w:kern w:val="2"/>
      <w:sz w:val="24"/>
      <w:szCs w:val="20"/>
      <w:lang w:val="en-US" w:eastAsia="zh-CN" w:bidi="ar-SA"/>
    </w:rPr>
  </w:style>
  <w:style w:type="paragraph" w:customStyle="1" w:styleId="139">
    <w:name w:val="EN标题"/>
    <w:basedOn w:val="1"/>
    <w:semiHidden/>
    <w:qFormat/>
    <w:uiPriority w:val="99"/>
    <w:pPr>
      <w:spacing w:line="240" w:lineRule="auto"/>
      <w:ind w:left="400" w:leftChars="400" w:right="400" w:rightChars="400" w:firstLine="0" w:firstLineChars="0"/>
      <w:jc w:val="center"/>
    </w:pPr>
    <w:rPr>
      <w:rFonts w:eastAsia="黑体"/>
      <w:b/>
      <w:color w:val="000000"/>
      <w:sz w:val="32"/>
      <w:szCs w:val="32"/>
    </w:rPr>
  </w:style>
  <w:style w:type="paragraph" w:customStyle="1" w:styleId="140">
    <w:name w:val="CM70"/>
    <w:basedOn w:val="115"/>
    <w:next w:val="115"/>
    <w:qFormat/>
    <w:uiPriority w:val="99"/>
    <w:rPr>
      <w:rFonts w:cs="Times New Roman"/>
      <w:color w:val="auto"/>
    </w:rPr>
  </w:style>
  <w:style w:type="paragraph" w:customStyle="1" w:styleId="141">
    <w:name w:val="CM10"/>
    <w:basedOn w:val="115"/>
    <w:next w:val="115"/>
    <w:qFormat/>
    <w:uiPriority w:val="99"/>
    <w:rPr>
      <w:rFonts w:cs="Times New Roman"/>
      <w:color w:val="auto"/>
    </w:rPr>
  </w:style>
  <w:style w:type="paragraph" w:customStyle="1" w:styleId="142">
    <w:name w:val="CM36"/>
    <w:basedOn w:val="115"/>
    <w:next w:val="115"/>
    <w:qFormat/>
    <w:uiPriority w:val="99"/>
    <w:pPr>
      <w:spacing w:line="626" w:lineRule="atLeast"/>
    </w:pPr>
    <w:rPr>
      <w:rFonts w:cs="Times New Roman"/>
      <w:color w:val="auto"/>
    </w:rPr>
  </w:style>
  <w:style w:type="paragraph" w:customStyle="1" w:styleId="143">
    <w:name w:val="CM26"/>
    <w:basedOn w:val="115"/>
    <w:next w:val="115"/>
    <w:qFormat/>
    <w:uiPriority w:val="99"/>
    <w:pPr>
      <w:spacing w:line="626" w:lineRule="atLeast"/>
    </w:pPr>
    <w:rPr>
      <w:rFonts w:cs="Times New Roman"/>
      <w:color w:val="auto"/>
    </w:rPr>
  </w:style>
  <w:style w:type="character" w:customStyle="1" w:styleId="144">
    <w:name w:val="能源_正文 Char"/>
    <w:link w:val="145"/>
    <w:qFormat/>
    <w:locked/>
    <w:uiPriority w:val="99"/>
    <w:rPr>
      <w:rFonts w:ascii="Times New Roman" w:hAnsi="Times New Roman" w:eastAsia="仿宋_GB2312"/>
      <w:sz w:val="30"/>
    </w:rPr>
  </w:style>
  <w:style w:type="paragraph" w:customStyle="1" w:styleId="145">
    <w:name w:val="能源_正文"/>
    <w:basedOn w:val="1"/>
    <w:link w:val="144"/>
    <w:qFormat/>
    <w:uiPriority w:val="99"/>
    <w:pPr>
      <w:adjustRightInd w:val="0"/>
      <w:snapToGrid w:val="0"/>
      <w:spacing w:line="360" w:lineRule="auto"/>
    </w:pPr>
    <w:rPr>
      <w:rFonts w:ascii="Times New Roman" w:hAnsi="Times New Roman" w:eastAsia="仿宋_GB2312"/>
      <w:kern w:val="0"/>
      <w:sz w:val="30"/>
      <w:szCs w:val="20"/>
    </w:rPr>
  </w:style>
  <w:style w:type="character" w:customStyle="1" w:styleId="146">
    <w:name w:val="表名，单位 Char"/>
    <w:link w:val="147"/>
    <w:qFormat/>
    <w:locked/>
    <w:uiPriority w:val="99"/>
    <w:rPr>
      <w:rFonts w:ascii="宋体" w:hAnsi="宋体" w:eastAsia="宋体"/>
      <w:b/>
      <w:spacing w:val="-4"/>
      <w:kern w:val="0"/>
      <w:sz w:val="21"/>
    </w:rPr>
  </w:style>
  <w:style w:type="paragraph" w:customStyle="1" w:styleId="147">
    <w:name w:val="表名，单位"/>
    <w:basedOn w:val="90"/>
    <w:link w:val="146"/>
    <w:qFormat/>
    <w:uiPriority w:val="99"/>
    <w:pPr>
      <w:tabs>
        <w:tab w:val="clear" w:pos="369"/>
        <w:tab w:val="clear" w:pos="7740"/>
      </w:tabs>
      <w:overflowPunct w:val="0"/>
      <w:topLinePunct/>
      <w:snapToGrid/>
      <w:spacing w:line="240" w:lineRule="exact"/>
      <w:ind w:firstLine="206" w:firstLineChars="100"/>
      <w:jc w:val="left"/>
    </w:pPr>
    <w:rPr>
      <w:spacing w:val="-4"/>
      <w:szCs w:val="21"/>
      <w:lang w:val="en-US"/>
    </w:rPr>
  </w:style>
  <w:style w:type="character" w:customStyle="1" w:styleId="148">
    <w:name w:val="普通文字 Char Char Char"/>
    <w:qFormat/>
    <w:uiPriority w:val="99"/>
    <w:rPr>
      <w:rFonts w:ascii="宋体" w:hAnsi="Courier New" w:eastAsia="宋体"/>
      <w:sz w:val="20"/>
    </w:rPr>
  </w:style>
  <w:style w:type="character" w:customStyle="1" w:styleId="149">
    <w:name w:val="标题3 Char2"/>
    <w:link w:val="150"/>
    <w:qFormat/>
    <w:locked/>
    <w:uiPriority w:val="99"/>
    <w:rPr>
      <w:rFonts w:ascii="宋体" w:hAnsi="宋体" w:eastAsia="宋体"/>
      <w:b/>
      <w:snapToGrid w:val="0"/>
      <w:color w:val="0000FF"/>
      <w:sz w:val="24"/>
    </w:rPr>
  </w:style>
  <w:style w:type="paragraph" w:customStyle="1" w:styleId="150">
    <w:name w:val="标题3"/>
    <w:basedOn w:val="1"/>
    <w:next w:val="1"/>
    <w:link w:val="149"/>
    <w:qFormat/>
    <w:uiPriority w:val="99"/>
    <w:pPr>
      <w:tabs>
        <w:tab w:val="left" w:pos="2254"/>
      </w:tabs>
      <w:overflowPunct w:val="0"/>
      <w:topLinePunct/>
      <w:adjustRightInd w:val="0"/>
      <w:snapToGrid w:val="0"/>
      <w:spacing w:line="600" w:lineRule="exact"/>
      <w:ind w:firstLine="0" w:firstLineChars="0"/>
      <w:outlineLvl w:val="2"/>
    </w:pPr>
    <w:rPr>
      <w:rFonts w:ascii="宋体" w:hAnsi="宋体"/>
      <w:b/>
      <w:color w:val="0000FF"/>
      <w:kern w:val="0"/>
    </w:rPr>
  </w:style>
  <w:style w:type="paragraph" w:customStyle="1" w:styleId="151">
    <w:name w:val="Char Char Char Char Char Char Char Char Char"/>
    <w:basedOn w:val="1"/>
    <w:qFormat/>
    <w:uiPriority w:val="99"/>
    <w:pPr>
      <w:spacing w:line="240" w:lineRule="auto"/>
      <w:ind w:firstLine="0" w:firstLineChars="0"/>
    </w:pPr>
    <w:rPr>
      <w:sz w:val="21"/>
    </w:rPr>
  </w:style>
  <w:style w:type="paragraph" w:customStyle="1" w:styleId="152">
    <w:name w:val="表格文字"/>
    <w:basedOn w:val="1"/>
    <w:qFormat/>
    <w:uiPriority w:val="99"/>
    <w:pPr>
      <w:spacing w:line="280" w:lineRule="exact"/>
      <w:ind w:firstLine="0" w:firstLineChars="0"/>
      <w:jc w:val="center"/>
    </w:pPr>
    <w:rPr>
      <w:sz w:val="18"/>
      <w:szCs w:val="20"/>
    </w:rPr>
  </w:style>
  <w:style w:type="paragraph" w:customStyle="1" w:styleId="153">
    <w:name w:val="表格标题"/>
    <w:basedOn w:val="1"/>
    <w:qFormat/>
    <w:uiPriority w:val="99"/>
    <w:pPr>
      <w:spacing w:line="280" w:lineRule="exact"/>
      <w:ind w:firstLine="0" w:firstLineChars="0"/>
      <w:jc w:val="center"/>
    </w:pPr>
    <w:rPr>
      <w:b/>
      <w:sz w:val="21"/>
      <w:szCs w:val="20"/>
    </w:rPr>
  </w:style>
  <w:style w:type="paragraph" w:customStyle="1" w:styleId="154">
    <w:name w:val="Char Char Char Char Char Char Char Char Char1"/>
    <w:basedOn w:val="1"/>
    <w:qFormat/>
    <w:uiPriority w:val="99"/>
    <w:pPr>
      <w:spacing w:line="240" w:lineRule="auto"/>
      <w:ind w:firstLine="0" w:firstLineChars="0"/>
    </w:pPr>
    <w:rPr>
      <w:sz w:val="21"/>
    </w:rPr>
  </w:style>
  <w:style w:type="paragraph" w:customStyle="1" w:styleId="155">
    <w:name w:val="正文 小四 行距: 1.5 倍行距"/>
    <w:basedOn w:val="1"/>
    <w:link w:val="156"/>
    <w:qFormat/>
    <w:uiPriority w:val="99"/>
    <w:pPr>
      <w:spacing w:line="360" w:lineRule="auto"/>
      <w:ind w:firstLine="480"/>
    </w:pPr>
    <w:rPr>
      <w:rFonts w:ascii="Times New Roman" w:hAnsi="Times New Roman"/>
      <w:kern w:val="0"/>
      <w:szCs w:val="20"/>
      <w:lang w:val="zh-CN"/>
    </w:rPr>
  </w:style>
  <w:style w:type="character" w:customStyle="1" w:styleId="156">
    <w:name w:val="正文 小四 行距: 1.5 倍行距 Char"/>
    <w:link w:val="155"/>
    <w:qFormat/>
    <w:locked/>
    <w:uiPriority w:val="99"/>
    <w:rPr>
      <w:rFonts w:ascii="Times New Roman" w:hAnsi="Times New Roman" w:eastAsia="宋体"/>
      <w:sz w:val="20"/>
      <w:lang w:val="zh-CN" w:eastAsia="zh-CN"/>
    </w:rPr>
  </w:style>
  <w:style w:type="paragraph" w:customStyle="1" w:styleId="157">
    <w:name w:val="正文用-jying"/>
    <w:basedOn w:val="1"/>
    <w:link w:val="179"/>
    <w:qFormat/>
    <w:uiPriority w:val="99"/>
    <w:pPr>
      <w:ind w:firstLine="480"/>
    </w:pPr>
    <w:rPr>
      <w:rFonts w:ascii="宋体" w:hAnsi="宋体"/>
    </w:rPr>
  </w:style>
  <w:style w:type="character" w:customStyle="1" w:styleId="158">
    <w:name w:val="标题2 Char"/>
    <w:link w:val="159"/>
    <w:qFormat/>
    <w:locked/>
    <w:uiPriority w:val="99"/>
    <w:rPr>
      <w:rFonts w:ascii="宋体" w:eastAsia="宋体"/>
      <w:b/>
      <w:snapToGrid w:val="0"/>
      <w:sz w:val="24"/>
    </w:rPr>
  </w:style>
  <w:style w:type="paragraph" w:customStyle="1" w:styleId="159">
    <w:name w:val="标题2"/>
    <w:basedOn w:val="1"/>
    <w:next w:val="1"/>
    <w:link w:val="158"/>
    <w:qFormat/>
    <w:uiPriority w:val="99"/>
    <w:pPr>
      <w:tabs>
        <w:tab w:val="left" w:pos="2254"/>
      </w:tabs>
      <w:overflowPunct w:val="0"/>
      <w:topLinePunct/>
      <w:adjustRightInd w:val="0"/>
      <w:snapToGrid w:val="0"/>
      <w:spacing w:line="480" w:lineRule="exact"/>
      <w:ind w:firstLine="0" w:firstLineChars="0"/>
      <w:outlineLvl w:val="2"/>
    </w:pPr>
    <w:rPr>
      <w:rFonts w:ascii="宋体" w:hAnsi="宋体"/>
      <w:b/>
      <w:kern w:val="0"/>
    </w:rPr>
  </w:style>
  <w:style w:type="paragraph" w:customStyle="1" w:styleId="160">
    <w:name w:val="puce"/>
    <w:basedOn w:val="1"/>
    <w:qFormat/>
    <w:uiPriority w:val="99"/>
    <w:pPr>
      <w:widowControl/>
      <w:numPr>
        <w:ilvl w:val="1"/>
        <w:numId w:val="2"/>
      </w:numPr>
      <w:tabs>
        <w:tab w:val="left" w:pos="1200"/>
        <w:tab w:val="clear" w:pos="1460"/>
      </w:tabs>
      <w:adjustRightInd w:val="0"/>
      <w:snapToGrid w:val="0"/>
      <w:spacing w:before="120" w:line="300" w:lineRule="auto"/>
      <w:ind w:left="1200" w:hanging="480" w:firstLineChars="0"/>
    </w:pPr>
    <w:rPr>
      <w:rFonts w:ascii="Arial" w:hAnsi="Arial"/>
      <w:kern w:val="0"/>
      <w:szCs w:val="20"/>
    </w:rPr>
  </w:style>
  <w:style w:type="paragraph" w:customStyle="1" w:styleId="161">
    <w:name w:val="标题4"/>
    <w:basedOn w:val="1"/>
    <w:qFormat/>
    <w:uiPriority w:val="99"/>
    <w:pPr>
      <w:tabs>
        <w:tab w:val="left" w:pos="1134"/>
      </w:tabs>
      <w:adjustRightInd w:val="0"/>
      <w:ind w:firstLine="0" w:firstLineChars="0"/>
      <w:jc w:val="left"/>
      <w:textAlignment w:val="baseline"/>
    </w:pPr>
    <w:rPr>
      <w:rFonts w:ascii="宋体" w:hAnsi="宋体"/>
      <w:kern w:val="0"/>
      <w:szCs w:val="20"/>
    </w:rPr>
  </w:style>
  <w:style w:type="paragraph" w:customStyle="1" w:styleId="162">
    <w:name w:val="表内文字"/>
    <w:basedOn w:val="1"/>
    <w:link w:val="163"/>
    <w:qFormat/>
    <w:uiPriority w:val="99"/>
    <w:pPr>
      <w:spacing w:line="240" w:lineRule="exact"/>
      <w:ind w:firstLine="0" w:firstLineChars="0"/>
      <w:jc w:val="center"/>
    </w:pPr>
    <w:rPr>
      <w:rFonts w:ascii="Times New Roman" w:hAnsi="Times New Roman"/>
      <w:kern w:val="0"/>
      <w:sz w:val="18"/>
      <w:szCs w:val="21"/>
      <w:lang w:val="zh-CN"/>
    </w:rPr>
  </w:style>
  <w:style w:type="character" w:customStyle="1" w:styleId="163">
    <w:name w:val="表内文字 Char"/>
    <w:link w:val="162"/>
    <w:qFormat/>
    <w:locked/>
    <w:uiPriority w:val="99"/>
    <w:rPr>
      <w:rFonts w:ascii="Times New Roman" w:hAnsi="Times New Roman"/>
      <w:sz w:val="21"/>
      <w:lang w:val="zh-CN" w:eastAsia="zh-CN"/>
    </w:rPr>
  </w:style>
  <w:style w:type="paragraph" w:customStyle="1" w:styleId="164">
    <w:name w:val="样式 宋体 小四 行距: 固定值 23 磅 首行缩进:  2 字符"/>
    <w:basedOn w:val="1"/>
    <w:qFormat/>
    <w:uiPriority w:val="99"/>
    <w:pPr>
      <w:spacing w:line="460" w:lineRule="exact"/>
      <w:ind w:firstLine="480"/>
    </w:pPr>
    <w:rPr>
      <w:rFonts w:ascii="宋体" w:hAnsi="宋体" w:cs="宋体"/>
      <w:kern w:val="0"/>
      <w:szCs w:val="20"/>
    </w:rPr>
  </w:style>
  <w:style w:type="character" w:customStyle="1" w:styleId="165">
    <w:name w:val="1正缩 Char"/>
    <w:link w:val="166"/>
    <w:qFormat/>
    <w:locked/>
    <w:uiPriority w:val="99"/>
    <w:rPr>
      <w:rFonts w:eastAsia="新宋体"/>
      <w:sz w:val="24"/>
    </w:rPr>
  </w:style>
  <w:style w:type="paragraph" w:customStyle="1" w:styleId="166">
    <w:name w:val="1正缩"/>
    <w:basedOn w:val="1"/>
    <w:link w:val="165"/>
    <w:qFormat/>
    <w:uiPriority w:val="99"/>
    <w:pPr>
      <w:adjustRightInd w:val="0"/>
      <w:spacing w:line="460" w:lineRule="exact"/>
      <w:ind w:firstLine="567"/>
      <w:textAlignment w:val="baseline"/>
    </w:pPr>
    <w:rPr>
      <w:rFonts w:ascii="Calibri" w:hAnsi="Calibri" w:eastAsia="新宋体"/>
      <w:kern w:val="0"/>
      <w:szCs w:val="20"/>
    </w:rPr>
  </w:style>
  <w:style w:type="character" w:customStyle="1" w:styleId="167">
    <w:name w:val="apple-converted-space"/>
    <w:qFormat/>
    <w:uiPriority w:val="99"/>
  </w:style>
  <w:style w:type="paragraph" w:customStyle="1" w:styleId="168">
    <w:name w:val="表头-jying"/>
    <w:basedOn w:val="157"/>
    <w:qFormat/>
    <w:uiPriority w:val="99"/>
    <w:pPr>
      <w:spacing w:beforeLines="20" w:line="240" w:lineRule="auto"/>
      <w:ind w:firstLine="0" w:firstLineChars="0"/>
      <w:jc w:val="center"/>
    </w:pPr>
    <w:rPr>
      <w:rFonts w:ascii="Arial" w:hAnsi="Arial" w:cs="Arial"/>
      <w:b/>
      <w:bCs/>
    </w:rPr>
  </w:style>
  <w:style w:type="paragraph" w:customStyle="1" w:styleId="169">
    <w:name w:val="表号-jying"/>
    <w:basedOn w:val="1"/>
    <w:qFormat/>
    <w:uiPriority w:val="99"/>
    <w:pPr>
      <w:spacing w:line="240" w:lineRule="auto"/>
      <w:ind w:firstLine="0" w:firstLineChars="0"/>
    </w:pPr>
    <w:rPr>
      <w:rFonts w:ascii="宋体" w:hAnsi="宋体"/>
      <w:szCs w:val="21"/>
    </w:rPr>
  </w:style>
  <w:style w:type="paragraph" w:customStyle="1" w:styleId="170">
    <w:name w:val="正文3"/>
    <w:link w:val="171"/>
    <w:semiHidden/>
    <w:qFormat/>
    <w:uiPriority w:val="99"/>
    <w:pPr>
      <w:widowControl w:val="0"/>
      <w:suppressAutoHyphens/>
      <w:overflowPunct w:val="0"/>
      <w:topLinePunct/>
      <w:spacing w:line="480" w:lineRule="exact"/>
      <w:ind w:firstLine="200" w:firstLineChars="200"/>
      <w:jc w:val="both"/>
    </w:pPr>
    <w:rPr>
      <w:rFonts w:ascii="宋体" w:hAnsi="宋体" w:eastAsia="宋体" w:cs="Times New Roman"/>
      <w:bCs/>
      <w:kern w:val="0"/>
      <w:sz w:val="24"/>
      <w:szCs w:val="28"/>
      <w:lang w:val="zh-CN" w:eastAsia="zh-CN" w:bidi="ar-SA"/>
    </w:rPr>
  </w:style>
  <w:style w:type="character" w:customStyle="1" w:styleId="171">
    <w:name w:val="正文3 Char"/>
    <w:link w:val="170"/>
    <w:semiHidden/>
    <w:qFormat/>
    <w:locked/>
    <w:uiPriority w:val="99"/>
    <w:rPr>
      <w:rFonts w:ascii="宋体" w:eastAsia="宋体"/>
      <w:snapToGrid w:val="0"/>
      <w:sz w:val="28"/>
      <w:lang w:val="zh-CN"/>
    </w:rPr>
  </w:style>
  <w:style w:type="paragraph" w:customStyle="1" w:styleId="172">
    <w:name w:val="正文内容"/>
    <w:basedOn w:val="1"/>
    <w:qFormat/>
    <w:uiPriority w:val="99"/>
    <w:pPr>
      <w:spacing w:line="360" w:lineRule="auto"/>
    </w:pPr>
    <w:rPr>
      <w:szCs w:val="22"/>
    </w:rPr>
  </w:style>
  <w:style w:type="character" w:customStyle="1" w:styleId="173">
    <w:name w:val="TOC 2 Char"/>
    <w:link w:val="36"/>
    <w:qFormat/>
    <w:locked/>
    <w:uiPriority w:val="99"/>
    <w:rPr>
      <w:rFonts w:ascii="Times New Roman" w:hAnsi="Times New Roman"/>
      <w:kern w:val="2"/>
      <w:sz w:val="24"/>
      <w:lang w:val="zh-CN" w:eastAsia="zh-CN"/>
    </w:rPr>
  </w:style>
  <w:style w:type="paragraph" w:customStyle="1" w:styleId="174">
    <w:name w:val="xl41"/>
    <w:basedOn w:val="1"/>
    <w:qFormat/>
    <w:uiPriority w:val="99"/>
    <w:pPr>
      <w:widowControl/>
      <w:spacing w:before="100" w:beforeAutospacing="1" w:after="100" w:afterAutospacing="1" w:line="240" w:lineRule="auto"/>
      <w:ind w:firstLine="0" w:firstLineChars="0"/>
      <w:jc w:val="center"/>
    </w:pPr>
    <w:rPr>
      <w:rFonts w:ascii="黑体" w:hAnsi="宋体" w:eastAsia="黑体"/>
      <w:kern w:val="0"/>
    </w:rPr>
  </w:style>
  <w:style w:type="paragraph" w:customStyle="1" w:styleId="175">
    <w:name w:val="列出段落1"/>
    <w:basedOn w:val="1"/>
    <w:qFormat/>
    <w:uiPriority w:val="99"/>
    <w:pPr>
      <w:spacing w:line="240" w:lineRule="auto"/>
      <w:ind w:firstLine="420"/>
    </w:pPr>
    <w:rPr>
      <w:rFonts w:ascii="Calibri" w:hAnsi="Calibri"/>
      <w:sz w:val="21"/>
      <w:szCs w:val="22"/>
    </w:rPr>
  </w:style>
  <w:style w:type="paragraph" w:styleId="176">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77">
    <w:name w:val="样式 样式 首行缩进:  0.85 厘米 + 首行缩进:  2 字符"/>
    <w:basedOn w:val="1"/>
    <w:qFormat/>
    <w:uiPriority w:val="99"/>
    <w:pPr>
      <w:topLinePunct/>
      <w:spacing w:line="460" w:lineRule="exact"/>
      <w:ind w:firstLine="480"/>
    </w:pPr>
    <w:rPr>
      <w:rFonts w:cs="宋体"/>
    </w:rPr>
  </w:style>
  <w:style w:type="paragraph" w:customStyle="1" w:styleId="178">
    <w:name w:val="正文仿宋"/>
    <w:basedOn w:val="1"/>
    <w:qFormat/>
    <w:uiPriority w:val="99"/>
    <w:pPr>
      <w:widowControl/>
      <w:numPr>
        <w:ilvl w:val="0"/>
        <w:numId w:val="3"/>
      </w:numPr>
      <w:tabs>
        <w:tab w:val="left" w:pos="360"/>
        <w:tab w:val="clear" w:pos="1280"/>
      </w:tabs>
      <w:adjustRightInd w:val="0"/>
      <w:snapToGrid w:val="0"/>
      <w:spacing w:line="288" w:lineRule="auto"/>
      <w:ind w:left="0"/>
      <w:textAlignment w:val="center"/>
    </w:pPr>
    <w:rPr>
      <w:szCs w:val="20"/>
    </w:rPr>
  </w:style>
  <w:style w:type="character" w:customStyle="1" w:styleId="179">
    <w:name w:val="正文用-jying Char"/>
    <w:link w:val="157"/>
    <w:qFormat/>
    <w:locked/>
    <w:uiPriority w:val="99"/>
    <w:rPr>
      <w:rFonts w:ascii="宋体" w:eastAsia="宋体"/>
      <w:kern w:val="2"/>
      <w:sz w:val="24"/>
    </w:rPr>
  </w:style>
  <w:style w:type="paragraph" w:customStyle="1" w:styleId="180">
    <w:name w:val="图表内容"/>
    <w:basedOn w:val="1"/>
    <w:qFormat/>
    <w:uiPriority w:val="99"/>
    <w:pPr>
      <w:adjustRightInd w:val="0"/>
      <w:snapToGrid w:val="0"/>
      <w:spacing w:line="240" w:lineRule="exact"/>
      <w:ind w:firstLine="0" w:firstLineChars="0"/>
      <w:jc w:val="center"/>
    </w:pPr>
    <w:rPr>
      <w:rFonts w:ascii="宋体" w:hAnsi="宋体" w:cs="宋体"/>
      <w:sz w:val="18"/>
      <w:szCs w:val="21"/>
    </w:rPr>
  </w:style>
  <w:style w:type="paragraph" w:customStyle="1" w:styleId="181">
    <w:name w:val="表格 cj"/>
    <w:basedOn w:val="1"/>
    <w:qFormat/>
    <w:uiPriority w:val="99"/>
    <w:pPr>
      <w:widowControl/>
      <w:spacing w:line="240" w:lineRule="exact"/>
      <w:ind w:firstLine="0" w:firstLineChars="0"/>
      <w:jc w:val="center"/>
    </w:pPr>
    <w:rPr>
      <w:rFonts w:ascii="宋体" w:hAnsi="宋体" w:cs="宋体"/>
      <w:kern w:val="0"/>
      <w:sz w:val="18"/>
      <w:szCs w:val="21"/>
    </w:rPr>
  </w:style>
  <w:style w:type="paragraph" w:customStyle="1" w:styleId="182">
    <w:name w:val="表标题h"/>
    <w:next w:val="1"/>
    <w:qFormat/>
    <w:uiPriority w:val="99"/>
    <w:pPr>
      <w:snapToGrid w:val="0"/>
      <w:spacing w:line="360" w:lineRule="auto"/>
      <w:jc w:val="center"/>
    </w:pPr>
    <w:rPr>
      <w:rFonts w:ascii="Times New Roman" w:hAnsi="Times New Roman" w:eastAsia="黑体" w:cs="Courier New"/>
      <w:kern w:val="2"/>
      <w:sz w:val="28"/>
      <w:szCs w:val="24"/>
      <w:lang w:val="en-US" w:eastAsia="zh-CN" w:bidi="ar-SA"/>
    </w:rPr>
  </w:style>
  <w:style w:type="paragraph" w:customStyle="1" w:styleId="183">
    <w:name w:val="表标"/>
    <w:basedOn w:val="1"/>
    <w:next w:val="1"/>
    <w:qFormat/>
    <w:uiPriority w:val="99"/>
    <w:pPr>
      <w:adjustRightInd w:val="0"/>
      <w:snapToGrid w:val="0"/>
      <w:spacing w:line="240" w:lineRule="auto"/>
      <w:ind w:firstLine="0" w:firstLineChars="0"/>
      <w:jc w:val="left"/>
    </w:pPr>
    <w:rPr>
      <w:rFonts w:ascii="Times New Roman" w:hAnsi="Times New Roman" w:cs="宋体"/>
      <w:kern w:val="0"/>
      <w:szCs w:val="22"/>
    </w:rPr>
  </w:style>
  <w:style w:type="paragraph" w:customStyle="1" w:styleId="184">
    <w:name w:val="表格文字h"/>
    <w:basedOn w:val="1"/>
    <w:qFormat/>
    <w:uiPriority w:val="99"/>
    <w:pPr>
      <w:widowControl/>
      <w:snapToGrid w:val="0"/>
      <w:spacing w:line="240" w:lineRule="auto"/>
      <w:ind w:firstLine="0" w:firstLineChars="0"/>
      <w:jc w:val="center"/>
    </w:pPr>
    <w:rPr>
      <w:rFonts w:ascii="Times New Roman" w:hAnsi="Times New Roman"/>
      <w:kern w:val="0"/>
      <w:szCs w:val="21"/>
      <w:lang w:eastAsia="en-US"/>
    </w:rPr>
  </w:style>
  <w:style w:type="paragraph" w:customStyle="1" w:styleId="185">
    <w:name w:val="样式 正文文本 + 首行缩进:  2 字符1"/>
    <w:basedOn w:val="19"/>
    <w:qFormat/>
    <w:uiPriority w:val="99"/>
    <w:pPr>
      <w:spacing w:after="0" w:line="360" w:lineRule="auto"/>
      <w:ind w:firstLine="480"/>
    </w:pPr>
    <w:rPr>
      <w:rFonts w:ascii="Calibri" w:hAnsi="Calibri" w:cs="宋体"/>
      <w:kern w:val="2"/>
      <w:szCs w:val="20"/>
    </w:rPr>
  </w:style>
  <w:style w:type="paragraph" w:customStyle="1" w:styleId="186">
    <w:name w:val="正文终稿"/>
    <w:basedOn w:val="1"/>
    <w:link w:val="187"/>
    <w:qFormat/>
    <w:uiPriority w:val="99"/>
    <w:pPr>
      <w:snapToGrid w:val="0"/>
      <w:spacing w:line="360" w:lineRule="auto"/>
    </w:pPr>
    <w:rPr>
      <w:rFonts w:ascii="Times New Roman" w:hAnsi="Times New Roman"/>
      <w:color w:val="000000"/>
      <w:kern w:val="0"/>
      <w:lang w:val="zh-TW" w:eastAsia="zh-TW"/>
    </w:rPr>
  </w:style>
  <w:style w:type="character" w:customStyle="1" w:styleId="187">
    <w:name w:val="正文终稿 字符"/>
    <w:link w:val="186"/>
    <w:qFormat/>
    <w:locked/>
    <w:uiPriority w:val="99"/>
    <w:rPr>
      <w:rFonts w:ascii="Times New Roman" w:hAnsi="Times New Roman"/>
      <w:color w:val="000000"/>
      <w:sz w:val="24"/>
      <w:lang w:val="zh-TW" w:eastAsia="zh-TW"/>
    </w:rPr>
  </w:style>
  <w:style w:type="character" w:customStyle="1" w:styleId="188">
    <w:name w:val="apple-style-span"/>
    <w:qFormat/>
    <w:uiPriority w:val="99"/>
  </w:style>
  <w:style w:type="character" w:customStyle="1" w:styleId="189">
    <w:name w:val="正文文本缩进 3 Char1"/>
    <w:qFormat/>
    <w:uiPriority w:val="99"/>
    <w:rPr>
      <w:rFonts w:ascii="仿宋_GB2312" w:hAnsi="仿宋_GB2312" w:eastAsia="仿宋_GB2312"/>
      <w:kern w:val="2"/>
      <w:sz w:val="16"/>
    </w:rPr>
  </w:style>
  <w:style w:type="character" w:customStyle="1" w:styleId="190">
    <w:name w:val="正文文本 Char2"/>
    <w:qFormat/>
    <w:uiPriority w:val="99"/>
    <w:rPr>
      <w:rFonts w:ascii="仿宋_GB2312" w:hAnsi="仿宋_GB2312" w:eastAsia="仿宋_GB2312"/>
      <w:kern w:val="2"/>
      <w:sz w:val="22"/>
    </w:rPr>
  </w:style>
  <w:style w:type="character" w:customStyle="1" w:styleId="191">
    <w:name w:val="样式 标题 3章标题（段标题）段标题 Char + (西文) 宋体 (中文) 宋体 小三 Char"/>
    <w:link w:val="192"/>
    <w:qFormat/>
    <w:locked/>
    <w:uiPriority w:val="99"/>
    <w:rPr>
      <w:rFonts w:ascii="宋体" w:eastAsia="宋体"/>
      <w:b/>
      <w:kern w:val="2"/>
      <w:sz w:val="30"/>
    </w:rPr>
  </w:style>
  <w:style w:type="paragraph" w:customStyle="1" w:styleId="192">
    <w:name w:val="样式 标题 3章标题（段标题）段标题 Char + (西文) 宋体 (中文) 宋体 小三"/>
    <w:basedOn w:val="5"/>
    <w:link w:val="191"/>
    <w:qFormat/>
    <w:uiPriority w:val="99"/>
    <w:pPr>
      <w:numPr>
        <w:ilvl w:val="0"/>
        <w:numId w:val="0"/>
      </w:numPr>
      <w:adjustRightInd w:val="0"/>
      <w:snapToGrid w:val="0"/>
      <w:spacing w:before="120" w:after="120" w:line="360" w:lineRule="auto"/>
    </w:pPr>
    <w:rPr>
      <w:rFonts w:ascii="宋体" w:hAnsi="宋体"/>
      <w:szCs w:val="30"/>
      <w:lang w:val="en-US"/>
    </w:rPr>
  </w:style>
  <w:style w:type="character" w:customStyle="1" w:styleId="193">
    <w:name w:val="正文文本 3 Char1"/>
    <w:qFormat/>
    <w:uiPriority w:val="99"/>
    <w:rPr>
      <w:rFonts w:ascii="仿宋_GB2312" w:hAnsi="仿宋_GB2312" w:eastAsia="仿宋_GB2312"/>
      <w:kern w:val="2"/>
      <w:sz w:val="16"/>
    </w:rPr>
  </w:style>
  <w:style w:type="character" w:customStyle="1" w:styleId="194">
    <w:name w:val="highlight1"/>
    <w:qFormat/>
    <w:uiPriority w:val="99"/>
    <w:rPr>
      <w:rFonts w:ascii="Times New Roman" w:hAnsi="Times New Roman"/>
      <w:sz w:val="21"/>
    </w:rPr>
  </w:style>
  <w:style w:type="character" w:customStyle="1" w:styleId="195">
    <w:name w:val="标题 Char1"/>
    <w:qFormat/>
    <w:uiPriority w:val="99"/>
    <w:rPr>
      <w:rFonts w:ascii="Cambria" w:hAnsi="Cambria"/>
      <w:b/>
      <w:kern w:val="2"/>
      <w:sz w:val="32"/>
    </w:rPr>
  </w:style>
  <w:style w:type="character" w:customStyle="1" w:styleId="196">
    <w:name w:val="正文2 Char Char"/>
    <w:qFormat/>
    <w:uiPriority w:val="99"/>
    <w:rPr>
      <w:rFonts w:ascii="Times New Roman" w:hAnsi="Times New Roman" w:eastAsia="宋体"/>
      <w:kern w:val="2"/>
      <w:sz w:val="28"/>
      <w:lang w:val="en-US" w:eastAsia="zh-CN"/>
    </w:rPr>
  </w:style>
  <w:style w:type="character" w:customStyle="1" w:styleId="197">
    <w:name w:val="段落1 Char Char"/>
    <w:link w:val="198"/>
    <w:qFormat/>
    <w:locked/>
    <w:uiPriority w:val="99"/>
    <w:rPr>
      <w:rFonts w:ascii="黑体" w:hAnsi="宋体" w:eastAsia="黑体"/>
      <w:color w:val="000000"/>
      <w:sz w:val="30"/>
    </w:rPr>
  </w:style>
  <w:style w:type="paragraph" w:customStyle="1" w:styleId="198">
    <w:name w:val="段落1 Char"/>
    <w:basedOn w:val="1"/>
    <w:link w:val="197"/>
    <w:qFormat/>
    <w:uiPriority w:val="99"/>
    <w:pPr>
      <w:adjustRightInd w:val="0"/>
      <w:snapToGrid w:val="0"/>
      <w:spacing w:before="24" w:after="24" w:line="360" w:lineRule="auto"/>
      <w:ind w:firstLine="600"/>
    </w:pPr>
    <w:rPr>
      <w:rFonts w:ascii="黑体" w:hAnsi="宋体" w:eastAsia="黑体"/>
      <w:color w:val="000000"/>
      <w:kern w:val="0"/>
      <w:sz w:val="30"/>
      <w:szCs w:val="30"/>
    </w:rPr>
  </w:style>
  <w:style w:type="character" w:customStyle="1" w:styleId="199">
    <w:name w:val="Caption Char"/>
    <w:link w:val="15"/>
    <w:qFormat/>
    <w:locked/>
    <w:uiPriority w:val="99"/>
    <w:rPr>
      <w:rFonts w:ascii="Cambria" w:hAnsi="Cambria" w:eastAsia="黑体"/>
      <w:kern w:val="2"/>
    </w:rPr>
  </w:style>
  <w:style w:type="character" w:customStyle="1" w:styleId="200">
    <w:name w:val="纯文本 Char2"/>
    <w:qFormat/>
    <w:uiPriority w:val="99"/>
    <w:rPr>
      <w:rFonts w:ascii="宋体" w:hAnsi="Courier New"/>
      <w:kern w:val="2"/>
      <w:sz w:val="21"/>
    </w:rPr>
  </w:style>
  <w:style w:type="character" w:customStyle="1" w:styleId="201">
    <w:name w:val="正文首行缩进 Char1"/>
    <w:qFormat/>
    <w:uiPriority w:val="99"/>
  </w:style>
  <w:style w:type="character" w:customStyle="1" w:styleId="202">
    <w:name w:val="样式1 Char"/>
    <w:link w:val="203"/>
    <w:qFormat/>
    <w:locked/>
    <w:uiPriority w:val="99"/>
    <w:rPr>
      <w:rFonts w:ascii="Times New Roman" w:hAnsi="Times New Roman"/>
      <w:b/>
      <w:kern w:val="44"/>
      <w:sz w:val="44"/>
    </w:rPr>
  </w:style>
  <w:style w:type="paragraph" w:customStyle="1" w:styleId="203">
    <w:name w:val="样式1"/>
    <w:basedOn w:val="3"/>
    <w:link w:val="202"/>
    <w:qFormat/>
    <w:uiPriority w:val="99"/>
    <w:pPr>
      <w:numPr>
        <w:ilvl w:val="0"/>
        <w:numId w:val="0"/>
      </w:numPr>
      <w:snapToGrid/>
      <w:spacing w:before="340" w:after="330" w:line="576" w:lineRule="auto"/>
      <w:jc w:val="both"/>
    </w:pPr>
    <w:rPr>
      <w:rFonts w:ascii="Times New Roman" w:hAnsi="Times New Roman"/>
      <w:sz w:val="36"/>
      <w:szCs w:val="44"/>
      <w:lang w:val="en-US"/>
    </w:rPr>
  </w:style>
  <w:style w:type="character" w:customStyle="1" w:styleId="204">
    <w:name w:val="页眉 Char1"/>
    <w:qFormat/>
    <w:uiPriority w:val="99"/>
    <w:rPr>
      <w:rFonts w:eastAsia="仿宋_GB2312"/>
      <w:sz w:val="18"/>
    </w:rPr>
  </w:style>
  <w:style w:type="character" w:customStyle="1" w:styleId="205">
    <w:name w:val="正文文本 2 Char1"/>
    <w:qFormat/>
    <w:uiPriority w:val="99"/>
    <w:rPr>
      <w:rFonts w:ascii="仿宋_GB2312" w:hAnsi="仿宋_GB2312" w:eastAsia="仿宋_GB2312"/>
      <w:kern w:val="2"/>
      <w:sz w:val="22"/>
    </w:rPr>
  </w:style>
  <w:style w:type="character" w:customStyle="1" w:styleId="206">
    <w:name w:val="正文文本 Char1"/>
    <w:qFormat/>
    <w:uiPriority w:val="99"/>
    <w:rPr>
      <w:rFonts w:ascii="仿宋_GB2312" w:hAnsi="仿宋_GB2312" w:eastAsia="仿宋_GB2312"/>
      <w:kern w:val="2"/>
      <w:sz w:val="22"/>
    </w:rPr>
  </w:style>
  <w:style w:type="character" w:customStyle="1" w:styleId="207">
    <w:name w:val="日期 Char1"/>
    <w:qFormat/>
    <w:uiPriority w:val="99"/>
    <w:rPr>
      <w:rFonts w:ascii="仿宋_GB2312" w:hAnsi="仿宋_GB2312" w:eastAsia="仿宋_GB2312"/>
      <w:kern w:val="2"/>
      <w:sz w:val="22"/>
    </w:rPr>
  </w:style>
  <w:style w:type="character" w:customStyle="1" w:styleId="208">
    <w:name w:val="报告正文 Char"/>
    <w:qFormat/>
    <w:uiPriority w:val="99"/>
    <w:rPr>
      <w:rFonts w:ascii="Times New Roman" w:hAnsi="Times New Roman" w:eastAsia="楷体_GB2312"/>
      <w:kern w:val="2"/>
      <w:sz w:val="28"/>
    </w:rPr>
  </w:style>
  <w:style w:type="character" w:customStyle="1" w:styleId="209">
    <w:name w:val="页脚 Char1"/>
    <w:qFormat/>
    <w:uiPriority w:val="99"/>
    <w:rPr>
      <w:rFonts w:eastAsia="仿宋_GB2312"/>
      <w:sz w:val="18"/>
    </w:rPr>
  </w:style>
  <w:style w:type="character" w:customStyle="1" w:styleId="210">
    <w:name w:val="正文首行缩进 2 Char1"/>
    <w:qFormat/>
    <w:uiPriority w:val="99"/>
    <w:rPr>
      <w:rFonts w:ascii="仿宋_GB2312" w:hAnsi="仿宋_GB2312" w:eastAsia="仿宋_GB2312"/>
      <w:kern w:val="2"/>
      <w:sz w:val="22"/>
    </w:rPr>
  </w:style>
  <w:style w:type="character" w:customStyle="1" w:styleId="211">
    <w:name w:val="五正 Char"/>
    <w:link w:val="212"/>
    <w:qFormat/>
    <w:locked/>
    <w:uiPriority w:val="99"/>
    <w:rPr>
      <w:rFonts w:ascii="宋体" w:eastAsia="宋体"/>
      <w:sz w:val="24"/>
    </w:rPr>
  </w:style>
  <w:style w:type="paragraph" w:customStyle="1" w:styleId="212">
    <w:name w:val="五正"/>
    <w:basedOn w:val="1"/>
    <w:link w:val="211"/>
    <w:qFormat/>
    <w:uiPriority w:val="99"/>
    <w:pPr>
      <w:spacing w:line="360" w:lineRule="auto"/>
      <w:ind w:firstLine="480"/>
    </w:pPr>
    <w:rPr>
      <w:rFonts w:ascii="宋体" w:hAnsi="宋体"/>
      <w:kern w:val="0"/>
    </w:rPr>
  </w:style>
  <w:style w:type="character" w:customStyle="1" w:styleId="213">
    <w:name w:val="表名 Char"/>
    <w:link w:val="214"/>
    <w:qFormat/>
    <w:locked/>
    <w:uiPriority w:val="99"/>
    <w:rPr>
      <w:rFonts w:ascii="宋体" w:eastAsia="宋体"/>
      <w:b/>
      <w:sz w:val="24"/>
    </w:rPr>
  </w:style>
  <w:style w:type="paragraph" w:customStyle="1" w:styleId="214">
    <w:name w:val="表名"/>
    <w:basedOn w:val="1"/>
    <w:link w:val="213"/>
    <w:qFormat/>
    <w:uiPriority w:val="99"/>
    <w:pPr>
      <w:adjustRightInd w:val="0"/>
      <w:snapToGrid w:val="0"/>
      <w:spacing w:beforeLines="50" w:line="240" w:lineRule="auto"/>
      <w:ind w:firstLine="0" w:firstLineChars="0"/>
      <w:jc w:val="left"/>
    </w:pPr>
    <w:rPr>
      <w:rFonts w:ascii="宋体" w:hAnsi="宋体"/>
      <w:b/>
      <w:kern w:val="0"/>
    </w:rPr>
  </w:style>
  <w:style w:type="character" w:customStyle="1" w:styleId="215">
    <w:name w:val="样式 标题 2（节标题）节标题标题 2 CharWJH标题 2 + (西文)小四 非(复杂文种)加粗 Char"/>
    <w:link w:val="216"/>
    <w:qFormat/>
    <w:locked/>
    <w:uiPriority w:val="99"/>
    <w:rPr>
      <w:rFonts w:ascii="Arial" w:hAnsi="Arial"/>
      <w:b/>
      <w:kern w:val="2"/>
      <w:sz w:val="32"/>
    </w:rPr>
  </w:style>
  <w:style w:type="paragraph" w:customStyle="1" w:styleId="216">
    <w:name w:val="样式 标题 2（节标题）节标题标题 2 CharWJH标题 2 + (西文)小四 非(复杂文种)加粗"/>
    <w:basedOn w:val="4"/>
    <w:link w:val="215"/>
    <w:qFormat/>
    <w:uiPriority w:val="99"/>
    <w:pPr>
      <w:numPr>
        <w:ilvl w:val="0"/>
        <w:numId w:val="0"/>
      </w:numPr>
      <w:adjustRightInd w:val="0"/>
      <w:snapToGrid w:val="0"/>
      <w:spacing w:before="120" w:after="120" w:line="360" w:lineRule="auto"/>
    </w:pPr>
    <w:rPr>
      <w:rFonts w:ascii="Arial" w:hAnsi="Arial"/>
      <w:bCs w:val="0"/>
      <w:sz w:val="30"/>
      <w:szCs w:val="32"/>
      <w:lang w:val="en-US"/>
    </w:rPr>
  </w:style>
  <w:style w:type="character" w:customStyle="1" w:styleId="217">
    <w:name w:val="样式 标题 1(章标题）书名 Char封面大标题 + 小二 黑色 紧缩量  0.1 磅 Char"/>
    <w:link w:val="218"/>
    <w:qFormat/>
    <w:locked/>
    <w:uiPriority w:val="99"/>
    <w:rPr>
      <w:rFonts w:ascii="Times New Roman" w:hAnsi="Times New Roman" w:eastAsia="仿宋_GB2312"/>
      <w:b/>
      <w:color w:val="000000"/>
      <w:spacing w:val="-2"/>
      <w:kern w:val="44"/>
      <w:sz w:val="36"/>
    </w:rPr>
  </w:style>
  <w:style w:type="paragraph" w:customStyle="1" w:styleId="218">
    <w:name w:val="样式 标题 1(章标题）书名 Char封面大标题 + 小二 黑色 紧缩量  0.1 磅"/>
    <w:basedOn w:val="3"/>
    <w:link w:val="217"/>
    <w:qFormat/>
    <w:uiPriority w:val="99"/>
    <w:pPr>
      <w:numPr>
        <w:ilvl w:val="0"/>
        <w:numId w:val="0"/>
      </w:numPr>
      <w:adjustRightInd w:val="0"/>
      <w:spacing w:before="120" w:after="120" w:line="360" w:lineRule="auto"/>
      <w:jc w:val="center"/>
    </w:pPr>
    <w:rPr>
      <w:rFonts w:ascii="Times New Roman" w:hAnsi="Times New Roman" w:eastAsia="仿宋_GB2312"/>
      <w:color w:val="000000"/>
      <w:spacing w:val="-2"/>
      <w:sz w:val="32"/>
      <w:szCs w:val="36"/>
      <w:lang w:val="en-US"/>
    </w:rPr>
  </w:style>
  <w:style w:type="paragraph" w:customStyle="1" w:styleId="219">
    <w:name w:val="xl57"/>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楷体_GB2312" w:hAnsi="宋体" w:eastAsia="楷体_GB2312"/>
      <w:color w:val="000000"/>
      <w:kern w:val="0"/>
      <w:szCs w:val="21"/>
    </w:rPr>
  </w:style>
  <w:style w:type="paragraph" w:customStyle="1" w:styleId="220">
    <w:name w:val="样式 样式 标题 1(章标题）书名 Char封面大标题 + 小二 黑色 紧缩量  0.1 磅 + (西文) 宋体 (中文) 宋体"/>
    <w:basedOn w:val="218"/>
    <w:qFormat/>
    <w:uiPriority w:val="99"/>
    <w:rPr>
      <w:rFonts w:ascii="宋体" w:hAnsi="宋体" w:eastAsia="宋体"/>
      <w:sz w:val="36"/>
    </w:rPr>
  </w:style>
  <w:style w:type="paragraph" w:customStyle="1" w:styleId="221">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b/>
      <w:bCs/>
      <w:kern w:val="0"/>
      <w:sz w:val="22"/>
      <w:szCs w:val="22"/>
    </w:rPr>
  </w:style>
  <w:style w:type="paragraph" w:customStyle="1" w:styleId="222">
    <w:name w:val="样式 样式 标题 2 + 首行缩进:  2 字符1 + 首行缩进:  2 字符 段前: 0.5 行 段后: 0.5 行"/>
    <w:basedOn w:val="1"/>
    <w:qFormat/>
    <w:uiPriority w:val="99"/>
    <w:pPr>
      <w:keepNext/>
      <w:keepLines/>
      <w:adjustRightInd w:val="0"/>
      <w:snapToGrid w:val="0"/>
      <w:spacing w:beforeLines="50" w:afterLines="50" w:line="360" w:lineRule="auto"/>
      <w:outlineLvl w:val="1"/>
    </w:pPr>
    <w:rPr>
      <w:rFonts w:ascii="宋体" w:hAnsi="宋体" w:eastAsia="黑体" w:cs="宋体"/>
      <w:sz w:val="28"/>
      <w:szCs w:val="20"/>
    </w:rPr>
  </w:style>
  <w:style w:type="character" w:customStyle="1" w:styleId="223">
    <w:name w:val="正文文本 2 Char2"/>
    <w:semiHidden/>
    <w:qFormat/>
    <w:uiPriority w:val="99"/>
    <w:rPr>
      <w:rFonts w:ascii="仿宋" w:eastAsia="仿宋"/>
      <w:kern w:val="2"/>
      <w:sz w:val="24"/>
    </w:rPr>
  </w:style>
  <w:style w:type="paragraph" w:customStyle="1" w:styleId="224">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25">
    <w:name w:val="雅沁2"/>
    <w:basedOn w:val="1"/>
    <w:next w:val="1"/>
    <w:qFormat/>
    <w:uiPriority w:val="99"/>
    <w:pPr>
      <w:spacing w:line="360" w:lineRule="auto"/>
      <w:ind w:right="12" w:rightChars="12" w:firstLine="0" w:firstLineChars="0"/>
      <w:jc w:val="left"/>
    </w:pPr>
    <w:rPr>
      <w:rFonts w:ascii="宋体" w:hAnsi="宋体"/>
      <w:b/>
      <w:sz w:val="28"/>
      <w:szCs w:val="28"/>
    </w:rPr>
  </w:style>
  <w:style w:type="paragraph" w:customStyle="1" w:styleId="226">
    <w:name w:val="xl73"/>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楷体_GB2312" w:hAnsi="宋体" w:eastAsia="楷体_GB2312"/>
      <w:kern w:val="0"/>
      <w:sz w:val="22"/>
      <w:szCs w:val="22"/>
    </w:rPr>
  </w:style>
  <w:style w:type="paragraph" w:customStyle="1" w:styleId="227">
    <w:name w:val="xl26"/>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Unicode MS" w:hAnsi="Arial Unicode MS" w:cs="Arial Unicode MS"/>
      <w:kern w:val="0"/>
      <w:sz w:val="20"/>
      <w:szCs w:val="20"/>
    </w:rPr>
  </w:style>
  <w:style w:type="paragraph" w:customStyle="1" w:styleId="228">
    <w:name w:val="p0"/>
    <w:basedOn w:val="1"/>
    <w:qFormat/>
    <w:uiPriority w:val="99"/>
    <w:pPr>
      <w:widowControl/>
      <w:adjustRightInd w:val="0"/>
      <w:snapToGrid w:val="0"/>
      <w:spacing w:line="360" w:lineRule="auto"/>
      <w:ind w:firstLine="420" w:firstLineChars="0"/>
    </w:pPr>
    <w:rPr>
      <w:rFonts w:ascii="仿宋_GB2312" w:hAnsi="宋体" w:eastAsia="仿宋_GB2312" w:cs="宋体"/>
      <w:kern w:val="0"/>
      <w:sz w:val="32"/>
      <w:szCs w:val="32"/>
    </w:rPr>
  </w:style>
  <w:style w:type="paragraph" w:customStyle="1" w:styleId="229">
    <w:name w:val="xl45"/>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楷体_GB2312" w:hAnsi="宋体" w:eastAsia="楷体_GB2312"/>
      <w:b/>
      <w:bCs/>
      <w:color w:val="000000"/>
      <w:kern w:val="0"/>
      <w:szCs w:val="21"/>
    </w:rPr>
  </w:style>
  <w:style w:type="paragraph" w:customStyle="1" w:styleId="230">
    <w:name w:val="font7"/>
    <w:basedOn w:val="1"/>
    <w:qFormat/>
    <w:uiPriority w:val="99"/>
    <w:pPr>
      <w:widowControl/>
      <w:spacing w:before="100" w:beforeAutospacing="1" w:after="100" w:afterAutospacing="1" w:line="240" w:lineRule="auto"/>
      <w:ind w:firstLine="0" w:firstLineChars="0"/>
      <w:jc w:val="left"/>
    </w:pPr>
    <w:rPr>
      <w:rFonts w:ascii="楷体_GB2312" w:hAnsi="宋体" w:eastAsia="楷体_GB2312"/>
      <w:kern w:val="0"/>
      <w:sz w:val="22"/>
      <w:szCs w:val="22"/>
    </w:rPr>
  </w:style>
  <w:style w:type="paragraph" w:customStyle="1" w:styleId="231">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232">
    <w:name w:val="段落1"/>
    <w:basedOn w:val="1"/>
    <w:qFormat/>
    <w:uiPriority w:val="99"/>
    <w:pPr>
      <w:snapToGrid w:val="0"/>
      <w:spacing w:beforeLines="20" w:line="360" w:lineRule="auto"/>
      <w:ind w:firstLine="560"/>
    </w:pPr>
    <w:rPr>
      <w:rFonts w:ascii="宋体" w:hAnsi="宋体"/>
      <w:color w:val="000000"/>
      <w:kern w:val="28"/>
      <w:sz w:val="28"/>
      <w:szCs w:val="28"/>
    </w:rPr>
  </w:style>
  <w:style w:type="paragraph" w:customStyle="1" w:styleId="233">
    <w:name w:val="xl5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kern w:val="0"/>
      <w:sz w:val="22"/>
      <w:szCs w:val="22"/>
    </w:rPr>
  </w:style>
  <w:style w:type="paragraph" w:customStyle="1" w:styleId="234">
    <w:name w:val="font6"/>
    <w:basedOn w:val="1"/>
    <w:qFormat/>
    <w:uiPriority w:val="99"/>
    <w:pPr>
      <w:widowControl/>
      <w:spacing w:before="100" w:beforeAutospacing="1" w:after="100" w:afterAutospacing="1" w:line="240" w:lineRule="auto"/>
      <w:ind w:firstLine="0" w:firstLineChars="0"/>
      <w:jc w:val="left"/>
    </w:pPr>
    <w:rPr>
      <w:rFonts w:ascii="宋体" w:hAnsi="宋体" w:eastAsia="仿宋_GB2312"/>
      <w:kern w:val="0"/>
      <w:sz w:val="18"/>
      <w:szCs w:val="18"/>
    </w:rPr>
  </w:style>
  <w:style w:type="paragraph" w:customStyle="1" w:styleId="235">
    <w:name w:val="文字"/>
    <w:basedOn w:val="1"/>
    <w:qFormat/>
    <w:uiPriority w:val="99"/>
    <w:pPr>
      <w:widowControl/>
      <w:spacing w:afterLines="50" w:line="360" w:lineRule="auto"/>
      <w:ind w:firstLine="420" w:firstLineChars="0"/>
      <w:jc w:val="left"/>
    </w:pPr>
    <w:rPr>
      <w:rFonts w:ascii="宋体" w:hAnsi="宋体" w:cs="宋体"/>
      <w:kern w:val="0"/>
    </w:rPr>
  </w:style>
  <w:style w:type="paragraph" w:customStyle="1" w:styleId="236">
    <w:name w:val="表头文字"/>
    <w:basedOn w:val="1"/>
    <w:qFormat/>
    <w:uiPriority w:val="99"/>
    <w:pPr>
      <w:widowControl/>
      <w:adjustRightInd w:val="0"/>
      <w:snapToGrid w:val="0"/>
      <w:spacing w:line="360" w:lineRule="auto"/>
      <w:ind w:firstLine="0" w:firstLineChars="0"/>
      <w:jc w:val="center"/>
    </w:pPr>
    <w:rPr>
      <w:rFonts w:ascii="Times New Roman" w:hAnsi="Times New Roman"/>
      <w:b/>
      <w:kern w:val="0"/>
      <w:szCs w:val="20"/>
      <w:lang w:eastAsia="en-US"/>
    </w:rPr>
  </w:style>
  <w:style w:type="paragraph" w:customStyle="1" w:styleId="237">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kern w:val="0"/>
      <w:szCs w:val="21"/>
    </w:rPr>
  </w:style>
  <w:style w:type="paragraph" w:customStyle="1" w:styleId="238">
    <w:name w:val="样式 目录名 + 加粗"/>
    <w:basedOn w:val="1"/>
    <w:qFormat/>
    <w:uiPriority w:val="99"/>
    <w:pPr>
      <w:spacing w:afterLines="100" w:line="240" w:lineRule="auto"/>
      <w:ind w:firstLine="0" w:firstLineChars="0"/>
      <w:jc w:val="center"/>
    </w:pPr>
    <w:rPr>
      <w:rFonts w:ascii="黑体" w:hAnsi="宋体" w:eastAsia="黑体"/>
      <w:sz w:val="32"/>
      <w:szCs w:val="28"/>
    </w:rPr>
  </w:style>
  <w:style w:type="paragraph" w:customStyle="1" w:styleId="239">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Book Antiqua" w:hAnsi="Book Antiqua" w:cs="Arial Unicode MS"/>
      <w:kern w:val="0"/>
      <w:szCs w:val="21"/>
    </w:rPr>
  </w:style>
  <w:style w:type="paragraph" w:customStyle="1" w:styleId="240">
    <w:name w:val="xl6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kern w:val="0"/>
      <w:szCs w:val="21"/>
    </w:rPr>
  </w:style>
  <w:style w:type="paragraph" w:customStyle="1" w:styleId="241">
    <w:name w:val="标题5，段标题"/>
    <w:basedOn w:val="7"/>
    <w:qFormat/>
    <w:uiPriority w:val="99"/>
    <w:pPr>
      <w:widowControl/>
      <w:numPr>
        <w:ilvl w:val="0"/>
        <w:numId w:val="0"/>
      </w:numPr>
      <w:adjustRightInd w:val="0"/>
      <w:spacing w:before="20" w:after="20" w:line="360" w:lineRule="auto"/>
      <w:jc w:val="left"/>
      <w:outlineLvl w:val="4"/>
    </w:pPr>
    <w:rPr>
      <w:rFonts w:ascii="仿宋_GB2312" w:hAnsi="Arial" w:eastAsia="仿宋_GB2312"/>
      <w:b w:val="0"/>
      <w:bCs w:val="0"/>
      <w:kern w:val="0"/>
      <w:sz w:val="28"/>
      <w:szCs w:val="28"/>
      <w:lang w:val="en-US"/>
    </w:rPr>
  </w:style>
  <w:style w:type="paragraph" w:customStyle="1" w:styleId="242">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olor w:val="000000"/>
      <w:kern w:val="0"/>
      <w:szCs w:val="21"/>
    </w:rPr>
  </w:style>
  <w:style w:type="paragraph" w:customStyle="1" w:styleId="243">
    <w:name w:val="xl102"/>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244">
    <w:name w:val="xl5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楷体_GB2312" w:hAnsi="宋体" w:eastAsia="楷体_GB2312"/>
      <w:b/>
      <w:bCs/>
      <w:kern w:val="0"/>
      <w:szCs w:val="21"/>
    </w:rPr>
  </w:style>
  <w:style w:type="paragraph" w:customStyle="1" w:styleId="245">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kern w:val="0"/>
      <w:sz w:val="22"/>
      <w:szCs w:val="22"/>
    </w:rPr>
  </w:style>
  <w:style w:type="character" w:customStyle="1" w:styleId="246">
    <w:name w:val="标题 Char2"/>
    <w:qFormat/>
    <w:uiPriority w:val="99"/>
    <w:rPr>
      <w:rFonts w:ascii="Calibri Light" w:hAnsi="Calibri Light"/>
      <w:b/>
      <w:kern w:val="2"/>
      <w:sz w:val="32"/>
    </w:rPr>
  </w:style>
  <w:style w:type="paragraph" w:customStyle="1" w:styleId="247">
    <w:name w:val="xl22"/>
    <w:basedOn w:val="1"/>
    <w:qFormat/>
    <w:uiPriority w:val="99"/>
    <w:pPr>
      <w:widowControl/>
      <w:pBdr>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仿宋_GB2312"/>
      <w:kern w:val="0"/>
      <w:sz w:val="21"/>
      <w:szCs w:val="21"/>
    </w:rPr>
  </w:style>
  <w:style w:type="paragraph" w:customStyle="1" w:styleId="248">
    <w:name w:val="样式 样式 样式1 + 居中 + 右侧:  9 字符 左  3.75 字符"/>
    <w:basedOn w:val="1"/>
    <w:qFormat/>
    <w:uiPriority w:val="99"/>
    <w:pPr>
      <w:tabs>
        <w:tab w:val="left" w:pos="3731"/>
      </w:tabs>
      <w:autoSpaceDE w:val="0"/>
      <w:autoSpaceDN w:val="0"/>
      <w:adjustRightInd w:val="0"/>
      <w:snapToGrid w:val="0"/>
      <w:spacing w:line="360" w:lineRule="auto"/>
      <w:ind w:firstLine="400" w:firstLineChars="400"/>
      <w:jc w:val="center"/>
    </w:pPr>
    <w:rPr>
      <w:rFonts w:ascii="Arial" w:hAnsi="Arial"/>
      <w:kern w:val="0"/>
      <w:sz w:val="32"/>
      <w:szCs w:val="20"/>
    </w:rPr>
  </w:style>
  <w:style w:type="paragraph" w:customStyle="1" w:styleId="249">
    <w:name w:val="font0"/>
    <w:basedOn w:val="1"/>
    <w:qFormat/>
    <w:uiPriority w:val="99"/>
    <w:pPr>
      <w:widowControl/>
      <w:spacing w:before="100" w:beforeAutospacing="1" w:after="100" w:afterAutospacing="1" w:line="240" w:lineRule="auto"/>
      <w:ind w:firstLine="0" w:firstLineChars="0"/>
      <w:jc w:val="left"/>
    </w:pPr>
    <w:rPr>
      <w:rFonts w:ascii="宋体" w:hAnsi="宋体" w:eastAsia="仿宋_GB2312" w:cs="Arial Unicode MS"/>
      <w:kern w:val="0"/>
      <w:szCs w:val="21"/>
    </w:rPr>
  </w:style>
  <w:style w:type="paragraph" w:customStyle="1" w:styleId="250">
    <w:name w:val="Char Char1 Char Char Char Char"/>
    <w:basedOn w:val="1"/>
    <w:qFormat/>
    <w:uiPriority w:val="99"/>
    <w:pPr>
      <w:widowControl/>
      <w:snapToGrid w:val="0"/>
      <w:ind w:firstLine="0" w:firstLineChars="0"/>
      <w:jc w:val="left"/>
    </w:pPr>
    <w:rPr>
      <w:rFonts w:ascii="黑体" w:hAnsi="Arial" w:eastAsia="黑体" w:cs="宋体"/>
      <w:kern w:val="0"/>
      <w:sz w:val="30"/>
      <w:szCs w:val="30"/>
    </w:rPr>
  </w:style>
  <w:style w:type="paragraph" w:customStyle="1" w:styleId="251">
    <w:name w:val="xl101"/>
    <w:basedOn w:val="1"/>
    <w:qFormat/>
    <w:uiPriority w:val="99"/>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252">
    <w:name w:val="通稿标题2"/>
    <w:basedOn w:val="4"/>
    <w:qFormat/>
    <w:uiPriority w:val="99"/>
    <w:pPr>
      <w:numPr>
        <w:ilvl w:val="0"/>
        <w:numId w:val="0"/>
      </w:numPr>
      <w:spacing w:before="60" w:after="60" w:line="360" w:lineRule="auto"/>
    </w:pPr>
    <w:rPr>
      <w:rFonts w:ascii="Times New Roman" w:hAnsi="Times New Roman" w:cs="宋体"/>
      <w:sz w:val="30"/>
      <w:szCs w:val="20"/>
      <w:lang w:val="en-US"/>
    </w:rPr>
  </w:style>
  <w:style w:type="paragraph" w:customStyle="1" w:styleId="253">
    <w:name w:val="xl83"/>
    <w:basedOn w:val="1"/>
    <w:qFormat/>
    <w:uiPriority w:val="99"/>
    <w:pPr>
      <w:widowControl/>
      <w:pBdr>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b/>
      <w:bCs/>
      <w:kern w:val="0"/>
      <w:sz w:val="22"/>
      <w:szCs w:val="22"/>
    </w:rPr>
  </w:style>
  <w:style w:type="paragraph" w:customStyle="1" w:styleId="254">
    <w:name w:val="xl65"/>
    <w:basedOn w:val="1"/>
    <w:qFormat/>
    <w:uiPriority w:val="99"/>
    <w:pPr>
      <w:widowControl/>
      <w:pBdr>
        <w:top w:val="single" w:color="auto" w:sz="4" w:space="0"/>
        <w:left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楷体_GB2312" w:hAnsi="宋体" w:eastAsia="楷体_GB2312"/>
      <w:kern w:val="0"/>
      <w:szCs w:val="21"/>
    </w:rPr>
  </w:style>
  <w:style w:type="paragraph" w:customStyle="1" w:styleId="255">
    <w:name w:val="样式 标题 1 + 黑体 小二 居中"/>
    <w:basedOn w:val="3"/>
    <w:qFormat/>
    <w:uiPriority w:val="99"/>
    <w:pPr>
      <w:numPr>
        <w:ilvl w:val="0"/>
        <w:numId w:val="0"/>
      </w:numPr>
      <w:snapToGrid/>
      <w:spacing w:before="340" w:after="330" w:line="576" w:lineRule="auto"/>
      <w:jc w:val="center"/>
    </w:pPr>
    <w:rPr>
      <w:rFonts w:ascii="黑体" w:hAnsi="黑体" w:eastAsia="黑体" w:cs="宋体"/>
      <w:b w:val="0"/>
      <w:sz w:val="32"/>
      <w:szCs w:val="20"/>
      <w:lang w:val="en-US"/>
    </w:rPr>
  </w:style>
  <w:style w:type="paragraph" w:customStyle="1" w:styleId="256">
    <w:name w:val="正文11"/>
    <w:basedOn w:val="1"/>
    <w:qFormat/>
    <w:uiPriority w:val="99"/>
    <w:rPr>
      <w:rFonts w:ascii="宋体" w:hAnsi="宋体"/>
    </w:rPr>
  </w:style>
  <w:style w:type="paragraph" w:customStyle="1" w:styleId="257">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b/>
      <w:bCs/>
      <w:color w:val="000000"/>
      <w:kern w:val="0"/>
      <w:szCs w:val="21"/>
    </w:rPr>
  </w:style>
  <w:style w:type="paragraph" w:customStyle="1" w:styleId="258">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kern w:val="0"/>
      <w:sz w:val="22"/>
      <w:szCs w:val="22"/>
    </w:rPr>
  </w:style>
  <w:style w:type="paragraph" w:customStyle="1" w:styleId="259">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Book Antiqua" w:hAnsi="Book Antiqua" w:cs="Arial Unicode MS"/>
      <w:kern w:val="0"/>
      <w:szCs w:val="21"/>
    </w:rPr>
  </w:style>
  <w:style w:type="paragraph" w:customStyle="1" w:styleId="260">
    <w:name w:val="xl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kern w:val="0"/>
      <w:sz w:val="22"/>
      <w:szCs w:val="22"/>
    </w:rPr>
  </w:style>
  <w:style w:type="paragraph" w:customStyle="1" w:styleId="261">
    <w:name w:val="xl95"/>
    <w:basedOn w:val="1"/>
    <w:qFormat/>
    <w:uiPriority w:val="99"/>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262">
    <w:name w:val="xl63"/>
    <w:basedOn w:val="1"/>
    <w:qFormat/>
    <w:uiPriority w:val="99"/>
    <w:pPr>
      <w:widowControl/>
      <w:pBdr>
        <w:top w:val="single" w:color="auto" w:sz="4" w:space="0"/>
        <w:left w:val="single" w:color="auto" w:sz="4" w:space="0"/>
        <w:bottom w:val="single" w:color="auto" w:sz="4" w:space="0"/>
      </w:pBdr>
      <w:shd w:val="clear" w:color="auto" w:fill="CCFFFF"/>
      <w:spacing w:before="100" w:beforeAutospacing="1" w:after="100" w:afterAutospacing="1" w:line="240" w:lineRule="auto"/>
      <w:ind w:firstLine="0" w:firstLineChars="0"/>
      <w:jc w:val="center"/>
    </w:pPr>
    <w:rPr>
      <w:rFonts w:ascii="楷体_GB2312" w:hAnsi="宋体" w:eastAsia="楷体_GB2312"/>
      <w:color w:val="000000"/>
      <w:kern w:val="0"/>
      <w:szCs w:val="21"/>
    </w:rPr>
  </w:style>
  <w:style w:type="paragraph" w:customStyle="1" w:styleId="263">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character" w:customStyle="1" w:styleId="264">
    <w:name w:val="文档结构图 Char1"/>
    <w:semiHidden/>
    <w:qFormat/>
    <w:uiPriority w:val="99"/>
    <w:rPr>
      <w:rFonts w:ascii="Microsoft YaHei UI" w:hAnsi="仿宋_GB2312" w:eastAsia="Microsoft YaHei UI"/>
      <w:kern w:val="2"/>
      <w:sz w:val="18"/>
    </w:rPr>
  </w:style>
  <w:style w:type="character" w:customStyle="1" w:styleId="265">
    <w:name w:val="页眉 Char2"/>
    <w:semiHidden/>
    <w:qFormat/>
    <w:uiPriority w:val="99"/>
    <w:rPr>
      <w:rFonts w:ascii="仿宋_GB2312" w:hAnsi="仿宋_GB2312" w:eastAsia="仿宋_GB2312"/>
      <w:kern w:val="2"/>
      <w:sz w:val="18"/>
    </w:rPr>
  </w:style>
  <w:style w:type="character" w:customStyle="1" w:styleId="266">
    <w:name w:val="正文文本缩进 Char1"/>
    <w:semiHidden/>
    <w:qFormat/>
    <w:uiPriority w:val="99"/>
    <w:rPr>
      <w:rFonts w:ascii="仿宋_GB2312" w:hAnsi="仿宋_GB2312" w:eastAsia="仿宋_GB2312"/>
      <w:kern w:val="2"/>
      <w:sz w:val="22"/>
    </w:rPr>
  </w:style>
  <w:style w:type="paragraph" w:customStyle="1" w:styleId="267">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268">
    <w:name w:val="通稿标题1"/>
    <w:basedOn w:val="3"/>
    <w:qFormat/>
    <w:uiPriority w:val="99"/>
    <w:pPr>
      <w:pageBreakBefore/>
      <w:numPr>
        <w:ilvl w:val="0"/>
        <w:numId w:val="0"/>
      </w:numPr>
      <w:snapToGrid/>
      <w:spacing w:beforeLines="20" w:afterLines="20" w:line="360" w:lineRule="auto"/>
      <w:ind w:firstLine="200" w:firstLineChars="200"/>
      <w:jc w:val="center"/>
    </w:pPr>
    <w:rPr>
      <w:rFonts w:ascii="Times New Roman" w:hAnsi="Times New Roman" w:cs="宋体"/>
      <w:spacing w:val="-8"/>
      <w:kern w:val="0"/>
      <w:sz w:val="32"/>
      <w:szCs w:val="20"/>
      <w:lang w:val="en-US"/>
    </w:rPr>
  </w:style>
  <w:style w:type="paragraph" w:customStyle="1" w:styleId="269">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b/>
      <w:bCs/>
      <w:kern w:val="0"/>
      <w:sz w:val="22"/>
      <w:szCs w:val="22"/>
    </w:rPr>
  </w:style>
  <w:style w:type="paragraph" w:customStyle="1" w:styleId="270">
    <w:name w:val="通稿标题4"/>
    <w:basedOn w:val="7"/>
    <w:qFormat/>
    <w:uiPriority w:val="99"/>
    <w:pPr>
      <w:numPr>
        <w:ilvl w:val="0"/>
        <w:numId w:val="0"/>
      </w:numPr>
      <w:adjustRightInd w:val="0"/>
      <w:snapToGrid w:val="0"/>
      <w:spacing w:beforeLines="10" w:afterLines="10" w:line="360" w:lineRule="auto"/>
    </w:pPr>
    <w:rPr>
      <w:rFonts w:ascii="Arial" w:hAnsi="Arial" w:eastAsia="仿宋_GB2312" w:cs="宋体"/>
      <w:szCs w:val="20"/>
      <w:lang w:val="en-US"/>
    </w:rPr>
  </w:style>
  <w:style w:type="paragraph" w:customStyle="1" w:styleId="271">
    <w:name w:val="xl97"/>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272">
    <w:name w:val="xl46"/>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b/>
      <w:bCs/>
      <w:color w:val="000000"/>
      <w:kern w:val="0"/>
      <w:szCs w:val="21"/>
    </w:rPr>
  </w:style>
  <w:style w:type="paragraph" w:customStyle="1" w:styleId="273">
    <w:name w:val="正文文字10"/>
    <w:basedOn w:val="1"/>
    <w:qFormat/>
    <w:uiPriority w:val="99"/>
    <w:pPr>
      <w:autoSpaceDE w:val="0"/>
      <w:autoSpaceDN w:val="0"/>
      <w:snapToGrid w:val="0"/>
      <w:spacing w:line="440" w:lineRule="exact"/>
    </w:pPr>
    <w:rPr>
      <w:rFonts w:ascii="宋体" w:hAnsi="宋体"/>
      <w:color w:val="000000"/>
    </w:rPr>
  </w:style>
  <w:style w:type="paragraph" w:customStyle="1" w:styleId="274">
    <w:name w:val="xl71"/>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right"/>
    </w:pPr>
    <w:rPr>
      <w:rFonts w:ascii="楷体_GB2312" w:hAnsi="宋体" w:eastAsia="楷体_GB2312"/>
      <w:kern w:val="0"/>
      <w:sz w:val="22"/>
      <w:szCs w:val="22"/>
    </w:rPr>
  </w:style>
  <w:style w:type="paragraph" w:customStyle="1" w:styleId="275">
    <w:name w:val="表格文字小5号"/>
    <w:qFormat/>
    <w:uiPriority w:val="99"/>
    <w:pPr>
      <w:widowControl w:val="0"/>
      <w:spacing w:line="240" w:lineRule="exact"/>
      <w:jc w:val="center"/>
    </w:pPr>
    <w:rPr>
      <w:rFonts w:ascii="宋体" w:hAnsi="宋体" w:eastAsia="宋体" w:cs="Times New Roman"/>
      <w:kern w:val="2"/>
      <w:sz w:val="18"/>
      <w:szCs w:val="18"/>
      <w:lang w:val="en-US" w:eastAsia="zh-CN" w:bidi="ar-SA"/>
    </w:rPr>
  </w:style>
  <w:style w:type="paragraph" w:customStyle="1" w:styleId="276">
    <w:name w:val="xl58"/>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楷体_GB2312" w:hAnsi="宋体" w:eastAsia="楷体_GB2312"/>
      <w:color w:val="000000"/>
      <w:kern w:val="0"/>
      <w:szCs w:val="21"/>
    </w:rPr>
  </w:style>
  <w:style w:type="paragraph" w:customStyle="1" w:styleId="277">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278">
    <w:name w:val="xl98"/>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279">
    <w:name w:val="Char Char Char Char"/>
    <w:basedOn w:val="1"/>
    <w:qFormat/>
    <w:uiPriority w:val="99"/>
    <w:pPr>
      <w:spacing w:line="240" w:lineRule="auto"/>
      <w:ind w:firstLine="0" w:firstLineChars="0"/>
    </w:pPr>
    <w:rPr>
      <w:rFonts w:ascii="Times New Roman" w:hAnsi="Times New Roman"/>
      <w:sz w:val="21"/>
    </w:rPr>
  </w:style>
  <w:style w:type="paragraph" w:customStyle="1" w:styleId="280">
    <w:name w:val="Char Char Char Char Char"/>
    <w:basedOn w:val="1"/>
    <w:qFormat/>
    <w:uiPriority w:val="99"/>
    <w:pPr>
      <w:snapToGrid w:val="0"/>
      <w:spacing w:line="360" w:lineRule="auto"/>
    </w:pPr>
    <w:rPr>
      <w:rFonts w:ascii="Times New Roman" w:hAnsi="Times New Roman" w:eastAsia="仿宋_GB2312"/>
    </w:rPr>
  </w:style>
  <w:style w:type="character" w:customStyle="1" w:styleId="281">
    <w:name w:val="副标题 Char1"/>
    <w:qFormat/>
    <w:uiPriority w:val="99"/>
    <w:rPr>
      <w:rFonts w:ascii="Calibri Light" w:hAnsi="Calibri Light"/>
      <w:b/>
      <w:kern w:val="28"/>
      <w:sz w:val="32"/>
    </w:rPr>
  </w:style>
  <w:style w:type="paragraph" w:customStyle="1" w:styleId="282">
    <w:name w:val="样式 样式 首行缩进:  2 字符 + 首行缩进:  2 字符"/>
    <w:basedOn w:val="1"/>
    <w:qFormat/>
    <w:uiPriority w:val="99"/>
    <w:pPr>
      <w:tabs>
        <w:tab w:val="left" w:pos="3731"/>
      </w:tabs>
      <w:autoSpaceDE w:val="0"/>
      <w:autoSpaceDN w:val="0"/>
      <w:adjustRightInd w:val="0"/>
      <w:snapToGrid w:val="0"/>
      <w:spacing w:line="360" w:lineRule="auto"/>
      <w:ind w:firstLine="560"/>
      <w:jc w:val="left"/>
    </w:pPr>
    <w:rPr>
      <w:rFonts w:ascii="Arial" w:hAnsi="Arial" w:cs="宋体"/>
      <w:kern w:val="0"/>
    </w:rPr>
  </w:style>
  <w:style w:type="paragraph" w:customStyle="1" w:styleId="283">
    <w:name w:val="xl55"/>
    <w:basedOn w:val="1"/>
    <w:qFormat/>
    <w:uiPriority w:val="99"/>
    <w:pPr>
      <w:widowControl/>
      <w:pBdr>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b/>
      <w:bCs/>
      <w:kern w:val="0"/>
      <w:sz w:val="22"/>
      <w:szCs w:val="22"/>
    </w:rPr>
  </w:style>
  <w:style w:type="paragraph" w:customStyle="1" w:styleId="284">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Unicode MS" w:hAnsi="Arial Unicode MS" w:cs="Arial Unicode MS"/>
      <w:kern w:val="0"/>
      <w:szCs w:val="21"/>
    </w:rPr>
  </w:style>
  <w:style w:type="paragraph" w:customStyle="1" w:styleId="285">
    <w:name w:val="通稿标题3"/>
    <w:basedOn w:val="5"/>
    <w:qFormat/>
    <w:uiPriority w:val="99"/>
    <w:pPr>
      <w:numPr>
        <w:ilvl w:val="0"/>
        <w:numId w:val="0"/>
      </w:numPr>
      <w:adjustRightInd w:val="0"/>
      <w:snapToGrid w:val="0"/>
      <w:spacing w:line="360" w:lineRule="auto"/>
      <w:jc w:val="left"/>
    </w:pPr>
    <w:rPr>
      <w:rFonts w:ascii="Times New Roman" w:hAnsi="Times New Roman" w:cs="宋体"/>
      <w:sz w:val="30"/>
      <w:szCs w:val="20"/>
      <w:lang w:val="en-US"/>
    </w:rPr>
  </w:style>
  <w:style w:type="paragraph" w:customStyle="1" w:styleId="286">
    <w:name w:val="xl88"/>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87">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Unicode MS" w:hAnsi="Arial Unicode MS" w:cs="Arial Unicode MS"/>
      <w:kern w:val="0"/>
      <w:szCs w:val="21"/>
    </w:rPr>
  </w:style>
  <w:style w:type="paragraph" w:customStyle="1" w:styleId="288">
    <w:name w:val="xl8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289">
    <w:name w:val="样式 标题 1 + 首行缩进:  0 字符"/>
    <w:basedOn w:val="3"/>
    <w:next w:val="1"/>
    <w:qFormat/>
    <w:uiPriority w:val="99"/>
    <w:pPr>
      <w:numPr>
        <w:ilvl w:val="0"/>
        <w:numId w:val="0"/>
      </w:numPr>
      <w:adjustRightInd w:val="0"/>
      <w:spacing w:before="60" w:after="60" w:line="360" w:lineRule="auto"/>
      <w:jc w:val="center"/>
    </w:pPr>
    <w:rPr>
      <w:rFonts w:ascii="Times New Roman" w:hAnsi="Times New Roman" w:cs="宋体"/>
      <w:kern w:val="36"/>
      <w:sz w:val="36"/>
      <w:szCs w:val="20"/>
      <w:lang w:val="en-US"/>
    </w:rPr>
  </w:style>
  <w:style w:type="paragraph" w:customStyle="1" w:styleId="290">
    <w:name w:val="样式 样式 标题 2 + 首行缩进:  1.06 厘米 + (西文) Times New Roman (中文) 宋体 段前:..."/>
    <w:basedOn w:val="1"/>
    <w:qFormat/>
    <w:uiPriority w:val="99"/>
    <w:pPr>
      <w:keepNext/>
      <w:keepLines/>
      <w:adjustRightInd w:val="0"/>
      <w:snapToGrid w:val="0"/>
      <w:spacing w:beforeLines="20" w:afterLines="20" w:line="360" w:lineRule="auto"/>
      <w:ind w:firstLine="0" w:firstLineChars="0"/>
      <w:outlineLvl w:val="1"/>
    </w:pPr>
    <w:rPr>
      <w:rFonts w:ascii="Times New Roman" w:hAnsi="Times New Roman" w:cs="宋体"/>
      <w:b/>
      <w:bCs/>
      <w:kern w:val="0"/>
      <w:sz w:val="32"/>
      <w:szCs w:val="32"/>
    </w:rPr>
  </w:style>
  <w:style w:type="paragraph" w:customStyle="1" w:styleId="291">
    <w:name w:val="xl5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b/>
      <w:bCs/>
      <w:kern w:val="0"/>
      <w:sz w:val="22"/>
      <w:szCs w:val="22"/>
    </w:rPr>
  </w:style>
  <w:style w:type="paragraph" w:customStyle="1" w:styleId="292">
    <w:name w:val="xl30"/>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Arial Unicode MS" w:eastAsia="楷体_GB2312"/>
      <w:w w:val="90"/>
      <w:kern w:val="0"/>
      <w:sz w:val="28"/>
      <w:szCs w:val="28"/>
    </w:rPr>
  </w:style>
  <w:style w:type="paragraph" w:customStyle="1" w:styleId="293">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楷体_GB2312" w:hAnsi="宋体" w:eastAsia="楷体_GB2312"/>
      <w:kern w:val="0"/>
      <w:sz w:val="22"/>
      <w:szCs w:val="22"/>
    </w:rPr>
  </w:style>
  <w:style w:type="paragraph" w:customStyle="1" w:styleId="294">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b/>
      <w:bCs/>
      <w:kern w:val="0"/>
      <w:sz w:val="22"/>
      <w:szCs w:val="22"/>
    </w:rPr>
  </w:style>
  <w:style w:type="character" w:customStyle="1" w:styleId="295">
    <w:name w:val="正文首行缩进 2 Char2"/>
    <w:semiHidden/>
    <w:qFormat/>
    <w:uiPriority w:val="99"/>
  </w:style>
  <w:style w:type="paragraph" w:customStyle="1" w:styleId="296">
    <w:name w:val="_Style 28"/>
    <w:next w:val="1"/>
    <w:qFormat/>
    <w:uiPriority w:val="99"/>
    <w:pPr>
      <w:widowControl w:val="0"/>
      <w:adjustRightInd w:val="0"/>
      <w:snapToGrid w:val="0"/>
      <w:spacing w:line="360" w:lineRule="auto"/>
      <w:ind w:firstLine="200" w:firstLineChars="200"/>
      <w:jc w:val="both"/>
    </w:pPr>
    <w:rPr>
      <w:rFonts w:ascii="仿宋_GB2312" w:hAnsi="仿宋_GB2312" w:eastAsia="仿宋_GB2312" w:cs="Times New Roman"/>
      <w:kern w:val="2"/>
      <w:sz w:val="32"/>
      <w:szCs w:val="22"/>
      <w:lang w:val="en-US" w:eastAsia="zh-CN" w:bidi="ar-SA"/>
    </w:rPr>
  </w:style>
  <w:style w:type="paragraph" w:customStyle="1" w:styleId="297">
    <w:name w:val="Char Char Char1 Char Char Char1 Char Char Char Char Char Char1 Char Char Char1 Char"/>
    <w:basedOn w:val="1"/>
    <w:qFormat/>
    <w:uiPriority w:val="99"/>
    <w:pPr>
      <w:spacing w:line="240" w:lineRule="auto"/>
      <w:ind w:firstLine="0" w:firstLineChars="0"/>
    </w:pPr>
    <w:rPr>
      <w:rFonts w:ascii="Times New Roman" w:hAnsi="Times New Roman"/>
      <w:sz w:val="21"/>
    </w:rPr>
  </w:style>
  <w:style w:type="paragraph" w:customStyle="1" w:styleId="298">
    <w:name w:val="xl56"/>
    <w:basedOn w:val="1"/>
    <w:qFormat/>
    <w:uiPriority w:val="99"/>
    <w:pPr>
      <w:widowControl/>
      <w:pBdr>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kern w:val="0"/>
      <w:sz w:val="22"/>
      <w:szCs w:val="22"/>
    </w:rPr>
  </w:style>
  <w:style w:type="paragraph" w:customStyle="1" w:styleId="299">
    <w:name w:val="xl85"/>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300">
    <w:name w:val="xl64"/>
    <w:basedOn w:val="1"/>
    <w:qFormat/>
    <w:uiPriority w:val="99"/>
    <w:pPr>
      <w:widowControl/>
      <w:pBdr>
        <w:top w:val="single" w:color="auto" w:sz="4" w:space="0"/>
        <w:left w:val="single" w:color="auto" w:sz="4" w:space="0"/>
        <w:right w:val="single" w:color="auto" w:sz="4" w:space="0"/>
      </w:pBdr>
      <w:shd w:val="clear" w:color="auto" w:fill="CCFFFF"/>
      <w:spacing w:before="100" w:beforeAutospacing="1" w:after="100" w:afterAutospacing="1" w:line="240" w:lineRule="auto"/>
      <w:ind w:firstLine="0" w:firstLineChars="0"/>
    </w:pPr>
    <w:rPr>
      <w:rFonts w:ascii="楷体_GB2312" w:hAnsi="宋体" w:eastAsia="楷体_GB2312"/>
      <w:kern w:val="0"/>
      <w:szCs w:val="21"/>
    </w:rPr>
  </w:style>
  <w:style w:type="paragraph" w:customStyle="1" w:styleId="30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b/>
      <w:bCs/>
      <w:kern w:val="0"/>
      <w:sz w:val="22"/>
      <w:szCs w:val="22"/>
    </w:rPr>
  </w:style>
  <w:style w:type="paragraph" w:customStyle="1" w:styleId="302">
    <w:name w:val="xl72"/>
    <w:basedOn w:val="1"/>
    <w:qFormat/>
    <w:uiPriority w:val="99"/>
    <w:pPr>
      <w:widowControl/>
      <w:pBdr>
        <w:top w:val="single" w:color="auto" w:sz="4" w:space="0"/>
        <w:bottom w:val="single" w:color="auto" w:sz="4" w:space="0"/>
      </w:pBdr>
      <w:spacing w:before="100" w:beforeAutospacing="1" w:after="100" w:afterAutospacing="1" w:line="240" w:lineRule="auto"/>
      <w:ind w:firstLine="0" w:firstLineChars="0"/>
      <w:jc w:val="right"/>
    </w:pPr>
    <w:rPr>
      <w:rFonts w:ascii="楷体_GB2312" w:hAnsi="宋体" w:eastAsia="楷体_GB2312"/>
      <w:kern w:val="0"/>
      <w:sz w:val="22"/>
      <w:szCs w:val="22"/>
    </w:rPr>
  </w:style>
  <w:style w:type="paragraph" w:customStyle="1" w:styleId="303">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304">
    <w:name w:val="xl76"/>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305">
    <w:name w:val="xl68"/>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楷体_GB2312" w:hAnsi="宋体" w:eastAsia="楷体_GB2312"/>
      <w:kern w:val="0"/>
      <w:szCs w:val="21"/>
    </w:rPr>
  </w:style>
  <w:style w:type="paragraph" w:customStyle="1" w:styleId="306">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307">
    <w:name w:val="reader-word-layer"/>
    <w:basedOn w:val="1"/>
    <w:qFormat/>
    <w:uiPriority w:val="99"/>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308">
    <w:name w:val="xl99"/>
    <w:basedOn w:val="1"/>
    <w:qFormat/>
    <w:uiPriority w:val="99"/>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09">
    <w:name w:val="xl5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楷体_GB2312" w:hAnsi="宋体" w:eastAsia="楷体_GB2312"/>
      <w:kern w:val="0"/>
      <w:szCs w:val="21"/>
    </w:rPr>
  </w:style>
  <w:style w:type="paragraph" w:customStyle="1" w:styleId="310">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311">
    <w:name w:val="Char Char Char"/>
    <w:basedOn w:val="1"/>
    <w:qFormat/>
    <w:uiPriority w:val="99"/>
    <w:pPr>
      <w:snapToGrid w:val="0"/>
      <w:spacing w:line="360" w:lineRule="auto"/>
      <w:jc w:val="left"/>
      <w:outlineLvl w:val="2"/>
    </w:pPr>
    <w:rPr>
      <w:rFonts w:ascii="Times New Roman" w:hAnsi="Times New Roman"/>
    </w:rPr>
  </w:style>
  <w:style w:type="paragraph" w:customStyle="1" w:styleId="312">
    <w:name w:val="1 Char Char Char Char Char Char Char"/>
    <w:basedOn w:val="1"/>
    <w:qFormat/>
    <w:uiPriority w:val="99"/>
    <w:pPr>
      <w:spacing w:line="240" w:lineRule="auto"/>
      <w:ind w:firstLine="0" w:firstLineChars="0"/>
    </w:pPr>
    <w:rPr>
      <w:rFonts w:ascii="Times New Roman" w:hAnsi="Times New Roman"/>
      <w:sz w:val="21"/>
    </w:rPr>
  </w:style>
  <w:style w:type="paragraph" w:customStyle="1" w:styleId="313">
    <w:name w:val="xl6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kern w:val="0"/>
      <w:szCs w:val="21"/>
    </w:rPr>
  </w:style>
  <w:style w:type="paragraph" w:customStyle="1" w:styleId="314">
    <w:name w:val="默认段落字体 Para Char Char Char Char"/>
    <w:basedOn w:val="1"/>
    <w:qFormat/>
    <w:uiPriority w:val="99"/>
    <w:pPr>
      <w:adjustRightInd w:val="0"/>
      <w:snapToGrid w:val="0"/>
      <w:spacing w:line="240" w:lineRule="auto"/>
      <w:ind w:firstLine="0" w:firstLineChars="0"/>
    </w:pPr>
    <w:rPr>
      <w:rFonts w:ascii="仿宋_GB2312" w:hAnsi="仿宋_GB2312"/>
      <w:sz w:val="21"/>
    </w:rPr>
  </w:style>
  <w:style w:type="paragraph" w:customStyle="1" w:styleId="315">
    <w:name w:val="xl96"/>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316">
    <w:name w:val="样式 首行缩进:  0 厘米"/>
    <w:basedOn w:val="1"/>
    <w:qFormat/>
    <w:uiPriority w:val="99"/>
    <w:pPr>
      <w:spacing w:line="360" w:lineRule="auto"/>
      <w:ind w:firstLine="420" w:firstLineChars="0"/>
    </w:pPr>
    <w:rPr>
      <w:rFonts w:ascii="Times New Roman" w:hAnsi="Times New Roman" w:cs="宋体"/>
      <w:szCs w:val="20"/>
    </w:rPr>
  </w:style>
  <w:style w:type="paragraph" w:customStyle="1" w:styleId="317">
    <w:name w:val="Char1 Char Char Char"/>
    <w:basedOn w:val="1"/>
    <w:qFormat/>
    <w:uiPriority w:val="99"/>
    <w:pPr>
      <w:widowControl/>
      <w:spacing w:after="160" w:line="240" w:lineRule="exact"/>
      <w:ind w:firstLine="0" w:firstLineChars="0"/>
      <w:jc w:val="left"/>
    </w:pPr>
    <w:rPr>
      <w:rFonts w:ascii="Verdana" w:hAnsi="Verdana"/>
      <w:kern w:val="0"/>
      <w:sz w:val="20"/>
      <w:szCs w:val="20"/>
      <w:lang w:eastAsia="en-US"/>
    </w:rPr>
  </w:style>
  <w:style w:type="paragraph" w:customStyle="1" w:styleId="318">
    <w:name w:val="xl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楷体_GB2312" w:hAnsi="宋体" w:eastAsia="楷体_GB2312"/>
      <w:b/>
      <w:bCs/>
      <w:kern w:val="0"/>
      <w:sz w:val="22"/>
      <w:szCs w:val="22"/>
    </w:rPr>
  </w:style>
  <w:style w:type="paragraph" w:customStyle="1" w:styleId="319">
    <w:name w:val="4"/>
    <w:basedOn w:val="1"/>
    <w:next w:val="38"/>
    <w:qFormat/>
    <w:uiPriority w:val="99"/>
    <w:pPr>
      <w:widowControl/>
      <w:spacing w:line="240" w:lineRule="auto"/>
      <w:ind w:firstLine="0" w:firstLineChars="0"/>
    </w:pPr>
    <w:rPr>
      <w:rFonts w:ascii="宋体" w:hAnsi="宋体" w:eastAsia="仿宋_GB2312" w:cs="Arial Unicode MS"/>
      <w:sz w:val="18"/>
      <w:szCs w:val="28"/>
    </w:rPr>
  </w:style>
  <w:style w:type="character" w:customStyle="1" w:styleId="320">
    <w:name w:val="页脚 Char2"/>
    <w:semiHidden/>
    <w:qFormat/>
    <w:uiPriority w:val="99"/>
    <w:rPr>
      <w:rFonts w:ascii="仿宋_GB2312" w:hAnsi="仿宋_GB2312" w:eastAsia="仿宋_GB2312"/>
      <w:kern w:val="2"/>
      <w:sz w:val="18"/>
    </w:rPr>
  </w:style>
  <w:style w:type="character" w:customStyle="1" w:styleId="321">
    <w:name w:val="正文文本 Char3"/>
    <w:semiHidden/>
    <w:qFormat/>
    <w:uiPriority w:val="99"/>
    <w:rPr>
      <w:rFonts w:ascii="仿宋_GB2312" w:hAnsi="仿宋_GB2312" w:eastAsia="仿宋_GB2312"/>
      <w:kern w:val="2"/>
      <w:sz w:val="22"/>
    </w:rPr>
  </w:style>
  <w:style w:type="character" w:customStyle="1" w:styleId="322">
    <w:name w:val="纯文本 Char3"/>
    <w:semiHidden/>
    <w:qFormat/>
    <w:uiPriority w:val="99"/>
    <w:rPr>
      <w:rFonts w:ascii="宋体" w:hAnsi="Courier New"/>
      <w:kern w:val="2"/>
      <w:sz w:val="21"/>
    </w:rPr>
  </w:style>
  <w:style w:type="paragraph" w:customStyle="1" w:styleId="323">
    <w:name w:val="正文1"/>
    <w:qFormat/>
    <w:uiPriority w:val="99"/>
    <w:pPr>
      <w:jc w:val="both"/>
    </w:pPr>
    <w:rPr>
      <w:rFonts w:ascii="Times New Roman" w:hAnsi="Times New Roman" w:eastAsia="宋体" w:cs="Times New Roman"/>
      <w:kern w:val="2"/>
      <w:sz w:val="21"/>
      <w:szCs w:val="21"/>
      <w:lang w:val="en-US" w:eastAsia="zh-CN" w:bidi="ar-SA"/>
    </w:rPr>
  </w:style>
  <w:style w:type="paragraph" w:customStyle="1" w:styleId="324">
    <w:name w:val="xl66"/>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楷体_GB2312" w:hAnsi="宋体" w:eastAsia="楷体_GB2312"/>
      <w:kern w:val="0"/>
      <w:szCs w:val="21"/>
    </w:rPr>
  </w:style>
  <w:style w:type="paragraph" w:customStyle="1" w:styleId="325">
    <w:name w:val="xl103"/>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326">
    <w:name w:val="Char Char"/>
    <w:basedOn w:val="1"/>
    <w:qFormat/>
    <w:uiPriority w:val="99"/>
    <w:pPr>
      <w:spacing w:line="240" w:lineRule="auto"/>
      <w:ind w:firstLine="0" w:firstLineChars="0"/>
    </w:pPr>
    <w:rPr>
      <w:rFonts w:ascii="Times New Roman" w:hAnsi="Times New Roman"/>
      <w:sz w:val="21"/>
    </w:rPr>
  </w:style>
  <w:style w:type="paragraph" w:customStyle="1" w:styleId="327">
    <w:name w:val="font9"/>
    <w:basedOn w:val="1"/>
    <w:qFormat/>
    <w:uiPriority w:val="99"/>
    <w:pPr>
      <w:widowControl/>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328">
    <w:name w:val="_Style 1"/>
    <w:basedOn w:val="1"/>
    <w:qFormat/>
    <w:uiPriority w:val="99"/>
    <w:pPr>
      <w:spacing w:line="240" w:lineRule="auto"/>
      <w:ind w:firstLine="420"/>
    </w:pPr>
    <w:rPr>
      <w:rFonts w:ascii="Times New Roman" w:hAnsi="Times New Roman"/>
      <w:sz w:val="21"/>
    </w:rPr>
  </w:style>
  <w:style w:type="paragraph" w:customStyle="1" w:styleId="329">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30">
    <w:name w:val="样式 样式 样式 标题 3 + 非加粗 首行缩进:  2 字符 + 首行缩进:  2 字符 + 首行缩进:  2 字符"/>
    <w:basedOn w:val="1"/>
    <w:qFormat/>
    <w:uiPriority w:val="99"/>
    <w:pPr>
      <w:keepNext/>
      <w:keepLines/>
      <w:adjustRightInd w:val="0"/>
      <w:snapToGrid w:val="0"/>
      <w:spacing w:before="100" w:after="100" w:line="360" w:lineRule="auto"/>
      <w:outlineLvl w:val="2"/>
    </w:pPr>
    <w:rPr>
      <w:rFonts w:ascii="Times New Roman" w:hAnsi="Times New Roman" w:eastAsia="仿宋_GB2312" w:cs="宋体"/>
      <w:b/>
      <w:szCs w:val="20"/>
    </w:rPr>
  </w:style>
  <w:style w:type="paragraph" w:customStyle="1" w:styleId="331">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kern w:val="0"/>
      <w:sz w:val="22"/>
      <w:szCs w:val="22"/>
    </w:rPr>
  </w:style>
  <w:style w:type="paragraph" w:customStyle="1" w:styleId="332">
    <w:name w:val="样式 标题 3标题 3 Char Char Char + 首行缩进:  2 字符"/>
    <w:basedOn w:val="5"/>
    <w:qFormat/>
    <w:uiPriority w:val="99"/>
    <w:pPr>
      <w:numPr>
        <w:ilvl w:val="0"/>
        <w:numId w:val="0"/>
      </w:numPr>
      <w:adjustRightInd w:val="0"/>
      <w:snapToGrid w:val="0"/>
      <w:spacing w:line="360" w:lineRule="auto"/>
    </w:pPr>
    <w:rPr>
      <w:rFonts w:ascii="宋体" w:hAnsi="Times New Roman" w:cs="宋体"/>
      <w:sz w:val="30"/>
      <w:szCs w:val="30"/>
      <w:lang w:val="en-US"/>
    </w:rPr>
  </w:style>
  <w:style w:type="paragraph" w:customStyle="1" w:styleId="333">
    <w:name w:val="xl94"/>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334">
    <w:name w:val="L表格文字"/>
    <w:basedOn w:val="1"/>
    <w:qFormat/>
    <w:uiPriority w:val="99"/>
    <w:pPr>
      <w:adjustRightInd w:val="0"/>
      <w:snapToGrid w:val="0"/>
      <w:spacing w:line="240" w:lineRule="auto"/>
      <w:ind w:firstLine="0" w:firstLineChars="0"/>
      <w:jc w:val="center"/>
    </w:pPr>
    <w:rPr>
      <w:rFonts w:ascii="Times New Roman" w:hAnsi="Times New Roman" w:eastAsia="仿宋_GB2312"/>
      <w:kern w:val="0"/>
      <w:sz w:val="26"/>
      <w:szCs w:val="26"/>
    </w:rPr>
  </w:style>
  <w:style w:type="paragraph" w:customStyle="1" w:styleId="335">
    <w:name w:val="xl4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kern w:val="0"/>
      <w:szCs w:val="21"/>
    </w:rPr>
  </w:style>
  <w:style w:type="paragraph" w:customStyle="1" w:styleId="336">
    <w:name w:val="样式 样式 标题 4 + Times New Roman 小四 段前: 0 磅 段后: 0 磅 行距: 1.5 倍行距 + 首行..."/>
    <w:basedOn w:val="1"/>
    <w:qFormat/>
    <w:uiPriority w:val="99"/>
    <w:pPr>
      <w:keepNext/>
      <w:keepLines/>
      <w:adjustRightInd w:val="0"/>
      <w:snapToGrid w:val="0"/>
      <w:spacing w:line="360" w:lineRule="auto"/>
      <w:ind w:firstLine="0" w:firstLineChars="0"/>
      <w:outlineLvl w:val="3"/>
    </w:pPr>
    <w:rPr>
      <w:rFonts w:ascii="Times New Roman" w:hAnsi="Times New Roman" w:cs="宋体"/>
      <w:b/>
      <w:bCs/>
      <w:sz w:val="28"/>
      <w:szCs w:val="20"/>
    </w:rPr>
  </w:style>
  <w:style w:type="paragraph" w:customStyle="1" w:styleId="337">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cs="Arial Unicode MS"/>
      <w:kern w:val="0"/>
      <w:szCs w:val="21"/>
    </w:rPr>
  </w:style>
  <w:style w:type="paragraph" w:customStyle="1" w:styleId="338">
    <w:name w:val="样式 1"/>
    <w:basedOn w:val="1"/>
    <w:qFormat/>
    <w:uiPriority w:val="99"/>
    <w:pPr>
      <w:adjustRightInd w:val="0"/>
      <w:snapToGrid w:val="0"/>
      <w:spacing w:line="240" w:lineRule="auto"/>
      <w:ind w:firstLine="0" w:firstLineChars="0"/>
      <w:jc w:val="center"/>
    </w:pPr>
    <w:rPr>
      <w:rFonts w:ascii="宋体" w:hAnsi="宋体" w:cs="宋体"/>
      <w:kern w:val="0"/>
      <w:sz w:val="18"/>
      <w:szCs w:val="20"/>
    </w:rPr>
  </w:style>
  <w:style w:type="paragraph" w:customStyle="1" w:styleId="339">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b/>
      <w:bCs/>
      <w:color w:val="000000"/>
      <w:kern w:val="0"/>
      <w:szCs w:val="21"/>
    </w:rPr>
  </w:style>
  <w:style w:type="paragraph" w:customStyle="1" w:styleId="340">
    <w:name w:val="表注"/>
    <w:basedOn w:val="43"/>
    <w:next w:val="43"/>
    <w:qFormat/>
    <w:uiPriority w:val="99"/>
    <w:pPr>
      <w:widowControl/>
      <w:adjustRightInd w:val="0"/>
      <w:snapToGrid w:val="0"/>
      <w:spacing w:after="0" w:line="360" w:lineRule="auto"/>
      <w:ind w:firstLine="0" w:firstLineChars="0"/>
    </w:pPr>
    <w:rPr>
      <w:rFonts w:ascii="楷体_GB2312" w:hAnsi="Calibri" w:eastAsia="楷体_GB2312" w:cs="宋体"/>
      <w:kern w:val="24"/>
      <w:sz w:val="18"/>
      <w:szCs w:val="28"/>
    </w:rPr>
  </w:style>
  <w:style w:type="character" w:customStyle="1" w:styleId="341">
    <w:name w:val="正文首行缩进 Char2"/>
    <w:semiHidden/>
    <w:qFormat/>
    <w:uiPriority w:val="99"/>
  </w:style>
  <w:style w:type="character" w:customStyle="1" w:styleId="342">
    <w:name w:val="批注框文本 Char1"/>
    <w:semiHidden/>
    <w:qFormat/>
    <w:uiPriority w:val="99"/>
    <w:rPr>
      <w:rFonts w:ascii="仿宋_GB2312" w:hAnsi="仿宋_GB2312" w:eastAsia="仿宋_GB2312"/>
      <w:kern w:val="2"/>
      <w:sz w:val="18"/>
    </w:rPr>
  </w:style>
  <w:style w:type="character" w:customStyle="1" w:styleId="343">
    <w:name w:val="正文文本 3 Char2"/>
    <w:semiHidden/>
    <w:qFormat/>
    <w:uiPriority w:val="99"/>
    <w:rPr>
      <w:rFonts w:ascii="仿宋" w:eastAsia="仿宋"/>
      <w:kern w:val="2"/>
      <w:sz w:val="16"/>
    </w:rPr>
  </w:style>
  <w:style w:type="paragraph" w:customStyle="1" w:styleId="344">
    <w:name w:val="xl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olor w:val="000000"/>
      <w:kern w:val="0"/>
      <w:szCs w:val="21"/>
    </w:rPr>
  </w:style>
  <w:style w:type="paragraph" w:customStyle="1" w:styleId="345">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cs="Arial Unicode MS"/>
      <w:kern w:val="0"/>
      <w:szCs w:val="21"/>
    </w:rPr>
  </w:style>
  <w:style w:type="paragraph" w:customStyle="1" w:styleId="346">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347">
    <w:name w:val="xl67"/>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pPr>
    <w:rPr>
      <w:rFonts w:ascii="楷体_GB2312" w:hAnsi="宋体" w:eastAsia="楷体_GB2312"/>
      <w:kern w:val="0"/>
      <w:szCs w:val="21"/>
    </w:rPr>
  </w:style>
  <w:style w:type="paragraph" w:customStyle="1" w:styleId="348">
    <w:name w:val="样式5"/>
    <w:basedOn w:val="1"/>
    <w:qFormat/>
    <w:uiPriority w:val="99"/>
    <w:pPr>
      <w:autoSpaceDE w:val="0"/>
      <w:autoSpaceDN w:val="0"/>
      <w:adjustRightInd w:val="0"/>
      <w:spacing w:line="560" w:lineRule="exact"/>
      <w:ind w:firstLine="538" w:firstLineChars="192"/>
      <w:textAlignment w:val="baseline"/>
    </w:pPr>
    <w:rPr>
      <w:rFonts w:ascii="宋体" w:hAnsi="宋体" w:eastAsia="仿宋_GB2312"/>
      <w:kern w:val="0"/>
      <w:sz w:val="28"/>
      <w:szCs w:val="28"/>
    </w:rPr>
  </w:style>
  <w:style w:type="paragraph" w:customStyle="1" w:styleId="349">
    <w:name w:val="1"/>
    <w:basedOn w:val="1"/>
    <w:next w:val="19"/>
    <w:qFormat/>
    <w:uiPriority w:val="99"/>
    <w:pPr>
      <w:spacing w:line="360" w:lineRule="auto"/>
      <w:ind w:firstLine="0" w:firstLineChars="0"/>
    </w:pPr>
    <w:rPr>
      <w:rFonts w:ascii="宋体" w:hAnsi="宋体" w:eastAsia="仿宋_GB2312"/>
      <w:sz w:val="28"/>
      <w:szCs w:val="21"/>
    </w:rPr>
  </w:style>
  <w:style w:type="paragraph" w:customStyle="1" w:styleId="350">
    <w:name w:val="font10"/>
    <w:basedOn w:val="1"/>
    <w:qFormat/>
    <w:uiPriority w:val="99"/>
    <w:pPr>
      <w:widowControl/>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351">
    <w:name w:val="标题一"/>
    <w:basedOn w:val="1"/>
    <w:next w:val="16"/>
    <w:qFormat/>
    <w:uiPriority w:val="99"/>
    <w:pPr>
      <w:spacing w:line="360" w:lineRule="auto"/>
      <w:ind w:left="210" w:leftChars="100" w:right="210" w:rightChars="100" w:firstLine="0" w:firstLineChars="0"/>
      <w:jc w:val="center"/>
    </w:pPr>
    <w:rPr>
      <w:rFonts w:ascii="Times New Roman" w:hAnsi="Times New Roman" w:eastAsia="黑体"/>
      <w:b/>
      <w:color w:val="000000"/>
      <w:sz w:val="32"/>
      <w:szCs w:val="36"/>
    </w:rPr>
  </w:style>
  <w:style w:type="paragraph" w:customStyle="1" w:styleId="352">
    <w:name w:val="xl91"/>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53">
    <w:name w:val="xl69"/>
    <w:basedOn w:val="1"/>
    <w:qFormat/>
    <w:uiPriority w:val="99"/>
    <w:pPr>
      <w:widowControl/>
      <w:pBdr>
        <w:top w:val="single" w:color="auto" w:sz="4" w:space="0"/>
        <w:left w:val="single" w:color="auto" w:sz="4" w:space="0"/>
        <w:bottom w:val="single" w:color="auto" w:sz="4" w:space="0"/>
      </w:pBdr>
      <w:shd w:val="clear" w:color="auto" w:fill="CCFFFF"/>
      <w:spacing w:before="100" w:beforeAutospacing="1" w:after="100" w:afterAutospacing="1" w:line="240" w:lineRule="auto"/>
      <w:ind w:firstLine="0" w:firstLineChars="0"/>
      <w:jc w:val="center"/>
    </w:pPr>
    <w:rPr>
      <w:rFonts w:ascii="楷体_GB2312" w:hAnsi="宋体" w:eastAsia="楷体_GB2312"/>
      <w:color w:val="000000"/>
      <w:kern w:val="0"/>
      <w:szCs w:val="21"/>
    </w:rPr>
  </w:style>
  <w:style w:type="paragraph" w:customStyle="1" w:styleId="354">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kern w:val="0"/>
      <w:sz w:val="22"/>
      <w:szCs w:val="22"/>
    </w:rPr>
  </w:style>
  <w:style w:type="paragraph" w:customStyle="1" w:styleId="355">
    <w:name w:val="font8"/>
    <w:basedOn w:val="1"/>
    <w:qFormat/>
    <w:uiPriority w:val="99"/>
    <w:pPr>
      <w:widowControl/>
      <w:spacing w:before="100" w:beforeAutospacing="1" w:after="100" w:afterAutospacing="1" w:line="240" w:lineRule="auto"/>
      <w:ind w:firstLine="0" w:firstLineChars="0"/>
      <w:jc w:val="left"/>
    </w:pPr>
    <w:rPr>
      <w:rFonts w:ascii="仿宋_GB2312" w:hAnsi="宋体" w:eastAsia="仿宋_GB2312"/>
      <w:color w:val="000000"/>
      <w:kern w:val="0"/>
      <w:szCs w:val="21"/>
    </w:rPr>
  </w:style>
  <w:style w:type="paragraph" w:customStyle="1" w:styleId="356">
    <w:name w:val="样式 标题 3 + (中文) 宋体 段前: 0 磅 段后: 0 磅"/>
    <w:basedOn w:val="5"/>
    <w:next w:val="1"/>
    <w:qFormat/>
    <w:uiPriority w:val="99"/>
    <w:pPr>
      <w:numPr>
        <w:ilvl w:val="0"/>
        <w:numId w:val="0"/>
      </w:numPr>
      <w:adjustRightInd w:val="0"/>
      <w:snapToGrid w:val="0"/>
      <w:spacing w:line="360" w:lineRule="auto"/>
    </w:pPr>
    <w:rPr>
      <w:rFonts w:ascii="宋体" w:hAnsi="宋体" w:cs="宋体"/>
      <w:szCs w:val="28"/>
      <w:lang w:val="en-US"/>
    </w:rPr>
  </w:style>
  <w:style w:type="paragraph" w:customStyle="1" w:styleId="357">
    <w:name w:val="样式3"/>
    <w:basedOn w:val="8"/>
    <w:qFormat/>
    <w:uiPriority w:val="99"/>
    <w:pPr>
      <w:tabs>
        <w:tab w:val="left" w:pos="568"/>
        <w:tab w:val="clear" w:pos="1008"/>
      </w:tabs>
      <w:spacing w:before="0" w:after="0"/>
      <w:ind w:left="0" w:firstLine="0"/>
      <w:jc w:val="left"/>
      <w:textAlignment w:val="baseline"/>
    </w:pPr>
    <w:rPr>
      <w:rFonts w:ascii="宋体" w:hAnsi="宋体"/>
      <w:i w:val="0"/>
      <w:kern w:val="2"/>
      <w:szCs w:val="24"/>
    </w:rPr>
  </w:style>
  <w:style w:type="paragraph" w:customStyle="1" w:styleId="358">
    <w:name w:val="雅沁3"/>
    <w:basedOn w:val="1"/>
    <w:qFormat/>
    <w:uiPriority w:val="99"/>
    <w:pPr>
      <w:spacing w:line="360" w:lineRule="auto"/>
      <w:ind w:firstLine="0" w:firstLineChars="0"/>
      <w:jc w:val="left"/>
    </w:pPr>
    <w:rPr>
      <w:rFonts w:ascii="宋体" w:hAnsi="宋体"/>
      <w:b/>
    </w:rPr>
  </w:style>
  <w:style w:type="paragraph" w:customStyle="1" w:styleId="359">
    <w:name w:val="xl92"/>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360">
    <w:name w:val="样式 标题 2标题 2 Char + 宋体 小三 加粗 黑色 段前: 7.8 磅 段后: 7.8 磅"/>
    <w:basedOn w:val="4"/>
    <w:qFormat/>
    <w:uiPriority w:val="99"/>
    <w:pPr>
      <w:numPr>
        <w:ilvl w:val="0"/>
        <w:numId w:val="0"/>
      </w:numPr>
      <w:adjustRightInd w:val="0"/>
      <w:snapToGrid w:val="0"/>
      <w:spacing w:beforeLines="20" w:afterLines="20" w:line="360" w:lineRule="auto"/>
    </w:pPr>
    <w:rPr>
      <w:rFonts w:ascii="宋体" w:hAnsi="宋体" w:cs="宋体"/>
      <w:color w:val="000000"/>
      <w:sz w:val="30"/>
      <w:szCs w:val="20"/>
      <w:lang w:val="en-US"/>
    </w:rPr>
  </w:style>
  <w:style w:type="paragraph" w:customStyle="1" w:styleId="361">
    <w:name w:val="xl59"/>
    <w:basedOn w:val="1"/>
    <w:qFormat/>
    <w:uiPriority w:val="99"/>
    <w:pPr>
      <w:widowControl/>
      <w:pBdr>
        <w:top w:val="single" w:color="auto" w:sz="4" w:space="0"/>
        <w:left w:val="single" w:color="auto" w:sz="4" w:space="0"/>
        <w:right w:val="single" w:color="auto" w:sz="4" w:space="0"/>
      </w:pBdr>
      <w:shd w:val="clear" w:color="auto" w:fill="CCFFFF"/>
      <w:spacing w:before="100" w:beforeAutospacing="1" w:after="100" w:afterAutospacing="1" w:line="240" w:lineRule="auto"/>
      <w:ind w:firstLine="0" w:firstLineChars="0"/>
      <w:jc w:val="left"/>
    </w:pPr>
    <w:rPr>
      <w:rFonts w:ascii="楷体_GB2312" w:hAnsi="宋体" w:eastAsia="楷体_GB2312"/>
      <w:color w:val="000000"/>
      <w:kern w:val="0"/>
      <w:szCs w:val="21"/>
    </w:rPr>
  </w:style>
  <w:style w:type="character" w:customStyle="1" w:styleId="362">
    <w:name w:val="日期 Char2"/>
    <w:semiHidden/>
    <w:qFormat/>
    <w:uiPriority w:val="99"/>
    <w:rPr>
      <w:rFonts w:ascii="仿宋_GB2312" w:hAnsi="仿宋_GB2312" w:eastAsia="仿宋_GB2312"/>
      <w:kern w:val="2"/>
      <w:sz w:val="22"/>
    </w:rPr>
  </w:style>
  <w:style w:type="character" w:customStyle="1" w:styleId="363">
    <w:name w:val="正文文本缩进 3 Char2"/>
    <w:semiHidden/>
    <w:qFormat/>
    <w:uiPriority w:val="99"/>
    <w:rPr>
      <w:rFonts w:ascii="仿宋" w:eastAsia="仿宋"/>
      <w:kern w:val="2"/>
      <w:sz w:val="16"/>
    </w:rPr>
  </w:style>
  <w:style w:type="paragraph" w:customStyle="1" w:styleId="364">
    <w:name w:val="默认段落字体 Para Char"/>
    <w:basedOn w:val="1"/>
    <w:qFormat/>
    <w:uiPriority w:val="99"/>
    <w:pPr>
      <w:snapToGrid w:val="0"/>
      <w:spacing w:line="360" w:lineRule="auto"/>
    </w:pPr>
    <w:rPr>
      <w:rFonts w:ascii="Times New Roman" w:hAnsi="Times New Roman" w:eastAsia="仿宋_GB2312"/>
    </w:rPr>
  </w:style>
  <w:style w:type="paragraph" w:customStyle="1" w:styleId="365">
    <w:name w:val="font5"/>
    <w:basedOn w:val="1"/>
    <w:qFormat/>
    <w:uiPriority w:val="99"/>
    <w:pPr>
      <w:widowControl/>
      <w:spacing w:before="100" w:beforeAutospacing="1" w:after="100" w:afterAutospacing="1" w:line="240" w:lineRule="auto"/>
      <w:ind w:firstLine="0" w:firstLineChars="0"/>
      <w:jc w:val="left"/>
    </w:pPr>
    <w:rPr>
      <w:rFonts w:ascii="宋体" w:hAnsi="宋体" w:eastAsia="仿宋_GB2312"/>
      <w:kern w:val="0"/>
      <w:szCs w:val="21"/>
    </w:rPr>
  </w:style>
  <w:style w:type="paragraph" w:customStyle="1" w:styleId="366">
    <w:name w:val="标题1"/>
    <w:basedOn w:val="1"/>
    <w:qFormat/>
    <w:uiPriority w:val="99"/>
    <w:pPr>
      <w:tabs>
        <w:tab w:val="right" w:leader="dot" w:pos="7200"/>
      </w:tabs>
      <w:spacing w:line="480" w:lineRule="auto"/>
      <w:ind w:firstLine="2520" w:firstLineChars="900"/>
    </w:pPr>
    <w:rPr>
      <w:rFonts w:ascii="Times New Roman" w:hAnsi="Times New Roman" w:eastAsia="仿宋_GB2312"/>
      <w:b/>
      <w:bCs/>
      <w:kern w:val="44"/>
      <w:sz w:val="44"/>
      <w:szCs w:val="44"/>
    </w:rPr>
  </w:style>
  <w:style w:type="paragraph" w:customStyle="1" w:styleId="367">
    <w:name w:val="xl89"/>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6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369">
    <w:name w:val="正文12"/>
    <w:qFormat/>
    <w:uiPriority w:val="99"/>
    <w:pPr>
      <w:widowControl w:val="0"/>
      <w:adjustRightInd w:val="0"/>
      <w:spacing w:line="360" w:lineRule="atLeast"/>
      <w:textAlignment w:val="baseline"/>
    </w:pPr>
    <w:rPr>
      <w:rFonts w:ascii="宋体" w:hAnsi="Times New Roman" w:eastAsia="宋体" w:cs="Times New Roman"/>
      <w:kern w:val="0"/>
      <w:sz w:val="34"/>
      <w:szCs w:val="20"/>
      <w:lang w:val="en-US" w:eastAsia="zh-CN" w:bidi="ar-SA"/>
    </w:rPr>
  </w:style>
  <w:style w:type="paragraph" w:customStyle="1" w:styleId="370">
    <w:name w:val="xl93"/>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371">
    <w:name w:val="Default Text"/>
    <w:qFormat/>
    <w:uiPriority w:val="99"/>
    <w:pPr>
      <w:widowControl w:val="0"/>
      <w:autoSpaceDE w:val="0"/>
      <w:autoSpaceDN w:val="0"/>
      <w:adjustRightInd w:val="0"/>
    </w:pPr>
    <w:rPr>
      <w:rFonts w:ascii="Times New Roman" w:hAnsi="Times New Roman" w:eastAsia="宋体" w:cs="Times New Roman"/>
      <w:color w:val="000000"/>
      <w:kern w:val="0"/>
      <w:sz w:val="24"/>
      <w:szCs w:val="20"/>
      <w:lang w:val="en-US" w:eastAsia="zh-CN" w:bidi="ar-SA"/>
    </w:rPr>
  </w:style>
  <w:style w:type="paragraph" w:customStyle="1" w:styleId="372">
    <w:name w:val="reader-word-layer reader-word-s5-9"/>
    <w:basedOn w:val="1"/>
    <w:qFormat/>
    <w:uiPriority w:val="99"/>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373">
    <w:name w:val="xl48"/>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olor w:val="000000"/>
      <w:kern w:val="0"/>
      <w:szCs w:val="21"/>
    </w:rPr>
  </w:style>
  <w:style w:type="paragraph" w:customStyle="1" w:styleId="374">
    <w:name w:val="xl100"/>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375">
    <w:name w:val="2"/>
    <w:basedOn w:val="1"/>
    <w:next w:val="19"/>
    <w:qFormat/>
    <w:uiPriority w:val="99"/>
    <w:pPr>
      <w:spacing w:line="360" w:lineRule="auto"/>
      <w:ind w:firstLine="0" w:firstLineChars="0"/>
    </w:pPr>
    <w:rPr>
      <w:rFonts w:ascii="宋体" w:hAnsi="宋体" w:eastAsia="仿宋_GB2312"/>
      <w:sz w:val="28"/>
      <w:szCs w:val="21"/>
    </w:rPr>
  </w:style>
  <w:style w:type="paragraph" w:customStyle="1" w:styleId="376">
    <w:name w:val="图表名称"/>
    <w:basedOn w:val="1"/>
    <w:link w:val="377"/>
    <w:qFormat/>
    <w:uiPriority w:val="99"/>
    <w:pPr>
      <w:widowControl/>
      <w:spacing w:line="360" w:lineRule="auto"/>
      <w:ind w:firstLine="0" w:firstLineChars="0"/>
      <w:jc w:val="center"/>
    </w:pPr>
    <w:rPr>
      <w:rFonts w:ascii="Times New Roman" w:hAnsi="宋体"/>
      <w:b/>
      <w:bCs/>
      <w:kern w:val="0"/>
      <w:szCs w:val="20"/>
    </w:rPr>
  </w:style>
  <w:style w:type="character" w:customStyle="1" w:styleId="377">
    <w:name w:val="图表名称 Char"/>
    <w:link w:val="376"/>
    <w:qFormat/>
    <w:locked/>
    <w:uiPriority w:val="99"/>
    <w:rPr>
      <w:rFonts w:ascii="Times New Roman" w:hAnsi="宋体"/>
      <w:b/>
      <w:sz w:val="24"/>
    </w:rPr>
  </w:style>
  <w:style w:type="character" w:customStyle="1" w:styleId="378">
    <w:name w:val="font21"/>
    <w:qFormat/>
    <w:uiPriority w:val="99"/>
    <w:rPr>
      <w:rFonts w:ascii="宋体" w:hAnsi="宋体" w:eastAsia="宋体"/>
      <w:color w:val="000000"/>
      <w:sz w:val="20"/>
      <w:u w:val="none"/>
    </w:rPr>
  </w:style>
  <w:style w:type="paragraph" w:customStyle="1" w:styleId="379">
    <w:name w:val="2-表头"/>
    <w:next w:val="1"/>
    <w:qFormat/>
    <w:uiPriority w:val="99"/>
    <w:pPr>
      <w:widowControl w:val="0"/>
      <w:adjustRightInd w:val="0"/>
      <w:snapToGrid w:val="0"/>
      <w:spacing w:line="560" w:lineRule="exact"/>
      <w:jc w:val="center"/>
    </w:pPr>
    <w:rPr>
      <w:rFonts w:ascii="Arial Unicode MS" w:hAnsi="Arial Unicode MS" w:eastAsia="宋体" w:cs="Arial Unicode MS"/>
      <w:b/>
      <w:kern w:val="2"/>
      <w:sz w:val="28"/>
      <w:szCs w:val="21"/>
      <w:lang w:val="en-US" w:eastAsia="zh-CN" w:bidi="ar-SA"/>
    </w:rPr>
  </w:style>
  <w:style w:type="character" w:customStyle="1" w:styleId="380">
    <w:name w:val="报告正文 字符"/>
    <w:qFormat/>
    <w:uiPriority w:val="99"/>
    <w:rPr>
      <w:rFonts w:ascii="宋体" w:hAnsi="宋体" w:eastAsia="宋体"/>
      <w:sz w:val="24"/>
    </w:rPr>
  </w:style>
  <w:style w:type="character" w:customStyle="1" w:styleId="381">
    <w:name w:val="图表号 字符"/>
    <w:qFormat/>
    <w:uiPriority w:val="99"/>
    <w:rPr>
      <w:rFonts w:ascii="宋体" w:hAnsi="宋体" w:eastAsia="宋体"/>
      <w:sz w:val="21"/>
    </w:rPr>
  </w:style>
  <w:style w:type="character" w:customStyle="1" w:styleId="382">
    <w:name w:val="表头 字符"/>
    <w:qFormat/>
    <w:uiPriority w:val="99"/>
    <w:rPr>
      <w:rFonts w:ascii="宋体" w:hAnsi="宋体" w:eastAsia="宋体"/>
      <w:b/>
      <w:sz w:val="24"/>
    </w:rPr>
  </w:style>
  <w:style w:type="paragraph" w:customStyle="1" w:styleId="383">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_GB2312" w:hAnsi="宋体" w:eastAsia="仿宋_GB2312" w:cs="宋体"/>
      <w:kern w:val="0"/>
      <w:sz w:val="21"/>
      <w:szCs w:val="21"/>
    </w:rPr>
  </w:style>
  <w:style w:type="paragraph" w:customStyle="1" w:styleId="384">
    <w:name w:val="xl10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rPr>
  </w:style>
  <w:style w:type="paragraph" w:customStyle="1" w:styleId="385">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rPr>
  </w:style>
  <w:style w:type="paragraph" w:customStyle="1" w:styleId="386">
    <w:name w:val="xl10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宋体" w:hAnsi="宋体" w:cs="宋体"/>
      <w:kern w:val="0"/>
    </w:rPr>
  </w:style>
  <w:style w:type="paragraph" w:customStyle="1" w:styleId="387">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宋体" w:hAnsi="宋体" w:cs="宋体"/>
      <w:kern w:val="0"/>
    </w:rPr>
  </w:style>
  <w:style w:type="paragraph" w:customStyle="1" w:styleId="388">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宋体" w:hAnsi="宋体" w:cs="宋体"/>
      <w:kern w:val="0"/>
    </w:rPr>
  </w:style>
  <w:style w:type="paragraph" w:customStyle="1" w:styleId="389">
    <w:name w:val="xl110"/>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rPr>
  </w:style>
  <w:style w:type="table" w:customStyle="1" w:styleId="390">
    <w:name w:val="无格式表格 31"/>
    <w:qFormat/>
    <w:uiPriority w:val="99"/>
    <w:rPr>
      <w:kern w:val="0"/>
      <w:sz w:val="20"/>
      <w:szCs w:val="20"/>
    </w:rPr>
    <w:tblPr>
      <w:tblLayout w:type="fixed"/>
      <w:tblCellMar>
        <w:top w:w="0" w:type="dxa"/>
        <w:left w:w="108" w:type="dxa"/>
        <w:bottom w:w="0" w:type="dxa"/>
        <w:right w:w="108" w:type="dxa"/>
      </w:tblCellMar>
    </w:tblPr>
    <w:tblStylePr w:type="firstRow">
      <w:rPr>
        <w:rFonts w:cs="Times New Roman"/>
        <w:b/>
        <w:bCs/>
        <w:caps/>
      </w:rPr>
      <w:tcPr>
        <w:tcBorders>
          <w:bottom w:val="single" w:color="7F7F7F" w:sz="4" w:space="0"/>
        </w:tcBorders>
      </w:tcPr>
    </w:tblStylePr>
    <w:tblStylePr w:type="lastRow">
      <w:rPr>
        <w:rFonts w:cs="Times New Roman"/>
        <w:b/>
        <w:bCs/>
        <w:caps/>
      </w:rPr>
      <w:tcPr>
        <w:tcBorders>
          <w:top w:val="nil"/>
        </w:tcBorders>
      </w:tcPr>
    </w:tblStylePr>
    <w:tblStylePr w:type="firstCol">
      <w:rPr>
        <w:rFonts w:cs="Times New Roman"/>
        <w:b/>
        <w:bCs/>
        <w:caps/>
      </w:rPr>
      <w:tcPr>
        <w:tcBorders>
          <w:right w:val="single" w:color="7F7F7F" w:sz="4" w:space="0"/>
        </w:tcBorders>
      </w:tcPr>
    </w:tblStylePr>
    <w:tblStylePr w:type="lastCol">
      <w:rPr>
        <w:rFonts w:cs="Times New Roman"/>
        <w:b/>
        <w:bCs/>
        <w:caps/>
      </w:rPr>
      <w:tcPr>
        <w:tcBorders>
          <w:left w:val="nil"/>
        </w:tcBorders>
      </w:tcPr>
    </w:tblStylePr>
    <w:tblStylePr w:type="band1Vert">
      <w:rPr>
        <w:rFonts w:cs="Times New Roman"/>
      </w:rPr>
      <w:tcPr>
        <w:shd w:val="clear" w:color="auto" w:fill="F2F2F2"/>
      </w:tcPr>
    </w:tblStylePr>
    <w:tblStylePr w:type="band1Horz">
      <w:rPr>
        <w:rFonts w:cs="Times New Roman"/>
      </w:rPr>
      <w:tcPr>
        <w:shd w:val="clear" w:color="auto" w:fill="F2F2F2"/>
      </w:tcPr>
    </w:tblStylePr>
    <w:tblStylePr w:type="neCell">
      <w:rPr>
        <w:rFonts w:cs="Times New Roman"/>
      </w:rPr>
      <w:tcPr>
        <w:tcBorders>
          <w:left w:val="nil"/>
        </w:tcBorders>
      </w:tcPr>
    </w:tblStylePr>
    <w:tblStylePr w:type="nwCell">
      <w:rPr>
        <w:rFonts w:cs="Times New Roman"/>
      </w:rPr>
      <w:tcPr>
        <w:tcBorders>
          <w:right w:val="nil"/>
        </w:tcBorders>
      </w:tcPr>
    </w:tblStylePr>
  </w:style>
  <w:style w:type="table" w:customStyle="1" w:styleId="391">
    <w:name w:val="无格式表格 51"/>
    <w:qFormat/>
    <w:uiPriority w:val="99"/>
    <w:rPr>
      <w:kern w:val="0"/>
      <w:sz w:val="20"/>
      <w:szCs w:val="20"/>
    </w:rPr>
    <w:tblPr>
      <w:tblLayout w:type="fixed"/>
      <w:tblCellMar>
        <w:top w:w="0" w:type="dxa"/>
        <w:left w:w="108" w:type="dxa"/>
        <w:bottom w:w="0" w:type="dxa"/>
        <w:right w:w="108" w:type="dxa"/>
      </w:tblCellMar>
    </w:tblPr>
    <w:tblStylePr w:type="firstRow">
      <w:rPr>
        <w:rFonts w:ascii="等线" w:hAnsi="等线" w:eastAsia="宋体" w:cs="Times New Roman"/>
        <w:i/>
        <w:iCs/>
        <w:sz w:val="26"/>
      </w:rPr>
      <w:tcPr>
        <w:tcBorders>
          <w:bottom w:val="single" w:color="7F7F7F" w:sz="4" w:space="0"/>
        </w:tcBorders>
        <w:shd w:val="clear" w:color="auto" w:fill="FFFFFF"/>
      </w:tcPr>
    </w:tblStylePr>
    <w:tblStylePr w:type="lastRow">
      <w:rPr>
        <w:rFonts w:ascii="等线" w:hAnsi="等线" w:eastAsia="宋体" w:cs="Times New Roman"/>
        <w:i/>
        <w:iCs/>
        <w:sz w:val="26"/>
      </w:rPr>
      <w:tcPr>
        <w:tcBorders>
          <w:top w:val="single" w:color="7F7F7F" w:sz="4" w:space="0"/>
        </w:tcBorders>
        <w:shd w:val="clear" w:color="auto" w:fill="FFFFFF"/>
      </w:tcPr>
    </w:tblStylePr>
    <w:tblStylePr w:type="firstCol">
      <w:pPr>
        <w:jc w:val="right"/>
      </w:pPr>
      <w:rPr>
        <w:rFonts w:ascii="等线" w:hAnsi="等线" w:eastAsia="宋体" w:cs="Times New Roman"/>
        <w:i/>
        <w:iCs/>
        <w:sz w:val="26"/>
      </w:rPr>
      <w:tcPr>
        <w:tcBorders>
          <w:right w:val="single" w:color="7F7F7F" w:sz="4" w:space="0"/>
        </w:tcBorders>
        <w:shd w:val="clear" w:color="auto" w:fill="FFFFFF"/>
      </w:tcPr>
    </w:tblStylePr>
    <w:tblStylePr w:type="lastCol">
      <w:rPr>
        <w:rFonts w:ascii="等线" w:hAnsi="等线" w:eastAsia="宋体" w:cs="Times New Roman"/>
        <w:i/>
        <w:iCs/>
        <w:sz w:val="26"/>
      </w:rPr>
      <w:tcPr>
        <w:tcBorders>
          <w:left w:val="single" w:color="7F7F7F" w:sz="4" w:space="0"/>
        </w:tcBorders>
        <w:shd w:val="clear" w:color="auto" w:fill="FFFFFF"/>
      </w:tcPr>
    </w:tblStylePr>
    <w:tblStylePr w:type="band1Vert">
      <w:rPr>
        <w:rFonts w:cs="Times New Roman"/>
      </w:rPr>
      <w:tcPr>
        <w:shd w:val="clear" w:color="auto" w:fill="F2F2F2"/>
      </w:tcPr>
    </w:tblStylePr>
    <w:tblStylePr w:type="band1Horz">
      <w:rPr>
        <w:rFonts w:cs="Times New Roman"/>
      </w:rPr>
      <w:tcPr>
        <w:shd w:val="clear" w:color="auto" w:fill="F2F2F2"/>
      </w:tcPr>
    </w:tblStylePr>
    <w:tblStylePr w:type="neCell">
      <w:rPr>
        <w:rFonts w:cs="Times New Roman"/>
      </w:rPr>
      <w:tcPr>
        <w:tcBorders>
          <w:left w:val="nil"/>
        </w:tcBorders>
      </w:tcPr>
    </w:tblStylePr>
    <w:tblStylePr w:type="nwCell">
      <w:rPr>
        <w:rFonts w:cs="Times New Roman"/>
      </w:rPr>
      <w:tcPr>
        <w:tcBorders>
          <w:right w:val="nil"/>
        </w:tcBorders>
      </w:tcPr>
    </w:tblStylePr>
    <w:tblStylePr w:type="seCell">
      <w:rPr>
        <w:rFonts w:cs="Times New Roman"/>
      </w:rPr>
      <w:tcPr>
        <w:tcBorders>
          <w:left w:val="nil"/>
        </w:tcBorders>
      </w:tcPr>
    </w:tblStylePr>
    <w:tblStylePr w:type="swCell">
      <w:rPr>
        <w:rFonts w:cs="Times New Roman"/>
      </w:rPr>
      <w:tcPr>
        <w:tcBorders>
          <w:right w:val="nil"/>
        </w:tcBorders>
      </w:tcPr>
    </w:tblStylePr>
  </w:style>
  <w:style w:type="paragraph" w:customStyle="1" w:styleId="392">
    <w:name w:val="调研报告正文"/>
    <w:basedOn w:val="1"/>
    <w:link w:val="393"/>
    <w:qFormat/>
    <w:uiPriority w:val="99"/>
    <w:pPr>
      <w:spacing w:line="500" w:lineRule="exact"/>
    </w:pPr>
    <w:rPr>
      <w:rFonts w:ascii="Calibri" w:hAnsi="Calibri"/>
      <w:szCs w:val="22"/>
    </w:rPr>
  </w:style>
  <w:style w:type="character" w:customStyle="1" w:styleId="393">
    <w:name w:val="调研报告正文 Char"/>
    <w:link w:val="392"/>
    <w:qFormat/>
    <w:locked/>
    <w:uiPriority w:val="99"/>
    <w:rPr>
      <w:kern w:val="2"/>
      <w:sz w:val="22"/>
    </w:rPr>
  </w:style>
  <w:style w:type="paragraph" w:customStyle="1" w:styleId="394">
    <w:name w:val="泽源-正文"/>
    <w:basedOn w:val="1"/>
    <w:qFormat/>
    <w:uiPriority w:val="99"/>
    <w:pPr>
      <w:spacing w:line="360" w:lineRule="auto"/>
    </w:pPr>
    <w:rPr>
      <w:rFonts w:ascii="Times New Roman" w:hAnsi="Times New Roman" w:eastAsia="仿宋"/>
      <w:sz w:val="28"/>
      <w:szCs w:val="22"/>
    </w:rPr>
  </w:style>
  <w:style w:type="paragraph" w:customStyle="1" w:styleId="395">
    <w:name w:val="样式4"/>
    <w:basedOn w:val="29"/>
    <w:qFormat/>
    <w:uiPriority w:val="99"/>
    <w:pPr>
      <w:pBdr>
        <w:bottom w:val="none" w:color="auto" w:sz="0" w:space="0"/>
      </w:pBdr>
    </w:pPr>
  </w:style>
  <w:style w:type="paragraph" w:customStyle="1" w:styleId="396">
    <w:name w:val="Table Paragraph"/>
    <w:basedOn w:val="1"/>
    <w:qFormat/>
    <w:uiPriority w:val="99"/>
    <w:pPr>
      <w:autoSpaceDE w:val="0"/>
      <w:autoSpaceDN w:val="0"/>
      <w:spacing w:line="240" w:lineRule="auto"/>
      <w:ind w:firstLine="0" w:firstLineChars="0"/>
      <w:jc w:val="center"/>
    </w:pPr>
    <w:rPr>
      <w:rFonts w:ascii="宋体" w:hAnsi="宋体" w:cs="宋体"/>
      <w:kern w:val="0"/>
      <w:sz w:val="22"/>
      <w:szCs w:val="22"/>
      <w:lang w:eastAsia="en-US"/>
    </w:rPr>
  </w:style>
  <w:style w:type="table" w:customStyle="1" w:styleId="397">
    <w:name w:val="Table Normal1"/>
    <w:semiHidden/>
    <w:qFormat/>
    <w:uiPriority w:val="99"/>
    <w:pPr>
      <w:widowControl w:val="0"/>
      <w:autoSpaceDE w:val="0"/>
      <w:autoSpaceDN w:val="0"/>
    </w:pPr>
    <w:rPr>
      <w:rFonts w:ascii="等线" w:hAnsi="等线" w:eastAsia="等线"/>
      <w:kern w:val="0"/>
      <w:sz w:val="22"/>
      <w:lang w:eastAsia="en-US"/>
    </w:rPr>
    <w:tblPr>
      <w:tblLayout w:type="fixed"/>
      <w:tblCellMar>
        <w:top w:w="0" w:type="dxa"/>
        <w:left w:w="0" w:type="dxa"/>
        <w:bottom w:w="0" w:type="dxa"/>
        <w:right w:w="0" w:type="dxa"/>
      </w:tblCellMar>
    </w:tblPr>
  </w:style>
  <w:style w:type="paragraph" w:customStyle="1" w:styleId="398">
    <w:name w:val="样式6"/>
    <w:basedOn w:val="29"/>
    <w:qFormat/>
    <w:uiPriority w:val="99"/>
    <w:pPr>
      <w:pBdr>
        <w:bottom w:val="none" w:color="auto" w:sz="0" w:space="0"/>
      </w:pBdr>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70</Pages>
  <Words>8342</Words>
  <Lines>0</Lines>
  <Paragraphs>0</Paragraphs>
  <TotalTime>75</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2021-12-16T06:11:00Z</dcterms:created>
  <dc:creator>snake</dc:creator>
  <cp:lastModifiedBy>Administrator</cp:lastModifiedBy>
  <cp:lastPrinted>2021-12-21T05:20:00Z</cp:lastPrinted>
  <dcterms:modified xsi:type="dcterms:W3CDTF">2024-05-23T11:04:59Z</dcterms:modified>
  <cp:revision>1060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