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44"/>
          <w:szCs w:val="44"/>
          <w:lang w:val="en-US" w:eastAsia="zh-CN"/>
        </w:rPr>
      </w:pPr>
      <w:r>
        <w:rPr>
          <w:rFonts w:hint="default" w:ascii="Times New Roman" w:hAnsi="Times New Roman" w:eastAsia="仿宋_GB2312" w:cs="Times New Roman"/>
          <w:color w:val="auto"/>
          <w:sz w:val="32"/>
          <w:szCs w:val="32"/>
          <w:lang w:val="en-US" w:eastAsia="zh-CN"/>
        </w:rPr>
        <w:t>附件3：</w:t>
      </w:r>
    </w:p>
    <w:p>
      <w:pPr>
        <w:keepNext w:val="0"/>
        <w:keepLines w:val="0"/>
        <w:pageBreakBefore w:val="0"/>
        <w:widowControl w:val="0"/>
        <w:shd w:val="clear"/>
        <w:kinsoku/>
        <w:wordWrap/>
        <w:overflowPunct/>
        <w:topLinePunct w:val="0"/>
        <w:autoSpaceDE/>
        <w:autoSpaceDN/>
        <w:bidi w:val="0"/>
        <w:adjustRightInd/>
        <w:snapToGrid/>
        <w:spacing w:line="640" w:lineRule="exact"/>
        <w:jc w:val="center"/>
        <w:textAlignment w:val="auto"/>
        <w:outlineLvl w:val="1"/>
        <w:rPr>
          <w:rFonts w:hint="default" w:ascii="Times New Roman" w:hAnsi="Times New Roman" w:eastAsia="仿宋_GB2312" w:cs="Times New Roman"/>
          <w:b w:val="0"/>
          <w:bCs w:val="0"/>
          <w:color w:val="auto"/>
          <w:spacing w:val="-12"/>
          <w:sz w:val="44"/>
          <w:szCs w:val="44"/>
          <w:highlight w:val="none"/>
        </w:rPr>
      </w:pPr>
      <w:r>
        <w:rPr>
          <w:rFonts w:hint="default" w:ascii="Times New Roman" w:hAnsi="Times New Roman" w:eastAsia="方正小标宋简体" w:cs="Times New Roman"/>
          <w:b w:val="0"/>
          <w:bCs w:val="0"/>
          <w:color w:val="auto"/>
          <w:spacing w:val="-12"/>
          <w:sz w:val="44"/>
          <w:szCs w:val="44"/>
          <w:highlight w:val="none"/>
          <w:lang w:eastAsia="zh-CN"/>
        </w:rPr>
        <w:t>部分</w:t>
      </w:r>
      <w:r>
        <w:rPr>
          <w:rFonts w:hint="default" w:ascii="Times New Roman" w:hAnsi="Times New Roman" w:eastAsia="方正小标宋简体" w:cs="Times New Roman"/>
          <w:b w:val="0"/>
          <w:bCs w:val="0"/>
          <w:color w:val="auto"/>
          <w:spacing w:val="-12"/>
          <w:sz w:val="44"/>
          <w:szCs w:val="44"/>
          <w:highlight w:val="none"/>
        </w:rPr>
        <w:t>不合格项目小知识</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黑体" w:cs="Times New Roman"/>
          <w:b w:val="0"/>
          <w:bCs w:val="0"/>
          <w:i w:val="0"/>
          <w:caps w:val="0"/>
          <w:color w:val="auto"/>
          <w:spacing w:val="0"/>
          <w:kern w:val="2"/>
          <w:sz w:val="44"/>
          <w:szCs w:val="44"/>
          <w:shd w:val="clear" w:fill="auto"/>
          <w:lang w:val="en-US" w:eastAsia="zh-CN" w:bidi="ar-SA"/>
        </w:rPr>
      </w:pP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592" w:firstLineChars="200"/>
        <w:jc w:val="left"/>
        <w:textAlignment w:val="baseline"/>
        <w:outlineLvl w:val="9"/>
        <w:rPr>
          <w:rFonts w:hint="default" w:ascii="Times New Roman" w:hAnsi="Times New Roman" w:eastAsia="仿宋_GB2312" w:cs="Times New Roman"/>
          <w:color w:val="auto"/>
          <w:spacing w:val="-12"/>
          <w:sz w:val="32"/>
          <w:szCs w:val="32"/>
          <w:highlight w:val="none"/>
          <w:lang w:eastAsia="zh-CN"/>
        </w:rPr>
      </w:pPr>
      <w:r>
        <w:rPr>
          <w:rFonts w:hint="eastAsia" w:ascii="Times New Roman" w:hAnsi="Times New Roman" w:eastAsia="黑体" w:cs="Times New Roman"/>
          <w:b w:val="0"/>
          <w:bCs w:val="0"/>
          <w:color w:val="auto"/>
          <w:spacing w:val="-12"/>
          <w:sz w:val="32"/>
          <w:szCs w:val="32"/>
          <w:highlight w:val="none"/>
          <w:lang w:val="en-US" w:eastAsia="zh-CN"/>
        </w:rPr>
        <w:t>一、</w:t>
      </w:r>
      <w:r>
        <w:rPr>
          <w:rFonts w:hint="default" w:ascii="Times New Roman" w:hAnsi="Times New Roman" w:eastAsia="黑体" w:cs="Times New Roman"/>
          <w:b w:val="0"/>
          <w:bCs w:val="0"/>
          <w:color w:val="auto"/>
          <w:spacing w:val="-12"/>
          <w:sz w:val="32"/>
          <w:szCs w:val="32"/>
          <w:highlight w:val="none"/>
          <w:lang w:val="en-US" w:eastAsia="zh-CN"/>
        </w:rPr>
        <w:t>阴离子合成洗涤剂(以十二烷基苯磺酸钠计)</w:t>
      </w:r>
    </w:p>
    <w:p>
      <w:pPr>
        <w:pStyle w:val="4"/>
        <w:keepNext w:val="0"/>
        <w:keepLines w:val="0"/>
        <w:pageBreakBefore w:val="0"/>
        <w:widowControl w:val="0"/>
        <w:kinsoku/>
        <w:wordWrap/>
        <w:overflowPunct/>
        <w:topLinePunct w:val="0"/>
        <w:autoSpaceDE/>
        <w:autoSpaceDN/>
        <w:bidi w:val="0"/>
        <w:snapToGrid/>
        <w:spacing w:after="0" w:line="560" w:lineRule="exact"/>
        <w:ind w:left="0" w:leftChars="0" w:firstLine="640" w:firstLineChars="200"/>
        <w:textAlignment w:val="auto"/>
        <w:rPr>
          <w:rFonts w:hint="default" w:ascii="Times New Roman" w:hAnsi="Times New Roman" w:eastAsia="仿宋_GB2312" w:cs="Times New Roman"/>
          <w:color w:val="auto"/>
          <w:kern w:val="2"/>
          <w:sz w:val="32"/>
          <w:szCs w:val="32"/>
          <w:highlight w:val="none"/>
          <w:lang w:val="en-GB" w:eastAsia="zh-CN" w:bidi="ar-SA"/>
        </w:rPr>
      </w:pPr>
      <w:r>
        <w:rPr>
          <w:rFonts w:hint="default" w:ascii="Times New Roman" w:hAnsi="Times New Roman" w:eastAsia="仿宋_GB2312" w:cs="Times New Roman"/>
          <w:color w:val="auto"/>
          <w:kern w:val="2"/>
          <w:sz w:val="32"/>
          <w:szCs w:val="32"/>
          <w:highlight w:val="none"/>
          <w:lang w:val="en-GB" w:eastAsia="zh-CN" w:bidi="ar-SA"/>
        </w:rPr>
        <w:t>阴离子合成洗涤剂（以十二烷基苯磺酸钠计），即日常生活中经常用到的洗衣粉、洗洁精、洗衣液等洗涤剂的主要成分，其主要成分十二烷基苯磺酸钠，因其使用方便、易溶解、稳定性好，成本低等优点，在消毒企业中广泛使用。《食品安全国家标准 消毒餐（饮）具》（GB14934</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GB" w:eastAsia="zh-CN" w:bidi="ar-SA"/>
        </w:rPr>
        <w:t>2016）中规定，采用化学消毒法的餐（饮）具阴离子合成洗涤剂应不得检出。餐（饮）具阴离子合成洗涤剂不合格的原因可能是：餐（饮）具消毒单位使用的洗涤剂不合格或使用量过大，未经足够量清水清洗。</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92" w:firstLineChars="200"/>
        <w:jc w:val="left"/>
        <w:textAlignment w:val="auto"/>
        <w:rPr>
          <w:rFonts w:hint="default" w:ascii="Times New Roman" w:hAnsi="Times New Roman" w:eastAsia="黑体" w:cs="Times New Roman"/>
          <w:spacing w:val="-12"/>
          <w:sz w:val="32"/>
          <w:szCs w:val="32"/>
          <w:lang w:eastAsia="zh-CN"/>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592" w:firstLineChars="200"/>
        <w:jc w:val="both"/>
        <w:textAlignment w:val="auto"/>
        <w:rPr>
          <w:rFonts w:hint="default" w:ascii="Times New Roman" w:hAnsi="Times New Roman" w:eastAsia="黑体" w:cs="Times New Roman"/>
          <w:b w:val="0"/>
          <w:bCs w:val="0"/>
          <w:color w:val="auto"/>
          <w:spacing w:val="-12"/>
          <w:kern w:val="2"/>
          <w:sz w:val="32"/>
          <w:szCs w:val="32"/>
          <w:highlight w:val="none"/>
          <w:lang w:val="en-US" w:eastAsia="zh-CN" w:bidi="ar-SA"/>
        </w:rPr>
      </w:pPr>
      <w:r>
        <w:rPr>
          <w:rFonts w:hint="eastAsia" w:ascii="Times New Roman" w:hAnsi="Times New Roman" w:eastAsia="黑体" w:cs="Times New Roman"/>
          <w:b w:val="0"/>
          <w:bCs w:val="0"/>
          <w:color w:val="auto"/>
          <w:spacing w:val="-12"/>
          <w:kern w:val="2"/>
          <w:sz w:val="32"/>
          <w:szCs w:val="32"/>
          <w:highlight w:val="none"/>
          <w:lang w:val="en-US" w:eastAsia="zh-CN" w:bidi="ar-SA"/>
        </w:rPr>
        <w:t>二</w:t>
      </w:r>
      <w:r>
        <w:rPr>
          <w:rFonts w:hint="default" w:ascii="Times New Roman" w:hAnsi="Times New Roman" w:eastAsia="黑体" w:cs="Times New Roman"/>
          <w:b w:val="0"/>
          <w:bCs w:val="0"/>
          <w:color w:val="auto"/>
          <w:spacing w:val="-12"/>
          <w:kern w:val="2"/>
          <w:sz w:val="32"/>
          <w:szCs w:val="32"/>
          <w:highlight w:val="none"/>
          <w:lang w:val="en-US" w:eastAsia="zh-CN" w:bidi="ar-SA"/>
        </w:rPr>
        <w:t>、柠檬黄</w:t>
      </w:r>
    </w:p>
    <w:p>
      <w:pPr>
        <w:pStyle w:val="4"/>
        <w:keepNext w:val="0"/>
        <w:keepLines w:val="0"/>
        <w:pageBreakBefore w:val="0"/>
        <w:widowControl w:val="0"/>
        <w:kinsoku/>
        <w:wordWrap/>
        <w:overflowPunct/>
        <w:topLinePunct w:val="0"/>
        <w:autoSpaceDE/>
        <w:autoSpaceDN/>
        <w:bidi w:val="0"/>
        <w:snapToGrid/>
        <w:spacing w:after="0" w:line="560" w:lineRule="exact"/>
        <w:ind w:left="0" w:leftChars="0" w:firstLine="640" w:firstLineChars="200"/>
        <w:textAlignment w:val="auto"/>
        <w:rPr>
          <w:rFonts w:hint="default" w:ascii="Times New Roman" w:hAnsi="Times New Roman" w:eastAsia="黑体" w:cs="Times New Roman"/>
          <w:spacing w:val="-12"/>
          <w:sz w:val="32"/>
          <w:szCs w:val="32"/>
          <w:lang w:eastAsia="zh-CN"/>
        </w:rPr>
      </w:pPr>
      <w:r>
        <w:rPr>
          <w:rFonts w:hint="default" w:ascii="Times New Roman" w:hAnsi="Times New Roman" w:eastAsia="仿宋_GB2312" w:cs="Times New Roman"/>
          <w:color w:val="auto"/>
          <w:kern w:val="2"/>
          <w:sz w:val="32"/>
          <w:szCs w:val="32"/>
          <w:highlight w:val="none"/>
          <w:lang w:val="en-US" w:eastAsia="zh-CN" w:bidi="ar-SA"/>
        </w:rPr>
        <w:t>柠檬黄是常见合成着色剂，在现代食品业中应用广泛。《食品安全国家标准 食品添加剂使用标准》（GB 2760-2024）中规定，</w:t>
      </w:r>
      <w:r>
        <w:rPr>
          <w:rFonts w:hint="eastAsia" w:ascii="Times New Roman" w:hAnsi="Times New Roman" w:eastAsia="仿宋_GB2312" w:cs="Times New Roman"/>
          <w:color w:val="auto"/>
          <w:kern w:val="2"/>
          <w:sz w:val="32"/>
          <w:szCs w:val="32"/>
          <w:highlight w:val="none"/>
          <w:lang w:val="en-GB" w:eastAsia="zh-CN" w:bidi="ar-SA"/>
        </w:rPr>
        <w:t>挂面</w:t>
      </w:r>
      <w:r>
        <w:rPr>
          <w:rFonts w:hint="default" w:ascii="Times New Roman" w:hAnsi="Times New Roman" w:eastAsia="仿宋_GB2312" w:cs="Times New Roman"/>
          <w:color w:val="auto"/>
          <w:kern w:val="2"/>
          <w:sz w:val="32"/>
          <w:szCs w:val="32"/>
          <w:highlight w:val="none"/>
          <w:lang w:val="en-US" w:eastAsia="zh-CN" w:bidi="ar-SA"/>
        </w:rPr>
        <w:t>中不得使用柠檬黄。造成柠檬黄超标的主要原因是生产企业未按国家标准规定，在生产加工过程中超范围、超限量使用。</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92" w:firstLineChars="200"/>
        <w:jc w:val="left"/>
        <w:textAlignment w:val="auto"/>
        <w:rPr>
          <w:rFonts w:hint="default" w:ascii="Times New Roman" w:hAnsi="Times New Roman" w:eastAsia="黑体" w:cs="Times New Roman"/>
          <w:spacing w:val="-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outlineLvl w:val="1"/>
        <w:rPr>
          <w:rFonts w:hint="eastAsia" w:ascii="黑体" w:hAnsi="黑体" w:eastAsia="黑体" w:cs="黑体"/>
          <w:spacing w:val="-6"/>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outlineLvl w:val="1"/>
        <w:rPr>
          <w:rFonts w:hint="default" w:ascii="黑体" w:hAnsi="黑体" w:eastAsia="黑体" w:cs="黑体"/>
          <w:spacing w:val="-6"/>
          <w:kern w:val="2"/>
          <w:sz w:val="32"/>
          <w:szCs w:val="32"/>
          <w:lang w:val="en-US" w:eastAsia="zh-CN" w:bidi="ar-SA"/>
        </w:rPr>
      </w:pPr>
      <w:r>
        <w:rPr>
          <w:rFonts w:hint="eastAsia" w:ascii="黑体" w:hAnsi="黑体" w:eastAsia="黑体" w:cs="黑体"/>
          <w:spacing w:val="-6"/>
          <w:kern w:val="2"/>
          <w:sz w:val="32"/>
          <w:szCs w:val="32"/>
          <w:lang w:val="en-US" w:eastAsia="zh-CN" w:bidi="ar-SA"/>
        </w:rPr>
        <w:t>三</w:t>
      </w:r>
      <w:bookmarkStart w:id="0" w:name="_GoBack"/>
      <w:bookmarkEnd w:id="0"/>
      <w:r>
        <w:rPr>
          <w:rFonts w:hint="eastAsia" w:ascii="黑体" w:hAnsi="黑体" w:eastAsia="黑体" w:cs="黑体"/>
          <w:spacing w:val="-6"/>
          <w:kern w:val="2"/>
          <w:sz w:val="32"/>
          <w:szCs w:val="32"/>
          <w:lang w:val="en-US" w:eastAsia="zh-CN" w:bidi="ar-SA"/>
        </w:rPr>
        <w:t>、菌落总数</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lang w:val="en-US" w:eastAsia="zh-CN"/>
        </w:rPr>
      </w:pPr>
      <w:r>
        <w:rPr>
          <w:rFonts w:hint="default" w:ascii="Times New Roman" w:hAnsi="Times New Roman" w:eastAsia="仿宋_GB2312" w:cs="Times New Roman"/>
          <w:b w:val="0"/>
          <w:bCs w:val="0"/>
          <w:i w:val="0"/>
          <w:caps w:val="0"/>
          <w:color w:val="auto"/>
          <w:spacing w:val="0"/>
          <w:kern w:val="2"/>
          <w:sz w:val="32"/>
          <w:szCs w:val="32"/>
          <w:shd w:val="clear" w:color="auto" w:fill="auto"/>
          <w:lang w:val="en-US" w:eastAsia="zh-CN" w:bidi="ar-SA"/>
        </w:rPr>
        <w:t>菌落总数是指示性微生物指标，并非致病菌指标。其卫生学意义主要是：一是作为食品被微生物污染程度，即清洁状态的标志，反映食品在生产过程中的卫生状况；二是预测食品耐保藏性。一般来讲，食品中菌落总数数量越多，食品腐败变质的速度就越快。如果食品的菌落总数严重超标，将会破坏食品的营养成分，使食品失去食用</w:t>
      </w:r>
      <w:r>
        <w:rPr>
          <w:rFonts w:hint="eastAsia" w:ascii="Times New Roman" w:hAnsi="Times New Roman" w:eastAsia="仿宋_GB2312" w:cs="Times New Roman"/>
          <w:b w:val="0"/>
          <w:bCs w:val="0"/>
          <w:i w:val="0"/>
          <w:caps w:val="0"/>
          <w:color w:val="auto"/>
          <w:spacing w:val="0"/>
          <w:kern w:val="2"/>
          <w:sz w:val="32"/>
          <w:szCs w:val="32"/>
          <w:shd w:val="clear" w:color="auto" w:fill="auto"/>
          <w:lang w:val="en-US" w:eastAsia="zh-CN" w:bidi="ar-SA"/>
        </w:rPr>
        <w:t>价值。</w:t>
      </w:r>
      <w:r>
        <w:rPr>
          <w:rFonts w:hint="default" w:ascii="Times New Roman" w:hAnsi="Times New Roman" w:eastAsia="仿宋_GB2312" w:cs="Times New Roman"/>
          <w:b w:val="0"/>
          <w:bCs w:val="0"/>
          <w:i w:val="0"/>
          <w:caps w:val="0"/>
          <w:color w:val="auto"/>
          <w:spacing w:val="0"/>
          <w:kern w:val="2"/>
          <w:sz w:val="32"/>
          <w:szCs w:val="32"/>
          <w:shd w:val="clear" w:color="auto" w:fill="auto"/>
          <w:lang w:val="en-US" w:eastAsia="zh-CN" w:bidi="ar-SA"/>
        </w:rPr>
        <w:t>菌落总数超标说明生产经营企业可能未按要求严格控制生产加工过程的卫生条件，或者包装容器清洗消毒不到位；还有可能与产品包装密封不严，储运条件控制不当等有关。</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outlineLvl w:val="1"/>
        <w:rPr>
          <w:rFonts w:hint="eastAsia" w:ascii="黑体" w:hAnsi="黑体" w:eastAsia="黑体" w:cs="黑体"/>
          <w:spacing w:val="-6"/>
          <w:kern w:val="2"/>
          <w:sz w:val="32"/>
          <w:szCs w:val="32"/>
          <w:lang w:val="en-GB"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D923FA"/>
    <w:rsid w:val="3BD92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4">
    <w:name w:val="Body Text First Indent 2"/>
    <w:basedOn w:val="2"/>
    <w:next w:val="1"/>
    <w:qFormat/>
    <w:uiPriority w:val="0"/>
    <w:pPr>
      <w:adjustRightInd w:val="0"/>
      <w:ind w:left="0" w:leftChars="0" w:firstLine="880" w:firstLineChars="200"/>
    </w:pPr>
    <w:rPr>
      <w:rFonts w:ascii="Calibri" w:hAnsi="Calibri" w:eastAsia="仿宋" w:cs="Times New Roman"/>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2026-05-13T08:34:00Z</dcterms:created>
  <dc:creator>赵中山</dc:creator>
  <cp:lastModifiedBy>赵中山</cp:lastModifiedBy>
  <dcterms:modified xsi:type="dcterms:W3CDTF">2026-05-13T11:40:36Z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