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Times New Roman" w:hAnsi="Times New Roman" w:eastAsia="方正小标宋简体" w:cs="仿宋"/>
          <w:sz w:val="44"/>
          <w:szCs w:val="44"/>
        </w:rPr>
      </w:pPr>
      <w:bookmarkStart w:id="0" w:name="_Toc76683363"/>
      <w:bookmarkStart w:id="1" w:name="_Toc27865"/>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u w:val="none"/>
          <w:lang w:eastAsia="zh-CN"/>
        </w:rPr>
      </w:pPr>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13</w:t>
      </w:r>
      <w:r>
        <w:rPr>
          <w:rFonts w:hint="eastAsia" w:ascii="Times New Roman" w:hAnsi="Times New Roman" w:eastAsia="仿宋_GB2312" w:cs="仿宋"/>
          <w:bCs/>
          <w:color w:val="000000"/>
          <w:sz w:val="32"/>
          <w:szCs w:val="32"/>
        </w:rPr>
        <w:t>号</w:t>
      </w: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kern w:val="1"/>
          <w:sz w:val="32"/>
          <w:szCs w:val="32"/>
          <w:u w:val="none"/>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房地产开发有限公司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916523********7481</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昌吉州昌吉市长宁南路**大厦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丁</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福</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身份证号：642226********1236</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当事人因未依法报送2023年度、2024年度企业年报并向社会公示，被连续2年列入经营异常名录且未改正，2025年10月16日，本局执法人员对当事人营业执照登记地址进行实地核查，该地址被其他经营主体使用，</w:t>
      </w:r>
      <w:r>
        <w:rPr>
          <w:rFonts w:hint="eastAsia" w:ascii="Times New Roman" w:hAnsi="Times New Roman" w:eastAsia="仿宋_GB2312" w:cs="仿宋"/>
          <w:kern w:val="1"/>
          <w:sz w:val="32"/>
          <w:szCs w:val="32"/>
          <w:u w:val="none"/>
          <w:lang w:eastAsia="zh-CN"/>
        </w:rPr>
        <w:t>新疆**房地产开发有限公司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为做进一步调查，2025年10月16日经主管领导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新疆**房地产开发有限公司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13</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吊销新疆**房地产开发有限公司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w:t>
      </w:r>
      <w:bookmarkStart w:id="3" w:name="_GoBack"/>
      <w:bookmarkEnd w:id="3"/>
      <w:r>
        <w:rPr>
          <w:rFonts w:hint="default" w:ascii="Times New Roman" w:hAnsi="Times New Roman" w:eastAsia="仿宋_GB2312" w:cs="仿宋"/>
          <w:b w:val="0"/>
          <w:bCs/>
          <w:kern w:val="48"/>
          <w:sz w:val="32"/>
          <w:szCs w:val="32"/>
          <w:lang w:val="en-US" w:eastAsia="zh-CN"/>
        </w:rPr>
        <w:t>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160" w:firstLineChars="13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26日     </w:t>
      </w:r>
      <w:r>
        <w:rPr>
          <w:rFonts w:hint="eastAsia" w:ascii="Times New Roman" w:hAnsi="Times New Roman" w:eastAsia="仿宋_GB2312" w:cs="仿宋"/>
          <w:color w:val="000000"/>
          <w:sz w:val="32"/>
          <w:szCs w:val="32"/>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0F4B63F2"/>
    <w:rsid w:val="1010482D"/>
    <w:rsid w:val="102B2B8B"/>
    <w:rsid w:val="103A5543"/>
    <w:rsid w:val="11BF188C"/>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7262CA"/>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426A3E"/>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1809E3"/>
    <w:rsid w:val="47367D1B"/>
    <w:rsid w:val="47770B87"/>
    <w:rsid w:val="48603EE2"/>
    <w:rsid w:val="487A1535"/>
    <w:rsid w:val="489C20CB"/>
    <w:rsid w:val="48DC12DD"/>
    <w:rsid w:val="4958147B"/>
    <w:rsid w:val="495847D3"/>
    <w:rsid w:val="49BD6E44"/>
    <w:rsid w:val="4A0240D3"/>
    <w:rsid w:val="4A805537"/>
    <w:rsid w:val="4AEC7F33"/>
    <w:rsid w:val="4B021698"/>
    <w:rsid w:val="4B081145"/>
    <w:rsid w:val="4BAF4E93"/>
    <w:rsid w:val="4DB045A9"/>
    <w:rsid w:val="4DCF55AB"/>
    <w:rsid w:val="4E456B6F"/>
    <w:rsid w:val="4E5034AB"/>
    <w:rsid w:val="4E6D576D"/>
    <w:rsid w:val="4F815AF8"/>
    <w:rsid w:val="526D6E8F"/>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70701"/>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2026-01-26T10:15:22Z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