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default" w:ascii="Times New Roman" w:hAnsi="Times New Roman" w:eastAsia="方正小标宋简体"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黑体" w:cs="Times New Roman"/>
          <w:spacing w:val="-12"/>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snapToGrid/>
        <w:spacing w:after="0" w:line="560" w:lineRule="exact"/>
        <w:ind w:firstLine="592" w:firstLineChars="200"/>
        <w:textAlignment w:val="auto"/>
        <w:rPr>
          <w:rFonts w:hint="default" w:ascii="Times New Roman" w:hAnsi="Times New Roman" w:eastAsia="黑体" w:cs="Times New Roman"/>
          <w:b w:val="0"/>
          <w:bCs w:val="0"/>
          <w:color w:val="auto"/>
          <w:spacing w:val="-12"/>
          <w:kern w:val="2"/>
          <w:sz w:val="32"/>
          <w:szCs w:val="32"/>
          <w:highlight w:val="none"/>
          <w:lang w:val="en-US" w:eastAsia="zh-CN" w:bidi="ar-SA"/>
        </w:rPr>
      </w:pPr>
      <w:r>
        <w:rPr>
          <w:rFonts w:hint="eastAsia" w:ascii="Times New Roman" w:hAnsi="Times New Roman" w:eastAsia="黑体" w:cs="Times New Roman"/>
          <w:b w:val="0"/>
          <w:bCs w:val="0"/>
          <w:color w:val="auto"/>
          <w:spacing w:val="-12"/>
          <w:kern w:val="2"/>
          <w:sz w:val="32"/>
          <w:szCs w:val="32"/>
          <w:highlight w:val="none"/>
          <w:lang w:val="en-US" w:eastAsia="zh-CN" w:bidi="ar-SA"/>
        </w:rPr>
        <w:t>一、</w:t>
      </w:r>
      <w:r>
        <w:rPr>
          <w:rFonts w:hint="default" w:ascii="Times New Roman" w:hAnsi="Times New Roman" w:eastAsia="黑体" w:cs="Times New Roman"/>
          <w:b w:val="0"/>
          <w:bCs w:val="0"/>
          <w:color w:val="auto"/>
          <w:spacing w:val="-12"/>
          <w:kern w:val="2"/>
          <w:sz w:val="32"/>
          <w:szCs w:val="32"/>
          <w:highlight w:val="none"/>
          <w:lang w:val="en-US" w:eastAsia="zh-CN" w:bidi="ar-SA"/>
        </w:rPr>
        <w:t>酸价(KOH)</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GB" w:eastAsia="zh-CN" w:bidi="ar-SA"/>
        </w:rPr>
        <w:t>酸值</w:t>
      </w:r>
      <w:r>
        <w:rPr>
          <w:rFonts w:hint="default" w:ascii="Times New Roman" w:hAnsi="Times New Roman" w:eastAsia="仿宋_GB2312" w:cs="Times New Roman"/>
          <w:color w:val="auto"/>
          <w:kern w:val="2"/>
          <w:sz w:val="32"/>
          <w:szCs w:val="32"/>
          <w:highlight w:val="none"/>
          <w:lang w:val="en-GB" w:eastAsia="zh-CN" w:bidi="ar-SA"/>
        </w:rPr>
        <w:t>/</w:t>
      </w:r>
      <w:r>
        <w:rPr>
          <w:rFonts w:hint="eastAsia" w:ascii="Times New Roman" w:hAnsi="Times New Roman" w:eastAsia="仿宋_GB2312" w:cs="Times New Roman"/>
          <w:color w:val="auto"/>
          <w:kern w:val="2"/>
          <w:sz w:val="32"/>
          <w:szCs w:val="32"/>
          <w:highlight w:val="none"/>
          <w:lang w:val="en-GB" w:eastAsia="zh-CN" w:bidi="ar-SA"/>
        </w:rPr>
        <w:t>酸价（</w:t>
      </w:r>
      <w:r>
        <w:rPr>
          <w:rFonts w:hint="default" w:ascii="Times New Roman" w:hAnsi="Times New Roman" w:eastAsia="仿宋_GB2312" w:cs="Times New Roman"/>
          <w:color w:val="auto"/>
          <w:kern w:val="2"/>
          <w:sz w:val="32"/>
          <w:szCs w:val="32"/>
          <w:highlight w:val="none"/>
          <w:lang w:val="en-GB" w:eastAsia="zh-CN" w:bidi="ar-SA"/>
        </w:rPr>
        <w:t>acid value</w:t>
      </w:r>
      <w:r>
        <w:rPr>
          <w:rFonts w:hint="eastAsia" w:ascii="Times New Roman" w:hAnsi="Times New Roman" w:eastAsia="仿宋_GB2312" w:cs="Times New Roman"/>
          <w:color w:val="auto"/>
          <w:kern w:val="2"/>
          <w:sz w:val="32"/>
          <w:szCs w:val="32"/>
          <w:highlight w:val="none"/>
          <w:lang w:val="en-GB" w:eastAsia="zh-CN" w:bidi="ar-SA"/>
        </w:rPr>
        <w:t>，</w:t>
      </w:r>
      <w:r>
        <w:rPr>
          <w:rFonts w:hint="default" w:ascii="Times New Roman" w:hAnsi="Times New Roman" w:eastAsia="仿宋_GB2312" w:cs="Times New Roman"/>
          <w:color w:val="auto"/>
          <w:kern w:val="2"/>
          <w:sz w:val="32"/>
          <w:szCs w:val="32"/>
          <w:highlight w:val="none"/>
          <w:lang w:val="en-GB" w:eastAsia="zh-CN" w:bidi="ar-SA"/>
        </w:rPr>
        <w:t>AV</w:t>
      </w:r>
      <w:r>
        <w:rPr>
          <w:rFonts w:hint="eastAsia" w:ascii="Times New Roman" w:hAnsi="Times New Roman" w:eastAsia="仿宋_GB2312" w:cs="Times New Roman"/>
          <w:color w:val="auto"/>
          <w:kern w:val="2"/>
          <w:sz w:val="32"/>
          <w:szCs w:val="32"/>
          <w:highlight w:val="none"/>
          <w:lang w:val="en-GB" w:eastAsia="zh-CN" w:bidi="ar-SA"/>
        </w:rPr>
        <w:t xml:space="preserve">）是指中和 </w:t>
      </w:r>
      <w:r>
        <w:rPr>
          <w:rFonts w:hint="default" w:ascii="Times New Roman" w:hAnsi="Times New Roman" w:eastAsia="仿宋_GB2312" w:cs="Times New Roman"/>
          <w:color w:val="auto"/>
          <w:kern w:val="2"/>
          <w:sz w:val="32"/>
          <w:szCs w:val="32"/>
          <w:highlight w:val="none"/>
          <w:lang w:val="en-GB" w:eastAsia="zh-CN" w:bidi="ar-SA"/>
        </w:rPr>
        <w:t xml:space="preserve">1g </w:t>
      </w:r>
      <w:r>
        <w:rPr>
          <w:rFonts w:hint="eastAsia" w:ascii="Times New Roman" w:hAnsi="Times New Roman" w:eastAsia="仿宋_GB2312" w:cs="Times New Roman"/>
          <w:color w:val="auto"/>
          <w:kern w:val="2"/>
          <w:sz w:val="32"/>
          <w:szCs w:val="32"/>
          <w:highlight w:val="none"/>
          <w:lang w:val="en-GB" w:eastAsia="zh-CN" w:bidi="ar-SA"/>
        </w:rPr>
        <w:t xml:space="preserve">油脂中游离脂肪酸所需 </w:t>
      </w:r>
      <w:r>
        <w:rPr>
          <w:rFonts w:hint="default" w:ascii="Times New Roman" w:hAnsi="Times New Roman" w:eastAsia="仿宋_GB2312" w:cs="Times New Roman"/>
          <w:color w:val="auto"/>
          <w:kern w:val="2"/>
          <w:sz w:val="32"/>
          <w:szCs w:val="32"/>
          <w:highlight w:val="none"/>
          <w:lang w:val="en-GB" w:eastAsia="zh-CN" w:bidi="ar-SA"/>
        </w:rPr>
        <w:t xml:space="preserve">KOH </w:t>
      </w:r>
      <w:r>
        <w:rPr>
          <w:rFonts w:hint="eastAsia" w:ascii="Times New Roman" w:hAnsi="Times New Roman" w:eastAsia="仿宋_GB2312" w:cs="Times New Roman"/>
          <w:color w:val="auto"/>
          <w:kern w:val="2"/>
          <w:sz w:val="32"/>
          <w:szCs w:val="32"/>
          <w:highlight w:val="none"/>
          <w:lang w:val="en-GB" w:eastAsia="zh-CN" w:bidi="ar-SA"/>
        </w:rPr>
        <w:t>的毫克数。油脂酸败时游离脂肪酸增加，酸价也随之增高，因此该指标可用于评价油脂酸败的程度。</w:t>
      </w:r>
      <w:r>
        <w:rPr>
          <w:rFonts w:hint="default" w:ascii="Times New Roman" w:hAnsi="Times New Roman" w:eastAsia="仿宋_GB2312" w:cs="Times New Roman"/>
          <w:color w:val="auto"/>
          <w:kern w:val="2"/>
          <w:sz w:val="32"/>
          <w:szCs w:val="32"/>
          <w:highlight w:val="none"/>
          <w:lang w:val="en-GB" w:eastAsia="zh-CN" w:bidi="ar-SA"/>
        </w:rPr>
        <w:t xml:space="preserve">《食品安全国家标准 食品中酸价的测定》（GB </w:t>
      </w:r>
      <w:r>
        <w:rPr>
          <w:rFonts w:hint="default" w:ascii="Times New Roman" w:hAnsi="Times New Roman" w:eastAsia="仿宋_GB2312" w:cs="Times New Roman"/>
          <w:color w:val="auto"/>
          <w:kern w:val="2"/>
          <w:sz w:val="32"/>
          <w:szCs w:val="32"/>
          <w:highlight w:val="none"/>
          <w:lang w:val="en-US" w:eastAsia="zh-CN" w:bidi="ar-SA"/>
        </w:rPr>
        <w:t>2716-2018</w:t>
      </w:r>
      <w:r>
        <w:rPr>
          <w:rFonts w:hint="default" w:ascii="Times New Roman" w:hAnsi="Times New Roman" w:eastAsia="仿宋_GB2312" w:cs="Times New Roman"/>
          <w:color w:val="auto"/>
          <w:kern w:val="2"/>
          <w:sz w:val="32"/>
          <w:szCs w:val="32"/>
          <w:highlight w:val="none"/>
          <w:lang w:val="en-GB" w:eastAsia="zh-CN" w:bidi="ar-SA"/>
        </w:rPr>
        <w:t>）中规定，</w:t>
      </w:r>
      <w:r>
        <w:rPr>
          <w:rFonts w:hint="eastAsia" w:ascii="Times New Roman" w:hAnsi="Times New Roman" w:eastAsia="仿宋_GB2312" w:cs="Times New Roman"/>
          <w:color w:val="auto"/>
          <w:kern w:val="2"/>
          <w:sz w:val="32"/>
          <w:szCs w:val="32"/>
          <w:highlight w:val="none"/>
          <w:lang w:val="en-GB" w:eastAsia="zh-CN" w:bidi="ar-SA"/>
        </w:rPr>
        <w:t>煎炸过程用油的</w:t>
      </w:r>
      <w:r>
        <w:rPr>
          <w:rFonts w:hint="default" w:ascii="Times New Roman" w:hAnsi="Times New Roman" w:eastAsia="仿宋_GB2312" w:cs="Times New Roman"/>
          <w:color w:val="auto"/>
          <w:kern w:val="2"/>
          <w:sz w:val="32"/>
          <w:szCs w:val="32"/>
          <w:highlight w:val="none"/>
          <w:lang w:val="en-GB" w:eastAsia="zh-CN" w:bidi="ar-SA"/>
        </w:rPr>
        <w:t>酸价（KOH）应不超过</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GB" w:eastAsia="zh-CN" w:bidi="ar-SA"/>
        </w:rPr>
        <w:t xml:space="preserve"> mg/g。造成酸价不合格的原因可能</w:t>
      </w:r>
      <w:r>
        <w:rPr>
          <w:rFonts w:hint="eastAsia" w:ascii="Times New Roman" w:hAnsi="Times New Roman" w:eastAsia="仿宋_GB2312" w:cs="Times New Roman"/>
          <w:color w:val="auto"/>
          <w:kern w:val="2"/>
          <w:sz w:val="32"/>
          <w:szCs w:val="32"/>
          <w:highlight w:val="none"/>
          <w:lang w:val="en-GB" w:eastAsia="zh-CN" w:bidi="ar-SA"/>
        </w:rPr>
        <w:t>是反复使用未及时更换煎炸油，</w:t>
      </w:r>
      <w:r>
        <w:rPr>
          <w:rFonts w:hint="default" w:ascii="Times New Roman" w:hAnsi="Times New Roman" w:eastAsia="仿宋_GB2312" w:cs="Times New Roman"/>
          <w:color w:val="auto"/>
          <w:kern w:val="2"/>
          <w:sz w:val="32"/>
          <w:szCs w:val="32"/>
          <w:highlight w:val="none"/>
          <w:lang w:val="en-GB" w:eastAsia="zh-CN" w:bidi="ar-SA"/>
        </w:rPr>
        <w:t>特别是存贮温度较高时易导致食品中的脂肪氧化酸败。</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592" w:firstLineChars="200"/>
        <w:textAlignment w:val="auto"/>
        <w:rPr>
          <w:rFonts w:hint="default" w:ascii="Times New Roman" w:hAnsi="Times New Roman" w:eastAsia="黑体" w:cs="Times New Roman"/>
          <w:b w:val="0"/>
          <w:bCs w:val="0"/>
          <w:color w:val="auto"/>
          <w:spacing w:val="-12"/>
          <w:kern w:val="2"/>
          <w:sz w:val="32"/>
          <w:szCs w:val="32"/>
          <w:highlight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snapToGrid/>
        <w:spacing w:after="0" w:line="560" w:lineRule="exact"/>
        <w:ind w:firstLine="592" w:firstLineChars="200"/>
        <w:textAlignment w:val="auto"/>
        <w:rPr>
          <w:rFonts w:hint="eastAsia" w:ascii="Times New Roman" w:hAnsi="Times New Roman" w:eastAsia="黑体" w:cs="Times New Roman"/>
          <w:b w:val="0"/>
          <w:bCs w:val="0"/>
          <w:color w:val="auto"/>
          <w:spacing w:val="-12"/>
          <w:kern w:val="2"/>
          <w:sz w:val="32"/>
          <w:szCs w:val="32"/>
          <w:highlight w:val="none"/>
          <w:lang w:val="en-US" w:eastAsia="zh-CN" w:bidi="ar-SA"/>
        </w:rPr>
      </w:pPr>
      <w:r>
        <w:rPr>
          <w:rFonts w:hint="eastAsia" w:ascii="Times New Roman" w:hAnsi="Times New Roman" w:eastAsia="黑体" w:cs="Times New Roman"/>
          <w:b w:val="0"/>
          <w:bCs w:val="0"/>
          <w:color w:val="auto"/>
          <w:spacing w:val="-12"/>
          <w:kern w:val="2"/>
          <w:sz w:val="32"/>
          <w:szCs w:val="32"/>
          <w:highlight w:val="none"/>
          <w:lang w:val="en-US" w:eastAsia="zh-CN" w:bidi="ar-SA"/>
        </w:rPr>
        <w:t>二、阴离子合成洗涤剂(以十二烷基苯磺酸钠计)</w:t>
      </w:r>
    </w:p>
    <w:p>
      <w:pPr>
        <w:ind w:firstLine="640" w:firstLineChars="200"/>
        <w:rPr>
          <w:rFonts w:hint="default" w:ascii="Times New Roman" w:hAnsi="Times New Roman" w:eastAsia="仿宋_GB2312" w:cs="Times New Roman"/>
          <w:color w:val="auto"/>
          <w:kern w:val="2"/>
          <w:sz w:val="32"/>
          <w:szCs w:val="32"/>
          <w:highlight w:val="none"/>
          <w:lang w:val="en-GB" w:eastAsia="zh-CN" w:bidi="ar-SA"/>
        </w:rPr>
      </w:pPr>
      <w:r>
        <w:rPr>
          <w:rFonts w:hint="default" w:ascii="Times New Roman" w:hAnsi="Times New Roman" w:eastAsia="仿宋_GB2312" w:cs="Times New Roman"/>
          <w:color w:val="auto"/>
          <w:kern w:val="2"/>
          <w:sz w:val="32"/>
          <w:szCs w:val="32"/>
          <w:highlight w:val="none"/>
          <w:lang w:val="en-GB" w:eastAsia="zh-CN" w:bidi="ar-SA"/>
        </w:rPr>
        <w:t>阴离子合成洗涤剂（以十二烷基苯磺酸钠计），即日常生活中经常用到的洗衣粉、洗洁精、洗衣液等洗涤剂的主要成分，其主要成分十二烷基苯磺酸钠，因其使用方便、易溶解、稳定性好，成本低等优点，在消毒企业中广泛使用。《食品安全国家标准 消毒餐（饮）具》（GB14934</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GB" w:eastAsia="zh-CN" w:bidi="ar-SA"/>
        </w:rPr>
        <w:t>2016）中规定，采用化学消毒法的餐（饮）具阴离子合成洗涤剂应不得检出。餐（饮）具阴离子合成洗涤剂不合格的原因可能是：餐（饮）具消毒单位使用的洗涤剂不合格或使用量过大，未经足够量清水清洗。</w:t>
      </w:r>
    </w:p>
    <w:p>
      <w:pPr>
        <w:ind w:firstLine="640" w:firstLineChars="200"/>
        <w:rPr>
          <w:rFonts w:hint="default" w:ascii="Times New Roman" w:hAnsi="Times New Roman" w:eastAsia="黑体" w:cs="Times New Roman"/>
          <w:b w:val="0"/>
          <w:bCs w:val="0"/>
          <w:i w:val="0"/>
          <w:caps w:val="0"/>
          <w:color w:val="auto"/>
          <w:spacing w:val="0"/>
          <w:kern w:val="2"/>
          <w:sz w:val="32"/>
          <w:szCs w:val="32"/>
          <w:shd w:val="clear" w:fill="auto"/>
          <w:lang w:val="en-US" w:eastAsia="zh-CN" w:bidi="ar-SA"/>
        </w:rPr>
      </w:pPr>
      <w:r>
        <w:rPr>
          <w:rFonts w:hint="eastAsia" w:ascii="Times New Roman" w:hAnsi="Times New Roman" w:eastAsia="黑体" w:cs="Times New Roman"/>
          <w:b w:val="0"/>
          <w:bCs w:val="0"/>
          <w:i w:val="0"/>
          <w:caps w:val="0"/>
          <w:color w:val="auto"/>
          <w:spacing w:val="0"/>
          <w:kern w:val="2"/>
          <w:sz w:val="32"/>
          <w:szCs w:val="32"/>
          <w:shd w:val="clear" w:fill="auto"/>
          <w:lang w:val="en-GB" w:eastAsia="zh-CN" w:bidi="ar-SA"/>
        </w:rPr>
        <w:t>三、</w:t>
      </w:r>
      <w:r>
        <w:rPr>
          <w:rFonts w:hint="default" w:ascii="Times New Roman" w:hAnsi="Times New Roman" w:eastAsia="黑体" w:cs="Times New Roman"/>
          <w:b w:val="0"/>
          <w:bCs w:val="0"/>
          <w:i w:val="0"/>
          <w:caps w:val="0"/>
          <w:color w:val="auto"/>
          <w:spacing w:val="0"/>
          <w:kern w:val="2"/>
          <w:sz w:val="32"/>
          <w:szCs w:val="32"/>
          <w:shd w:val="clear" w:fill="auto"/>
          <w:lang w:val="en-GB" w:eastAsia="zh-CN" w:bidi="ar-SA"/>
        </w:rPr>
        <w:t>噻虫胺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黑体" w:cs="Times New Roman"/>
          <w:spacing w:val="-12"/>
          <w:sz w:val="32"/>
          <w:szCs w:val="32"/>
          <w:lang w:eastAsia="zh-CN"/>
        </w:rPr>
      </w:pPr>
      <w:r>
        <w:rPr>
          <w:rFonts w:hint="default" w:ascii="Times New Roman" w:hAnsi="Times New Roman" w:eastAsia="仿宋_GB2312" w:cs="Times New Roman"/>
          <w:b w:val="0"/>
          <w:bCs w:val="0"/>
          <w:color w:val="auto"/>
          <w:kern w:val="2"/>
          <w:sz w:val="32"/>
          <w:szCs w:val="32"/>
          <w:highlight w:val="none"/>
          <w:lang w:val="en-GB" w:eastAsia="zh-CN" w:bidi="ar-SA"/>
        </w:rPr>
        <w:t>噻虫胺属新烟碱类杀虫剂，具有内吸性、触杀和胃毒作用，对姜蛆等有较好防效。《食品安全国家标准 食品中农药最大残留限量》（GB 2763—20</w:t>
      </w:r>
      <w:r>
        <w:rPr>
          <w:rFonts w:hint="default" w:ascii="Times New Roman" w:hAnsi="Times New Roman" w:eastAsia="仿宋_GB2312" w:cs="Times New Roman"/>
          <w:b w:val="0"/>
          <w:bCs w:val="0"/>
          <w:color w:val="auto"/>
          <w:kern w:val="2"/>
          <w:sz w:val="32"/>
          <w:szCs w:val="32"/>
          <w:highlight w:val="none"/>
          <w:lang w:val="en-US" w:eastAsia="zh-CN" w:bidi="ar-SA"/>
        </w:rPr>
        <w:t>21</w:t>
      </w:r>
      <w:r>
        <w:rPr>
          <w:rFonts w:hint="default" w:ascii="Times New Roman" w:hAnsi="Times New Roman" w:eastAsia="仿宋_GB2312" w:cs="Times New Roman"/>
          <w:b w:val="0"/>
          <w:bCs w:val="0"/>
          <w:color w:val="auto"/>
          <w:kern w:val="2"/>
          <w:sz w:val="32"/>
          <w:szCs w:val="32"/>
          <w:highlight w:val="none"/>
          <w:lang w:val="en-GB" w:eastAsia="zh-CN" w:bidi="ar-SA"/>
        </w:rPr>
        <w:t>）中规定，噻虫胺在</w:t>
      </w:r>
      <w:r>
        <w:rPr>
          <w:rFonts w:hint="eastAsia" w:ascii="Times New Roman" w:hAnsi="Times New Roman" w:eastAsia="仿宋_GB2312" w:cs="Times New Roman"/>
          <w:b w:val="0"/>
          <w:bCs w:val="0"/>
          <w:color w:val="auto"/>
          <w:kern w:val="2"/>
          <w:sz w:val="32"/>
          <w:szCs w:val="32"/>
          <w:highlight w:val="none"/>
          <w:lang w:val="en-GB" w:eastAsia="zh-CN" w:bidi="ar-SA"/>
        </w:rPr>
        <w:t>生姜</w:t>
      </w:r>
      <w:bookmarkStart w:id="0" w:name="_GoBack"/>
      <w:bookmarkEnd w:id="0"/>
      <w:r>
        <w:rPr>
          <w:rFonts w:hint="default" w:ascii="Times New Roman" w:hAnsi="Times New Roman" w:eastAsia="仿宋_GB2312" w:cs="Times New Roman"/>
          <w:b w:val="0"/>
          <w:bCs w:val="0"/>
          <w:color w:val="auto"/>
          <w:kern w:val="2"/>
          <w:sz w:val="32"/>
          <w:szCs w:val="32"/>
          <w:highlight w:val="none"/>
          <w:lang w:val="en-GB" w:eastAsia="zh-CN" w:bidi="ar-SA"/>
        </w:rPr>
        <w:t>中最大残留限量值为0.2mg/kg</w:t>
      </w:r>
      <w:r>
        <w:rPr>
          <w:rFonts w:hint="eastAsia" w:ascii="Times New Roman" w:hAnsi="Times New Roman" w:eastAsia="仿宋_GB2312" w:cs="Times New Roman"/>
          <w:b w:val="0"/>
          <w:bCs w:val="0"/>
          <w:color w:val="auto"/>
          <w:kern w:val="2"/>
          <w:sz w:val="32"/>
          <w:szCs w:val="32"/>
          <w:highlight w:val="none"/>
          <w:lang w:val="en-GB" w:eastAsia="zh-CN" w:bidi="ar-SA"/>
        </w:rPr>
        <w:t>，</w:t>
      </w:r>
      <w:r>
        <w:rPr>
          <w:rFonts w:hint="default" w:ascii="Times New Roman" w:hAnsi="Times New Roman" w:eastAsia="仿宋_GB2312" w:cs="Times New Roman"/>
          <w:b w:val="0"/>
          <w:bCs w:val="0"/>
          <w:color w:val="auto"/>
          <w:kern w:val="2"/>
          <w:sz w:val="32"/>
          <w:szCs w:val="32"/>
          <w:highlight w:val="none"/>
          <w:lang w:val="en-GB" w:eastAsia="zh-CN" w:bidi="ar-SA"/>
        </w:rPr>
        <w:t>噻虫胺残留量超标的原因，可能是种植户为快速控制虫害，加大用药量或未遵守采摘间隔期规定，致使上市销售的产品中残留量超标。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黑体" w:cs="Times New Roman"/>
          <w:spacing w:val="-12"/>
          <w:sz w:val="32"/>
          <w:szCs w:val="32"/>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eastAsia" w:ascii="Times New Roman" w:hAnsi="Times New Roman" w:eastAsia="黑体" w:cs="Times New Roman"/>
          <w:spacing w:val="-12"/>
          <w:sz w:val="32"/>
          <w:szCs w:val="32"/>
          <w:lang w:val="en-US" w:eastAsia="zh-CN"/>
        </w:rPr>
      </w:pPr>
      <w:r>
        <w:rPr>
          <w:rFonts w:hint="eastAsia" w:ascii="Times New Roman" w:hAnsi="Times New Roman" w:eastAsia="黑体" w:cs="Times New Roman"/>
          <w:spacing w:val="-12"/>
          <w:sz w:val="32"/>
          <w:szCs w:val="32"/>
          <w:lang w:val="en-US" w:eastAsia="zh-CN"/>
        </w:rPr>
        <w:t>四、咪鲜胺和咪鲜胺锰盐</w:t>
      </w:r>
    </w:p>
    <w:p>
      <w:pPr>
        <w:pStyle w:val="2"/>
        <w:keepNext w:val="0"/>
        <w:keepLines w:val="0"/>
        <w:pageBreakBefore w:val="0"/>
        <w:kinsoku/>
        <w:wordWrap/>
        <w:overflowPunct/>
        <w:topLinePunct w:val="0"/>
        <w:autoSpaceDE/>
        <w:autoSpaceDN/>
        <w:bidi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咪鲜胺和咪鲜胺锰盐是一种广谱高效杀菌剂。《食品安全国家标准 食品中农药最大残留限量》（GB 2763-2021）中规定，山药中咪鲜胺和咪鲜胺锰盐的最大残留限量值为0.3mg/kg。造成山药中咪鲜胺和咪鲜胺锰盐超标的主要原因可能是种植户对使用农药的安全间隔期不了解，从而违规使用或滥用农药。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仿宋_GB2312" w:cs="Times New Roman"/>
          <w:color w:val="auto"/>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92" w:firstLineChars="200"/>
        <w:jc w:val="left"/>
        <w:textAlignment w:val="auto"/>
        <w:rPr>
          <w:rFonts w:hint="default"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五</w:t>
      </w:r>
      <w:r>
        <w:rPr>
          <w:rFonts w:hint="default" w:ascii="Times New Roman" w:hAnsi="Times New Roman" w:eastAsia="黑体" w:cs="Times New Roman"/>
          <w:spacing w:val="-12"/>
          <w:sz w:val="32"/>
          <w:szCs w:val="32"/>
          <w:lang w:eastAsia="zh-CN"/>
        </w:rPr>
        <w:t>、大肠菌群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GB"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GB" w:eastAsia="zh-CN" w:bidi="ar-SA"/>
        </w:rPr>
        <w:t>大肠菌群是国内外通用的食品污染常用指示菌之一。食品中检出大肠菌群，提示被致病菌（如沙门氏菌、志贺氏菌、致病性大肠杆菌）污染的可能性较大。《食品安全国家标准 消毒餐（饮）具》（GB 14934-2016）中规定，大肠菌群为不得检出。造成复用餐饮具中大肠菌群超标的主要原因可能是餐饮服务场所对餐具未消毒杀菌或杀菌不彻底。</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16" w:firstLineChars="200"/>
        <w:jc w:val="both"/>
        <w:textAlignment w:val="auto"/>
        <w:rPr>
          <w:rFonts w:hint="default" w:ascii="Times New Roman" w:hAnsi="Times New Roman" w:eastAsia="黑体" w:cs="Times New Roman"/>
          <w:b w:val="0"/>
          <w:bCs w:val="0"/>
          <w:color w:val="auto"/>
          <w:spacing w:val="-12"/>
          <w:kern w:val="2"/>
          <w:sz w:val="32"/>
          <w:szCs w:val="32"/>
          <w:highlight w:val="none"/>
          <w:lang w:val="en-US" w:eastAsia="zh-CN" w:bidi="ar-SA"/>
        </w:rPr>
      </w:pPr>
      <w:r>
        <w:rPr>
          <w:rFonts w:hint="eastAsia" w:ascii="黑体" w:hAnsi="黑体" w:eastAsia="黑体" w:cs="黑体"/>
          <w:spacing w:val="-6"/>
          <w:kern w:val="2"/>
          <w:sz w:val="32"/>
          <w:szCs w:val="32"/>
          <w:lang w:val="en-US" w:eastAsia="zh-CN" w:bidi="ar-SA"/>
        </w:rPr>
        <w:t>六、</w:t>
      </w:r>
      <w:r>
        <w:rPr>
          <w:rFonts w:hint="default" w:ascii="Times New Roman" w:hAnsi="Times New Roman" w:eastAsia="黑体" w:cs="Times New Roman"/>
          <w:b w:val="0"/>
          <w:bCs w:val="0"/>
          <w:color w:val="auto"/>
          <w:spacing w:val="-12"/>
          <w:kern w:val="2"/>
          <w:sz w:val="32"/>
          <w:szCs w:val="32"/>
          <w:highlight w:val="none"/>
          <w:lang w:val="en-US" w:eastAsia="zh-CN" w:bidi="ar-SA"/>
        </w:rPr>
        <w:t>柠檬黄</w:t>
      </w:r>
    </w:p>
    <w:p>
      <w:pPr>
        <w:ind w:firstLine="640" w:firstLineChars="200"/>
        <w:rPr>
          <w:rFonts w:hint="eastAsia"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柠檬黄是常见合成着色剂，在现代食品业中应用广泛。《食品安全国家标准 食品添加剂使用标准》（GB 2760-2024）中规定，</w:t>
      </w:r>
      <w:r>
        <w:rPr>
          <w:rFonts w:hint="eastAsia" w:ascii="Times New Roman" w:hAnsi="Times New Roman" w:eastAsia="仿宋_GB2312" w:cs="Times New Roman"/>
          <w:color w:val="auto"/>
          <w:kern w:val="2"/>
          <w:sz w:val="32"/>
          <w:szCs w:val="32"/>
          <w:highlight w:val="none"/>
          <w:lang w:val="en-GB" w:eastAsia="zh-CN" w:bidi="ar-SA"/>
        </w:rPr>
        <w:t>粉条</w:t>
      </w:r>
      <w:r>
        <w:rPr>
          <w:rFonts w:hint="default" w:ascii="Times New Roman" w:hAnsi="Times New Roman" w:eastAsia="仿宋_GB2312" w:cs="Times New Roman"/>
          <w:color w:val="auto"/>
          <w:kern w:val="2"/>
          <w:sz w:val="32"/>
          <w:szCs w:val="32"/>
          <w:highlight w:val="none"/>
          <w:lang w:val="en-US" w:eastAsia="zh-CN" w:bidi="ar-SA"/>
        </w:rPr>
        <w:t>中不得使用柠檬黄。造成柠檬黄超标的主要原因是生产企业未按国家标准规定，在生产加工过程中超范围、超限量使用。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eastAsia" w:ascii="黑体" w:hAnsi="黑体" w:eastAsia="黑体" w:cs="黑体"/>
          <w:spacing w:val="-6"/>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16" w:firstLineChars="200"/>
        <w:jc w:val="left"/>
        <w:textAlignment w:val="auto"/>
        <w:rPr>
          <w:rFonts w:hint="eastAsia"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七、恩诺沙星</w:t>
      </w:r>
    </w:p>
    <w:p>
      <w:pPr>
        <w:ind w:firstLine="640" w:firstLineChars="200"/>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恩诺沙星属于氟喹诺酮类药物，是一类人工合成的广谱抗菌药，用于治疗动物的皮肤感染、呼吸道感染等，是动物专属用药。根据《食品安全国家标准 食品中兽药最大残留限量》（GB 31650-2019）规定，我国主要食品中恩诺沙星（残留标志物为恩诺沙星与环丙沙星之和）在牛蛙和其他动物的肌肉中的最高残留限量为100μg/kg。</w:t>
      </w:r>
    </w:p>
    <w:p>
      <w:pPr>
        <w:rPr>
          <w:rFonts w:hint="eastAsia" w:ascii="Times New Roman" w:hAnsi="Times New Roman" w:eastAsia="仿宋_GB2312" w:cs="Times New Roman"/>
          <w:b w:val="0"/>
          <w:bCs w:val="0"/>
          <w:kern w:val="2"/>
          <w:sz w:val="32"/>
          <w:szCs w:val="32"/>
          <w:highlight w:val="none"/>
          <w:lang w:val="en-US" w:eastAsia="zh-CN" w:bidi="ar-SA"/>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八、蛋白质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GB" w:eastAsia="zh-CN" w:bidi="ar-SA"/>
        </w:rPr>
      </w:pPr>
      <w:r>
        <w:rPr>
          <w:rFonts w:hint="eastAsia" w:ascii="Times New Roman" w:hAnsi="Times New Roman" w:eastAsia="仿宋_GB2312" w:cs="Times New Roman"/>
          <w:color w:val="auto"/>
          <w:kern w:val="2"/>
          <w:sz w:val="32"/>
          <w:szCs w:val="32"/>
          <w:highlight w:val="none"/>
          <w:lang w:val="en-GB" w:eastAsia="zh-CN" w:bidi="ar-SA"/>
        </w:rPr>
        <w:t>蛋白质（</w:t>
      </w:r>
      <w:r>
        <w:rPr>
          <w:rFonts w:hint="default" w:ascii="Times New Roman" w:hAnsi="Times New Roman" w:eastAsia="仿宋_GB2312" w:cs="Times New Roman"/>
          <w:color w:val="auto"/>
          <w:kern w:val="2"/>
          <w:sz w:val="32"/>
          <w:szCs w:val="32"/>
          <w:highlight w:val="none"/>
          <w:lang w:val="en-GB" w:eastAsia="zh-CN" w:bidi="ar-SA"/>
        </w:rPr>
        <w:t>protein</w:t>
      </w:r>
      <w:r>
        <w:rPr>
          <w:rFonts w:hint="eastAsia" w:ascii="Times New Roman" w:hAnsi="Times New Roman" w:eastAsia="仿宋_GB2312" w:cs="Times New Roman"/>
          <w:color w:val="auto"/>
          <w:kern w:val="2"/>
          <w:sz w:val="32"/>
          <w:szCs w:val="32"/>
          <w:highlight w:val="none"/>
          <w:lang w:val="en-GB" w:eastAsia="zh-CN" w:bidi="ar-SA"/>
        </w:rPr>
        <w:t>）是由氨基酸以肽键连接在一起，并形成一定空间结构的高分子有机化合物。蛋白质是构成机体组织、器官的重要成分，是构成机体多种重要生理活性物质的成分，还能供给能量。蛋白质的食物来源可分为植物性和动物性两大类。植物性蛋白质中，谷类含蛋白质</w:t>
      </w:r>
      <w:r>
        <w:rPr>
          <w:rFonts w:hint="default" w:ascii="Times New Roman" w:hAnsi="Times New Roman" w:eastAsia="仿宋_GB2312" w:cs="Times New Roman"/>
          <w:color w:val="auto"/>
          <w:kern w:val="2"/>
          <w:sz w:val="32"/>
          <w:szCs w:val="32"/>
          <w:highlight w:val="none"/>
          <w:lang w:val="en-GB" w:eastAsia="zh-CN" w:bidi="ar-SA"/>
        </w:rPr>
        <w:t>8%</w:t>
      </w:r>
      <w:r>
        <w:rPr>
          <w:rFonts w:hint="eastAsia" w:ascii="Times New Roman" w:hAnsi="Times New Roman" w:eastAsia="仿宋_GB2312" w:cs="Times New Roman"/>
          <w:color w:val="auto"/>
          <w:kern w:val="2"/>
          <w:sz w:val="32"/>
          <w:szCs w:val="32"/>
          <w:highlight w:val="none"/>
          <w:lang w:val="en-GB" w:eastAsia="zh-CN" w:bidi="ar-SA"/>
        </w:rPr>
        <w:t>左右，是居民的主食，摄入量大，也是膳食蛋白质的主要来源。</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851CD"/>
    <w:rsid w:val="05A62C63"/>
    <w:rsid w:val="17013FCD"/>
    <w:rsid w:val="1E9B5E71"/>
    <w:rsid w:val="2B593DAD"/>
    <w:rsid w:val="2F460A22"/>
    <w:rsid w:val="2FB83C91"/>
    <w:rsid w:val="31A851CD"/>
    <w:rsid w:val="38AB50E2"/>
    <w:rsid w:val="3E552E68"/>
    <w:rsid w:val="407E6FC0"/>
    <w:rsid w:val="43E139AE"/>
    <w:rsid w:val="49D96588"/>
    <w:rsid w:val="5F482CA4"/>
    <w:rsid w:val="666A744A"/>
    <w:rsid w:val="6F6E1282"/>
    <w:rsid w:val="793765BF"/>
    <w:rsid w:val="7F7E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2025-11-28T03:59:00Z</dcterms:created>
  <dc:creator>夜，魅，离</dc:creator>
  <cp:lastModifiedBy>赵中山</cp:lastModifiedBy>
  <dcterms:modified xsi:type="dcterms:W3CDTF">2025-12-30T09:55:18Z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