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p>
    <w:p>
      <w:pPr>
        <w:pStyle w:val="2"/>
        <w:keepNext w:val="0"/>
        <w:keepLines w:val="0"/>
        <w:pageBreakBefore w:val="0"/>
        <w:widowControl w:val="0"/>
        <w:kinsoku/>
        <w:overflowPunct/>
        <w:topLinePunct w:val="0"/>
        <w:autoSpaceDE/>
        <w:autoSpaceDN/>
        <w:bidi w:val="0"/>
        <w:adjustRightInd/>
        <w:snapToGrid/>
        <w:spacing w:line="560" w:lineRule="exact"/>
        <w:rPr>
          <w:rFonts w:hint="default"/>
          <w:color w:val="auto"/>
          <w:lang w:eastAsia="zh-CN"/>
        </w:rPr>
      </w:pPr>
    </w:p>
    <w:p>
      <w:pPr>
        <w:keepNext w:val="0"/>
        <w:keepLines w:val="0"/>
        <w:pageBreakBefore w:val="0"/>
        <w:widowControl w:val="0"/>
        <w:kinsoku/>
        <w:overflowPunct/>
        <w:topLinePunct w:val="0"/>
        <w:autoSpaceDE/>
        <w:autoSpaceDN/>
        <w:bidi w:val="0"/>
        <w:adjustRightInd/>
        <w:snapToGrid/>
        <w:spacing w:line="560" w:lineRule="exact"/>
        <w:rPr>
          <w:rFonts w:hint="default"/>
          <w:color w:val="auto"/>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72"/>
          <w:szCs w:val="72"/>
          <w:lang w:eastAsia="zh-CN"/>
        </w:rPr>
      </w:pPr>
      <w:r>
        <w:rPr>
          <w:rFonts w:hint="eastAsia" w:ascii="黑体" w:hAnsi="黑体" w:eastAsia="黑体" w:cs="黑体"/>
          <w:b/>
          <w:bCs/>
          <w:color w:val="auto"/>
          <w:sz w:val="72"/>
          <w:szCs w:val="72"/>
          <w:lang w:eastAsia="zh-CN"/>
        </w:rPr>
        <w:t>昌吉州跨部门综合监管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color w:val="auto"/>
          <w:sz w:val="52"/>
          <w:szCs w:val="52"/>
          <w:lang w:eastAsia="zh-CN"/>
        </w:rPr>
      </w:pPr>
      <w:r>
        <w:rPr>
          <w:rFonts w:hint="eastAsia" w:ascii="楷体" w:hAnsi="楷体" w:eastAsia="楷体" w:cs="楷体"/>
          <w:b/>
          <w:bCs/>
          <w:color w:val="auto"/>
          <w:sz w:val="52"/>
          <w:szCs w:val="52"/>
          <w:lang w:eastAsia="zh-CN"/>
        </w:rPr>
        <w:t>“一业一册”合规经营指南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44"/>
          <w:szCs w:val="44"/>
          <w:lang w:eastAsia="zh-CN"/>
        </w:rPr>
      </w:pPr>
      <w:r>
        <w:rPr>
          <w:rFonts w:hint="eastAsia" w:ascii="黑体" w:hAnsi="黑体" w:eastAsia="黑体" w:cs="黑体"/>
          <w:b w:val="0"/>
          <w:bCs w:val="0"/>
          <w:color w:val="auto"/>
          <w:sz w:val="44"/>
          <w:szCs w:val="44"/>
          <w:lang w:eastAsia="zh-CN"/>
        </w:rPr>
        <w:t>（</w:t>
      </w:r>
      <w:r>
        <w:rPr>
          <w:rFonts w:hint="eastAsia" w:ascii="黑体" w:hAnsi="黑体" w:eastAsia="黑体" w:cs="黑体"/>
          <w:b w:val="0"/>
          <w:bCs w:val="0"/>
          <w:color w:val="auto"/>
          <w:sz w:val="44"/>
          <w:szCs w:val="44"/>
          <w:lang w:val="en-US" w:eastAsia="zh-CN"/>
        </w:rPr>
        <w:t>第一</w:t>
      </w:r>
      <w:r>
        <w:rPr>
          <w:rFonts w:hint="eastAsia" w:ascii="黑体" w:hAnsi="黑体" w:eastAsia="黑体" w:cs="黑体"/>
          <w:b w:val="0"/>
          <w:bCs w:val="0"/>
          <w:color w:val="auto"/>
          <w:sz w:val="44"/>
          <w:szCs w:val="44"/>
          <w:lang w:eastAsia="zh-CN"/>
        </w:rPr>
        <w:t>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eastAsia="zh-CN"/>
        </w:rPr>
      </w:pPr>
    </w:p>
    <w:p>
      <w:pPr>
        <w:pStyle w:val="5"/>
        <w:keepNext w:val="0"/>
        <w:keepLines w:val="0"/>
        <w:pageBreakBefore w:val="0"/>
        <w:widowControl w:val="0"/>
        <w:tabs>
          <w:tab w:val="right" w:leader="hyphen" w:pos="8845"/>
        </w:tabs>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i w:val="0"/>
          <w:color w:val="auto"/>
          <w:spacing w:val="0"/>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rPr>
          <w:rFonts w:hint="eastAsia" w:ascii="黑体" w:hAnsi="黑体" w:eastAsia="黑体" w:cs="黑体"/>
          <w:b w:val="0"/>
          <w:i w:val="0"/>
          <w:color w:val="auto"/>
          <w:spacing w:val="0"/>
          <w:sz w:val="32"/>
          <w:szCs w:val="32"/>
          <w:lang w:eastAsia="zh-CN"/>
        </w:rPr>
      </w:pPr>
    </w:p>
    <w:p>
      <w:pPr>
        <w:pStyle w:val="2"/>
        <w:keepNext w:val="0"/>
        <w:keepLines w:val="0"/>
        <w:pageBreakBefore w:val="0"/>
        <w:widowControl w:val="0"/>
        <w:kinsoku/>
        <w:overflowPunct/>
        <w:topLinePunct w:val="0"/>
        <w:autoSpaceDE/>
        <w:autoSpaceDN/>
        <w:bidi w:val="0"/>
        <w:adjustRightInd/>
        <w:snapToGrid/>
        <w:spacing w:line="560" w:lineRule="exact"/>
        <w:rPr>
          <w:rFonts w:hint="eastAsia" w:ascii="黑体" w:hAnsi="黑体" w:eastAsia="黑体" w:cs="黑体"/>
          <w:b w:val="0"/>
          <w:i w:val="0"/>
          <w:color w:val="auto"/>
          <w:spacing w:val="0"/>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rPr>
          <w:rFonts w:hint="eastAsia" w:ascii="黑体" w:hAnsi="黑体" w:eastAsia="黑体" w:cs="黑体"/>
          <w:b w:val="0"/>
          <w:i w:val="0"/>
          <w:color w:val="auto"/>
          <w:spacing w:val="0"/>
          <w:sz w:val="32"/>
          <w:szCs w:val="32"/>
          <w:lang w:eastAsia="zh-CN"/>
        </w:rPr>
      </w:pPr>
    </w:p>
    <w:p>
      <w:pPr>
        <w:pStyle w:val="2"/>
        <w:keepNext w:val="0"/>
        <w:keepLines w:val="0"/>
        <w:pageBreakBefore w:val="0"/>
        <w:widowControl w:val="0"/>
        <w:kinsoku/>
        <w:overflowPunct/>
        <w:topLinePunct w:val="0"/>
        <w:autoSpaceDE/>
        <w:autoSpaceDN/>
        <w:bidi w:val="0"/>
        <w:adjustRightInd/>
        <w:snapToGrid/>
        <w:spacing w:line="560" w:lineRule="exact"/>
        <w:rPr>
          <w:rFonts w:hint="eastAsia" w:ascii="黑体" w:hAnsi="黑体" w:eastAsia="黑体" w:cs="黑体"/>
          <w:b w:val="0"/>
          <w:i w:val="0"/>
          <w:color w:val="auto"/>
          <w:spacing w:val="0"/>
          <w:sz w:val="32"/>
          <w:szCs w:val="32"/>
          <w:lang w:eastAsia="zh-CN"/>
        </w:rPr>
      </w:pPr>
    </w:p>
    <w:p>
      <w:pPr>
        <w:rPr>
          <w:rFonts w:hint="eastAsia"/>
          <w:lang w:eastAsia="zh-CN"/>
        </w:rPr>
      </w:pPr>
    </w:p>
    <w:p>
      <w:pPr>
        <w:keepNext w:val="0"/>
        <w:keepLines w:val="0"/>
        <w:pageBreakBefore w:val="0"/>
        <w:widowControl w:val="0"/>
        <w:kinsoku/>
        <w:overflowPunct/>
        <w:topLinePunct w:val="0"/>
        <w:autoSpaceDE/>
        <w:autoSpaceDN/>
        <w:bidi w:val="0"/>
        <w:adjustRightInd/>
        <w:snapToGrid/>
        <w:spacing w:line="560" w:lineRule="exact"/>
        <w:rPr>
          <w:rFonts w:hint="eastAsia" w:ascii="黑体" w:hAnsi="黑体" w:eastAsia="黑体" w:cs="黑体"/>
          <w:b w:val="0"/>
          <w:i w:val="0"/>
          <w:color w:val="auto"/>
          <w:spacing w:val="0"/>
          <w:sz w:val="32"/>
          <w:szCs w:val="32"/>
          <w:lang w:eastAsia="zh-CN"/>
        </w:rPr>
      </w:pPr>
    </w:p>
    <w:p>
      <w:pPr>
        <w:pStyle w:val="2"/>
        <w:keepNext w:val="0"/>
        <w:keepLines w:val="0"/>
        <w:pageBreakBefore w:val="0"/>
        <w:widowControl w:val="0"/>
        <w:kinsoku/>
        <w:overflowPunct/>
        <w:topLinePunct w:val="0"/>
        <w:autoSpaceDE/>
        <w:autoSpaceDN/>
        <w:bidi w:val="0"/>
        <w:adjustRightInd/>
        <w:snapToGrid/>
        <w:spacing w:line="560" w:lineRule="exact"/>
        <w:rPr>
          <w:rFonts w:hint="eastAsia" w:ascii="黑体" w:hAnsi="黑体" w:eastAsia="黑体" w:cs="黑体"/>
          <w:b w:val="0"/>
          <w:i w:val="0"/>
          <w:color w:val="auto"/>
          <w:spacing w:val="0"/>
          <w:sz w:val="32"/>
          <w:szCs w:val="32"/>
          <w:lang w:val="en-US" w:eastAsia="zh-CN"/>
        </w:rPr>
      </w:pPr>
      <w:r>
        <w:rPr>
          <w:rFonts w:hint="eastAsia" w:ascii="黑体" w:hAnsi="黑体" w:eastAsia="黑体" w:cs="黑体"/>
          <w:b w:val="0"/>
          <w:i w:val="0"/>
          <w:color w:val="auto"/>
          <w:spacing w:val="0"/>
          <w:sz w:val="32"/>
          <w:szCs w:val="32"/>
          <w:lang w:val="en-US" w:eastAsia="zh-CN"/>
        </w:rPr>
        <w:t>昌吉州市场监督管理局</w:t>
      </w:r>
    </w:p>
    <w:p>
      <w:pPr>
        <w:rPr>
          <w:rFonts w:hint="default"/>
          <w:sz w:val="32"/>
          <w:szCs w:val="32"/>
          <w:lang w:val="en-US" w:eastAsia="zh-CN"/>
        </w:rPr>
      </w:pPr>
      <w:r>
        <w:rPr>
          <w:rFonts w:hint="eastAsia" w:ascii="黑体" w:hAnsi="黑体" w:eastAsia="黑体" w:cs="黑体"/>
          <w:b w:val="0"/>
          <w:i w:val="0"/>
          <w:color w:val="auto"/>
          <w:spacing w:val="0"/>
          <w:sz w:val="32"/>
          <w:szCs w:val="32"/>
          <w:lang w:val="en-US" w:eastAsia="zh-CN"/>
        </w:rPr>
        <w:t xml:space="preserve">                     2025年12月</w:t>
      </w:r>
    </w:p>
    <w:p>
      <w:pPr>
        <w:pStyle w:val="5"/>
        <w:keepNext w:val="0"/>
        <w:keepLines w:val="0"/>
        <w:pageBreakBefore w:val="0"/>
        <w:widowControl w:val="0"/>
        <w:tabs>
          <w:tab w:val="right" w:leader="hyphen" w:pos="8845"/>
        </w:tabs>
        <w:kinsoku/>
        <w:overflowPunct/>
        <w:topLinePunct w:val="0"/>
        <w:autoSpaceDE/>
        <w:autoSpaceDN/>
        <w:bidi w:val="0"/>
        <w:adjustRightInd/>
        <w:snapToGrid/>
        <w:spacing w:line="560" w:lineRule="exact"/>
        <w:jc w:val="both"/>
        <w:rPr>
          <w:rFonts w:hint="eastAsia" w:ascii="黑体" w:hAnsi="黑体" w:eastAsia="黑体" w:cs="黑体"/>
          <w:b w:val="0"/>
          <w:i w:val="0"/>
          <w:color w:val="auto"/>
          <w:spacing w:val="0"/>
          <w:sz w:val="32"/>
          <w:szCs w:val="32"/>
          <w:lang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pPr>
        <w:pStyle w:val="5"/>
        <w:keepNext w:val="0"/>
        <w:keepLines w:val="0"/>
        <w:pageBreakBefore w:val="0"/>
        <w:widowControl w:val="0"/>
        <w:tabs>
          <w:tab w:val="right" w:leader="hyphen" w:pos="8845"/>
        </w:tabs>
        <w:kinsoku/>
        <w:overflowPunct/>
        <w:topLinePunct w:val="0"/>
        <w:autoSpaceDE/>
        <w:autoSpaceDN/>
        <w:bidi w:val="0"/>
        <w:adjustRightInd/>
        <w:snapToGrid/>
        <w:spacing w:line="560" w:lineRule="exact"/>
        <w:jc w:val="both"/>
        <w:rPr>
          <w:rFonts w:hint="eastAsia" w:ascii="黑体" w:hAnsi="黑体" w:eastAsia="黑体" w:cs="黑体"/>
          <w:b w:val="0"/>
          <w:i w:val="0"/>
          <w:color w:val="auto"/>
          <w:spacing w:val="0"/>
          <w:sz w:val="32"/>
          <w:szCs w:val="32"/>
          <w:lang w:eastAsia="zh-CN"/>
        </w:rPr>
      </w:pPr>
      <w:bookmarkStart w:id="11" w:name="_GoBack"/>
      <w:bookmarkEnd w:id="11"/>
    </w:p>
    <w:p>
      <w:pPr>
        <w:pStyle w:val="5"/>
        <w:keepNext w:val="0"/>
        <w:keepLines w:val="0"/>
        <w:pageBreakBefore w:val="0"/>
        <w:widowControl w:val="0"/>
        <w:tabs>
          <w:tab w:val="right" w:leader="hyphen" w:pos="8845"/>
        </w:tabs>
        <w:kinsoku/>
        <w:overflowPunct/>
        <w:topLinePunct w:val="0"/>
        <w:autoSpaceDE/>
        <w:autoSpaceDN/>
        <w:bidi w:val="0"/>
        <w:adjustRightInd/>
        <w:snapToGrid/>
        <w:spacing w:line="560" w:lineRule="exact"/>
        <w:jc w:val="center"/>
        <w:rPr>
          <w:rFonts w:hint="eastAsia" w:ascii="黑体" w:hAnsi="黑体" w:eastAsia="黑体" w:cs="黑体"/>
          <w:b w:val="0"/>
          <w:i w:val="0"/>
          <w:color w:val="auto"/>
          <w:spacing w:val="0"/>
          <w:sz w:val="32"/>
          <w:szCs w:val="32"/>
          <w:lang w:eastAsia="zh-CN"/>
        </w:rPr>
      </w:pPr>
      <w:r>
        <w:rPr>
          <w:rFonts w:hint="eastAsia" w:ascii="黑体" w:hAnsi="黑体" w:eastAsia="黑体" w:cs="黑体"/>
          <w:b w:val="0"/>
          <w:i w:val="0"/>
          <w:color w:val="auto"/>
          <w:spacing w:val="0"/>
          <w:sz w:val="32"/>
          <w:szCs w:val="32"/>
          <w:lang w:eastAsia="zh-CN"/>
        </w:rPr>
        <w:t>目</w:t>
      </w:r>
      <w:r>
        <w:rPr>
          <w:rFonts w:hint="eastAsia" w:ascii="黑体" w:hAnsi="黑体" w:eastAsia="黑体" w:cs="黑体"/>
          <w:b w:val="0"/>
          <w:i w:val="0"/>
          <w:color w:val="auto"/>
          <w:spacing w:val="0"/>
          <w:sz w:val="32"/>
          <w:szCs w:val="32"/>
          <w:lang w:val="en-US" w:eastAsia="zh-CN"/>
        </w:rPr>
        <w:t xml:space="preserve">  </w:t>
      </w:r>
      <w:r>
        <w:rPr>
          <w:rFonts w:hint="eastAsia" w:ascii="黑体" w:hAnsi="黑体" w:eastAsia="黑体" w:cs="黑体"/>
          <w:b w:val="0"/>
          <w:i w:val="0"/>
          <w:color w:val="auto"/>
          <w:spacing w:val="0"/>
          <w:sz w:val="32"/>
          <w:szCs w:val="32"/>
          <w:lang w:eastAsia="zh-CN"/>
        </w:rPr>
        <w:t>录</w:t>
      </w:r>
    </w:p>
    <w:p>
      <w:pPr>
        <w:pStyle w:val="5"/>
        <w:tabs>
          <w:tab w:val="right" w:leader="dot" w:pos="8845"/>
        </w:tabs>
        <w:rPr>
          <w:rFonts w:hint="eastAsia" w:ascii="仿宋_GB2312" w:hAnsi="仿宋_GB2312" w:eastAsia="仿宋_GB2312" w:cs="仿宋_GB2312"/>
          <w:b w:val="0"/>
          <w:i w:val="0"/>
          <w:color w:val="auto"/>
          <w:spacing w:val="0"/>
          <w:sz w:val="30"/>
          <w:szCs w:val="30"/>
          <w:lang w:eastAsia="zh-CN"/>
        </w:rPr>
      </w:pPr>
    </w:p>
    <w:p>
      <w:pPr>
        <w:pStyle w:val="5"/>
        <w:tabs>
          <w:tab w:val="right" w:leader="dot" w:pos="8845"/>
        </w:tabs>
        <w:rPr>
          <w:rFonts w:hint="eastAsia" w:ascii="仿宋_GB2312" w:hAnsi="仿宋_GB2312" w:eastAsia="仿宋_GB2312" w:cs="仿宋_GB2312"/>
          <w:color w:val="auto"/>
          <w:sz w:val="30"/>
          <w:szCs w:val="30"/>
        </w:rPr>
      </w:pPr>
      <w:r>
        <w:rPr>
          <w:rFonts w:hint="eastAsia" w:ascii="仿宋_GB2312" w:hAnsi="仿宋_GB2312" w:eastAsia="仿宋_GB2312" w:cs="仿宋_GB2312"/>
          <w:b w:val="0"/>
          <w:i w:val="0"/>
          <w:color w:val="auto"/>
          <w:spacing w:val="0"/>
          <w:sz w:val="30"/>
          <w:szCs w:val="30"/>
          <w:lang w:eastAsia="zh-CN"/>
        </w:rPr>
        <w:fldChar w:fldCharType="begin"/>
      </w:r>
      <w:r>
        <w:rPr>
          <w:rFonts w:hint="eastAsia" w:ascii="仿宋_GB2312" w:hAnsi="仿宋_GB2312" w:eastAsia="仿宋_GB2312" w:cs="仿宋_GB2312"/>
          <w:b w:val="0"/>
          <w:i w:val="0"/>
          <w:color w:val="auto"/>
          <w:spacing w:val="0"/>
          <w:sz w:val="30"/>
          <w:szCs w:val="30"/>
          <w:lang w:eastAsia="zh-CN"/>
        </w:rPr>
        <w:instrText xml:space="preserve">TOC \o "1-1" \h \u </w:instrText>
      </w:r>
      <w:r>
        <w:rPr>
          <w:rFonts w:hint="eastAsia" w:ascii="仿宋_GB2312" w:hAnsi="仿宋_GB2312" w:eastAsia="仿宋_GB2312" w:cs="仿宋_GB2312"/>
          <w:b w:val="0"/>
          <w:i w:val="0"/>
          <w:color w:val="auto"/>
          <w:spacing w:val="0"/>
          <w:sz w:val="30"/>
          <w:szCs w:val="30"/>
          <w:lang w:eastAsia="zh-CN"/>
        </w:rPr>
        <w:fldChar w:fldCharType="separate"/>
      </w:r>
      <w:r>
        <w:rPr>
          <w:rFonts w:hint="eastAsia" w:ascii="仿宋_GB2312" w:hAnsi="仿宋_GB2312" w:eastAsia="仿宋_GB2312" w:cs="仿宋_GB2312"/>
          <w:i w:val="0"/>
          <w:color w:val="auto"/>
          <w:spacing w:val="0"/>
          <w:sz w:val="30"/>
          <w:szCs w:val="30"/>
          <w:lang w:eastAsia="zh-CN"/>
        </w:rPr>
        <w:fldChar w:fldCharType="begin"/>
      </w:r>
      <w:r>
        <w:rPr>
          <w:rFonts w:hint="eastAsia" w:ascii="仿宋_GB2312" w:hAnsi="仿宋_GB2312" w:eastAsia="仿宋_GB2312" w:cs="仿宋_GB2312"/>
          <w:i w:val="0"/>
          <w:color w:val="auto"/>
          <w:spacing w:val="0"/>
          <w:sz w:val="30"/>
          <w:szCs w:val="30"/>
          <w:lang w:eastAsia="zh-CN"/>
        </w:rPr>
        <w:instrText xml:space="preserve"> HYPERLINK \l _Toc4944 </w:instrText>
      </w:r>
      <w:r>
        <w:rPr>
          <w:rFonts w:hint="eastAsia" w:ascii="仿宋_GB2312" w:hAnsi="仿宋_GB2312" w:eastAsia="仿宋_GB2312" w:cs="仿宋_GB2312"/>
          <w:i w:val="0"/>
          <w:color w:val="auto"/>
          <w:spacing w:val="0"/>
          <w:sz w:val="30"/>
          <w:szCs w:val="30"/>
          <w:lang w:eastAsia="zh-CN"/>
        </w:rPr>
        <w:fldChar w:fldCharType="separate"/>
      </w:r>
      <w:r>
        <w:rPr>
          <w:rFonts w:hint="eastAsia" w:ascii="仿宋_GB2312" w:hAnsi="仿宋_GB2312" w:eastAsia="仿宋_GB2312" w:cs="仿宋_GB2312"/>
          <w:color w:val="auto"/>
          <w:sz w:val="30"/>
          <w:szCs w:val="30"/>
          <w:lang w:val="en-US" w:eastAsia="zh-CN"/>
        </w:rPr>
        <w:t>1.成品油零售企业</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PAGEREF _Toc4944 \h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i w:val="0"/>
          <w:color w:val="auto"/>
          <w:spacing w:val="0"/>
          <w:sz w:val="30"/>
          <w:szCs w:val="30"/>
          <w:lang w:eastAsia="zh-CN"/>
        </w:rPr>
        <w:fldChar w:fldCharType="end"/>
      </w:r>
    </w:p>
    <w:p>
      <w:pPr>
        <w:pStyle w:val="5"/>
        <w:tabs>
          <w:tab w:val="right" w:leader="dot" w:pos="8845"/>
        </w:tabs>
        <w:rPr>
          <w:rFonts w:hint="eastAsia" w:ascii="仿宋_GB2312" w:hAnsi="仿宋_GB2312" w:eastAsia="仿宋_GB2312" w:cs="仿宋_GB2312"/>
          <w:color w:val="auto"/>
          <w:sz w:val="30"/>
          <w:szCs w:val="30"/>
        </w:rPr>
      </w:pPr>
      <w:r>
        <w:rPr>
          <w:rFonts w:hint="eastAsia" w:ascii="仿宋_GB2312" w:hAnsi="仿宋_GB2312" w:eastAsia="仿宋_GB2312" w:cs="仿宋_GB2312"/>
          <w:i w:val="0"/>
          <w:color w:val="auto"/>
          <w:spacing w:val="0"/>
          <w:sz w:val="30"/>
          <w:szCs w:val="30"/>
          <w:lang w:eastAsia="zh-CN"/>
        </w:rPr>
        <w:fldChar w:fldCharType="begin"/>
      </w:r>
      <w:r>
        <w:rPr>
          <w:rFonts w:hint="eastAsia" w:ascii="仿宋_GB2312" w:hAnsi="仿宋_GB2312" w:eastAsia="仿宋_GB2312" w:cs="仿宋_GB2312"/>
          <w:i w:val="0"/>
          <w:color w:val="auto"/>
          <w:spacing w:val="0"/>
          <w:sz w:val="30"/>
          <w:szCs w:val="30"/>
          <w:lang w:eastAsia="zh-CN"/>
        </w:rPr>
        <w:instrText xml:space="preserve"> HYPERLINK \l _Toc2224 </w:instrText>
      </w:r>
      <w:r>
        <w:rPr>
          <w:rFonts w:hint="eastAsia" w:ascii="仿宋_GB2312" w:hAnsi="仿宋_GB2312" w:eastAsia="仿宋_GB2312" w:cs="仿宋_GB2312"/>
          <w:i w:val="0"/>
          <w:color w:val="auto"/>
          <w:spacing w:val="0"/>
          <w:sz w:val="30"/>
          <w:szCs w:val="30"/>
          <w:lang w:eastAsia="zh-CN"/>
        </w:rPr>
        <w:fldChar w:fldCharType="separate"/>
      </w:r>
      <w:r>
        <w:rPr>
          <w:rFonts w:hint="eastAsia" w:ascii="仿宋_GB2312" w:hAnsi="仿宋_GB2312" w:eastAsia="仿宋_GB2312" w:cs="仿宋_GB2312"/>
          <w:i w:val="0"/>
          <w:color w:val="auto"/>
          <w:spacing w:val="0"/>
          <w:sz w:val="30"/>
          <w:szCs w:val="30"/>
          <w:lang w:val="en-US" w:eastAsia="zh-CN"/>
        </w:rPr>
        <w:t>2.</w:t>
      </w:r>
      <w:r>
        <w:rPr>
          <w:rFonts w:hint="eastAsia" w:ascii="仿宋_GB2312" w:hAnsi="仿宋_GB2312" w:eastAsia="仿宋_GB2312" w:cs="仿宋_GB2312"/>
          <w:i w:val="0"/>
          <w:color w:val="auto"/>
          <w:spacing w:val="0"/>
          <w:sz w:val="30"/>
          <w:szCs w:val="30"/>
        </w:rPr>
        <w:t>单用途商业预付卡发卡企业</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PAGEREF _Toc2224 \h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11</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i w:val="0"/>
          <w:color w:val="auto"/>
          <w:spacing w:val="0"/>
          <w:sz w:val="30"/>
          <w:szCs w:val="30"/>
          <w:lang w:eastAsia="zh-CN"/>
        </w:rPr>
        <w:fldChar w:fldCharType="end"/>
      </w:r>
    </w:p>
    <w:p>
      <w:pPr>
        <w:pStyle w:val="5"/>
        <w:tabs>
          <w:tab w:val="right" w:leader="dot" w:pos="8845"/>
        </w:tabs>
        <w:rPr>
          <w:rFonts w:hint="eastAsia" w:ascii="仿宋_GB2312" w:hAnsi="仿宋_GB2312" w:eastAsia="仿宋_GB2312" w:cs="仿宋_GB2312"/>
          <w:color w:val="auto"/>
          <w:sz w:val="30"/>
          <w:szCs w:val="30"/>
        </w:rPr>
      </w:pPr>
      <w:r>
        <w:rPr>
          <w:rFonts w:hint="eastAsia" w:ascii="仿宋_GB2312" w:hAnsi="仿宋_GB2312" w:eastAsia="仿宋_GB2312" w:cs="仿宋_GB2312"/>
          <w:i w:val="0"/>
          <w:color w:val="auto"/>
          <w:spacing w:val="0"/>
          <w:sz w:val="30"/>
          <w:szCs w:val="30"/>
          <w:lang w:eastAsia="zh-CN"/>
        </w:rPr>
        <w:fldChar w:fldCharType="begin"/>
      </w:r>
      <w:r>
        <w:rPr>
          <w:rFonts w:hint="eastAsia" w:ascii="仿宋_GB2312" w:hAnsi="仿宋_GB2312" w:eastAsia="仿宋_GB2312" w:cs="仿宋_GB2312"/>
          <w:i w:val="0"/>
          <w:color w:val="auto"/>
          <w:spacing w:val="0"/>
          <w:sz w:val="30"/>
          <w:szCs w:val="30"/>
          <w:lang w:eastAsia="zh-CN"/>
        </w:rPr>
        <w:instrText xml:space="preserve"> HYPERLINK \l _Toc27447 </w:instrText>
      </w:r>
      <w:r>
        <w:rPr>
          <w:rFonts w:hint="eastAsia" w:ascii="仿宋_GB2312" w:hAnsi="仿宋_GB2312" w:eastAsia="仿宋_GB2312" w:cs="仿宋_GB2312"/>
          <w:i w:val="0"/>
          <w:color w:val="auto"/>
          <w:spacing w:val="0"/>
          <w:sz w:val="30"/>
          <w:szCs w:val="30"/>
          <w:lang w:eastAsia="zh-CN"/>
        </w:rPr>
        <w:fldChar w:fldCharType="separate"/>
      </w:r>
      <w:r>
        <w:rPr>
          <w:rFonts w:hint="eastAsia" w:ascii="仿宋_GB2312" w:hAnsi="仿宋_GB2312" w:eastAsia="仿宋_GB2312" w:cs="仿宋_GB2312"/>
          <w:i w:val="0"/>
          <w:color w:val="auto"/>
          <w:spacing w:val="0"/>
          <w:sz w:val="30"/>
          <w:szCs w:val="30"/>
          <w:lang w:val="en-US" w:eastAsia="zh-CN"/>
        </w:rPr>
        <w:t>3.</w:t>
      </w:r>
      <w:r>
        <w:rPr>
          <w:rFonts w:hint="eastAsia" w:ascii="仿宋_GB2312" w:hAnsi="仿宋_GB2312" w:eastAsia="仿宋_GB2312" w:cs="仿宋_GB2312"/>
          <w:i w:val="0"/>
          <w:color w:val="auto"/>
          <w:spacing w:val="0"/>
          <w:sz w:val="30"/>
          <w:szCs w:val="30"/>
        </w:rPr>
        <w:t>城镇污水处理企业</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PAGEREF _Toc27447 \h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17</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i w:val="0"/>
          <w:color w:val="auto"/>
          <w:spacing w:val="0"/>
          <w:sz w:val="30"/>
          <w:szCs w:val="30"/>
          <w:lang w:eastAsia="zh-CN"/>
        </w:rPr>
        <w:fldChar w:fldCharType="end"/>
      </w:r>
    </w:p>
    <w:p>
      <w:pPr>
        <w:pStyle w:val="5"/>
        <w:tabs>
          <w:tab w:val="right" w:leader="dot" w:pos="8845"/>
        </w:tabs>
        <w:rPr>
          <w:rFonts w:hint="eastAsia" w:ascii="仿宋_GB2312" w:hAnsi="仿宋_GB2312" w:eastAsia="仿宋_GB2312" w:cs="仿宋_GB2312"/>
          <w:color w:val="auto"/>
          <w:sz w:val="30"/>
          <w:szCs w:val="30"/>
        </w:rPr>
      </w:pPr>
      <w:r>
        <w:rPr>
          <w:rFonts w:hint="eastAsia" w:ascii="仿宋_GB2312" w:hAnsi="仿宋_GB2312" w:eastAsia="仿宋_GB2312" w:cs="仿宋_GB2312"/>
          <w:i w:val="0"/>
          <w:color w:val="auto"/>
          <w:spacing w:val="0"/>
          <w:sz w:val="30"/>
          <w:szCs w:val="30"/>
          <w:lang w:eastAsia="zh-CN"/>
        </w:rPr>
        <w:fldChar w:fldCharType="begin"/>
      </w:r>
      <w:r>
        <w:rPr>
          <w:rFonts w:hint="eastAsia" w:ascii="仿宋_GB2312" w:hAnsi="仿宋_GB2312" w:eastAsia="仿宋_GB2312" w:cs="仿宋_GB2312"/>
          <w:i w:val="0"/>
          <w:color w:val="auto"/>
          <w:spacing w:val="0"/>
          <w:sz w:val="30"/>
          <w:szCs w:val="30"/>
          <w:lang w:eastAsia="zh-CN"/>
        </w:rPr>
        <w:instrText xml:space="preserve"> HYPERLINK \l _Toc24911 </w:instrText>
      </w:r>
      <w:r>
        <w:rPr>
          <w:rFonts w:hint="eastAsia" w:ascii="仿宋_GB2312" w:hAnsi="仿宋_GB2312" w:eastAsia="仿宋_GB2312" w:cs="仿宋_GB2312"/>
          <w:i w:val="0"/>
          <w:color w:val="auto"/>
          <w:spacing w:val="0"/>
          <w:sz w:val="30"/>
          <w:szCs w:val="30"/>
          <w:lang w:eastAsia="zh-CN"/>
        </w:rPr>
        <w:fldChar w:fldCharType="separate"/>
      </w:r>
      <w:r>
        <w:rPr>
          <w:rFonts w:hint="eastAsia" w:ascii="仿宋_GB2312" w:hAnsi="仿宋_GB2312" w:eastAsia="仿宋_GB2312" w:cs="仿宋_GB2312"/>
          <w:i w:val="0"/>
          <w:color w:val="auto"/>
          <w:spacing w:val="0"/>
          <w:sz w:val="30"/>
          <w:szCs w:val="30"/>
          <w:lang w:val="en-US" w:eastAsia="zh-CN"/>
        </w:rPr>
        <w:t>4.</w:t>
      </w:r>
      <w:r>
        <w:rPr>
          <w:rFonts w:hint="eastAsia" w:ascii="仿宋_GB2312" w:hAnsi="仿宋_GB2312" w:eastAsia="仿宋_GB2312" w:cs="仿宋_GB2312"/>
          <w:i w:val="0"/>
          <w:color w:val="auto"/>
          <w:spacing w:val="0"/>
          <w:sz w:val="30"/>
          <w:szCs w:val="30"/>
        </w:rPr>
        <w:t>城镇燃气企业(液化石油气)</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PAGEREF _Toc24911 \h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20</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i w:val="0"/>
          <w:color w:val="auto"/>
          <w:spacing w:val="0"/>
          <w:sz w:val="30"/>
          <w:szCs w:val="30"/>
          <w:lang w:eastAsia="zh-CN"/>
        </w:rPr>
        <w:fldChar w:fldCharType="end"/>
      </w:r>
    </w:p>
    <w:p>
      <w:pPr>
        <w:pStyle w:val="5"/>
        <w:tabs>
          <w:tab w:val="right" w:leader="dot" w:pos="8845"/>
        </w:tabs>
        <w:rPr>
          <w:rFonts w:hint="eastAsia" w:ascii="仿宋_GB2312" w:hAnsi="仿宋_GB2312" w:eastAsia="仿宋_GB2312" w:cs="仿宋_GB2312"/>
          <w:color w:val="auto"/>
          <w:sz w:val="30"/>
          <w:szCs w:val="30"/>
        </w:rPr>
      </w:pPr>
      <w:r>
        <w:rPr>
          <w:rFonts w:hint="eastAsia" w:ascii="仿宋_GB2312" w:hAnsi="仿宋_GB2312" w:eastAsia="仿宋_GB2312" w:cs="仿宋_GB2312"/>
          <w:i w:val="0"/>
          <w:color w:val="auto"/>
          <w:spacing w:val="0"/>
          <w:sz w:val="30"/>
          <w:szCs w:val="30"/>
          <w:lang w:eastAsia="zh-CN"/>
        </w:rPr>
        <w:fldChar w:fldCharType="begin"/>
      </w:r>
      <w:r>
        <w:rPr>
          <w:rFonts w:hint="eastAsia" w:ascii="仿宋_GB2312" w:hAnsi="仿宋_GB2312" w:eastAsia="仿宋_GB2312" w:cs="仿宋_GB2312"/>
          <w:i w:val="0"/>
          <w:color w:val="auto"/>
          <w:spacing w:val="0"/>
          <w:sz w:val="30"/>
          <w:szCs w:val="30"/>
          <w:lang w:eastAsia="zh-CN"/>
        </w:rPr>
        <w:instrText xml:space="preserve"> HYPERLINK \l _Toc5674 </w:instrText>
      </w:r>
      <w:r>
        <w:rPr>
          <w:rFonts w:hint="eastAsia" w:ascii="仿宋_GB2312" w:hAnsi="仿宋_GB2312" w:eastAsia="仿宋_GB2312" w:cs="仿宋_GB2312"/>
          <w:i w:val="0"/>
          <w:color w:val="auto"/>
          <w:spacing w:val="0"/>
          <w:sz w:val="30"/>
          <w:szCs w:val="30"/>
          <w:lang w:eastAsia="zh-CN"/>
        </w:rPr>
        <w:fldChar w:fldCharType="separate"/>
      </w:r>
      <w:r>
        <w:rPr>
          <w:rFonts w:hint="eastAsia" w:ascii="仿宋_GB2312" w:hAnsi="仿宋_GB2312" w:eastAsia="仿宋_GB2312" w:cs="仿宋_GB2312"/>
          <w:i w:val="0"/>
          <w:color w:val="auto"/>
          <w:spacing w:val="0"/>
          <w:sz w:val="30"/>
          <w:szCs w:val="30"/>
          <w:lang w:val="en-US" w:eastAsia="zh-CN"/>
        </w:rPr>
        <w:t>5.医疗保障定点医疗机构</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PAGEREF _Toc5674 \h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27</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i w:val="0"/>
          <w:color w:val="auto"/>
          <w:spacing w:val="0"/>
          <w:sz w:val="30"/>
          <w:szCs w:val="30"/>
          <w:lang w:eastAsia="zh-CN"/>
        </w:rPr>
        <w:fldChar w:fldCharType="end"/>
      </w:r>
    </w:p>
    <w:p>
      <w:pPr>
        <w:pStyle w:val="5"/>
        <w:tabs>
          <w:tab w:val="right" w:leader="dot" w:pos="8845"/>
        </w:tabs>
        <w:rPr>
          <w:rFonts w:hint="default" w:ascii="仿宋_GB2312" w:hAnsi="仿宋_GB2312" w:eastAsia="仿宋_GB2312" w:cs="仿宋_GB2312"/>
          <w:color w:val="auto"/>
          <w:sz w:val="30"/>
          <w:szCs w:val="30"/>
          <w:lang w:val="en-US"/>
        </w:rPr>
      </w:pPr>
      <w:r>
        <w:rPr>
          <w:rFonts w:hint="eastAsia" w:ascii="仿宋_GB2312" w:hAnsi="仿宋_GB2312" w:eastAsia="仿宋_GB2312" w:cs="仿宋_GB2312"/>
          <w:i w:val="0"/>
          <w:color w:val="auto"/>
          <w:spacing w:val="0"/>
          <w:sz w:val="30"/>
          <w:szCs w:val="30"/>
          <w:lang w:eastAsia="zh-CN"/>
        </w:rPr>
        <w:fldChar w:fldCharType="begin"/>
      </w:r>
      <w:r>
        <w:rPr>
          <w:rFonts w:hint="eastAsia" w:ascii="仿宋_GB2312" w:hAnsi="仿宋_GB2312" w:eastAsia="仿宋_GB2312" w:cs="仿宋_GB2312"/>
          <w:i w:val="0"/>
          <w:color w:val="auto"/>
          <w:spacing w:val="0"/>
          <w:sz w:val="30"/>
          <w:szCs w:val="30"/>
          <w:lang w:eastAsia="zh-CN"/>
        </w:rPr>
        <w:instrText xml:space="preserve"> HYPERLINK \l _Toc19614 </w:instrText>
      </w:r>
      <w:r>
        <w:rPr>
          <w:rFonts w:hint="eastAsia" w:ascii="仿宋_GB2312" w:hAnsi="仿宋_GB2312" w:eastAsia="仿宋_GB2312" w:cs="仿宋_GB2312"/>
          <w:i w:val="0"/>
          <w:color w:val="auto"/>
          <w:spacing w:val="0"/>
          <w:sz w:val="30"/>
          <w:szCs w:val="30"/>
          <w:lang w:eastAsia="zh-CN"/>
        </w:rPr>
        <w:fldChar w:fldCharType="separate"/>
      </w:r>
      <w:r>
        <w:rPr>
          <w:rFonts w:hint="eastAsia" w:ascii="仿宋_GB2312" w:hAnsi="仿宋_GB2312" w:eastAsia="仿宋_GB2312" w:cs="仿宋_GB2312"/>
          <w:i w:val="0"/>
          <w:color w:val="auto"/>
          <w:spacing w:val="0"/>
          <w:sz w:val="30"/>
          <w:szCs w:val="30"/>
          <w:lang w:val="en-US" w:eastAsia="zh-CN"/>
        </w:rPr>
        <w:t>6</w:t>
      </w:r>
      <w:r>
        <w:rPr>
          <w:rFonts w:hint="eastAsia" w:ascii="仿宋_GB2312" w:hAnsi="仿宋_GB2312" w:eastAsia="仿宋_GB2312" w:cs="仿宋_GB2312"/>
          <w:i w:val="0"/>
          <w:color w:val="auto"/>
          <w:spacing w:val="0"/>
          <w:sz w:val="30"/>
          <w:szCs w:val="30"/>
        </w:rPr>
        <w:t>.旅行社及其分支机构</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PAGEREF _Toc19614 \h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i w:val="0"/>
          <w:color w:val="auto"/>
          <w:spacing w:val="0"/>
          <w:sz w:val="30"/>
          <w:szCs w:val="30"/>
          <w:lang w:eastAsia="zh-CN"/>
        </w:rPr>
        <w:fldChar w:fldCharType="end"/>
      </w:r>
      <w:r>
        <w:rPr>
          <w:rFonts w:hint="eastAsia" w:ascii="仿宋_GB2312" w:hAnsi="仿宋_GB2312" w:eastAsia="仿宋_GB2312" w:cs="仿宋_GB2312"/>
          <w:i w:val="0"/>
          <w:color w:val="auto"/>
          <w:spacing w:val="0"/>
          <w:sz w:val="30"/>
          <w:szCs w:val="30"/>
          <w:lang w:val="en-US" w:eastAsia="zh-CN"/>
        </w:rPr>
        <w:t>2</w:t>
      </w:r>
    </w:p>
    <w:p>
      <w:pPr>
        <w:pStyle w:val="5"/>
        <w:tabs>
          <w:tab w:val="right" w:leader="dot" w:pos="8845"/>
        </w:tabs>
        <w:rPr>
          <w:rFonts w:hint="default" w:ascii="仿宋_GB2312" w:hAnsi="仿宋_GB2312" w:eastAsia="仿宋_GB2312" w:cs="仿宋_GB2312"/>
          <w:color w:val="auto"/>
          <w:sz w:val="30"/>
          <w:szCs w:val="30"/>
          <w:lang w:val="en-US"/>
        </w:rPr>
      </w:pPr>
      <w:r>
        <w:rPr>
          <w:rFonts w:hint="eastAsia" w:ascii="仿宋_GB2312" w:hAnsi="仿宋_GB2312" w:eastAsia="仿宋_GB2312" w:cs="仿宋_GB2312"/>
          <w:i w:val="0"/>
          <w:color w:val="auto"/>
          <w:spacing w:val="0"/>
          <w:sz w:val="30"/>
          <w:szCs w:val="30"/>
          <w:lang w:eastAsia="zh-CN"/>
        </w:rPr>
        <w:fldChar w:fldCharType="begin"/>
      </w:r>
      <w:r>
        <w:rPr>
          <w:rFonts w:hint="eastAsia" w:ascii="仿宋_GB2312" w:hAnsi="仿宋_GB2312" w:eastAsia="仿宋_GB2312" w:cs="仿宋_GB2312"/>
          <w:i w:val="0"/>
          <w:color w:val="auto"/>
          <w:spacing w:val="0"/>
          <w:sz w:val="30"/>
          <w:szCs w:val="30"/>
          <w:lang w:eastAsia="zh-CN"/>
        </w:rPr>
        <w:instrText xml:space="preserve"> HYPERLINK \l _Toc18714 </w:instrText>
      </w:r>
      <w:r>
        <w:rPr>
          <w:rFonts w:hint="eastAsia" w:ascii="仿宋_GB2312" w:hAnsi="仿宋_GB2312" w:eastAsia="仿宋_GB2312" w:cs="仿宋_GB2312"/>
          <w:i w:val="0"/>
          <w:color w:val="auto"/>
          <w:spacing w:val="0"/>
          <w:sz w:val="30"/>
          <w:szCs w:val="30"/>
          <w:lang w:eastAsia="zh-CN"/>
        </w:rPr>
        <w:fldChar w:fldCharType="separate"/>
      </w:r>
      <w:r>
        <w:rPr>
          <w:rFonts w:hint="eastAsia" w:ascii="仿宋_GB2312" w:hAnsi="仿宋_GB2312" w:eastAsia="仿宋_GB2312" w:cs="仿宋_GB2312"/>
          <w:i w:val="0"/>
          <w:color w:val="auto"/>
          <w:spacing w:val="0"/>
          <w:sz w:val="30"/>
          <w:szCs w:val="30"/>
          <w:lang w:val="en-US" w:eastAsia="zh-CN"/>
        </w:rPr>
        <w:t>7.</w:t>
      </w:r>
      <w:r>
        <w:rPr>
          <w:rFonts w:hint="eastAsia" w:ascii="仿宋_GB2312" w:hAnsi="仿宋_GB2312" w:eastAsia="仿宋_GB2312" w:cs="仿宋_GB2312"/>
          <w:i w:val="0"/>
          <w:color w:val="auto"/>
          <w:spacing w:val="0"/>
          <w:sz w:val="30"/>
          <w:szCs w:val="30"/>
        </w:rPr>
        <w:t>互联网上网服务营业场所</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PAGEREF _Toc18714 \h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5</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i w:val="0"/>
          <w:color w:val="auto"/>
          <w:spacing w:val="0"/>
          <w:sz w:val="30"/>
          <w:szCs w:val="30"/>
          <w:lang w:eastAsia="zh-CN"/>
        </w:rPr>
        <w:fldChar w:fldCharType="end"/>
      </w:r>
      <w:r>
        <w:rPr>
          <w:rFonts w:hint="eastAsia" w:ascii="仿宋_GB2312" w:hAnsi="仿宋_GB2312" w:eastAsia="仿宋_GB2312" w:cs="仿宋_GB2312"/>
          <w:i w:val="0"/>
          <w:color w:val="auto"/>
          <w:spacing w:val="0"/>
          <w:sz w:val="30"/>
          <w:szCs w:val="30"/>
          <w:lang w:val="en-US" w:eastAsia="zh-CN"/>
        </w:rPr>
        <w:t>4</w:t>
      </w:r>
    </w:p>
    <w:p>
      <w:pPr>
        <w:pStyle w:val="5"/>
        <w:tabs>
          <w:tab w:val="right" w:leader="dot" w:pos="8845"/>
        </w:tabs>
        <w:rPr>
          <w:rFonts w:hint="default" w:ascii="仿宋_GB2312" w:hAnsi="仿宋_GB2312" w:eastAsia="仿宋_GB2312" w:cs="仿宋_GB2312"/>
          <w:color w:val="auto"/>
          <w:sz w:val="30"/>
          <w:szCs w:val="30"/>
          <w:lang w:val="en-US"/>
        </w:rPr>
      </w:pPr>
      <w:r>
        <w:rPr>
          <w:rFonts w:hint="eastAsia" w:ascii="仿宋_GB2312" w:hAnsi="仿宋_GB2312" w:eastAsia="仿宋_GB2312" w:cs="仿宋_GB2312"/>
          <w:i w:val="0"/>
          <w:color w:val="auto"/>
          <w:spacing w:val="0"/>
          <w:sz w:val="30"/>
          <w:szCs w:val="30"/>
          <w:lang w:eastAsia="zh-CN"/>
        </w:rPr>
        <w:fldChar w:fldCharType="begin"/>
      </w:r>
      <w:r>
        <w:rPr>
          <w:rFonts w:hint="eastAsia" w:ascii="仿宋_GB2312" w:hAnsi="仿宋_GB2312" w:eastAsia="仿宋_GB2312" w:cs="仿宋_GB2312"/>
          <w:i w:val="0"/>
          <w:color w:val="auto"/>
          <w:spacing w:val="0"/>
          <w:sz w:val="30"/>
          <w:szCs w:val="30"/>
          <w:lang w:eastAsia="zh-CN"/>
        </w:rPr>
        <w:instrText xml:space="preserve"> HYPERLINK \l _Toc27027 </w:instrText>
      </w:r>
      <w:r>
        <w:rPr>
          <w:rFonts w:hint="eastAsia" w:ascii="仿宋_GB2312" w:hAnsi="仿宋_GB2312" w:eastAsia="仿宋_GB2312" w:cs="仿宋_GB2312"/>
          <w:i w:val="0"/>
          <w:color w:val="auto"/>
          <w:spacing w:val="0"/>
          <w:sz w:val="30"/>
          <w:szCs w:val="30"/>
          <w:lang w:eastAsia="zh-CN"/>
        </w:rPr>
        <w:fldChar w:fldCharType="separate"/>
      </w:r>
      <w:r>
        <w:rPr>
          <w:rFonts w:hint="eastAsia" w:ascii="仿宋_GB2312" w:hAnsi="仿宋_GB2312" w:eastAsia="仿宋_GB2312" w:cs="仿宋_GB2312"/>
          <w:i w:val="0"/>
          <w:color w:val="auto"/>
          <w:spacing w:val="0"/>
          <w:sz w:val="30"/>
          <w:szCs w:val="30"/>
          <w:lang w:val="en-US" w:eastAsia="zh-CN"/>
        </w:rPr>
        <w:t>8.</w:t>
      </w:r>
      <w:r>
        <w:rPr>
          <w:rFonts w:hint="eastAsia" w:ascii="仿宋_GB2312" w:hAnsi="仿宋_GB2312" w:eastAsia="仿宋_GB2312" w:cs="仿宋_GB2312"/>
          <w:i w:val="0"/>
          <w:color w:val="auto"/>
          <w:spacing w:val="0"/>
          <w:sz w:val="30"/>
          <w:szCs w:val="30"/>
        </w:rPr>
        <w:t>营业性演出场所</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PAGEREF _Toc27027 \h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6</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i w:val="0"/>
          <w:color w:val="auto"/>
          <w:spacing w:val="0"/>
          <w:sz w:val="30"/>
          <w:szCs w:val="30"/>
          <w:lang w:eastAsia="zh-CN"/>
        </w:rPr>
        <w:fldChar w:fldCharType="end"/>
      </w:r>
      <w:r>
        <w:rPr>
          <w:rFonts w:hint="eastAsia" w:ascii="仿宋_GB2312" w:hAnsi="仿宋_GB2312" w:eastAsia="仿宋_GB2312" w:cs="仿宋_GB2312"/>
          <w:i w:val="0"/>
          <w:color w:val="auto"/>
          <w:spacing w:val="0"/>
          <w:sz w:val="30"/>
          <w:szCs w:val="30"/>
          <w:lang w:val="en-US" w:eastAsia="zh-CN"/>
        </w:rPr>
        <w:t>2</w:t>
      </w:r>
    </w:p>
    <w:p>
      <w:pPr>
        <w:pStyle w:val="5"/>
        <w:tabs>
          <w:tab w:val="right" w:leader="dot" w:pos="8845"/>
        </w:tabs>
        <w:rPr>
          <w:rFonts w:hint="default" w:ascii="仿宋_GB2312" w:hAnsi="仿宋_GB2312" w:eastAsia="仿宋_GB2312" w:cs="仿宋_GB2312"/>
          <w:color w:val="auto"/>
          <w:sz w:val="30"/>
          <w:szCs w:val="30"/>
          <w:lang w:val="en-US"/>
        </w:rPr>
      </w:pPr>
      <w:r>
        <w:rPr>
          <w:rFonts w:hint="eastAsia" w:ascii="仿宋_GB2312" w:hAnsi="仿宋_GB2312" w:eastAsia="仿宋_GB2312" w:cs="仿宋_GB2312"/>
          <w:i w:val="0"/>
          <w:color w:val="auto"/>
          <w:spacing w:val="0"/>
          <w:sz w:val="30"/>
          <w:szCs w:val="30"/>
          <w:lang w:eastAsia="zh-CN"/>
        </w:rPr>
        <w:fldChar w:fldCharType="begin"/>
      </w:r>
      <w:r>
        <w:rPr>
          <w:rFonts w:hint="eastAsia" w:ascii="仿宋_GB2312" w:hAnsi="仿宋_GB2312" w:eastAsia="仿宋_GB2312" w:cs="仿宋_GB2312"/>
          <w:i w:val="0"/>
          <w:color w:val="auto"/>
          <w:spacing w:val="0"/>
          <w:sz w:val="30"/>
          <w:szCs w:val="30"/>
          <w:lang w:eastAsia="zh-CN"/>
        </w:rPr>
        <w:instrText xml:space="preserve"> HYPERLINK \l _Toc25679 </w:instrText>
      </w:r>
      <w:r>
        <w:rPr>
          <w:rFonts w:hint="eastAsia" w:ascii="仿宋_GB2312" w:hAnsi="仿宋_GB2312" w:eastAsia="仿宋_GB2312" w:cs="仿宋_GB2312"/>
          <w:i w:val="0"/>
          <w:color w:val="auto"/>
          <w:spacing w:val="0"/>
          <w:sz w:val="30"/>
          <w:szCs w:val="30"/>
          <w:lang w:eastAsia="zh-CN"/>
        </w:rPr>
        <w:fldChar w:fldCharType="separate"/>
      </w:r>
      <w:r>
        <w:rPr>
          <w:rFonts w:hint="eastAsia" w:ascii="仿宋_GB2312" w:hAnsi="仿宋_GB2312" w:eastAsia="仿宋_GB2312" w:cs="仿宋_GB2312"/>
          <w:i w:val="0"/>
          <w:color w:val="auto"/>
          <w:spacing w:val="0"/>
          <w:sz w:val="30"/>
          <w:szCs w:val="30"/>
          <w:lang w:val="en-US" w:eastAsia="zh-CN"/>
        </w:rPr>
        <w:t>9.</w:t>
      </w:r>
      <w:r>
        <w:rPr>
          <w:rFonts w:hint="eastAsia" w:ascii="仿宋_GB2312" w:hAnsi="仿宋_GB2312" w:eastAsia="仿宋_GB2312" w:cs="仿宋_GB2312"/>
          <w:i w:val="0"/>
          <w:color w:val="auto"/>
          <w:spacing w:val="0"/>
          <w:sz w:val="30"/>
          <w:szCs w:val="30"/>
        </w:rPr>
        <w:t>电影院</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PAGEREF _Toc25679 \h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6</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i w:val="0"/>
          <w:color w:val="auto"/>
          <w:spacing w:val="0"/>
          <w:sz w:val="30"/>
          <w:szCs w:val="30"/>
          <w:lang w:eastAsia="zh-CN"/>
        </w:rPr>
        <w:fldChar w:fldCharType="end"/>
      </w:r>
      <w:r>
        <w:rPr>
          <w:rFonts w:hint="eastAsia" w:ascii="仿宋_GB2312" w:hAnsi="仿宋_GB2312" w:eastAsia="仿宋_GB2312" w:cs="仿宋_GB2312"/>
          <w:i w:val="0"/>
          <w:color w:val="auto"/>
          <w:spacing w:val="0"/>
          <w:sz w:val="30"/>
          <w:szCs w:val="30"/>
          <w:lang w:val="en-US" w:eastAsia="zh-CN"/>
        </w:rPr>
        <w:t>9</w:t>
      </w:r>
    </w:p>
    <w:p>
      <w:pPr>
        <w:keepNext w:val="0"/>
        <w:keepLines w:val="0"/>
        <w:pageBreakBefore w:val="0"/>
        <w:widowControl w:val="0"/>
        <w:kinsoku/>
        <w:wordWrap w:val="0"/>
        <w:overflowPunct/>
        <w:topLinePunct w:val="0"/>
        <w:autoSpaceDE/>
        <w:autoSpaceDN/>
        <w:bidi w:val="0"/>
        <w:adjustRightInd/>
        <w:snapToGrid/>
        <w:spacing w:before="620" w:after="0" w:line="560" w:lineRule="exact"/>
        <w:ind w:right="0"/>
        <w:jc w:val="both"/>
        <w:textAlignment w:val="baseline"/>
        <w:rPr>
          <w:rFonts w:hint="default" w:ascii="Times New Roman" w:hAnsi="Times New Roman" w:eastAsia="黑体" w:cs="Times New Roman"/>
          <w:b w:val="0"/>
          <w:i w:val="0"/>
          <w:color w:val="auto"/>
          <w:spacing w:val="0"/>
          <w:sz w:val="31"/>
          <w:lang w:eastAsia="zh-CN"/>
        </w:rPr>
        <w:sectPr>
          <w:footerReference r:id="rId4"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i w:val="0"/>
          <w:color w:val="auto"/>
          <w:spacing w:val="0"/>
          <w:sz w:val="30"/>
          <w:szCs w:val="30"/>
          <w:lang w:eastAsia="zh-CN"/>
        </w:rPr>
        <w:fldChar w:fldCharType="end"/>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color w:val="auto"/>
          <w:sz w:val="44"/>
          <w:szCs w:val="44"/>
          <w:lang w:val="en-US" w:eastAsia="zh-CN"/>
        </w:rPr>
      </w:pPr>
      <w:bookmarkStart w:id="0" w:name="_Toc4944"/>
      <w:r>
        <w:rPr>
          <w:rFonts w:hint="default" w:ascii="Times New Roman" w:hAnsi="Times New Roman" w:eastAsia="黑体" w:cs="Times New Roman"/>
          <w:color w:val="auto"/>
          <w:sz w:val="44"/>
          <w:szCs w:val="44"/>
          <w:lang w:val="en-US" w:eastAsia="zh-CN"/>
        </w:rPr>
        <w:t>1.成品油零售企业</w:t>
      </w:r>
      <w:bookmarkEnd w:id="0"/>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涉及监管部门：州商务局</w:t>
      </w:r>
      <w:r>
        <w:rPr>
          <w:rFonts w:hint="eastAsia" w:ascii="Times New Roman" w:hAnsi="Times New Roman" w:eastAsia="楷体" w:cs="Times New Roman"/>
          <w:color w:val="auto"/>
          <w:sz w:val="32"/>
          <w:szCs w:val="32"/>
          <w:lang w:val="en-US" w:eastAsia="zh-CN"/>
        </w:rPr>
        <w:t>、</w:t>
      </w:r>
      <w:r>
        <w:rPr>
          <w:rFonts w:hint="default" w:ascii="Times New Roman" w:hAnsi="Times New Roman" w:eastAsia="楷体" w:cs="Times New Roman"/>
          <w:color w:val="auto"/>
          <w:sz w:val="32"/>
          <w:szCs w:val="32"/>
          <w:lang w:val="en-US" w:eastAsia="zh-CN"/>
        </w:rPr>
        <w:t>州公安局</w:t>
      </w:r>
      <w:r>
        <w:rPr>
          <w:rFonts w:hint="eastAsia" w:ascii="Times New Roman" w:hAnsi="Times New Roman" w:eastAsia="楷体" w:cs="Times New Roman"/>
          <w:color w:val="auto"/>
          <w:sz w:val="32"/>
          <w:szCs w:val="32"/>
          <w:lang w:val="en-US" w:eastAsia="zh-CN"/>
        </w:rPr>
        <w:t>、</w:t>
      </w:r>
      <w:r>
        <w:rPr>
          <w:rFonts w:hint="default" w:ascii="Times New Roman" w:hAnsi="Times New Roman" w:eastAsia="楷体" w:cs="Times New Roman"/>
          <w:color w:val="auto"/>
          <w:sz w:val="32"/>
          <w:szCs w:val="32"/>
          <w:lang w:val="en-US" w:eastAsia="zh-CN"/>
        </w:rPr>
        <w:t>州生态环境局</w:t>
      </w:r>
      <w:r>
        <w:rPr>
          <w:rFonts w:hint="eastAsia" w:ascii="Times New Roman" w:hAnsi="Times New Roman" w:eastAsia="楷体" w:cs="Times New Roman"/>
          <w:color w:val="auto"/>
          <w:sz w:val="32"/>
          <w:szCs w:val="32"/>
          <w:lang w:val="en-US" w:eastAsia="zh-CN"/>
        </w:rPr>
        <w:t>、</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州</w:t>
      </w:r>
      <w:r>
        <w:rPr>
          <w:rFonts w:hint="eastAsia" w:ascii="Times New Roman" w:hAnsi="Times New Roman" w:eastAsia="楷体" w:cs="Times New Roman"/>
          <w:color w:val="auto"/>
          <w:sz w:val="32"/>
          <w:szCs w:val="32"/>
          <w:lang w:val="en-US" w:eastAsia="zh-CN"/>
        </w:rPr>
        <w:t>住建</w:t>
      </w:r>
      <w:r>
        <w:rPr>
          <w:rFonts w:hint="default" w:ascii="Times New Roman" w:hAnsi="Times New Roman" w:eastAsia="楷体" w:cs="Times New Roman"/>
          <w:color w:val="auto"/>
          <w:sz w:val="32"/>
          <w:szCs w:val="32"/>
          <w:lang w:val="en-US" w:eastAsia="zh-CN"/>
        </w:rPr>
        <w:t>局</w:t>
      </w:r>
      <w:r>
        <w:rPr>
          <w:rFonts w:hint="eastAsia" w:ascii="Times New Roman" w:hAnsi="Times New Roman" w:eastAsia="楷体" w:cs="Times New Roman"/>
          <w:color w:val="auto"/>
          <w:sz w:val="32"/>
          <w:szCs w:val="32"/>
          <w:lang w:val="en-US" w:eastAsia="zh-CN"/>
        </w:rPr>
        <w:t>、</w:t>
      </w:r>
      <w:r>
        <w:rPr>
          <w:rFonts w:hint="default" w:ascii="Times New Roman" w:hAnsi="Times New Roman" w:eastAsia="楷体" w:cs="Times New Roman"/>
          <w:color w:val="auto"/>
          <w:sz w:val="32"/>
          <w:szCs w:val="32"/>
          <w:lang w:val="en-US" w:eastAsia="zh-CN"/>
        </w:rPr>
        <w:t>州应急管理局</w:t>
      </w:r>
      <w:r>
        <w:rPr>
          <w:rFonts w:hint="eastAsia" w:ascii="Times New Roman" w:hAnsi="Times New Roman" w:eastAsia="楷体" w:cs="Times New Roman"/>
          <w:color w:val="auto"/>
          <w:sz w:val="32"/>
          <w:szCs w:val="32"/>
          <w:lang w:val="en-US" w:eastAsia="zh-CN"/>
        </w:rPr>
        <w:t>、</w:t>
      </w:r>
      <w:r>
        <w:rPr>
          <w:rFonts w:hint="default" w:ascii="Times New Roman" w:hAnsi="Times New Roman" w:eastAsia="楷体" w:cs="Times New Roman"/>
          <w:color w:val="auto"/>
          <w:sz w:val="32"/>
          <w:szCs w:val="32"/>
          <w:lang w:val="en-US" w:eastAsia="zh-CN"/>
        </w:rPr>
        <w:t>州市场监管局</w:t>
      </w:r>
      <w:r>
        <w:rPr>
          <w:rFonts w:hint="eastAsia" w:ascii="Times New Roman" w:hAnsi="Times New Roman" w:eastAsia="楷体" w:cs="Times New Roman"/>
          <w:color w:val="auto"/>
          <w:sz w:val="32"/>
          <w:szCs w:val="32"/>
          <w:lang w:val="en-US" w:eastAsia="zh-CN"/>
        </w:rPr>
        <w:t>、</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州税务局</w:t>
      </w:r>
      <w:r>
        <w:rPr>
          <w:rFonts w:hint="eastAsia" w:ascii="Times New Roman" w:hAnsi="Times New Roman" w:eastAsia="楷体" w:cs="Times New Roman"/>
          <w:color w:val="auto"/>
          <w:sz w:val="32"/>
          <w:szCs w:val="32"/>
          <w:lang w:val="en-US" w:eastAsia="zh-CN"/>
        </w:rPr>
        <w:t>、</w:t>
      </w:r>
      <w:r>
        <w:rPr>
          <w:rFonts w:hint="default" w:ascii="Times New Roman" w:hAnsi="Times New Roman" w:eastAsia="楷体" w:cs="Times New Roman"/>
          <w:color w:val="auto"/>
          <w:sz w:val="32"/>
          <w:szCs w:val="32"/>
          <w:lang w:val="en-US" w:eastAsia="zh-CN"/>
        </w:rPr>
        <w:t>州消防救援支队</w:t>
      </w:r>
      <w:r>
        <w:rPr>
          <w:rFonts w:hint="eastAsia" w:ascii="Times New Roman" w:hAnsi="Times New Roman" w:eastAsia="楷体" w:cs="Times New Roman"/>
          <w:color w:val="auto"/>
          <w:sz w:val="32"/>
          <w:szCs w:val="32"/>
          <w:lang w:val="en-US" w:eastAsia="zh-CN"/>
        </w:rPr>
        <w:t>、</w:t>
      </w:r>
      <w:r>
        <w:rPr>
          <w:rFonts w:hint="default" w:ascii="Times New Roman" w:hAnsi="Times New Roman" w:eastAsia="楷体" w:cs="Times New Roman"/>
          <w:color w:val="auto"/>
          <w:sz w:val="32"/>
          <w:szCs w:val="32"/>
          <w:lang w:val="en-US" w:eastAsia="zh-CN"/>
        </w:rPr>
        <w:t>州气象局</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成品油零售企业要依据《中华人民共和国气象法》《中华人民共和国安全生产法》《气象灾害防御条例》《危险化学品安全管理条例》《石油成品油流通行业管理工作指引》《加油站计量监督管理办法》《危险化学品经营许可证管理办法》《防雷减灾管理办法》《加油站作业安全规范》《车用乙醇汽油储运安全规范》</w:t>
      </w:r>
      <w:r>
        <w:rPr>
          <w:rFonts w:hint="eastAsia" w:ascii="Times New Roman" w:hAnsi="Times New Roman" w:eastAsia="仿宋_GB2312" w:cs="Times New Roman"/>
          <w:color w:val="auto"/>
          <w:sz w:val="32"/>
          <w:szCs w:val="32"/>
          <w:lang w:val="en-US" w:eastAsia="zh-CN"/>
        </w:rPr>
        <w:t>，中华人民共和国商务部令二〇二五年第4号《成品油流通管理办法》</w:t>
      </w:r>
      <w:r>
        <w:rPr>
          <w:rFonts w:hint="default" w:ascii="Times New Roman" w:hAnsi="Times New Roman" w:eastAsia="仿宋_GB2312" w:cs="Times New Roman"/>
          <w:color w:val="auto"/>
          <w:sz w:val="32"/>
          <w:szCs w:val="32"/>
          <w:lang w:val="en-US" w:eastAsia="zh-CN"/>
        </w:rPr>
        <w:t>等法律法规规章、国家标准，规范经营行为，合法开展成品油零售业务。</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w:t>
      </w:r>
      <w:r>
        <w:rPr>
          <w:rFonts w:hint="default" w:ascii="Times New Roman" w:hAnsi="Times New Roman" w:eastAsia="黑体" w:cs="Times New Roman"/>
          <w:b/>
          <w:bCs/>
          <w:color w:val="auto"/>
          <w:sz w:val="32"/>
          <w:szCs w:val="32"/>
          <w:lang w:val="en-US" w:eastAsia="zh-CN"/>
        </w:rPr>
        <w:t>主体资格合规</w:t>
      </w:r>
      <w:r>
        <w:rPr>
          <w:rFonts w:hint="default" w:ascii="Times New Roman" w:hAnsi="Times New Roman" w:eastAsia="黑体" w:cs="Times New Roman"/>
          <w:color w:val="auto"/>
          <w:sz w:val="32"/>
          <w:szCs w:val="32"/>
          <w:lang w:val="en-US" w:eastAsia="zh-CN"/>
        </w:rPr>
        <w:t>】</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1.成品油零售企业应当按照相关要求申请危险化学品经营许可证，提交申请经营许可证的文件及申请书</w:t>
      </w:r>
      <w:r>
        <w:rPr>
          <w:rFonts w:hint="eastAsia" w:ascii="Times New Roman" w:hAnsi="Times New Roman" w:eastAsia="仿宋_GB2312" w:cs="Times New Roman"/>
          <w:color w:val="auto"/>
          <w:sz w:val="32"/>
          <w:szCs w:val="32"/>
          <w:lang w:val="en-US" w:eastAsia="zh-CN"/>
        </w:rPr>
        <w:t>，企业未取得《危险化学品经营许可证》的，不得从事成品油储存、零售经营活动；许可证有效期届满前3个月须提交延期申请</w:t>
      </w:r>
      <w:r>
        <w:rPr>
          <w:rFonts w:hint="default" w:ascii="Times New Roman" w:hAnsi="Times New Roman" w:eastAsia="仿宋_GB2312" w:cs="Times New Roman"/>
          <w:color w:val="auto"/>
          <w:sz w:val="32"/>
          <w:szCs w:val="32"/>
          <w:lang w:val="en-US" w:eastAsia="zh-CN"/>
        </w:rPr>
        <w:t>；安全生产规章制度和岗位操作规程的目录清单；企业主要负责人、安全生产管理人员、特种作业人员的相关资格证书(复制件)和其他从业人员培训合格的证明材料；经营场所产权证明文件或者租赁证明文件(复制件)；市场监管部门颁发的企业性质营业执照或者企业名称预先核准文件(复制件)；危险化学品事故应急预案备案登记表(复制件)。</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成品油零售企业带有储存设施经营危险化学品，还应当提交储存设施相关证明文件(复制件)；租赁储存设施的，需要提交租赁证明文件(复制件)；储存设施新建、改建、扩建的，需要提交危险化学品建设项目安全设施竣工验收报告；应当提交雷电防护装置的设计审核申请表(施工前)、应当提交雷电防护装置的竣工验收申请表(验收前)；重大危险源备案证明材料、专职安全生产管理人员的学历证书、技术职称证书或者危险物品安全类注册安全工程师资格证书(复制件)；安全评价报告</w:t>
      </w:r>
      <w:r>
        <w:rPr>
          <w:rFonts w:hint="eastAsia" w:ascii="Times New Roman" w:hAnsi="Times New Roman" w:eastAsia="仿宋_GB2312" w:cs="Times New Roman"/>
          <w:color w:val="auto"/>
          <w:sz w:val="32"/>
          <w:szCs w:val="32"/>
          <w:lang w:val="en-US" w:eastAsia="zh-CN"/>
        </w:rPr>
        <w:t>，安全评价报告应由具备资质的机构出具，结论需明确是否符合安全条件，且报告有效期内企业发生重大变更的，应重新评价</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3.成品油零售企业应具备商务部门核发的《成品油零售经营批准证书》、应急部门核发的《危险化学品经营许可证》、市监部门核发的《营业执照》等，并应具有健全完备的HSE管理体系。</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w:t>
      </w:r>
      <w:r>
        <w:rPr>
          <w:rFonts w:hint="default" w:ascii="Times New Roman" w:hAnsi="Times New Roman" w:eastAsia="黑体" w:cs="Times New Roman"/>
          <w:b/>
          <w:bCs/>
          <w:color w:val="auto"/>
          <w:sz w:val="32"/>
          <w:szCs w:val="32"/>
          <w:lang w:val="en-US" w:eastAsia="zh-CN"/>
        </w:rPr>
        <w:t>经营场所合规</w:t>
      </w:r>
      <w:r>
        <w:rPr>
          <w:rFonts w:hint="default" w:ascii="Times New Roman" w:hAnsi="Times New Roman" w:eastAsia="黑体" w:cs="Times New Roman"/>
          <w:color w:val="auto"/>
          <w:sz w:val="32"/>
          <w:szCs w:val="32"/>
          <w:lang w:val="en-US" w:eastAsia="zh-CN"/>
        </w:rPr>
        <w:t>】</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1.成品油零售企业应当依法登记注册为企业，经营和储存场所、设施、建筑物符合《汽车加油加气站设计与施工规范》(GB50156)等相关国家标准、行业标准的规定。</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2.雷电防护装置应当与主体工程同时设计、同时施工、同时投入使用，应当主动履行雷电防护装置设计审核和竣工验收相关程序。</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明确雷电防护重点部位、场所和设施，并制作示意图，设置雷电防护装置安全警示标识。</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4.成品油零售企业建设项目的安全设施，必须严格遵循与主体工程“同时设计、同时施工、同时投入使用”的“三同时”制度，并主动依规履行安全设施竣工验收的各项程序。</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val="0"/>
          <w:color w:val="auto"/>
          <w:sz w:val="32"/>
          <w:szCs w:val="28"/>
        </w:rPr>
      </w:pPr>
      <w:r>
        <w:rPr>
          <w:rFonts w:hint="default" w:ascii="Times New Roman" w:hAnsi="Times New Roman" w:eastAsia="楷体" w:cs="Times New Roman"/>
          <w:b/>
          <w:bCs w:val="0"/>
          <w:i w:val="0"/>
          <w:color w:val="auto"/>
          <w:spacing w:val="0"/>
          <w:sz w:val="32"/>
          <w:szCs w:val="28"/>
          <w:lang w:eastAsia="zh-CN"/>
        </w:rPr>
        <w:t>【</w:t>
      </w:r>
      <w:r>
        <w:rPr>
          <w:rFonts w:hint="default" w:ascii="Times New Roman" w:hAnsi="Times New Roman" w:eastAsia="黑体" w:cs="Times New Roman"/>
          <w:b/>
          <w:bCs/>
          <w:color w:val="auto"/>
          <w:sz w:val="32"/>
          <w:szCs w:val="32"/>
          <w:lang w:val="en-US" w:eastAsia="zh-CN"/>
        </w:rPr>
        <w:t>制度管理合规</w:t>
      </w:r>
      <w:r>
        <w:rPr>
          <w:rFonts w:hint="default" w:ascii="Times New Roman" w:hAnsi="Times New Roman" w:eastAsia="楷体" w:cs="Times New Roman"/>
          <w:b/>
          <w:bCs w:val="0"/>
          <w:i w:val="0"/>
          <w:color w:val="auto"/>
          <w:spacing w:val="0"/>
          <w:sz w:val="32"/>
          <w:szCs w:val="28"/>
          <w:lang w:eastAsia="zh-CN"/>
        </w:rPr>
        <w:t>】</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成品油零售企业应严格执行安全生产责任制、岗位安全操作规程，落实安全检查、隐患治理、教育培训、直接作业环节管理、消防安全管理、环境保护、职业卫生、事故管理、HSE考核、要害(重点)部位安全管理等制度。</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危险化学品经营的单位应有健全全员安全生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tabs>
          <w:tab w:val="left" w:pos="1593"/>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 w:cs="Times New Roman"/>
          <w:b/>
          <w:i w:val="0"/>
          <w:color w:val="auto"/>
          <w:spacing w:val="0"/>
          <w:sz w:val="32"/>
          <w:szCs w:val="28"/>
          <w:lang w:eastAsia="zh-CN"/>
        </w:rPr>
        <w:t>【</w:t>
      </w:r>
      <w:r>
        <w:rPr>
          <w:rFonts w:hint="default" w:ascii="Times New Roman" w:hAnsi="Times New Roman" w:eastAsia="黑体" w:cs="Times New Roman"/>
          <w:b/>
          <w:bCs w:val="0"/>
          <w:i w:val="0"/>
          <w:color w:val="auto"/>
          <w:spacing w:val="0"/>
          <w:sz w:val="32"/>
          <w:szCs w:val="28"/>
        </w:rPr>
        <w:t>经营管理合规</w:t>
      </w:r>
      <w:r>
        <w:rPr>
          <w:rFonts w:hint="default" w:ascii="Times New Roman" w:hAnsi="Times New Roman" w:eastAsia="楷体" w:cs="Times New Roman"/>
          <w:b/>
          <w:i w:val="0"/>
          <w:color w:val="auto"/>
          <w:spacing w:val="0"/>
          <w:sz w:val="32"/>
          <w:szCs w:val="28"/>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w:t>
      </w:r>
      <w:r>
        <w:rPr>
          <w:rFonts w:hint="eastAsia" w:ascii="Times New Roman" w:hAnsi="Times New Roman" w:eastAsia="仿宋_GB2312" w:cs="Times New Roman"/>
          <w:b w:val="0"/>
          <w:i w:val="0"/>
          <w:color w:val="auto"/>
          <w:spacing w:val="0"/>
          <w:sz w:val="32"/>
          <w:szCs w:val="32"/>
          <w:lang w:eastAsia="zh-CN"/>
        </w:rPr>
        <w:t>严格按照《成品油零售加油站增值税征收管理办法》有关规定，按日登记并按月汇总《加油站月销售油品汇总表》，在进行纳税申报时如实记录《加油站</w:t>
      </w:r>
      <w:r>
        <w:rPr>
          <w:rFonts w:hint="eastAsia" w:ascii="Times New Roman" w:hAnsi="Times New Roman" w:eastAsia="仿宋_GB2312" w:cs="Times New Roman"/>
          <w:b w:val="0"/>
          <w:i w:val="0"/>
          <w:color w:val="auto"/>
          <w:spacing w:val="0"/>
          <w:sz w:val="32"/>
          <w:szCs w:val="32"/>
          <w:lang w:val="en-US" w:eastAsia="zh-CN"/>
        </w:rPr>
        <w:t>__月份加油信息明细表</w:t>
      </w:r>
      <w:r>
        <w:rPr>
          <w:rFonts w:hint="eastAsia" w:ascii="Times New Roman" w:hAnsi="Times New Roman" w:eastAsia="仿宋_GB2312" w:cs="Times New Roman"/>
          <w:b w:val="0"/>
          <w:i w:val="0"/>
          <w:color w:val="auto"/>
          <w:spacing w:val="0"/>
          <w:sz w:val="32"/>
          <w:szCs w:val="32"/>
          <w:lang w:eastAsia="zh-CN"/>
        </w:rPr>
        <w:t>》《加油站月销售油品汇总表》《加油站月购油明细表》，使用带有税控装置的加油机，不得利用技术手段擅自修改加油数据，依法履行纳税义务，杜绝发生偷逃税款行为。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2.成品油零售企业不得向未经许可从事危险化学品生产、经营活动的企业采购危险化学品，不得经营没有化学品安全技术说明书或者化学品安全标签的危险化学品。</w:t>
      </w:r>
    </w:p>
    <w:p>
      <w:pPr>
        <w:keepNext w:val="0"/>
        <w:keepLines w:val="0"/>
        <w:pageBreakBefore w:val="0"/>
        <w:widowControl w:val="0"/>
        <w:kinsoku/>
        <w:wordWrap w:val="0"/>
        <w:overflowPunct/>
        <w:topLinePunct w:val="0"/>
        <w:autoSpaceDE/>
        <w:autoSpaceDN/>
        <w:bidi w:val="0"/>
        <w:adjustRightInd/>
        <w:snapToGrid/>
        <w:spacing w:beforeAutospacing="0" w:after="0" w:line="560" w:lineRule="exact"/>
        <w:ind w:left="580" w:right="0"/>
        <w:jc w:val="both"/>
        <w:textAlignment w:val="baseline"/>
        <w:rPr>
          <w:rFonts w:hint="default" w:ascii="Times New Roman" w:hAnsi="Times New Roman" w:eastAsia="楷体" w:cs="Times New Roman"/>
          <w:b/>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Autospacing="0" w:after="0" w:line="560" w:lineRule="exact"/>
        <w:ind w:left="580" w:right="0"/>
        <w:jc w:val="both"/>
        <w:textAlignment w:val="baseline"/>
        <w:rPr>
          <w:rFonts w:hint="default" w:ascii="Times New Roman" w:hAnsi="Times New Roman" w:cs="Times New Roman"/>
          <w:color w:val="auto"/>
          <w:sz w:val="32"/>
          <w:szCs w:val="32"/>
        </w:rPr>
      </w:pPr>
      <w:r>
        <w:rPr>
          <w:rFonts w:hint="default" w:ascii="Times New Roman" w:hAnsi="Times New Roman" w:eastAsia="楷体" w:cs="Times New Roman"/>
          <w:b/>
          <w:i w:val="0"/>
          <w:color w:val="auto"/>
          <w:spacing w:val="0"/>
          <w:sz w:val="32"/>
          <w:szCs w:val="32"/>
          <w:lang w:eastAsia="zh-CN"/>
        </w:rPr>
        <w:t>【</w:t>
      </w:r>
      <w:r>
        <w:rPr>
          <w:rFonts w:hint="default" w:ascii="Times New Roman" w:hAnsi="Times New Roman" w:eastAsia="黑体" w:cs="Times New Roman"/>
          <w:b/>
          <w:bCs w:val="0"/>
          <w:i w:val="0"/>
          <w:color w:val="auto"/>
          <w:spacing w:val="0"/>
          <w:sz w:val="32"/>
          <w:szCs w:val="32"/>
        </w:rPr>
        <w:t>安全管理合规</w:t>
      </w:r>
      <w:r>
        <w:rPr>
          <w:rFonts w:hint="default" w:ascii="Times New Roman" w:hAnsi="Times New Roman" w:eastAsia="楷体"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i w:val="0"/>
          <w:color w:val="auto"/>
          <w:spacing w:val="0"/>
          <w:sz w:val="32"/>
          <w:szCs w:val="32"/>
        </w:rPr>
        <w:t>1.成品油零售企业汽柴油零售仅限于加油机销售，销售散装汽油应严格按照公安部门购买登记手续，建立专门台账，实名登记购买人姓名、证件号码和购买数量、用途等；加油站、油库内严禁烟火，严禁堆放易燃物，应按规定配置消防器材和设施；应</w:t>
      </w:r>
      <w:r>
        <w:rPr>
          <w:rFonts w:hint="default" w:ascii="Times New Roman" w:hAnsi="Times New Roman" w:eastAsia="仿宋_GB2312" w:cs="Times New Roman"/>
          <w:b w:val="0"/>
          <w:i w:val="0"/>
          <w:color w:val="auto"/>
          <w:spacing w:val="0"/>
          <w:sz w:val="32"/>
          <w:szCs w:val="32"/>
          <w:lang w:eastAsia="zh-CN"/>
        </w:rPr>
        <w:t>制定消防应急预案和防范突发事件应急预案。</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2.承担本单位防雷安全主体责任，法定代表人、主要负责人、实际控制人同为防雷安全第一责任人，把防雷安全工作列入本单位的重要议事日程，将防雷安全经费纳入安全生产经费预算。</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3.贯彻执行防雷安全法规和行业主管部门有关要求，接受气象主管机构的监督管理。明确防雷安全责任部门和人员，掌握本单位防雷安全相关情况。</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4.严格执行雷电防护装置的日常巡查与维护制度，指定专人负责本单位雷电防护装置的日常维护、定期检查，建立健全隐患自查自改闭环管理机制，排查和消除雷电防护装置隐患，并做好记录。</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5.组织制定并实施本单位防雷安全教育和培训计划，自行组织或参加行业主管部门的防雷安全知识培训。</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6.建立雷电灾害事故记录、报告制度，雷电灾害发生后，及时向当地气象主管机构报告灾情，积极协助相关部门开展雷灾事故调查。</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7.建立防雷安全档案管理制度，对有关雷电防护装置设计安装工程图纸、检测报告、</w:t>
      </w:r>
      <w:r>
        <w:rPr>
          <w:rFonts w:hint="eastAsia" w:ascii="Times New Roman" w:hAnsi="Times New Roman" w:eastAsia="仿宋_GB2312" w:cs="Times New Roman"/>
          <w:b w:val="0"/>
          <w:i w:val="0"/>
          <w:color w:val="auto"/>
          <w:spacing w:val="0"/>
          <w:sz w:val="32"/>
          <w:szCs w:val="32"/>
          <w:lang w:eastAsia="zh-CN"/>
        </w:rPr>
        <w:t>雷电防护装置设计审核和竣工验收行政许可意见书、</w:t>
      </w:r>
      <w:r>
        <w:rPr>
          <w:rFonts w:hint="default" w:ascii="Times New Roman" w:hAnsi="Times New Roman" w:eastAsia="仿宋_GB2312" w:cs="Times New Roman"/>
          <w:b w:val="0"/>
          <w:i w:val="0"/>
          <w:color w:val="auto"/>
          <w:spacing w:val="0"/>
          <w:sz w:val="32"/>
          <w:szCs w:val="32"/>
        </w:rPr>
        <w:t>隐患整改意见、规章制度、防雷安全相关培训记录以及维护记录等文件及时归档，妥善保管。</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right="0" w:rightChars="0" w:firstLine="640" w:firstLineChars="200"/>
        <w:jc w:val="left"/>
        <w:textAlignment w:val="baseline"/>
        <w:rPr>
          <w:rFonts w:hint="eastAsia" w:ascii="仿宋_GB2312" w:hAnsi="仿宋_GB2312" w:eastAsia="仿宋_GB2312" w:cs="仿宋_GB2312"/>
          <w:b w:val="0"/>
          <w:i w:val="0"/>
          <w:color w:val="auto"/>
          <w:spacing w:val="0"/>
          <w:sz w:val="32"/>
          <w:szCs w:val="32"/>
          <w:lang w:val="en-US" w:eastAsia="zh-CN"/>
        </w:rPr>
      </w:pPr>
      <w:r>
        <w:rPr>
          <w:rFonts w:hint="eastAsia" w:ascii="仿宋_GB2312" w:hAnsi="仿宋_GB2312" w:eastAsia="仿宋_GB2312" w:cs="仿宋_GB2312"/>
          <w:b w:val="0"/>
          <w:i w:val="0"/>
          <w:color w:val="auto"/>
          <w:spacing w:val="0"/>
          <w:sz w:val="32"/>
          <w:szCs w:val="32"/>
          <w:lang w:val="en-US" w:eastAsia="zh-CN"/>
        </w:rPr>
        <w:t>8.</w:t>
      </w:r>
      <w:r>
        <w:rPr>
          <w:rFonts w:hint="eastAsia" w:ascii="仿宋_GB2312" w:hAnsi="仿宋_GB2312" w:eastAsia="仿宋_GB2312" w:cs="仿宋_GB2312"/>
          <w:b w:val="0"/>
          <w:i w:val="0"/>
          <w:color w:val="auto"/>
          <w:spacing w:val="0"/>
          <w:sz w:val="32"/>
          <w:szCs w:val="32"/>
          <w:lang w:eastAsia="zh-CN"/>
        </w:rPr>
        <w:t>明确安全投入强制性，企业应依据《企业安全生产费用提取和使用管理办法》（财资〔</w:t>
      </w:r>
      <w:r>
        <w:rPr>
          <w:rFonts w:hint="eastAsia" w:ascii="仿宋_GB2312" w:hAnsi="仿宋_GB2312" w:eastAsia="仿宋_GB2312" w:cs="仿宋_GB2312"/>
          <w:b w:val="0"/>
          <w:i w:val="0"/>
          <w:color w:val="auto"/>
          <w:spacing w:val="0"/>
          <w:sz w:val="32"/>
          <w:szCs w:val="32"/>
          <w:lang w:val="en-US" w:eastAsia="zh-CN"/>
        </w:rPr>
        <w:t>2022</w:t>
      </w:r>
      <w:r>
        <w:rPr>
          <w:rFonts w:hint="eastAsia" w:ascii="仿宋_GB2312" w:hAnsi="仿宋_GB2312" w:eastAsia="仿宋_GB2312" w:cs="仿宋_GB2312"/>
          <w:b w:val="0"/>
          <w:i w:val="0"/>
          <w:color w:val="auto"/>
          <w:spacing w:val="0"/>
          <w:sz w:val="32"/>
          <w:szCs w:val="32"/>
          <w:lang w:eastAsia="zh-CN"/>
        </w:rPr>
        <w:t>〕</w:t>
      </w:r>
      <w:r>
        <w:rPr>
          <w:rFonts w:hint="eastAsia" w:ascii="仿宋_GB2312" w:hAnsi="仿宋_GB2312" w:eastAsia="仿宋_GB2312" w:cs="仿宋_GB2312"/>
          <w:b w:val="0"/>
          <w:i w:val="0"/>
          <w:color w:val="auto"/>
          <w:spacing w:val="0"/>
          <w:sz w:val="32"/>
          <w:szCs w:val="32"/>
          <w:lang w:val="en-US" w:eastAsia="zh-CN"/>
        </w:rPr>
        <w:t>136号</w:t>
      </w:r>
      <w:r>
        <w:rPr>
          <w:rFonts w:hint="eastAsia" w:ascii="仿宋_GB2312" w:hAnsi="仿宋_GB2312" w:eastAsia="仿宋_GB2312" w:cs="仿宋_GB2312"/>
          <w:b w:val="0"/>
          <w:i w:val="0"/>
          <w:color w:val="auto"/>
          <w:spacing w:val="0"/>
          <w:sz w:val="32"/>
          <w:szCs w:val="32"/>
          <w:lang w:eastAsia="zh-CN"/>
        </w:rPr>
        <w:t>）足额提取安全生产费用。补充应急预案备案要求，成品油零售企业的生产安全事故应急预案须在发布后</w:t>
      </w:r>
      <w:r>
        <w:rPr>
          <w:rFonts w:hint="eastAsia" w:ascii="仿宋_GB2312" w:hAnsi="仿宋_GB2312" w:eastAsia="仿宋_GB2312" w:cs="仿宋_GB2312"/>
          <w:b w:val="0"/>
          <w:i w:val="0"/>
          <w:color w:val="auto"/>
          <w:spacing w:val="0"/>
          <w:sz w:val="32"/>
          <w:szCs w:val="32"/>
          <w:lang w:val="en-US" w:eastAsia="zh-CN"/>
        </w:rPr>
        <w:t>20日内向属地应急管理部门备案，并按要求定期开展应急演练。组织制定并实施本单位安全教育和培训计划，建立健全从业人员安全生产教育和培训档案。</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right="0" w:rightChars="0" w:firstLine="640" w:firstLineChars="200"/>
        <w:jc w:val="both"/>
        <w:textAlignment w:val="baseline"/>
        <w:rPr>
          <w:rFonts w:hint="eastAsia" w:ascii="仿宋_GB2312" w:hAnsi="仿宋_GB2312" w:eastAsia="仿宋_GB2312" w:cs="仿宋_GB2312"/>
          <w:b w:val="0"/>
          <w:i w:val="0"/>
          <w:color w:val="auto"/>
          <w:spacing w:val="0"/>
          <w:sz w:val="32"/>
          <w:szCs w:val="32"/>
          <w:lang w:val="en-US" w:eastAsia="zh-CN"/>
        </w:rPr>
      </w:pPr>
      <w:r>
        <w:rPr>
          <w:rFonts w:hint="eastAsia" w:ascii="仿宋_GB2312" w:hAnsi="仿宋_GB2312" w:eastAsia="仿宋_GB2312" w:cs="仿宋_GB2312"/>
          <w:b w:val="0"/>
          <w:i w:val="0"/>
          <w:color w:val="auto"/>
          <w:spacing w:val="0"/>
          <w:sz w:val="32"/>
          <w:szCs w:val="32"/>
          <w:lang w:val="en-US" w:eastAsia="zh-CN"/>
        </w:rPr>
        <w:t>依据《危险化学品经营许可证管理办法》，成品油经营企业实际经营地址与注册地址一致，不得倒卖出租、出借或以其他形式非法转让危险化学品经营许可证；依照有关规定进行安全评价，安全评价报告符合《危险化学品经营企业安全评价细则》的要求；加油站内部设施安全距离需符合规范，扩建工程需办理安全设施“三同时”手续等；动态进行风险研判，卸油作业、加油作业、油罐计量等作业采取安全防范措施，开展安全隐患自查和治理，确保生产经营安全。</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right="0" w:rightChars="0" w:firstLine="640" w:firstLineChars="200"/>
        <w:jc w:val="left"/>
        <w:textAlignment w:val="baseline"/>
        <w:rPr>
          <w:rFonts w:hint="eastAsia" w:ascii="仿宋_GB2312" w:hAnsi="仿宋_GB2312" w:eastAsia="仿宋_GB2312" w:cs="仿宋_GB2312"/>
          <w:b w:val="0"/>
          <w:i w:val="0"/>
          <w:color w:val="auto"/>
          <w:spacing w:val="0"/>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right="0" w:rightChars="0" w:firstLine="643" w:firstLineChars="200"/>
        <w:jc w:val="left"/>
        <w:textAlignment w:val="baseline"/>
        <w:rPr>
          <w:rFonts w:hint="default" w:ascii="Times New Roman" w:hAnsi="Times New Roman" w:eastAsia="仿宋_GB2312" w:cs="Times New Roman"/>
          <w:b/>
          <w:bCs/>
          <w:i w:val="0"/>
          <w:color w:val="auto"/>
          <w:spacing w:val="0"/>
          <w:sz w:val="32"/>
          <w:szCs w:val="32"/>
        </w:rPr>
      </w:pPr>
      <w:r>
        <w:rPr>
          <w:rFonts w:hint="default" w:ascii="Times New Roman" w:hAnsi="Times New Roman" w:eastAsia="仿宋_GB2312"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质量管理合规</w:t>
      </w:r>
      <w:r>
        <w:rPr>
          <w:rFonts w:hint="default" w:ascii="Times New Roman" w:hAnsi="Times New Roman" w:eastAsia="仿宋_GB2312"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rPr>
        <w:t>成品油零售企业应建立QHSE质量、健康、安全、环境管理制度，实施QHSE管理，应向客户提供符合国家标准的成品油，不得掺杂使假、以次充好，不得销售质量不合格的成品油及非成品油的其他石油制品；运输油品的油罐车应按油品品种分装，专罐专用，不得混装，输送油品的管线应专管专用，不得混用；加油站便利店应销售符合国家质量标准的合格商品，不得销售过期、变质、损毁和假冒伪劣商品。</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eastAsia" w:ascii="Times New Roman" w:hAnsi="Times New Roman" w:eastAsia="仿宋_GB2312" w:cs="Times New Roman"/>
          <w:b w:val="0"/>
          <w:i w:val="0"/>
          <w:color w:val="auto"/>
          <w:spacing w:val="0"/>
          <w:sz w:val="32"/>
          <w:szCs w:val="32"/>
          <w:lang w:eastAsia="zh-CN"/>
        </w:rPr>
      </w:pPr>
      <w:r>
        <w:rPr>
          <w:rFonts w:hint="eastAsia" w:ascii="Times New Roman" w:hAnsi="Times New Roman" w:eastAsia="仿宋_GB2312" w:cs="Times New Roman"/>
          <w:b w:val="0"/>
          <w:i w:val="0"/>
          <w:color w:val="auto"/>
          <w:spacing w:val="0"/>
          <w:sz w:val="32"/>
          <w:szCs w:val="32"/>
          <w:lang w:val="en-US" w:eastAsia="zh-CN"/>
        </w:rPr>
        <w:t>2.</w:t>
      </w:r>
      <w:r>
        <w:rPr>
          <w:rFonts w:hint="eastAsia" w:ascii="Times New Roman" w:hAnsi="Times New Roman" w:eastAsia="仿宋_GB2312" w:cs="Times New Roman"/>
          <w:b w:val="0"/>
          <w:i w:val="0"/>
          <w:color w:val="auto"/>
          <w:spacing w:val="0"/>
          <w:sz w:val="32"/>
          <w:szCs w:val="32"/>
          <w:lang w:eastAsia="zh-CN"/>
        </w:rPr>
        <w:t>成品油零售企业应建立质量管理制度，实施质量管理。</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eastAsia"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环保管理合规</w:t>
      </w:r>
      <w:r>
        <w:rPr>
          <w:rFonts w:hint="default" w:ascii="Times New Roman" w:hAnsi="Times New Roman" w:eastAsia="仿宋_GB2312"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成品油零售企业应保证储油罐、加油机、油气管线等设备设施完好，无渗漏现象；储油罐应采取防渗漏保护措施，并应设置渗漏检测设施，防治污染地下水和土壤；汽油罐车向罐内卸油应采用平衡式密闭油气回收系统，油气回收管道接口宜采用自闭式快速接头；加油机向车辆加注汽油时，应采用自封式加油枪并有油气回收装置；加油站应设置油污水分离池(槽)，防止含油污水污染。</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cs="Times New Roman"/>
          <w:b/>
          <w:bCs/>
          <w:color w:val="auto"/>
          <w:sz w:val="32"/>
          <w:szCs w:val="32"/>
        </w:rPr>
      </w:pPr>
      <w:r>
        <w:rPr>
          <w:rFonts w:hint="default" w:ascii="Times New Roman" w:hAnsi="Times New Roman" w:eastAsia="楷体"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从业人员合规</w:t>
      </w:r>
      <w:r>
        <w:rPr>
          <w:rFonts w:hint="default" w:ascii="Times New Roman" w:hAnsi="Times New Roman" w:eastAsia="楷体" w:cs="Times New Roman"/>
          <w:b/>
          <w:bCs/>
          <w:i w:val="0"/>
          <w:color w:val="auto"/>
          <w:spacing w:val="0"/>
          <w:sz w:val="32"/>
          <w:szCs w:val="32"/>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0" w:leftChars="0"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rPr>
        <w:t>加油站应设置站长、计量员、安全员、设备管理员、质量监督员等岗位，独立核算的加油站还应设会计、出纳岗位，并持证上岗；工作人员应具备必要的安全生产知识，熟悉相关的安全生产规章制度和安全操作规程，掌握本岗位的安全操作技能，考核合格后方能上岗。</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Chars="0" w:right="0" w:rightChars="0" w:firstLine="640" w:firstLineChars="200"/>
        <w:jc w:val="both"/>
        <w:textAlignment w:val="baseline"/>
        <w:rPr>
          <w:rFonts w:hint="eastAsia" w:ascii="Times New Roman" w:hAnsi="Times New Roman" w:eastAsia="仿宋_GB2312" w:cs="Times New Roman"/>
          <w:b w:val="0"/>
          <w:i w:val="0"/>
          <w:color w:val="auto"/>
          <w:spacing w:val="0"/>
          <w:sz w:val="32"/>
          <w:szCs w:val="32"/>
          <w:lang w:eastAsia="zh-CN"/>
        </w:rPr>
      </w:pPr>
      <w:r>
        <w:rPr>
          <w:rFonts w:hint="eastAsia" w:ascii="Times New Roman" w:hAnsi="Times New Roman" w:eastAsia="仿宋_GB2312" w:cs="Times New Roman"/>
          <w:b w:val="0"/>
          <w:i w:val="0"/>
          <w:color w:val="auto"/>
          <w:spacing w:val="0"/>
          <w:sz w:val="32"/>
          <w:szCs w:val="32"/>
          <w:lang w:val="en-US" w:eastAsia="zh-CN"/>
        </w:rPr>
        <w:t>2.</w:t>
      </w:r>
      <w:r>
        <w:rPr>
          <w:rFonts w:hint="eastAsia" w:ascii="Times New Roman" w:hAnsi="Times New Roman" w:eastAsia="仿宋_GB2312" w:cs="Times New Roman"/>
          <w:b w:val="0"/>
          <w:i w:val="0"/>
          <w:color w:val="auto"/>
          <w:spacing w:val="0"/>
          <w:sz w:val="32"/>
          <w:szCs w:val="32"/>
          <w:lang w:eastAsia="zh-CN"/>
        </w:rPr>
        <w:t>成品油经营企业负责人应取得《危险化学品负责人安全培训合格证书》，从业人员应取得《危险化学品从业人员安全培训合格证书》</w:t>
      </w:r>
      <w:r>
        <w:rPr>
          <w:rFonts w:hint="default" w:ascii="Times New Roman" w:hAnsi="Times New Roman" w:eastAsia="仿宋_GB2312" w:cs="Times New Roman"/>
          <w:b w:val="0"/>
          <w:i w:val="0"/>
          <w:color w:val="auto"/>
          <w:spacing w:val="0"/>
          <w:sz w:val="32"/>
          <w:szCs w:val="32"/>
        </w:rPr>
        <w:t>。</w:t>
      </w:r>
      <w:r>
        <w:rPr>
          <w:rFonts w:hint="eastAsia" w:ascii="Times New Roman" w:hAnsi="Times New Roman" w:eastAsia="仿宋_GB2312" w:cs="Times New Roman"/>
          <w:b w:val="0"/>
          <w:i w:val="0"/>
          <w:color w:val="auto"/>
          <w:spacing w:val="0"/>
          <w:sz w:val="32"/>
          <w:szCs w:val="32"/>
          <w:lang w:eastAsia="zh-CN"/>
        </w:rPr>
        <w:t>建立健全并落实从业人员全员安全生产责任制。</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Chars="0" w:right="0" w:rightChars="0" w:firstLine="640" w:firstLineChars="200"/>
        <w:jc w:val="both"/>
        <w:textAlignment w:val="baseline"/>
        <w:rPr>
          <w:rFonts w:hint="eastAsia" w:ascii="Times New Roman" w:hAnsi="Times New Roman" w:eastAsia="仿宋_GB2312" w:cs="Times New Roman"/>
          <w:b w:val="0"/>
          <w:i w:val="0"/>
          <w:color w:val="auto"/>
          <w:spacing w:val="0"/>
          <w:sz w:val="32"/>
          <w:szCs w:val="3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Chars="0" w:right="0" w:rightChars="0" w:firstLine="643" w:firstLineChars="200"/>
        <w:jc w:val="both"/>
        <w:textAlignment w:val="baseline"/>
        <w:rPr>
          <w:rFonts w:hint="default" w:ascii="Times New Roman" w:hAnsi="Times New Roman" w:cs="Times New Roman"/>
          <w:color w:val="auto"/>
          <w:sz w:val="32"/>
        </w:rPr>
      </w:pPr>
      <w:r>
        <w:rPr>
          <w:rFonts w:hint="default" w:ascii="Times New Roman" w:hAnsi="Times New Roman" w:eastAsia="楷体"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计量要求合规</w:t>
      </w:r>
      <w:r>
        <w:rPr>
          <w:rFonts w:hint="default" w:ascii="Times New Roman" w:hAnsi="Times New Roman" w:eastAsia="楷体"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成品油零售企业销售油品应采用容量法，以体积为计量单位销售汽柴油，计量器具应定期经过计量行政主管部门检定合格，并在有效期内使用；卧式油罐投产前应经过计量检定，编制有效容积表；加油机的计量准确度按照现行国家计量检定规程的规定执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1"/>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成品油零售企业应配备与本单位相适应的计量器具，制定具体的检定管理办法和规章制度。制定本单位管理的计量器具明细目录及相应的检定周期，定期对使用的计量器具进行检定、校准，确保量值准确。其中，对于实施强制检定管理的计量器具应在国家强制检定工作计量器具业务管理平台(e-CQS)申请检定。</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1"/>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3.成品油零售企业不得使用未经检定、校准的计量器具，不得使用超期未检、检定不合格的计量器具。</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1"/>
        <w:jc w:val="both"/>
        <w:textAlignment w:val="baseline"/>
        <w:rPr>
          <w:rFonts w:hint="eastAsia" w:ascii="Times New Roman" w:hAnsi="Times New Roman" w:eastAsia="仿宋_GB2312" w:cs="Times New Roman"/>
          <w:b w:val="0"/>
          <w:i w:val="0"/>
          <w:color w:val="auto"/>
          <w:spacing w:val="0"/>
          <w:sz w:val="32"/>
          <w:szCs w:val="32"/>
          <w:lang w:val="en-US" w:eastAsia="zh-CN"/>
        </w:rPr>
      </w:pPr>
      <w:r>
        <w:rPr>
          <w:rFonts w:hint="eastAsia" w:ascii="Times New Roman" w:hAnsi="Times New Roman" w:eastAsia="仿宋_GB2312" w:cs="Times New Roman"/>
          <w:b w:val="0"/>
          <w:i w:val="0"/>
          <w:color w:val="auto"/>
          <w:spacing w:val="0"/>
          <w:sz w:val="32"/>
          <w:szCs w:val="32"/>
          <w:lang w:val="en-US" w:eastAsia="zh-CN"/>
        </w:rPr>
        <w:t>4.加油站完成液位计和加油机零售数据采集软硬件的安装调试，实现向监管平台实时传输采集数据。</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5.</w:t>
      </w:r>
      <w:r>
        <w:rPr>
          <w:rFonts w:hint="default" w:ascii="Times New Roman" w:hAnsi="Times New Roman" w:eastAsia="仿宋_GB2312" w:cs="Times New Roman"/>
          <w:b w:val="0"/>
          <w:i w:val="0"/>
          <w:color w:val="auto"/>
          <w:spacing w:val="0"/>
          <w:sz w:val="32"/>
          <w:szCs w:val="32"/>
        </w:rPr>
        <w:t>遵守计量法律、法规和规章</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制订加油站计量管理及保护消费者权益的制度</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对使用的计量器具进行维护和管理</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接受市场监督管理部门的计量监督。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6.</w:t>
      </w:r>
      <w:r>
        <w:rPr>
          <w:rFonts w:hint="default" w:ascii="Times New Roman" w:hAnsi="Times New Roman" w:eastAsia="仿宋_GB2312" w:cs="Times New Roman"/>
          <w:b w:val="0"/>
          <w:i w:val="0"/>
          <w:color w:val="auto"/>
          <w:spacing w:val="0"/>
          <w:sz w:val="32"/>
          <w:szCs w:val="32"/>
        </w:rPr>
        <w:t>配备专(兼)职计量人员</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负责加油站的计量管理工作。加油站的计量人员应当接受相应的计量业务知识培训。</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1"/>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7.</w:t>
      </w:r>
      <w:r>
        <w:rPr>
          <w:rFonts w:hint="default" w:ascii="Times New Roman" w:hAnsi="Times New Roman" w:eastAsia="仿宋_GB2312" w:cs="Times New Roman"/>
          <w:b w:val="0"/>
          <w:i w:val="0"/>
          <w:color w:val="auto"/>
          <w:spacing w:val="0"/>
          <w:sz w:val="32"/>
          <w:szCs w:val="32"/>
        </w:rPr>
        <w:t>使用属于强制检定的计量器具应当登记造册</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在使用前或有效期到期前</w:t>
      </w:r>
      <w:r>
        <w:rPr>
          <w:rFonts w:hint="default" w:ascii="Times New Roman" w:hAnsi="Times New Roman" w:eastAsia="仿宋_GB2312" w:cs="Times New Roman"/>
          <w:b w:val="0"/>
          <w:i w:val="0"/>
          <w:color w:val="auto"/>
          <w:spacing w:val="0"/>
          <w:sz w:val="32"/>
          <w:szCs w:val="32"/>
          <w:lang w:val="en-US" w:eastAsia="zh-CN"/>
        </w:rPr>
        <w:t>40</w:t>
      </w:r>
      <w:r>
        <w:rPr>
          <w:rFonts w:hint="default" w:ascii="Times New Roman" w:hAnsi="Times New Roman" w:eastAsia="仿宋_GB2312" w:cs="Times New Roman"/>
          <w:b w:val="0"/>
          <w:i w:val="0"/>
          <w:color w:val="auto"/>
          <w:spacing w:val="0"/>
          <w:sz w:val="32"/>
          <w:szCs w:val="32"/>
        </w:rPr>
        <w:t>日，</w:t>
      </w:r>
      <w:r>
        <w:rPr>
          <w:rFonts w:hint="default" w:ascii="Times New Roman" w:hAnsi="Times New Roman" w:eastAsia="仿宋_GB2312" w:cs="Times New Roman"/>
          <w:b w:val="0"/>
          <w:i w:val="0"/>
          <w:color w:val="auto"/>
          <w:spacing w:val="0"/>
          <w:sz w:val="32"/>
          <w:szCs w:val="32"/>
          <w:lang w:eastAsia="zh-CN"/>
        </w:rPr>
        <w:t>通过</w:t>
      </w:r>
      <w:r>
        <w:rPr>
          <w:rFonts w:hint="default" w:ascii="Times New Roman" w:hAnsi="Times New Roman" w:eastAsia="仿宋_GB2312" w:cs="Times New Roman"/>
          <w:b w:val="0"/>
          <w:i w:val="0"/>
          <w:color w:val="auto"/>
          <w:spacing w:val="0"/>
          <w:sz w:val="32"/>
          <w:szCs w:val="32"/>
        </w:rPr>
        <w:t>新疆计量智慧管理系统</w:t>
      </w:r>
      <w:r>
        <w:rPr>
          <w:rFonts w:hint="default" w:ascii="Times New Roman" w:hAnsi="Times New Roman" w:eastAsia="仿宋_GB2312" w:cs="Times New Roman"/>
          <w:b w:val="0"/>
          <w:i w:val="0"/>
          <w:color w:val="auto"/>
          <w:spacing w:val="0"/>
          <w:sz w:val="32"/>
          <w:szCs w:val="32"/>
          <w:lang w:eastAsia="zh-CN"/>
        </w:rPr>
        <w:t>公共服务端（</w:t>
      </w:r>
      <w:r>
        <w:rPr>
          <w:rFonts w:hint="default" w:ascii="Times New Roman" w:hAnsi="Times New Roman" w:eastAsia="仿宋_GB2312" w:cs="Times New Roman"/>
          <w:b w:val="0"/>
          <w:i w:val="0"/>
          <w:color w:val="auto"/>
          <w:spacing w:val="0"/>
          <w:sz w:val="32"/>
          <w:szCs w:val="32"/>
        </w:rPr>
        <w:t>网</w:t>
      </w:r>
      <w:r>
        <w:rPr>
          <w:rFonts w:hint="default" w:ascii="Times New Roman" w:hAnsi="Times New Roman" w:eastAsia="仿宋_GB2312" w:cs="Times New Roman"/>
          <w:b w:val="0"/>
          <w:i w:val="0"/>
          <w:color w:val="auto"/>
          <w:spacing w:val="0"/>
          <w:sz w:val="32"/>
          <w:szCs w:val="32"/>
          <w:lang w:eastAsia="zh-CN"/>
        </w:rPr>
        <w:t>址</w:t>
      </w:r>
      <w:r>
        <w:rPr>
          <w:rFonts w:hint="default" w:ascii="Times New Roman" w:hAnsi="Times New Roman" w:eastAsia="仿宋_GB2312" w:cs="Times New Roman"/>
          <w:b w:val="0"/>
          <w:i w:val="0"/>
          <w:color w:val="auto"/>
          <w:spacing w:val="0"/>
          <w:sz w:val="32"/>
          <w:szCs w:val="32"/>
        </w:rPr>
        <w:t>：</w:t>
      </w:r>
      <w:r>
        <w:rPr>
          <w:rFonts w:hint="default" w:ascii="Times New Roman" w:hAnsi="Times New Roman" w:eastAsia="仿宋_GB2312" w:cs="Times New Roman"/>
          <w:b w:val="0"/>
          <w:i w:val="0"/>
          <w:color w:val="auto"/>
          <w:spacing w:val="0"/>
          <w:sz w:val="32"/>
          <w:szCs w:val="32"/>
          <w:lang w:val="en-US" w:eastAsia="zh-CN"/>
        </w:rPr>
        <w:t>https://</w:t>
      </w:r>
      <w:r>
        <w:rPr>
          <w:rFonts w:hint="default" w:ascii="Times New Roman" w:hAnsi="Times New Roman" w:eastAsia="仿宋_GB2312" w:cs="Times New Roman"/>
          <w:b w:val="0"/>
          <w:i w:val="0"/>
          <w:color w:val="auto"/>
          <w:spacing w:val="0"/>
          <w:sz w:val="32"/>
          <w:szCs w:val="32"/>
        </w:rPr>
        <w:t>msjl.xjaic.gov.cn</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lang w:val="en-US" w:eastAsia="zh-CN"/>
        </w:rPr>
        <w:t>81</w:t>
      </w:r>
      <w:r>
        <w:rPr>
          <w:rFonts w:hint="default" w:ascii="Times New Roman" w:hAnsi="Times New Roman" w:eastAsia="仿宋_GB2312" w:cs="Times New Roman"/>
          <w:b w:val="0"/>
          <w:i w:val="0"/>
          <w:color w:val="auto"/>
          <w:spacing w:val="0"/>
          <w:sz w:val="32"/>
          <w:szCs w:val="32"/>
          <w:lang w:eastAsia="zh-CN"/>
        </w:rPr>
        <w:t>）注册账号，</w:t>
      </w:r>
      <w:r>
        <w:rPr>
          <w:rFonts w:hint="default" w:ascii="Times New Roman" w:hAnsi="Times New Roman" w:eastAsia="仿宋_GB2312" w:cs="Times New Roman"/>
          <w:b w:val="0"/>
          <w:i w:val="0"/>
          <w:color w:val="auto"/>
          <w:spacing w:val="0"/>
          <w:sz w:val="32"/>
          <w:szCs w:val="32"/>
        </w:rPr>
        <w:t>向当地市场监督管理部门备案</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并配合市场监督管理部门及其指定的法定计量检定机构做好强制检定工作。</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8.</w:t>
      </w:r>
      <w:r>
        <w:rPr>
          <w:rFonts w:hint="default" w:ascii="Times New Roman" w:hAnsi="Times New Roman" w:eastAsia="仿宋_GB2312" w:cs="Times New Roman"/>
          <w:b w:val="0"/>
          <w:i w:val="0"/>
          <w:color w:val="auto"/>
          <w:spacing w:val="0"/>
          <w:sz w:val="32"/>
          <w:szCs w:val="32"/>
        </w:rPr>
        <w:t>使用的燃油加油机等计量器具应当具有出厂产品合格证书；</w:t>
      </w:r>
      <w:r>
        <w:rPr>
          <w:rFonts w:hint="eastAsia" w:ascii="Times New Roman" w:hAnsi="Times New Roman" w:eastAsia="仿宋_GB2312" w:cs="Times New Roman"/>
          <w:b w:val="0"/>
          <w:i w:val="0"/>
          <w:color w:val="auto"/>
          <w:spacing w:val="0"/>
          <w:sz w:val="32"/>
          <w:szCs w:val="32"/>
          <w:lang w:eastAsia="zh-CN"/>
        </w:rPr>
        <w:t>新建、改（扩）建加油站须配置</w:t>
      </w:r>
      <w:r>
        <w:rPr>
          <w:rFonts w:hint="eastAsia" w:ascii="Times New Roman" w:hAnsi="Times New Roman" w:eastAsia="仿宋_GB2312" w:cs="Times New Roman"/>
          <w:b w:val="0"/>
          <w:i w:val="0"/>
          <w:color w:val="auto"/>
          <w:spacing w:val="0"/>
          <w:sz w:val="32"/>
          <w:szCs w:val="32"/>
          <w:lang w:val="en-US" w:eastAsia="zh-CN"/>
        </w:rPr>
        <w:t>GB/T9081-2023加油机；</w:t>
      </w:r>
      <w:r>
        <w:rPr>
          <w:rFonts w:hint="default" w:ascii="Times New Roman" w:hAnsi="Times New Roman" w:eastAsia="仿宋_GB2312" w:cs="Times New Roman"/>
          <w:b w:val="0"/>
          <w:i w:val="0"/>
          <w:color w:val="auto"/>
          <w:spacing w:val="0"/>
          <w:sz w:val="32"/>
          <w:szCs w:val="32"/>
        </w:rPr>
        <w:t>燃油加油机安装后报经当地市场监督管理部门授权的法定计量检定机构检定合格</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方可投入使用。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9.</w:t>
      </w:r>
      <w:r>
        <w:rPr>
          <w:rFonts w:hint="default" w:ascii="Times New Roman" w:hAnsi="Times New Roman" w:eastAsia="仿宋_GB2312" w:cs="Times New Roman"/>
          <w:b w:val="0"/>
          <w:i w:val="0"/>
          <w:color w:val="auto"/>
          <w:spacing w:val="0"/>
          <w:sz w:val="32"/>
          <w:szCs w:val="32"/>
        </w:rPr>
        <w:t>需要维修燃油加油机</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应当向具有合法维修资格的单位报修</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维修后的燃油加油机应当报经执行强制检定的法定计量检定机构检定合格后</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方可重新投入使用。</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10.</w:t>
      </w:r>
      <w:r>
        <w:rPr>
          <w:rFonts w:hint="default" w:ascii="Times New Roman" w:hAnsi="Times New Roman" w:eastAsia="仿宋_GB2312" w:cs="Times New Roman"/>
          <w:b w:val="0"/>
          <w:i w:val="0"/>
          <w:color w:val="auto"/>
          <w:spacing w:val="0"/>
          <w:sz w:val="32"/>
          <w:szCs w:val="32"/>
        </w:rPr>
        <w:t>不得使用非法定计量单位</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不得违反规定使用非法定计量单位的计量器具以及国家明令淘汰或者禁止使用的计量器具用于成品油贸易交接。</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11.</w:t>
      </w:r>
      <w:r>
        <w:rPr>
          <w:rFonts w:hint="default" w:ascii="Times New Roman" w:hAnsi="Times New Roman" w:eastAsia="仿宋_GB2312" w:cs="Times New Roman"/>
          <w:b w:val="0"/>
          <w:i w:val="0"/>
          <w:color w:val="auto"/>
          <w:spacing w:val="0"/>
          <w:sz w:val="32"/>
          <w:szCs w:val="32"/>
        </w:rPr>
        <w:t>不得使用未经检定、超过检定周期或者经检定不合格的计量器具；不得破坏计量器具及其铅(签)封</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不得擅自改动、拆装燃油加油机</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不得使用未经批准而改动的燃油加油机</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不得弄虚作假。</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12.</w:t>
      </w:r>
      <w:r>
        <w:rPr>
          <w:rFonts w:hint="default" w:ascii="Times New Roman" w:hAnsi="Times New Roman" w:eastAsia="仿宋_GB2312" w:cs="Times New Roman"/>
          <w:b w:val="0"/>
          <w:i w:val="0"/>
          <w:color w:val="auto"/>
          <w:spacing w:val="0"/>
          <w:sz w:val="32"/>
          <w:szCs w:val="32"/>
        </w:rPr>
        <w:t>进行成品油零售时</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应当使用燃油加油机等计量器具</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并明示计量单位、计量过程和计量器具显示的量值</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不得估量计费。成品油零售量的结算值应当与实际值相符</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其偏差不得超过国家规定的允许误差；国家对计量偏差没有规定的</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其偏差不得超过所使用计量器具的允许误差。</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cs="Times New Roman"/>
          <w:color w:val="auto"/>
          <w:sz w:val="32"/>
        </w:rPr>
      </w:pP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rPr>
        <w:t>设备设施合规</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1"/>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1.成品油零售企业储油罐应采用埋地卧式储油罐，严禁设在室内或地下室内，单罐容积宜为15m-50m ；加油机不得设置在室内；加油站应设置防静电和防雷的联合接地装置，卸车场地应设油罐车卸车时专用的“放静电”接地装置，并宜设置能检测跨接线及监视接地装置状态的静电接地仪。</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成品油零售企业应主动关注当地气象主管机构所属气象台站发布的雷电天气预警信息，并根据实际情况采取安全防范措施。制定本单位雷电灾害应急预案，必要时启动雷电灾害应急预案。每年至少开展一次雷电灾害应急演练。</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3.成品油零售企业应委托具有相应资质等级的雷电防护装置检测单位对本单位所有雷电防护装置进行定期检测，做到应检必检，杜绝由于漏检形成的安全隐患。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委托检测时，通过全国防雷减灾综合管理服务平台(网址</w:t>
      </w:r>
      <w:r>
        <w:rPr>
          <w:rFonts w:hint="default" w:ascii="Times New Roman" w:hAnsi="Times New Roman" w:eastAsia="仿宋_GB2312" w:cs="Times New Roman"/>
          <w:b w:val="0"/>
          <w:i w:val="0"/>
          <w:color w:val="auto"/>
          <w:spacing w:val="0"/>
          <w:sz w:val="32"/>
          <w:szCs w:val="32"/>
          <w:u w:val="single"/>
        </w:rPr>
        <w:t>https:// www.qgfljg.cn</w:t>
      </w:r>
      <w:r>
        <w:rPr>
          <w:rFonts w:hint="default" w:ascii="Times New Roman" w:hAnsi="Times New Roman" w:eastAsia="仿宋_GB2312" w:cs="Times New Roman"/>
          <w:b w:val="0"/>
          <w:i w:val="0"/>
          <w:color w:val="auto"/>
          <w:spacing w:val="0"/>
          <w:sz w:val="32"/>
          <w:szCs w:val="32"/>
        </w:rPr>
        <w:t>) 对雷电防护装置检测单位的资质证书进行核验。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4.发现雷电防护装置检测单位在检测服务过程中未检测就出具检测报告等不执行雷电防护装置安全规定或标准的，及时向当地气象主管机构举报。</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5.在雷电防护装置定期检测后，及时将雷电防护装置检测情况上传全国防雷减灾综合管理服务平台。如果存在问题隐患，需要制定整改计划，在整改完成后，及时将整改结果上传全国防雷减灾综合管理服务平台。</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1"/>
        <w:jc w:val="both"/>
        <w:textAlignment w:val="baseline"/>
        <w:rPr>
          <w:rFonts w:hint="eastAsia" w:ascii="Times New Roman" w:hAnsi="Times New Roman" w:eastAsia="仿宋_GB2312" w:cs="Times New Roman"/>
          <w:b w:val="0"/>
          <w:i w:val="0"/>
          <w:color w:val="auto"/>
          <w:spacing w:val="0"/>
          <w:sz w:val="32"/>
          <w:szCs w:val="32"/>
          <w:lang w:val="en-US" w:eastAsia="zh-CN"/>
        </w:rPr>
      </w:pPr>
      <w:r>
        <w:rPr>
          <w:rFonts w:hint="eastAsia" w:ascii="Times New Roman" w:hAnsi="Times New Roman" w:eastAsia="仿宋_GB2312" w:cs="Times New Roman"/>
          <w:b w:val="0"/>
          <w:i w:val="0"/>
          <w:color w:val="auto"/>
          <w:spacing w:val="0"/>
          <w:sz w:val="32"/>
          <w:szCs w:val="32"/>
          <w:lang w:val="en-US" w:eastAsia="zh-CN"/>
        </w:rPr>
        <w:t>6.清洗油管、加油机维修、动火作业、防静电设施和接地装置检测、用电和发电等设备使用、维护、检修的安全要求，严格按照《加油站作业安全规范》（AQ3010-2022）执行。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1"/>
        <w:jc w:val="both"/>
        <w:textAlignment w:val="baseline"/>
        <w:rPr>
          <w:rFonts w:hint="eastAsia" w:ascii="Times New Roman" w:hAnsi="Times New Roman" w:eastAsia="仿宋_GB2312" w:cs="Times New Roman"/>
          <w:b w:val="0"/>
          <w:i w:val="0"/>
          <w:color w:val="auto"/>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1"/>
        <w:jc w:val="both"/>
        <w:textAlignment w:val="baseline"/>
        <w:rPr>
          <w:rFonts w:hint="default" w:ascii="Times New Roman" w:hAnsi="Times New Roman" w:eastAsia="黑体" w:cs="Times New Roman"/>
          <w:b w:val="0"/>
          <w:i w:val="0"/>
          <w:color w:val="auto"/>
          <w:spacing w:val="0"/>
          <w:sz w:val="32"/>
          <w:szCs w:val="32"/>
          <w:lang w:eastAsia="zh-CN"/>
        </w:rPr>
      </w:pPr>
      <w:r>
        <w:rPr>
          <w:rFonts w:hint="default" w:ascii="Times New Roman" w:hAnsi="Times New Roman" w:eastAsia="黑体"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规划布点合规</w:t>
      </w:r>
      <w:r>
        <w:rPr>
          <w:rFonts w:hint="default" w:ascii="Times New Roman" w:hAnsi="Times New Roman" w:eastAsia="黑体"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成品油零售企业加油站建设应按照《汽车加油加气加氢站技术标准》 (GB/T50156-2021) 进行设计、施工。</w:t>
      </w:r>
    </w:p>
    <w:p>
      <w:pPr>
        <w:keepNext w:val="0"/>
        <w:keepLines w:val="0"/>
        <w:pageBreakBefore w:val="0"/>
        <w:widowControl w:val="0"/>
        <w:numPr>
          <w:ilvl w:val="0"/>
          <w:numId w:val="0"/>
        </w:numPr>
        <w:kinsoku/>
        <w:wordWrap/>
        <w:overflowPunct/>
        <w:topLinePunct w:val="0"/>
        <w:autoSpaceDE/>
        <w:autoSpaceDN/>
        <w:bidi w:val="0"/>
        <w:adjustRightInd/>
        <w:snapToGrid/>
        <w:spacing w:before="660" w:after="0" w:line="560" w:lineRule="exact"/>
        <w:ind w:right="40" w:rightChars="0"/>
        <w:jc w:val="center"/>
        <w:textAlignment w:val="baseline"/>
        <w:outlineLvl w:val="0"/>
        <w:rPr>
          <w:rFonts w:hint="default" w:ascii="Times New Roman" w:hAnsi="Times New Roman" w:eastAsia="黑体" w:cs="Times New Roman"/>
          <w:color w:val="auto"/>
          <w:sz w:val="44"/>
          <w:szCs w:val="44"/>
        </w:rPr>
      </w:pPr>
      <w:bookmarkStart w:id="1" w:name="_Toc2224"/>
      <w:r>
        <w:rPr>
          <w:rFonts w:hint="default" w:ascii="Times New Roman" w:hAnsi="Times New Roman" w:eastAsia="黑体" w:cs="Times New Roman"/>
          <w:b w:val="0"/>
          <w:i w:val="0"/>
          <w:color w:val="auto"/>
          <w:spacing w:val="0"/>
          <w:sz w:val="44"/>
          <w:szCs w:val="44"/>
          <w:lang w:val="en-US" w:eastAsia="zh-CN"/>
        </w:rPr>
        <w:t>2.</w:t>
      </w:r>
      <w:r>
        <w:rPr>
          <w:rFonts w:hint="default" w:ascii="Times New Roman" w:hAnsi="Times New Roman" w:eastAsia="黑体" w:cs="Times New Roman"/>
          <w:b w:val="0"/>
          <w:i w:val="0"/>
          <w:color w:val="auto"/>
          <w:spacing w:val="0"/>
          <w:sz w:val="44"/>
          <w:szCs w:val="44"/>
        </w:rPr>
        <w:t>单用途商业预付卡发卡企业</w:t>
      </w:r>
      <w:bookmarkEnd w:id="1"/>
    </w:p>
    <w:p>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baseline"/>
        <w:rPr>
          <w:rFonts w:hint="default"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涉及监管部门：州商务局、州市场监督管理局、州税务局</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center"/>
        <w:textAlignment w:val="baseline"/>
        <w:rPr>
          <w:rFonts w:hint="default" w:ascii="Times New Roman" w:hAnsi="Times New Roman" w:eastAsia="楷体"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单用途商业预付卡发卡企业要按照《单用途商业预付卡管理办法(试行)》《合同</w:t>
      </w:r>
      <w:r>
        <w:rPr>
          <w:rFonts w:hint="default" w:ascii="Times New Roman" w:hAnsi="Times New Roman" w:eastAsia="仿宋_GB2312" w:cs="Times New Roman"/>
          <w:b w:val="0"/>
          <w:i w:val="0"/>
          <w:color w:val="auto"/>
          <w:spacing w:val="0"/>
          <w:sz w:val="32"/>
          <w:szCs w:val="32"/>
          <w:lang w:eastAsia="zh-CN"/>
        </w:rPr>
        <w:t>行政</w:t>
      </w:r>
      <w:r>
        <w:rPr>
          <w:rFonts w:hint="default" w:ascii="Times New Roman" w:hAnsi="Times New Roman" w:eastAsia="仿宋_GB2312" w:cs="Times New Roman"/>
          <w:b w:val="0"/>
          <w:i w:val="0"/>
          <w:color w:val="auto"/>
          <w:spacing w:val="0"/>
          <w:sz w:val="32"/>
          <w:szCs w:val="32"/>
        </w:rPr>
        <w:t>监督</w:t>
      </w:r>
      <w:r>
        <w:rPr>
          <w:rFonts w:hint="default" w:ascii="Times New Roman" w:hAnsi="Times New Roman" w:eastAsia="仿宋_GB2312" w:cs="Times New Roman"/>
          <w:b w:val="0"/>
          <w:i w:val="0"/>
          <w:color w:val="auto"/>
          <w:spacing w:val="0"/>
          <w:sz w:val="32"/>
          <w:szCs w:val="32"/>
          <w:lang w:eastAsia="zh-CN"/>
        </w:rPr>
        <w:t>管理</w:t>
      </w:r>
      <w:r>
        <w:rPr>
          <w:rFonts w:hint="default" w:ascii="Times New Roman" w:hAnsi="Times New Roman" w:eastAsia="仿宋_GB2312" w:cs="Times New Roman"/>
          <w:b w:val="0"/>
          <w:i w:val="0"/>
          <w:color w:val="auto"/>
          <w:spacing w:val="0"/>
          <w:sz w:val="32"/>
          <w:szCs w:val="32"/>
        </w:rPr>
        <w:t>办法》等法律法规，规范经营行为。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备案管理合规</w:t>
      </w:r>
      <w:r>
        <w:rPr>
          <w:rFonts w:hint="default" w:ascii="Times New Roman" w:hAnsi="Times New Roman" w:eastAsia="楷体"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发卡企业应在开展单用途卡业务之日起30日内按照下列规定办理备案：集团发卡企业和品牌发卡企业向其注册登记地人民政府商务主管部门备案；规模发卡企业向其注册登记人民政府商务主管部门备案</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cs="Times New Roman"/>
          <w:color w:val="auto"/>
          <w:sz w:val="32"/>
          <w:szCs w:val="32"/>
        </w:rPr>
      </w:pP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发行服务合规</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发卡企业应在实体卡卡面上记载发卡企业名称及联系方式、卡号、使用规则、注意事项等。集团发卡企业还应标明集团名称，品牌发卡企业应标明统一的企业标志或注册商标。虚拟卡也应记载上述信息。已备案的发卡企业可标明备案编号。</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个人或单位购买(含充值，下同)记名卡的，或一次性购买1万元(含)以上不记名卡的，发卡企业或售卡企业应要求购卡人及其代理人出示有效身份证件，并留存购卡人及其代理人姓名或单位名称、有效身份证件号码和联系方式。发卡企业和售卡企业应保存购卡人的登记信息5年以上。</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4.发卡企业和售卡企业应严格按照国家有关规定开具发票。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5.单张记名卡限额不得超过5000元，单张不记名卡限额不得超过1000元。记名卡不得设有效期；不记名卡有效期不得少于3年。</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6.发卡企业终止兑付未到期单用途卡的，发卡企业和售卡企业应向持卡人提供免费退卡服务，并在终止兑付日前至少30日在备案机关指定的媒体上进行公示。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cs="Times New Roman"/>
          <w:color w:val="auto"/>
          <w:sz w:val="32"/>
          <w:szCs w:val="32"/>
        </w:rPr>
      </w:pPr>
      <w:r>
        <w:rPr>
          <w:rFonts w:hint="default" w:ascii="Times New Roman" w:hAnsi="Times New Roman" w:eastAsia="仿宋"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资金管理合规</w:t>
      </w:r>
      <w:r>
        <w:rPr>
          <w:rFonts w:hint="default" w:ascii="Times New Roman" w:hAnsi="Times New Roman" w:eastAsia="仿宋"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1.主营业务为零售业、住宿和餐饮业的发卡企业，预收资金余额不得超过其上一会计年度主营业务收入的40%；主营业务为居民服务业的发卡企业的预收资金余额不得超过其上一会计年度主营业务收入；注册登记不足一年的发卡企业的预收资金余额不得超过其注册资本的2倍。</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2.集团发卡企业预收资金余额不得超过其上一会计年度本集团营业收入的30%。</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3.规模发卡企业、集团发卡企业和品牌发卡企业实行资金存管制度。规模发卡企业存管资金比例不低于上一季度预收资金余额的20%；集团发卡企业存管资金比例不低于上一季度预收资金余额的30%</w:t>
      </w:r>
      <w:r>
        <w:rPr>
          <w:rFonts w:hint="default" w:ascii="Times New Roman" w:hAnsi="Times New Roman" w:eastAsia="仿宋_GB2312" w:cs="Times New Roman"/>
          <w:b w:val="0"/>
          <w:i w:val="0"/>
          <w:color w:val="auto"/>
          <w:spacing w:val="0"/>
          <w:sz w:val="32"/>
          <w:szCs w:val="32"/>
          <w:lang w:val="en-US" w:eastAsia="zh-CN"/>
        </w:rPr>
        <w:t>;</w:t>
      </w:r>
      <w:r>
        <w:rPr>
          <w:rFonts w:hint="default" w:ascii="Times New Roman" w:hAnsi="Times New Roman" w:eastAsia="仿宋_GB2312" w:cs="Times New Roman"/>
          <w:b w:val="0"/>
          <w:i w:val="0"/>
          <w:color w:val="auto"/>
          <w:spacing w:val="0"/>
          <w:sz w:val="32"/>
          <w:szCs w:val="32"/>
        </w:rPr>
        <w:t>品牌发卡企业存管资金比例不低于上一季度预收资金余额的40%。</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4.规模发卡企业、集团发卡企业和品牌发卡企业应确定一个银行账户作为资金存管账户，并与存管银行签订资金存管协议。</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5.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cs="Times New Roman"/>
          <w:color w:val="auto"/>
          <w:sz w:val="32"/>
          <w:szCs w:val="32"/>
        </w:rPr>
      </w:pPr>
      <w:r>
        <w:rPr>
          <w:rFonts w:hint="default" w:ascii="Times New Roman" w:hAnsi="Times New Roman" w:eastAsia="仿宋"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合同行为合规</w:t>
      </w:r>
      <w:r>
        <w:rPr>
          <w:rFonts w:hint="default" w:ascii="Times New Roman" w:hAnsi="Times New Roman" w:eastAsia="仿宋"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firstLine="2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1.发卡企业不得利用合同实施下列欺诈行为：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firstLine="20"/>
        <w:jc w:val="both"/>
        <w:textAlignment w:val="baseline"/>
        <w:rPr>
          <w:rFonts w:hint="default" w:ascii="Times New Roman" w:hAnsi="Times New Roman" w:eastAsia="仿宋_GB2312" w:cs="Times New Roman"/>
          <w:b w:val="0"/>
          <w:i w:val="0"/>
          <w:color w:val="auto"/>
          <w:spacing w:val="0"/>
          <w:sz w:val="32"/>
          <w:szCs w:val="32"/>
          <w:lang w:val="en-US" w:eastAsia="zh-CN"/>
        </w:rPr>
      </w:pPr>
      <w:r>
        <w:rPr>
          <w:rFonts w:hint="default" w:ascii="Times New Roman" w:hAnsi="Times New Roman" w:eastAsia="仿宋_GB2312" w:cs="Times New Roman"/>
          <w:b w:val="0"/>
          <w:i w:val="0"/>
          <w:color w:val="auto"/>
          <w:spacing w:val="0"/>
          <w:sz w:val="32"/>
          <w:szCs w:val="32"/>
          <w:lang w:val="en-US" w:eastAsia="zh-CN"/>
        </w:rPr>
        <w:t>(1)伪造合同；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firstLine="20"/>
        <w:jc w:val="both"/>
        <w:textAlignment w:val="baseline"/>
        <w:rPr>
          <w:rFonts w:hint="default" w:ascii="Times New Roman" w:hAnsi="Times New Roman" w:eastAsia="仿宋_GB2312" w:cs="Times New Roman"/>
          <w:b w:val="0"/>
          <w:i w:val="0"/>
          <w:color w:val="auto"/>
          <w:spacing w:val="0"/>
          <w:sz w:val="32"/>
          <w:szCs w:val="32"/>
          <w:lang w:val="en-US" w:eastAsia="zh-CN"/>
        </w:rPr>
      </w:pPr>
      <w:r>
        <w:rPr>
          <w:rFonts w:hint="default" w:ascii="Times New Roman" w:hAnsi="Times New Roman" w:eastAsia="仿宋_GB2312" w:cs="Times New Roman"/>
          <w:b w:val="0"/>
          <w:i w:val="0"/>
          <w:color w:val="auto"/>
          <w:spacing w:val="0"/>
          <w:sz w:val="32"/>
          <w:szCs w:val="32"/>
          <w:lang w:val="en-US" w:eastAsia="zh-CN"/>
        </w:rPr>
        <w:t>(2)虚构合同主体资格或者盗用、冒用他人名义订立合同；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虚构合同标的或者虚构货源、销售渠道诱人订立、履行合同；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(4)</w:t>
      </w:r>
      <w:r>
        <w:rPr>
          <w:rFonts w:hint="default" w:ascii="Times New Roman" w:hAnsi="Times New Roman" w:eastAsia="仿宋_GB2312" w:cs="Times New Roman"/>
          <w:b w:val="0"/>
          <w:i w:val="0"/>
          <w:color w:val="auto"/>
          <w:spacing w:val="0"/>
          <w:sz w:val="32"/>
          <w:szCs w:val="32"/>
        </w:rPr>
        <w:t>发布或者利用虚假信息，诱人订立合同；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(5)</w:t>
      </w:r>
      <w:r>
        <w:rPr>
          <w:rFonts w:hint="default" w:ascii="Times New Roman" w:hAnsi="Times New Roman" w:eastAsia="仿宋_GB2312" w:cs="Times New Roman"/>
          <w:b w:val="0"/>
          <w:i w:val="0"/>
          <w:color w:val="auto"/>
          <w:spacing w:val="0"/>
          <w:sz w:val="32"/>
          <w:szCs w:val="32"/>
        </w:rPr>
        <w:t>隐瞒重要事实，诱骗对方当事人做出错误的意思表示订立合同，或者诱骗对方当事人履行合同；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(6)</w:t>
      </w:r>
      <w:r>
        <w:rPr>
          <w:rFonts w:hint="default" w:ascii="Times New Roman" w:hAnsi="Times New Roman" w:eastAsia="仿宋_GB2312" w:cs="Times New Roman"/>
          <w:b w:val="0"/>
          <w:i w:val="0"/>
          <w:color w:val="auto"/>
          <w:spacing w:val="0"/>
          <w:sz w:val="32"/>
          <w:szCs w:val="32"/>
        </w:rPr>
        <w:t>没有实际履行能力，以先履行小额合同或者部分履行合的方法，诱骗对方当事人订立、履行合同；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8" w:firstLineChars="209"/>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(7)</w:t>
      </w:r>
      <w:r>
        <w:rPr>
          <w:rFonts w:hint="default" w:ascii="Times New Roman" w:hAnsi="Times New Roman" w:eastAsia="仿宋_GB2312" w:cs="Times New Roman"/>
          <w:b w:val="0"/>
          <w:i w:val="0"/>
          <w:color w:val="auto"/>
          <w:spacing w:val="0"/>
          <w:sz w:val="32"/>
          <w:szCs w:val="32"/>
        </w:rPr>
        <w:t>恶意设置事实上不能履行的条款，造成对方当事人无法履行合同；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8" w:firstLineChars="209"/>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(8)</w:t>
      </w:r>
      <w:r>
        <w:rPr>
          <w:rFonts w:hint="default" w:ascii="Times New Roman" w:hAnsi="Times New Roman" w:eastAsia="仿宋_GB2312" w:cs="Times New Roman"/>
          <w:b w:val="0"/>
          <w:i w:val="0"/>
          <w:color w:val="auto"/>
          <w:spacing w:val="0"/>
          <w:sz w:val="32"/>
          <w:szCs w:val="32"/>
        </w:rPr>
        <w:t>编造虚假理由终止合同，骗取财物；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8" w:firstLineChars="209"/>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(9)</w:t>
      </w:r>
      <w:r>
        <w:rPr>
          <w:rFonts w:hint="default" w:ascii="Times New Roman" w:hAnsi="Times New Roman" w:eastAsia="仿宋_GB2312" w:cs="Times New Roman"/>
          <w:b w:val="0"/>
          <w:i w:val="0"/>
          <w:color w:val="auto"/>
          <w:spacing w:val="0"/>
          <w:sz w:val="32"/>
          <w:szCs w:val="32"/>
        </w:rPr>
        <w:t>提供虚假担保；</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8" w:firstLineChars="209"/>
        <w:jc w:val="both"/>
        <w:textAlignment w:val="baseline"/>
        <w:rPr>
          <w:rFonts w:hint="default" w:ascii="Times New Roman" w:hAnsi="Times New Roman" w:eastAsia="仿宋_GB2312" w:cs="Times New Roman"/>
          <w:b w:val="0"/>
          <w:i w:val="0"/>
          <w:color w:val="auto"/>
          <w:spacing w:val="0"/>
          <w:sz w:val="32"/>
          <w:szCs w:val="32"/>
          <w:lang w:val="en-US" w:eastAsia="zh-CN"/>
        </w:rPr>
      </w:pPr>
      <w:r>
        <w:rPr>
          <w:rFonts w:hint="default" w:ascii="Times New Roman" w:hAnsi="Times New Roman" w:eastAsia="仿宋_GB2312" w:cs="Times New Roman"/>
          <w:b w:val="0"/>
          <w:i w:val="0"/>
          <w:color w:val="auto"/>
          <w:spacing w:val="0"/>
          <w:sz w:val="32"/>
          <w:szCs w:val="32"/>
          <w:lang w:val="en-US" w:eastAsia="zh-CN"/>
        </w:rPr>
        <w:t>(10)</w:t>
      </w:r>
      <w:r>
        <w:rPr>
          <w:rFonts w:hint="default" w:ascii="Times New Roman" w:hAnsi="Times New Roman" w:eastAsia="仿宋_GB2312" w:cs="Times New Roman"/>
          <w:b w:val="0"/>
          <w:i w:val="0"/>
          <w:color w:val="auto"/>
          <w:spacing w:val="0"/>
          <w:sz w:val="32"/>
          <w:szCs w:val="32"/>
        </w:rPr>
        <w:t>采用其他欺诈手段订立、履行合同。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2.发卡企业与消费者采用格式条款订立合同的，发卡企业不得在格式条款中免除自己的下列责任：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(1)造成消费者人身伤害的责任；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(2)因故意或者重大过失造成消费者财产损失的责任；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(3)对提供的商品或者服务依法应当承担的保证责任；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(4)因违约依法应当承担的违约责任；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(5)依法应当承担的其他责任。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3.发卡企业与消费者采用格式条款订立合同的，发卡企业不得在格式条款中加重消费者下列责任：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(1)违约金或者损害赔偿金超过法定数额或者合理数额；</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(2)承担应当由格式条款提供方承担的经营风险责任；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(3)其他依照法律法规不应由消费者承担的责任。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4.发卡企业与消费者采用格式条款订立合同的，发卡企业不得</w:t>
      </w:r>
      <w:r>
        <w:rPr>
          <w:rFonts w:hint="default" w:ascii="Times New Roman" w:hAnsi="Times New Roman" w:eastAsia="仿宋_GB2312" w:cs="Times New Roman"/>
          <w:b w:val="0"/>
          <w:i w:val="0"/>
          <w:color w:val="auto"/>
          <w:spacing w:val="0"/>
          <w:sz w:val="32"/>
          <w:szCs w:val="32"/>
          <w:lang w:eastAsia="zh-CN"/>
        </w:rPr>
        <w:t>在</w:t>
      </w:r>
      <w:r>
        <w:rPr>
          <w:rFonts w:hint="default" w:ascii="Times New Roman" w:hAnsi="Times New Roman" w:eastAsia="仿宋_GB2312" w:cs="Times New Roman"/>
          <w:b w:val="0"/>
          <w:i w:val="0"/>
          <w:color w:val="auto"/>
          <w:spacing w:val="0"/>
          <w:sz w:val="32"/>
          <w:szCs w:val="32"/>
        </w:rPr>
        <w:t>格式条款中排除消费者下列权利：</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(1)</w:t>
      </w:r>
      <w:r>
        <w:rPr>
          <w:rFonts w:hint="default" w:ascii="Times New Roman" w:hAnsi="Times New Roman" w:eastAsia="仿宋_GB2312" w:cs="Times New Roman"/>
          <w:b w:val="0"/>
          <w:i w:val="0"/>
          <w:color w:val="auto"/>
          <w:spacing w:val="0"/>
          <w:sz w:val="32"/>
          <w:szCs w:val="32"/>
          <w:lang w:eastAsia="zh-CN"/>
        </w:rPr>
        <w:t>依法变更或者解除合同的权利；</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lang w:val="en-US" w:eastAsia="zh-CN"/>
        </w:rPr>
        <w:t>(2)</w:t>
      </w:r>
      <w:r>
        <w:rPr>
          <w:rFonts w:hint="default" w:ascii="Times New Roman" w:hAnsi="Times New Roman" w:eastAsia="仿宋_GB2312" w:cs="Times New Roman"/>
          <w:b w:val="0"/>
          <w:i w:val="0"/>
          <w:color w:val="auto"/>
          <w:spacing w:val="0"/>
          <w:sz w:val="32"/>
          <w:szCs w:val="32"/>
          <w:lang w:eastAsia="zh-CN"/>
        </w:rPr>
        <w:t>请求支付违约金的权利；</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lang w:eastAsia="zh-CN"/>
        </w:rPr>
        <w:t>请求损害赔偿的权利；</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lang w:val="en-US" w:eastAsia="zh-CN"/>
        </w:rPr>
        <w:t>(4)</w:t>
      </w:r>
      <w:r>
        <w:rPr>
          <w:rFonts w:hint="default" w:ascii="Times New Roman" w:hAnsi="Times New Roman" w:eastAsia="仿宋_GB2312" w:cs="Times New Roman"/>
          <w:b w:val="0"/>
          <w:i w:val="0"/>
          <w:color w:val="auto"/>
          <w:spacing w:val="0"/>
          <w:sz w:val="32"/>
          <w:szCs w:val="32"/>
          <w:lang w:eastAsia="zh-CN"/>
        </w:rPr>
        <w:t>解释格式条款的权利；</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lang w:val="en-US" w:eastAsia="zh-CN"/>
        </w:rPr>
      </w:pPr>
      <w:r>
        <w:rPr>
          <w:rFonts w:hint="default" w:ascii="Times New Roman" w:hAnsi="Times New Roman" w:eastAsia="仿宋_GB2312" w:cs="Times New Roman"/>
          <w:b w:val="0"/>
          <w:i w:val="0"/>
          <w:color w:val="auto"/>
          <w:spacing w:val="0"/>
          <w:sz w:val="32"/>
          <w:szCs w:val="32"/>
          <w:lang w:val="en-US" w:eastAsia="zh-CN"/>
        </w:rPr>
        <w:t>(5)</w:t>
      </w:r>
      <w:r>
        <w:rPr>
          <w:rFonts w:hint="default" w:ascii="Times New Roman" w:hAnsi="Times New Roman" w:eastAsia="仿宋_GB2312" w:cs="Times New Roman"/>
          <w:b w:val="0"/>
          <w:i w:val="0"/>
          <w:color w:val="auto"/>
          <w:spacing w:val="0"/>
          <w:sz w:val="32"/>
          <w:szCs w:val="32"/>
          <w:lang w:eastAsia="zh-CN"/>
        </w:rPr>
        <w:t>就格式条款争议提起诉讼的权利；</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lang w:val="en-US" w:eastAsia="zh-CN"/>
        </w:rPr>
        <w:t>(6)</w:t>
      </w:r>
      <w:r>
        <w:rPr>
          <w:rFonts w:hint="default" w:ascii="Times New Roman" w:hAnsi="Times New Roman" w:eastAsia="仿宋_GB2312" w:cs="Times New Roman"/>
          <w:b w:val="0"/>
          <w:i w:val="0"/>
          <w:color w:val="auto"/>
          <w:spacing w:val="0"/>
          <w:sz w:val="32"/>
          <w:szCs w:val="32"/>
          <w:lang w:eastAsia="zh-CN"/>
        </w:rPr>
        <w:t>消费者依法应当享有的其他权利。</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 w:cs="Times New Roman"/>
          <w:b w:val="0"/>
          <w:i w:val="0"/>
          <w:color w:val="auto"/>
          <w:spacing w:val="0"/>
          <w:sz w:val="32"/>
          <w:szCs w:val="32"/>
          <w:lang w:eastAsia="zh-CN"/>
        </w:rPr>
      </w:pPr>
      <w:r>
        <w:rPr>
          <w:rFonts w:hint="default" w:ascii="Times New Roman" w:hAnsi="Times New Roman" w:eastAsia="仿宋" w:cs="Times New Roman"/>
          <w:b w:val="0"/>
          <w:i w:val="0"/>
          <w:color w:val="auto"/>
          <w:spacing w:val="0"/>
          <w:sz w:val="32"/>
          <w:szCs w:val="32"/>
          <w:lang w:eastAsia="zh-CN"/>
        </w:rPr>
        <w:t>【</w:t>
      </w:r>
      <w:r>
        <w:rPr>
          <w:rFonts w:hint="eastAsia" w:ascii="Times New Roman" w:hAnsi="Times New Roman" w:eastAsia="黑体" w:cs="Times New Roman"/>
          <w:b/>
          <w:i w:val="0"/>
          <w:color w:val="auto"/>
          <w:spacing w:val="0"/>
          <w:sz w:val="32"/>
          <w:szCs w:val="32"/>
          <w:lang w:eastAsia="zh-CN"/>
        </w:rPr>
        <w:t>履行纳税义务</w:t>
      </w:r>
      <w:r>
        <w:rPr>
          <w:rFonts w:hint="default" w:ascii="Times New Roman" w:hAnsi="Times New Roman" w:eastAsia="黑体" w:cs="Times New Roman"/>
          <w:b/>
          <w:i w:val="0"/>
          <w:color w:val="auto"/>
          <w:spacing w:val="0"/>
          <w:sz w:val="32"/>
          <w:szCs w:val="32"/>
        </w:rPr>
        <w:t>合规</w:t>
      </w:r>
      <w:r>
        <w:rPr>
          <w:rFonts w:hint="default" w:ascii="Times New Roman" w:hAnsi="Times New Roman" w:eastAsia="仿宋" w:cs="Times New Roman"/>
          <w:b w:val="0"/>
          <w:i w:val="0"/>
          <w:color w:val="auto"/>
          <w:spacing w:val="0"/>
          <w:sz w:val="32"/>
          <w:szCs w:val="32"/>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eastAsia" w:eastAsia="仿宋_GB2312" w:cs="Times New Roman"/>
          <w:b w:val="0"/>
          <w:i w:val="0"/>
          <w:color w:val="auto"/>
          <w:spacing w:val="0"/>
          <w:kern w:val="2"/>
          <w:sz w:val="32"/>
          <w:szCs w:val="32"/>
          <w:lang w:val="en-US" w:eastAsia="zh-CN" w:bidi="ar-SA"/>
        </w:rPr>
      </w:pPr>
      <w:r>
        <w:rPr>
          <w:rFonts w:hint="eastAsia" w:ascii="Times New Roman" w:hAnsi="Times New Roman" w:eastAsia="仿宋_GB2312" w:cs="Times New Roman"/>
          <w:b w:val="0"/>
          <w:i w:val="0"/>
          <w:color w:val="auto"/>
          <w:spacing w:val="0"/>
          <w:kern w:val="2"/>
          <w:sz w:val="32"/>
          <w:szCs w:val="32"/>
          <w:lang w:val="en-US" w:eastAsia="zh-CN" w:bidi="ar-SA"/>
        </w:rPr>
        <w:t>依据</w:t>
      </w:r>
      <w:r>
        <w:rPr>
          <w:rFonts w:hint="eastAsia" w:eastAsia="仿宋_GB2312" w:cs="Times New Roman"/>
          <w:b w:val="0"/>
          <w:i w:val="0"/>
          <w:color w:val="auto"/>
          <w:spacing w:val="0"/>
          <w:kern w:val="2"/>
          <w:sz w:val="32"/>
          <w:szCs w:val="32"/>
          <w:lang w:val="en-US" w:eastAsia="zh-CN" w:bidi="ar-SA"/>
        </w:rPr>
        <w:t>《国家税务总局关于营改增试点若干征管问题的公告》（国家税务总局公告2016年第53号）单用途商业预付卡（以下简称“单用途卡”）业务按照以下规定执行：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asciiTheme="minorHAnsi" w:hAnsiTheme="minorHAnsi"/>
          <w:b w:val="0"/>
          <w:i w:val="0"/>
          <w:color w:val="auto"/>
          <w:spacing w:val="0"/>
          <w:kern w:val="2"/>
          <w:sz w:val="32"/>
          <w:szCs w:val="32"/>
          <w:lang w:val="en-US" w:eastAsia="zh-CN" w:bidi="ar-SA"/>
        </w:rPr>
      </w:pPr>
      <w:r>
        <w:rPr>
          <w:rFonts w:hint="eastAsia" w:eastAsia="仿宋_GB2312" w:cs="Times New Roman"/>
          <w:b w:val="0"/>
          <w:i w:val="0"/>
          <w:color w:val="auto"/>
          <w:spacing w:val="0"/>
          <w:kern w:val="2"/>
          <w:sz w:val="32"/>
          <w:szCs w:val="32"/>
          <w:lang w:val="en-US" w:eastAsia="zh-CN" w:bidi="ar-SA"/>
        </w:rPr>
        <w:t>1.单用途卡发卡企业或者售卡企业（以下统称“售卡方”）销售单用途卡，或者接受单用途卡持卡人充值取得的预收资金，不缴纳增值税。售卡方可按照该公告第九条的规定，向购卡人、充值人开具增值税普通发票，不得开具增值税专用发票。单用途卡，是指发卡企业按照国家有关规定发行的，仅限于在本企业、本企业所属集团或者同一品牌特许经营体系内兑付货物或者服务的预付凭证。发卡企业，是指按照国家有关规定发行单用途卡的企业。售卡企业，是指集团发卡企业或者品牌发卡企业指定的，承担单用途卡销售、充值、挂失、换卡、退卡等相关业务的本集团或同一品牌特许经营体系内的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i w:val="0"/>
          <w:color w:val="auto"/>
          <w:spacing w:val="0"/>
          <w:kern w:val="2"/>
          <w:sz w:val="32"/>
          <w:szCs w:val="32"/>
          <w:lang w:val="en-US" w:eastAsia="zh-CN" w:bidi="ar-SA"/>
        </w:rPr>
      </w:pPr>
      <w:r>
        <w:rPr>
          <w:rFonts w:hint="eastAsia" w:eastAsia="仿宋_GB2312" w:cs="Times New Roman" w:asciiTheme="minorHAnsi" w:hAnsiTheme="minorHAnsi"/>
          <w:b w:val="0"/>
          <w:i w:val="0"/>
          <w:color w:val="auto"/>
          <w:spacing w:val="0"/>
          <w:kern w:val="2"/>
          <w:sz w:val="32"/>
          <w:szCs w:val="32"/>
          <w:lang w:val="en-US" w:eastAsia="zh-CN" w:bidi="ar-SA"/>
        </w:rPr>
        <w:t>2.售卡方因发行或者销售单用途卡并办理相关资金收付</w:t>
      </w:r>
      <w:r>
        <w:rPr>
          <w:rFonts w:hint="eastAsia" w:eastAsia="仿宋_GB2312" w:cs="Times New Roman"/>
          <w:b w:val="0"/>
          <w:i w:val="0"/>
          <w:color w:val="auto"/>
          <w:spacing w:val="0"/>
          <w:kern w:val="2"/>
          <w:sz w:val="32"/>
          <w:szCs w:val="32"/>
          <w:lang w:val="en-US" w:eastAsia="zh-CN" w:bidi="ar-SA"/>
        </w:rPr>
        <w:t>结算业务取得的手续费、结算费、服务费、管理费等收入，应按照现行规定缴纳增值税。</w:t>
      </w: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rPr>
          <w:rFonts w:hint="eastAsia" w:eastAsia="仿宋_GB2312" w:cs="Times New Roman" w:asciiTheme="minorHAnsi" w:hAnsiTheme="minorHAnsi"/>
          <w:b w:val="0"/>
          <w:i w:val="0"/>
          <w:color w:val="auto"/>
          <w:spacing w:val="0"/>
          <w:kern w:val="2"/>
          <w:sz w:val="32"/>
          <w:szCs w:val="32"/>
          <w:lang w:val="en-US" w:eastAsia="zh-CN" w:bidi="ar-SA"/>
        </w:rPr>
      </w:pPr>
      <w:bookmarkStart w:id="2" w:name="_Toc7486"/>
      <w:r>
        <w:rPr>
          <w:rFonts w:hint="eastAsia" w:eastAsia="仿宋_GB2312" w:cs="Times New Roman" w:asciiTheme="minorHAnsi" w:hAnsiTheme="minorHAnsi"/>
          <w:b w:val="0"/>
          <w:i w:val="0"/>
          <w:color w:val="auto"/>
          <w:spacing w:val="0"/>
          <w:kern w:val="2"/>
          <w:sz w:val="32"/>
          <w:szCs w:val="32"/>
          <w:lang w:val="en-US" w:eastAsia="zh-CN" w:bidi="ar-SA"/>
        </w:rPr>
        <w:t>3.持卡人使用单用途卡购买货物或服务时，货物或者服务的销售方应按照现行规定缴纳增值税，且不得向持卡人开具增值税发票。</w:t>
      </w:r>
      <w:bookmarkEnd w:id="2"/>
    </w:p>
    <w:p>
      <w:pPr>
        <w:keepNext w:val="0"/>
        <w:keepLines w:val="0"/>
        <w:pageBreakBefore w:val="0"/>
        <w:widowControl w:val="0"/>
        <w:kinsoku/>
        <w:overflowPunct/>
        <w:topLinePunct w:val="0"/>
        <w:autoSpaceDE/>
        <w:autoSpaceDN/>
        <w:bidi w:val="0"/>
        <w:adjustRightInd/>
        <w:snapToGrid/>
        <w:spacing w:line="560" w:lineRule="exact"/>
        <w:ind w:firstLine="640" w:firstLineChars="200"/>
        <w:rPr>
          <w:rFonts w:hint="default"/>
          <w:color w:val="auto"/>
          <w:lang w:val="en-US" w:eastAsia="zh-CN"/>
        </w:rPr>
      </w:pPr>
      <w:r>
        <w:rPr>
          <w:rFonts w:hint="eastAsia" w:eastAsia="仿宋_GB2312" w:cs="Times New Roman"/>
          <w:b w:val="0"/>
          <w:i w:val="0"/>
          <w:color w:val="auto"/>
          <w:spacing w:val="0"/>
          <w:kern w:val="2"/>
          <w:sz w:val="32"/>
          <w:szCs w:val="32"/>
          <w:lang w:val="en-US" w:eastAsia="zh-CN" w:bidi="ar-SA"/>
        </w:rPr>
        <w:t>4.销售方与售卡方不是同一个纳税人的，销售方在收到售卡方结算的销售款时，应向售卡方开具增值税普通发票，并在备注栏注明“收到预付卡结算款”，不得开具增值税专用发票。售卡方从销售方取得的增值税普通发票，作为其销售单用途卡或接受单用途卡充值取得预收资金不缴纳增值税的凭证，留存备查。</w:t>
      </w:r>
    </w:p>
    <w:p>
      <w:pPr>
        <w:keepNext w:val="0"/>
        <w:keepLines w:val="0"/>
        <w:pageBreakBefore w:val="0"/>
        <w:widowControl w:val="0"/>
        <w:kinsoku/>
        <w:overflowPunct/>
        <w:topLinePunct w:val="0"/>
        <w:autoSpaceDE/>
        <w:autoSpaceDN/>
        <w:bidi w:val="0"/>
        <w:adjustRightInd/>
        <w:snapToGrid/>
        <w:spacing w:line="560" w:lineRule="exact"/>
        <w:rPr>
          <w:rFonts w:hint="default"/>
          <w:color w:val="auto"/>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580" w:firstLineChars="200"/>
        <w:jc w:val="both"/>
        <w:textAlignment w:val="baseline"/>
        <w:rPr>
          <w:rFonts w:hint="default" w:ascii="Times New Roman" w:hAnsi="Times New Roman" w:eastAsia="仿宋" w:cs="Times New Roman"/>
          <w:b w:val="0"/>
          <w:i w:val="0"/>
          <w:color w:val="auto"/>
          <w:spacing w:val="0"/>
          <w:sz w:val="29"/>
          <w:lang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40"/>
        <w:jc w:val="center"/>
        <w:textAlignment w:val="baseline"/>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40"/>
        <w:jc w:val="center"/>
        <w:textAlignment w:val="baseline"/>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40"/>
        <w:jc w:val="center"/>
        <w:textAlignment w:val="baseline"/>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40"/>
        <w:jc w:val="center"/>
        <w:textAlignment w:val="baseline"/>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40"/>
        <w:jc w:val="center"/>
        <w:textAlignment w:val="baseline"/>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40"/>
        <w:jc w:val="center"/>
        <w:textAlignment w:val="baseline"/>
        <w:outlineLvl w:val="0"/>
        <w:rPr>
          <w:rFonts w:hint="default" w:ascii="Times New Roman" w:hAnsi="Times New Roman" w:eastAsia="黑体" w:cs="Times New Roman"/>
          <w:color w:val="auto"/>
          <w:sz w:val="44"/>
          <w:szCs w:val="44"/>
        </w:rPr>
      </w:pPr>
      <w:bookmarkStart w:id="3" w:name="_Toc27447"/>
      <w:r>
        <w:rPr>
          <w:rFonts w:hint="default" w:ascii="Times New Roman" w:hAnsi="Times New Roman" w:eastAsia="黑体" w:cs="Times New Roman"/>
          <w:b w:val="0"/>
          <w:i w:val="0"/>
          <w:color w:val="auto"/>
          <w:spacing w:val="0"/>
          <w:sz w:val="44"/>
          <w:szCs w:val="44"/>
          <w:lang w:val="en-US" w:eastAsia="zh-CN"/>
        </w:rPr>
        <w:t>3.</w:t>
      </w:r>
      <w:r>
        <w:rPr>
          <w:rFonts w:hint="default" w:ascii="Times New Roman" w:hAnsi="Times New Roman" w:eastAsia="黑体" w:cs="Times New Roman"/>
          <w:b w:val="0"/>
          <w:i w:val="0"/>
          <w:color w:val="auto"/>
          <w:spacing w:val="0"/>
          <w:sz w:val="44"/>
          <w:szCs w:val="44"/>
        </w:rPr>
        <w:t>城镇污水处理企业</w:t>
      </w:r>
      <w:bookmarkEnd w:id="3"/>
    </w:p>
    <w:p>
      <w:pPr>
        <w:keepNext w:val="0"/>
        <w:keepLines w:val="0"/>
        <w:pageBreakBefore w:val="0"/>
        <w:widowControl w:val="0"/>
        <w:kinsoku/>
        <w:wordWrap w:val="0"/>
        <w:overflowPunct/>
        <w:topLinePunct w:val="0"/>
        <w:autoSpaceDE/>
        <w:autoSpaceDN/>
        <w:bidi w:val="0"/>
        <w:adjustRightInd/>
        <w:snapToGrid/>
        <w:spacing w:before="0" w:after="0" w:line="560" w:lineRule="exact"/>
        <w:ind w:right="0"/>
        <w:jc w:val="center"/>
        <w:textAlignment w:val="baseline"/>
        <w:rPr>
          <w:rFonts w:hint="default"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涉及监管部门：州住建局、州生态环境局、州气象局、</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jc w:val="center"/>
        <w:textAlignment w:val="baseline"/>
        <w:rPr>
          <w:rFonts w:hint="default"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州消防救援支队、州市场监督管理局</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center"/>
        <w:textAlignment w:val="baseline"/>
        <w:rPr>
          <w:rFonts w:hint="default" w:ascii="Times New Roman" w:hAnsi="Times New Roman" w:eastAsia="楷体"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城镇污水处理企业要严格落实根据《中华人民共和国水污染防治法》《城镇排水与污水处理条例》等相关法律法规规定，规范污水处理，保障污水处理设施安全运行。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主体经营合规</w:t>
      </w:r>
      <w:r>
        <w:rPr>
          <w:rFonts w:hint="default" w:ascii="Times New Roman" w:hAnsi="Times New Roman" w:eastAsia="楷体"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城镇排水与污水处理设施维护运营单位应当具备下列条件：有法人资格；有与从事城镇排水与污水处理设施维护运营活动相适应的资金和设备；有完善的运行管理和安全管理制度；技术负责人和关键岗位人员经专业培训并考核合格；有相应的良好业绩和维护运营经验；法律、法规规定的其他条件。</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楷体" w:cs="Times New Roman"/>
          <w:b/>
          <w:bCs/>
          <w:color w:val="auto"/>
          <w:sz w:val="32"/>
          <w:szCs w:val="32"/>
        </w:rPr>
      </w:pPr>
      <w:r>
        <w:rPr>
          <w:rFonts w:hint="default" w:ascii="Times New Roman" w:hAnsi="Times New Roman" w:eastAsia="仿宋" w:cs="Times New Roman"/>
          <w:b w:val="0"/>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经营业务合规</w:t>
      </w:r>
      <w:r>
        <w:rPr>
          <w:rFonts w:hint="default" w:ascii="Times New Roman" w:hAnsi="Times New Roman" w:eastAsia="仿宋"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1.城镇污水处理设施维护运营单位应当依照法律、法规和有关规定以及维护运营合同进行维护运营，定期向社会公开有关维护运营信息，并接受相关部门和社会公众的监督。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2.城镇污水处理设施维护运营单位应当保证出水水质符合国家和地方规定的排放标准，不得排放不达标污水。</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3.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w:t>
      </w:r>
      <w:r>
        <w:rPr>
          <w:rFonts w:hint="default" w:ascii="Times New Roman" w:hAnsi="Times New Roman" w:eastAsia="仿宋_GB2312" w:cs="Times New Roman"/>
          <w:b w:val="0"/>
          <w:i w:val="0"/>
          <w:color w:val="auto"/>
          <w:spacing w:val="0"/>
          <w:sz w:val="32"/>
          <w:szCs w:val="32"/>
          <w:lang w:eastAsia="zh-CN"/>
        </w:rPr>
        <w:t>信息。</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4.城镇污水处理设施维护运营单位应当按照国家有关规定向价格主管部门提交相关成本信息。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4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5.城镇排水主管部门核定城镇污水处理运营成本，应当考虑主要污染物削减情况。</w:t>
      </w:r>
    </w:p>
    <w:p>
      <w:pPr>
        <w:keepNext w:val="0"/>
        <w:keepLines w:val="0"/>
        <w:pageBreakBefore w:val="0"/>
        <w:widowControl w:val="0"/>
        <w:kinsoku/>
        <w:wordWrap w:val="0"/>
        <w:overflowPunct/>
        <w:topLinePunct w:val="0"/>
        <w:autoSpaceDE/>
        <w:autoSpaceDN/>
        <w:bidi w:val="0"/>
        <w:adjustRightInd/>
        <w:snapToGrid/>
        <w:spacing w:before="0" w:after="0" w:line="560" w:lineRule="exact"/>
        <w:ind w:left="4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pPr>
        <w:keepNext w:val="0"/>
        <w:keepLines w:val="0"/>
        <w:pageBreakBefore w:val="0"/>
        <w:widowControl w:val="0"/>
        <w:kinsoku/>
        <w:wordWrap w:val="0"/>
        <w:overflowPunct/>
        <w:topLinePunct w:val="0"/>
        <w:autoSpaceDE/>
        <w:autoSpaceDN/>
        <w:bidi w:val="0"/>
        <w:adjustRightInd/>
        <w:snapToGrid/>
        <w:spacing w:before="0" w:after="0" w:line="560" w:lineRule="exact"/>
        <w:ind w:left="4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7.城镇污水处理设施维护运营单位不得擅自停运城镇污水处理设施，因检修等原因需要停运或者部分停运城镇污水处理设施的，应当在90个工作日前向城镇排水主管部门、环境保护主管部门报告。</w:t>
      </w:r>
    </w:p>
    <w:p>
      <w:pPr>
        <w:keepNext w:val="0"/>
        <w:keepLines w:val="0"/>
        <w:pageBreakBefore w:val="0"/>
        <w:widowControl w:val="0"/>
        <w:kinsoku/>
        <w:wordWrap w:val="0"/>
        <w:overflowPunct/>
        <w:topLinePunct w:val="0"/>
        <w:autoSpaceDE/>
        <w:autoSpaceDN/>
        <w:bidi w:val="0"/>
        <w:adjustRightInd/>
        <w:snapToGrid/>
        <w:spacing w:before="0" w:after="0" w:line="560" w:lineRule="exact"/>
        <w:ind w:left="4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8.城镇污水处理设施维护运营单位在出现进水水质和水量发生重大变化可能导致出水水质超标，或者发生影响城镇污水处理设施安全运行的突发情况时，应当立即采取应急处理措施，并向城镇排水主管部门、环境保护主管部门报告。</w:t>
      </w:r>
    </w:p>
    <w:p>
      <w:pPr>
        <w:keepNext w:val="0"/>
        <w:keepLines w:val="0"/>
        <w:pageBreakBefore w:val="0"/>
        <w:widowControl w:val="0"/>
        <w:kinsoku/>
        <w:wordWrap w:val="0"/>
        <w:overflowPunct/>
        <w:topLinePunct w:val="0"/>
        <w:autoSpaceDE/>
        <w:autoSpaceDN/>
        <w:bidi w:val="0"/>
        <w:adjustRightInd/>
        <w:snapToGrid/>
        <w:spacing w:before="0" w:after="0" w:line="560" w:lineRule="exact"/>
        <w:ind w:left="4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40" w:right="0" w:firstLine="600"/>
        <w:jc w:val="both"/>
        <w:textAlignment w:val="baseline"/>
        <w:rPr>
          <w:rFonts w:hint="default" w:ascii="Times New Roman" w:hAnsi="Times New Roman" w:cs="Times New Roman"/>
          <w:color w:val="auto"/>
          <w:sz w:val="32"/>
          <w:szCs w:val="32"/>
        </w:rPr>
      </w:pPr>
      <w:r>
        <w:rPr>
          <w:rFonts w:hint="default" w:ascii="Times New Roman" w:hAnsi="Times New Roman" w:eastAsia="仿宋"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设施维护与保护合规</w:t>
      </w:r>
      <w:r>
        <w:rPr>
          <w:rFonts w:hint="default" w:ascii="Times New Roman" w:hAnsi="Times New Roman" w:eastAsia="仿宋" w:cs="Times New Roman"/>
          <w:b w:val="0"/>
          <w:i w:val="0"/>
          <w:color w:val="auto"/>
          <w:spacing w:val="0"/>
          <w:sz w:val="32"/>
          <w:szCs w:val="32"/>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eastAsia"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rPr>
        <w:t>污水处理设施维护运营单位应当建立健全安全生产管理制度，加强对窨井盖等城镇排水与污水处理设施的日常巡查、维修</w:t>
      </w:r>
      <w:r>
        <w:rPr>
          <w:rFonts w:hint="default" w:ascii="Times New Roman" w:hAnsi="Times New Roman" w:eastAsia="仿宋_GB2312" w:cs="Times New Roman"/>
          <w:b w:val="0"/>
          <w:i w:val="0"/>
          <w:color w:val="auto"/>
          <w:spacing w:val="0"/>
          <w:sz w:val="32"/>
          <w:szCs w:val="32"/>
          <w:lang w:eastAsia="zh-CN"/>
        </w:rPr>
        <w:t>和养护，保障设施安全运行。</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2.</w:t>
      </w:r>
      <w:r>
        <w:rPr>
          <w:rFonts w:hint="default" w:ascii="Times New Roman" w:hAnsi="Times New Roman" w:eastAsia="仿宋_GB2312" w:cs="Times New Roman"/>
          <w:b w:val="0"/>
          <w:i w:val="0"/>
          <w:color w:val="auto"/>
          <w:spacing w:val="0"/>
          <w:sz w:val="32"/>
          <w:szCs w:val="32"/>
        </w:rPr>
        <w:t>污水处理安全事故或者突发事件发生后，设施维护运营单位应当立即启动本单位应急预案，采取防护措施、组织抢修，并及时向城镇排水主管部门和有关部门报告。</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eastAsia" w:ascii="Times New Roman" w:hAnsi="Times New Roman" w:eastAsia="仿宋_GB2312" w:cs="Times New Roman"/>
          <w:b w:val="0"/>
          <w:i w:val="0"/>
          <w:color w:val="auto"/>
          <w:spacing w:val="0"/>
          <w:sz w:val="32"/>
          <w:szCs w:val="32"/>
          <w:lang w:eastAsia="zh-CN"/>
        </w:rPr>
      </w:pPr>
      <w:r>
        <w:rPr>
          <w:rFonts w:hint="eastAsia" w:ascii="Times New Roman" w:hAnsi="Times New Roman" w:eastAsia="仿宋_GB2312" w:cs="Times New Roman"/>
          <w:b w:val="0"/>
          <w:i w:val="0"/>
          <w:color w:val="auto"/>
          <w:spacing w:val="0"/>
          <w:sz w:val="32"/>
          <w:szCs w:val="32"/>
          <w:lang w:val="en-US" w:eastAsia="zh-CN"/>
        </w:rPr>
        <w:t>3.</w:t>
      </w:r>
      <w:r>
        <w:rPr>
          <w:rFonts w:hint="eastAsia" w:ascii="Times New Roman" w:hAnsi="Times New Roman" w:eastAsia="仿宋_GB2312" w:cs="Times New Roman"/>
          <w:b w:val="0"/>
          <w:i w:val="0"/>
          <w:color w:val="auto"/>
          <w:spacing w:val="0"/>
          <w:sz w:val="32"/>
          <w:szCs w:val="32"/>
          <w:lang w:eastAsia="zh-CN"/>
        </w:rPr>
        <w:t>城镇污水处理设施维护运营单位要制定气象灾害防御应急预案，开展应急演练，在接收到对本单位业务运行危害的气象预警信息时，应按气象灾害防御应急预案进行处置。</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0"/>
        <w:jc w:val="center"/>
        <w:textAlignment w:val="baseline"/>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0"/>
        <w:jc w:val="center"/>
        <w:textAlignment w:val="baseline"/>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0"/>
        <w:jc w:val="center"/>
        <w:textAlignment w:val="baseline"/>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0"/>
        <w:jc w:val="center"/>
        <w:textAlignment w:val="baseline"/>
        <w:outlineLvl w:val="0"/>
        <w:rPr>
          <w:rFonts w:hint="default" w:ascii="Times New Roman" w:hAnsi="Times New Roman" w:eastAsia="黑体" w:cs="Times New Roman"/>
          <w:color w:val="auto"/>
          <w:sz w:val="44"/>
          <w:szCs w:val="44"/>
        </w:rPr>
      </w:pPr>
      <w:bookmarkStart w:id="4" w:name="_Toc24911"/>
      <w:r>
        <w:rPr>
          <w:rFonts w:hint="default" w:ascii="Times New Roman" w:hAnsi="Times New Roman" w:eastAsia="黑体" w:cs="Times New Roman"/>
          <w:b w:val="0"/>
          <w:i w:val="0"/>
          <w:color w:val="auto"/>
          <w:spacing w:val="0"/>
          <w:sz w:val="44"/>
          <w:szCs w:val="44"/>
          <w:lang w:val="en-US" w:eastAsia="zh-CN"/>
        </w:rPr>
        <w:t>4.</w:t>
      </w:r>
      <w:r>
        <w:rPr>
          <w:rFonts w:hint="default" w:ascii="Times New Roman" w:hAnsi="Times New Roman" w:eastAsia="黑体" w:cs="Times New Roman"/>
          <w:b w:val="0"/>
          <w:i w:val="0"/>
          <w:color w:val="auto"/>
          <w:spacing w:val="0"/>
          <w:sz w:val="44"/>
          <w:szCs w:val="44"/>
        </w:rPr>
        <w:t>城镇燃气企业(液化石油气)</w:t>
      </w:r>
      <w:bookmarkEnd w:id="4"/>
    </w:p>
    <w:p>
      <w:pPr>
        <w:keepNext w:val="0"/>
        <w:keepLines w:val="0"/>
        <w:pageBreakBefore w:val="0"/>
        <w:widowControl w:val="0"/>
        <w:kinsoku/>
        <w:wordWrap w:val="0"/>
        <w:overflowPunct/>
        <w:topLinePunct w:val="0"/>
        <w:autoSpaceDE/>
        <w:autoSpaceDN/>
        <w:bidi w:val="0"/>
        <w:adjustRightInd/>
        <w:snapToGrid/>
        <w:spacing w:before="0" w:after="0" w:line="560" w:lineRule="exact"/>
        <w:ind w:right="0"/>
        <w:jc w:val="center"/>
        <w:textAlignment w:val="baseline"/>
        <w:rPr>
          <w:rFonts w:hint="eastAsia"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涉及监管部门：州</w:t>
      </w:r>
      <w:r>
        <w:rPr>
          <w:rFonts w:hint="default" w:ascii="Times New Roman" w:hAnsi="Times New Roman" w:eastAsia="楷体" w:cs="Times New Roman"/>
          <w:b w:val="0"/>
          <w:i w:val="0"/>
          <w:color w:val="auto"/>
          <w:spacing w:val="0"/>
          <w:sz w:val="32"/>
          <w:szCs w:val="32"/>
        </w:rPr>
        <w:t>住建局</w:t>
      </w:r>
      <w:r>
        <w:rPr>
          <w:rFonts w:hint="eastAsia" w:ascii="Times New Roman" w:hAnsi="Times New Roman" w:eastAsia="楷体" w:cs="Times New Roman"/>
          <w:b w:val="0"/>
          <w:i w:val="0"/>
          <w:color w:val="auto"/>
          <w:spacing w:val="0"/>
          <w:sz w:val="32"/>
          <w:szCs w:val="32"/>
          <w:lang w:eastAsia="zh-CN"/>
        </w:rPr>
        <w:t>、</w:t>
      </w:r>
      <w:r>
        <w:rPr>
          <w:rFonts w:hint="default" w:ascii="Times New Roman" w:hAnsi="Times New Roman" w:eastAsia="楷体" w:cs="Times New Roman"/>
          <w:b w:val="0"/>
          <w:i w:val="0"/>
          <w:color w:val="auto"/>
          <w:spacing w:val="0"/>
          <w:sz w:val="32"/>
          <w:szCs w:val="32"/>
          <w:lang w:eastAsia="zh-CN"/>
        </w:rPr>
        <w:t>州</w:t>
      </w:r>
      <w:r>
        <w:rPr>
          <w:rFonts w:hint="default" w:ascii="Times New Roman" w:hAnsi="Times New Roman" w:eastAsia="楷体" w:cs="Times New Roman"/>
          <w:b w:val="0"/>
          <w:i w:val="0"/>
          <w:color w:val="auto"/>
          <w:spacing w:val="0"/>
          <w:sz w:val="32"/>
          <w:szCs w:val="32"/>
        </w:rPr>
        <w:t>市场监管局</w:t>
      </w:r>
      <w:r>
        <w:rPr>
          <w:rFonts w:hint="eastAsia" w:ascii="Times New Roman" w:hAnsi="Times New Roman" w:eastAsia="楷体"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jc w:val="center"/>
        <w:textAlignment w:val="baseline"/>
        <w:rPr>
          <w:rFonts w:hint="default" w:ascii="Times New Roman" w:hAnsi="Times New Roman" w:eastAsia="楷体" w:cs="Times New Roman"/>
          <w:b w:val="0"/>
          <w:i w:val="0"/>
          <w:color w:val="auto"/>
          <w:spacing w:val="0"/>
          <w:sz w:val="32"/>
          <w:szCs w:val="32"/>
        </w:rPr>
      </w:pPr>
      <w:r>
        <w:rPr>
          <w:rFonts w:hint="default" w:ascii="Times New Roman" w:hAnsi="Times New Roman" w:eastAsia="楷体" w:cs="Times New Roman"/>
          <w:b w:val="0"/>
          <w:i w:val="0"/>
          <w:color w:val="auto"/>
          <w:spacing w:val="0"/>
          <w:sz w:val="32"/>
          <w:szCs w:val="32"/>
          <w:lang w:eastAsia="zh-CN"/>
        </w:rPr>
        <w:t>州消防救援支队</w:t>
      </w:r>
      <w:r>
        <w:rPr>
          <w:rFonts w:hint="eastAsia" w:ascii="Times New Roman" w:hAnsi="Times New Roman" w:eastAsia="楷体" w:cs="Times New Roman"/>
          <w:b w:val="0"/>
          <w:i w:val="0"/>
          <w:color w:val="auto"/>
          <w:spacing w:val="0"/>
          <w:sz w:val="32"/>
          <w:szCs w:val="32"/>
          <w:lang w:eastAsia="zh-CN"/>
        </w:rPr>
        <w:t>、</w:t>
      </w:r>
      <w:r>
        <w:rPr>
          <w:rFonts w:hint="default" w:ascii="Times New Roman" w:hAnsi="Times New Roman" w:eastAsia="楷体" w:cs="Times New Roman"/>
          <w:b w:val="0"/>
          <w:i w:val="0"/>
          <w:color w:val="auto"/>
          <w:spacing w:val="0"/>
          <w:sz w:val="32"/>
          <w:szCs w:val="32"/>
          <w:lang w:eastAsia="zh-CN"/>
        </w:rPr>
        <w:t>州</w:t>
      </w:r>
      <w:r>
        <w:rPr>
          <w:rFonts w:hint="default" w:ascii="Times New Roman" w:hAnsi="Times New Roman" w:eastAsia="楷体" w:cs="Times New Roman"/>
          <w:b w:val="0"/>
          <w:i w:val="0"/>
          <w:color w:val="auto"/>
          <w:spacing w:val="0"/>
          <w:sz w:val="32"/>
          <w:szCs w:val="32"/>
        </w:rPr>
        <w:t>气象局</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center"/>
        <w:textAlignment w:val="baseline"/>
        <w:rPr>
          <w:rFonts w:hint="default" w:ascii="Times New Roman" w:hAnsi="Times New Roman" w:eastAsia="楷体"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供气企业(液化石油气)要严格执行《中华人民共和国特种设备安全法》《中华人民共和国气象法》《城镇燃气管理条例》住建部《燃气经营许可管理办法》《特种设备安全监察条例》《防雷减灾管理办法》《气象灾害防御条例》等燃气相关法律、法规、规章及技术规范要求，规范燃气市场经营行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经营许可合规</w:t>
      </w:r>
      <w:r>
        <w:rPr>
          <w:rFonts w:hint="default" w:ascii="Times New Roman" w:hAnsi="Times New Roman" w:eastAsia="楷体"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国家对燃气经营实行许可证制度。从事燃气经营活动的企业，应当具备下列条件：</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1.符合燃气发展规划要求；</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2.有符合国家标准的燃气气源和燃气设施；</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3.有固定的经营场所、完善的安全管理制度和健全的经营方案；</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4.企业的主要负责人、安全生产管理人员以及运行、维护和抢修人员经专业培训并考核合格；</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5.法律、法规规定的其他条件。</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申请材料合规</w:t>
      </w:r>
      <w:r>
        <w:rPr>
          <w:rFonts w:hint="default" w:ascii="Times New Roman" w:hAnsi="Times New Roman" w:eastAsia="楷体"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8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申请燃气经营许可的，应当向发证部门提交下列申请材料，并对其真实性、合法性、有效性负责：</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rPr>
        <w:t>燃气经营许可申请书；</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lang w:val="en-US" w:eastAsia="zh-CN"/>
        </w:rPr>
      </w:pPr>
      <w:r>
        <w:rPr>
          <w:rFonts w:hint="default" w:ascii="Times New Roman" w:hAnsi="Times New Roman" w:eastAsia="仿宋_GB2312" w:cs="Times New Roman"/>
          <w:b w:val="0"/>
          <w:i w:val="0"/>
          <w:color w:val="auto"/>
          <w:spacing w:val="0"/>
          <w:sz w:val="32"/>
          <w:szCs w:val="32"/>
          <w:lang w:val="en-US" w:eastAsia="zh-CN"/>
        </w:rPr>
        <w:t>2.燃气气质检测报告；与气源供应企业签订的供用气合同书；</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申请人对燃气设施建设工程竣工验收合格情况，主要负责人、安全生产管理人员以及运行、维护和抢修等人员的专业培训考核合格情况，固定的经营场所(包括办公场所、经营和服务站点等)的产权或租赁情况，企业注册登记和资本结构情况的说明；</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4.完善的安全管理制度和健全的经营方案材料；</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(1)安全管理制度主要包括：安全生产责任制度，设施设备(含用户设施)安全巡检、检测制度，燃气质量检测制度，岗位操作规程，燃气突发事件应急预案，燃气安全宣传制度等。</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(2)经营方案主要包括：企业章程、发展规划、工程建设计划，用户发展业务流程、故障报修、投诉处置、质量保障和安全用气服务制度等。</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5.法律、法规规定的其他材料。</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cs="Times New Roman"/>
          <w:color w:val="auto"/>
          <w:sz w:val="32"/>
          <w:szCs w:val="32"/>
        </w:rPr>
      </w:pPr>
      <w:r>
        <w:rPr>
          <w:rFonts w:hint="default" w:ascii="Times New Roman" w:hAnsi="Times New Roman" w:eastAsia="楷体"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从业人员合规</w:t>
      </w:r>
      <w:r>
        <w:rPr>
          <w:rFonts w:hint="default" w:ascii="Times New Roman" w:hAnsi="Times New Roman" w:eastAsia="楷体"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燃气企业的主要负责人、安全生产管理人员以及运行、维护和抢修人员经专业培训并经燃气管理部门考核合格。经专业培训并考核合格的人员及数量，应与企业经营规模相适应，最低人数应符合以下要求：</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2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1.主要负责人是指企业法定代表人和未担任法定代表人的董事长 (执行董事)、经理。</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2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2.安全生产管理人员是指企业分管安全生产的负责人，企业生产、</w:t>
      </w:r>
      <w:r>
        <w:rPr>
          <w:rFonts w:hint="default" w:ascii="Times New Roman" w:hAnsi="Times New Roman" w:eastAsia="仿宋_GB2312" w:cs="Times New Roman"/>
          <w:b w:val="0"/>
          <w:i w:val="0"/>
          <w:color w:val="auto"/>
          <w:spacing w:val="0"/>
          <w:sz w:val="32"/>
          <w:szCs w:val="32"/>
        </w:rPr>
        <w:t>安全管理部门负责人，企业生产和销售分支机构的负责人以及企业专职安全员等相关管理人员。</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2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3.运行、维护和抢修人员是指负责燃气设施设备运行、维护和事故抢险抢修的操作人员，包括但不仅限于燃气输配场站工、液化石油气库站工、压缩天然气场站工、液化天然气储运工、汽车加气站操作工、燃气管网工、燃气用户检修工、瓶装燃气送气工。最低人数应满足：</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(1)管道燃气经营企业，燃气用户10万户以下的，每2500户不少于1人；10万户以上的，每增加2500户增加1人；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(2)瓶装燃气经营企业，燃气用户 1000 户及以下的不少于3人;1000户以上不到1万户的, 每800户1人</w:t>
      </w:r>
      <w:r>
        <w:rPr>
          <w:rFonts w:hint="eastAsia"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1-5万户,每增加1万户增加10人；5-10万户，每增加1万户增加8人；10万户以上每增加1万户增加5人。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cs="Times New Roman"/>
          <w:color w:val="auto"/>
          <w:sz w:val="32"/>
          <w:szCs w:val="32"/>
        </w:rPr>
      </w:pPr>
      <w:r>
        <w:rPr>
          <w:rFonts w:hint="default" w:ascii="Times New Roman" w:hAnsi="Times New Roman" w:eastAsia="仿宋"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经营行为合规</w:t>
      </w:r>
      <w:r>
        <w:rPr>
          <w:rFonts w:hint="default" w:ascii="Times New Roman" w:hAnsi="Times New Roman" w:eastAsia="仿宋"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20" w:firstLine="600"/>
        <w:jc w:val="both"/>
        <w:textAlignment w:val="baseline"/>
        <w:rPr>
          <w:rFonts w:hint="default" w:ascii="Times New Roman" w:hAnsi="Times New Roman" w:eastAsia="仿宋_GB2312" w:cs="Times New Roman"/>
          <w:b w:val="0"/>
          <w:i w:val="0"/>
          <w:color w:val="auto"/>
          <w:spacing w:val="0"/>
          <w:sz w:val="32"/>
          <w:szCs w:val="32"/>
          <w:lang w:val="en-US" w:eastAsia="zh-CN"/>
        </w:rPr>
      </w:pPr>
      <w:r>
        <w:rPr>
          <w:rFonts w:hint="default" w:ascii="Times New Roman" w:hAnsi="Times New Roman" w:eastAsia="仿宋_GB2312" w:cs="Times New Roman"/>
          <w:b w:val="0"/>
          <w:i w:val="0"/>
          <w:color w:val="auto"/>
          <w:spacing w:val="0"/>
          <w:sz w:val="32"/>
          <w:szCs w:val="32"/>
          <w:lang w:val="en-US" w:eastAsia="zh-CN"/>
        </w:rPr>
        <w:t>供气企业（液化石油气）不得有下列行为：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1.拒绝向市政燃气管网覆盖范围内符合用气条件的单位或者个人供气；</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firstLine="2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2.倒卖、抵押、出租、出借、转让、涂改燃气经营许可证；</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3.未履行必要告知义务擅自停止供气、调整供气量，或者未经审批擅自停业或者歇业；</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val="en-US" w:eastAsia="zh-CN"/>
        </w:rPr>
      </w:pPr>
      <w:r>
        <w:rPr>
          <w:rFonts w:hint="default" w:ascii="Times New Roman" w:hAnsi="Times New Roman" w:eastAsia="仿宋_GB2312" w:cs="Times New Roman"/>
          <w:b w:val="0"/>
          <w:i w:val="0"/>
          <w:color w:val="auto"/>
          <w:spacing w:val="0"/>
          <w:sz w:val="32"/>
          <w:szCs w:val="32"/>
          <w:lang w:val="en-US" w:eastAsia="zh-CN"/>
        </w:rPr>
        <w:t>4.向未取得燃气经营许可证的单位或者个人提供用于经营的燃气；</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5.在不具备安全条件的场所储存燃气；</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6.要求燃气用户购买其指定的产品或者接受其提供的服务；</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7.擅自为非自有气瓶充装燃气；</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8.销售未经许可的充装单位充装的瓶装燃气或者销售充装单位擅自为非自有气瓶充装的瓶装燃气；</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9.冒用其他企业名称或者标识从事燃气经营、服务活动。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cs="Times New Roman"/>
          <w:color w:val="auto"/>
          <w:sz w:val="32"/>
          <w:szCs w:val="32"/>
        </w:rPr>
      </w:pPr>
      <w:r>
        <w:rPr>
          <w:rFonts w:hint="default" w:ascii="Times New Roman" w:hAnsi="Times New Roman" w:eastAsia="仿宋"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特种设备合规</w:t>
      </w:r>
      <w:r>
        <w:rPr>
          <w:rFonts w:hint="default" w:ascii="Times New Roman" w:hAnsi="Times New Roman" w:eastAsia="仿宋"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1.供气企业(液化石油气)使用特种设备的应当向负责特种设备安全监督管理的部门办理使用登记，在特种设备显著位置设置登记标志及定期检验标志。</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2.供气企业(液化石油气)应当使用取得许可生产并经检验合格的特种设备；不得使用未经检验或者检验不合格的特种设备；禁止使用国家明令淘汰和已经报废的特种设备。</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3.供气企业(液化石油气)应当按照规定设置特种设备安全管理机构，配备管理人员和作业人员，明确管理职责。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4.供气企业(液化石油气)应当建立特种设备安全技术档案，对特种设备进行经常性维护保养、定期自行检查和定期检验，制定特种设备事故应急专项预案，并定期进行应急演练。</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val="en-US" w:eastAsia="zh-CN"/>
        </w:rPr>
      </w:pPr>
      <w:r>
        <w:rPr>
          <w:rFonts w:hint="default" w:ascii="Times New Roman" w:hAnsi="Times New Roman" w:eastAsia="仿宋_GB2312" w:cs="Times New Roman"/>
          <w:b w:val="0"/>
          <w:i w:val="0"/>
          <w:color w:val="auto"/>
          <w:spacing w:val="0"/>
          <w:sz w:val="32"/>
          <w:szCs w:val="32"/>
        </w:rPr>
        <w:t>5.供气企业(液化石油气)应当配备特种设备安全管理人员</w:t>
      </w:r>
      <w:r>
        <w:rPr>
          <w:rFonts w:hint="default" w:ascii="Times New Roman" w:hAnsi="Times New Roman" w:eastAsia="仿宋_GB2312" w:cs="Times New Roman"/>
          <w:b w:val="0"/>
          <w:i w:val="0"/>
          <w:color w:val="auto"/>
          <w:spacing w:val="0"/>
          <w:sz w:val="32"/>
          <w:szCs w:val="32"/>
          <w:lang w:eastAsia="zh-CN"/>
        </w:rPr>
        <w:t>和作业人员，并对其进行必要的安全教育和技能培训；从事特种设备作业的人员，</w:t>
      </w:r>
      <w:r>
        <w:rPr>
          <w:rFonts w:hint="default" w:ascii="Times New Roman" w:hAnsi="Times New Roman" w:eastAsia="仿宋_GB2312" w:cs="Times New Roman"/>
          <w:b w:val="0"/>
          <w:i w:val="0"/>
          <w:color w:val="auto"/>
          <w:spacing w:val="0"/>
          <w:sz w:val="32"/>
          <w:szCs w:val="32"/>
        </w:rPr>
        <w:t>应取得相应特种作业人员证书方可上岗作业。</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6.特种设备出现故障或者发生异常情况，供气企业(液化石油气)应当对其进行全面检查，消除事故隐患。对存在严重事故隐患，无改造、修理价值，或者达到安全技术规范规定的其他报废条件的，医疗机构应当依法履行报废义务，采取必要措施消除该特种设备的使用功能，并办理使用登记证书注销手续。</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cs="Times New Roman"/>
          <w:color w:val="auto"/>
          <w:sz w:val="32"/>
          <w:szCs w:val="32"/>
        </w:rPr>
      </w:pPr>
      <w:r>
        <w:rPr>
          <w:rFonts w:hint="default" w:ascii="Times New Roman" w:hAnsi="Times New Roman" w:eastAsia="仿宋"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场所管理合规</w:t>
      </w:r>
      <w:r>
        <w:rPr>
          <w:rFonts w:hint="default" w:ascii="Times New Roman" w:hAnsi="Times New Roman" w:eastAsia="仿宋"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城镇燃气企业(液化石油气)带有储存设施经营易燃易爆液化石油气，储存设施新建、改建、扩建的，应当提交雷电防护装置的设计审核申请表(施工前)、应当提交雷电防护装置的竣工验收申请表(验收前)；雷电防护装置应当与主体工程同时设计、同时施工、同时投入使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2.明确雷电防护重点部位、场所和设施，并制作示意图，设置雷电防护装置安全警示标识。</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cs="Times New Roman"/>
          <w:color w:val="auto"/>
          <w:sz w:val="32"/>
          <w:szCs w:val="32"/>
        </w:rPr>
      </w:pPr>
      <w:r>
        <w:rPr>
          <w:rFonts w:hint="default" w:ascii="Times New Roman" w:hAnsi="Times New Roman" w:eastAsia="楷体"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管理制度合规</w:t>
      </w:r>
      <w:r>
        <w:rPr>
          <w:rFonts w:hint="default" w:ascii="Times New Roman" w:hAnsi="Times New Roman" w:eastAsia="楷体"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1.承担本单位防雷安全主体责任，法定代表人、主要负责人、实际控制人同为防雷安全第一责任人，把防雷安全工作列入本单位的重要议事日程，将防雷安全经费纳入安全生产经费预算。</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2.明确防雷安全责任部门和人员，掌握本单位防雷安全相关情况。</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3.贯彻执行防雷安全法规和行业主管部门有关要求，接受</w:t>
      </w:r>
      <w:r>
        <w:rPr>
          <w:rFonts w:hint="default" w:ascii="Times New Roman" w:hAnsi="Times New Roman" w:eastAsia="仿宋_GB2312" w:cs="Times New Roman"/>
          <w:b w:val="0"/>
          <w:i w:val="0"/>
          <w:color w:val="auto"/>
          <w:spacing w:val="0"/>
          <w:sz w:val="32"/>
          <w:szCs w:val="32"/>
          <w:shd w:val="clear" w:color="auto" w:fill="auto"/>
          <w:lang w:eastAsia="zh-CN"/>
        </w:rPr>
        <w:t>属地</w:t>
      </w:r>
      <w:r>
        <w:rPr>
          <w:rFonts w:hint="default" w:ascii="Times New Roman" w:hAnsi="Times New Roman" w:eastAsia="仿宋_GB2312" w:cs="Times New Roman"/>
          <w:b w:val="0"/>
          <w:i w:val="0"/>
          <w:color w:val="auto"/>
          <w:spacing w:val="0"/>
          <w:sz w:val="32"/>
          <w:szCs w:val="32"/>
          <w:shd w:val="clear" w:color="auto" w:fill="auto"/>
        </w:rPr>
        <w:t>气</w:t>
      </w:r>
      <w:r>
        <w:rPr>
          <w:rFonts w:hint="default" w:ascii="Times New Roman" w:hAnsi="Times New Roman" w:eastAsia="仿宋_GB2312" w:cs="Times New Roman"/>
          <w:b w:val="0"/>
          <w:i w:val="0"/>
          <w:color w:val="auto"/>
          <w:spacing w:val="0"/>
          <w:sz w:val="32"/>
          <w:szCs w:val="32"/>
        </w:rPr>
        <w:t>象主管机构的监督管理。</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4.严格执行雷电防护装置的日常巡查与维护制度，指定专人负责本单位雷电防护装置的日常维护、定期检查，建立健全隐患自查自改闭环管理机制，排查和消除雷电防护装置隐患，并做好记录。</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5.组织制定并实施本单位防雷安全教育和培训计划，自行组织或参加行业主管部门的防雷安全知识培训。</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6.建立雷电灾害事故记录、报告制度，雷电灾害发生后，及时向当地气象主管机构报告灾情，积极协助相关部门开展雷灾事故调查。</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7.建立防雷安全档案管理制度，对有关雷电防护装置设计安装工程图纸、检测报告、</w:t>
      </w:r>
      <w:r>
        <w:rPr>
          <w:rFonts w:hint="eastAsia" w:ascii="Times New Roman" w:hAnsi="Times New Roman" w:eastAsia="仿宋_GB2312" w:cs="Times New Roman"/>
          <w:b w:val="0"/>
          <w:i w:val="0"/>
          <w:color w:val="auto"/>
          <w:spacing w:val="0"/>
          <w:sz w:val="32"/>
          <w:szCs w:val="32"/>
          <w:lang w:eastAsia="zh-CN"/>
        </w:rPr>
        <w:t>雷电防护装置设计审核和竣工验收行政许可意见书、</w:t>
      </w:r>
      <w:r>
        <w:rPr>
          <w:rFonts w:hint="default" w:ascii="Times New Roman" w:hAnsi="Times New Roman" w:eastAsia="仿宋_GB2312" w:cs="Times New Roman"/>
          <w:b w:val="0"/>
          <w:i w:val="0"/>
          <w:color w:val="auto"/>
          <w:spacing w:val="0"/>
          <w:sz w:val="32"/>
          <w:szCs w:val="32"/>
        </w:rPr>
        <w:t>隐患整改意见、规章制度、防雷安全相关培训记录以及维护记录等文件及时归档，妥善保管。</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cs="Times New Roman"/>
          <w:color w:val="auto"/>
          <w:sz w:val="32"/>
          <w:szCs w:val="32"/>
        </w:rPr>
      </w:pPr>
      <w:r>
        <w:rPr>
          <w:rFonts w:hint="default" w:ascii="Times New Roman" w:hAnsi="Times New Roman" w:eastAsia="仿宋"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管理技术合规</w:t>
      </w:r>
      <w:r>
        <w:rPr>
          <w:rFonts w:hint="default" w:ascii="Times New Roman" w:hAnsi="Times New Roman" w:eastAsia="仿宋"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1.主动关注</w:t>
      </w:r>
      <w:r>
        <w:rPr>
          <w:rFonts w:hint="default" w:ascii="Times New Roman" w:hAnsi="Times New Roman" w:eastAsia="仿宋_GB2312" w:cs="Times New Roman"/>
          <w:b w:val="0"/>
          <w:i w:val="0"/>
          <w:color w:val="auto"/>
          <w:spacing w:val="0"/>
          <w:sz w:val="32"/>
          <w:szCs w:val="32"/>
          <w:lang w:eastAsia="zh-CN"/>
        </w:rPr>
        <w:t>属地</w:t>
      </w:r>
      <w:r>
        <w:rPr>
          <w:rFonts w:hint="default" w:ascii="Times New Roman" w:hAnsi="Times New Roman" w:eastAsia="仿宋_GB2312" w:cs="Times New Roman"/>
          <w:b w:val="0"/>
          <w:i w:val="0"/>
          <w:color w:val="auto"/>
          <w:spacing w:val="0"/>
          <w:sz w:val="32"/>
          <w:szCs w:val="32"/>
        </w:rPr>
        <w:t>气象主管机构所属气象台站发布的雷电天气预警信息，并根据实际情况采取安全防范措施。制定本单位雷电灾害应急预案，必要时启动雷电灾害应急预案。每年至少开展一次雷电灾害应急演练。</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2.委托具有相应资质等级的雷电防护装置检测单位对本单位所有雷电防护装置进行定期检测，做到应检必检，杜绝由于漏检形成的安全隐患。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委托检测时，通过全国防雷减灾综合管理服务平台(网址</w:t>
      </w:r>
      <w:r>
        <w:rPr>
          <w:rFonts w:hint="default" w:ascii="Times New Roman" w:hAnsi="Times New Roman" w:eastAsia="仿宋_GB2312" w:cs="Times New Roman"/>
          <w:b w:val="0"/>
          <w:i w:val="0"/>
          <w:color w:val="auto"/>
          <w:spacing w:val="0"/>
          <w:sz w:val="32"/>
          <w:szCs w:val="32"/>
          <w:u w:val="single"/>
        </w:rPr>
        <w:t>https:// www.qgfljg.cn</w:t>
      </w:r>
      <w:r>
        <w:rPr>
          <w:rFonts w:hint="default" w:ascii="Times New Roman" w:hAnsi="Times New Roman" w:eastAsia="仿宋_GB2312" w:cs="Times New Roman"/>
          <w:b w:val="0"/>
          <w:i w:val="0"/>
          <w:color w:val="auto"/>
          <w:spacing w:val="0"/>
          <w:sz w:val="32"/>
          <w:szCs w:val="32"/>
        </w:rPr>
        <w:t>)对雷电防护装置检测单位的资质证书进行核验。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2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发现雷电防护装置检测单位在检测服务过程中未检测就出具检测报告等不执行雷电防护装置安全规定或标准的，及时向</w:t>
      </w:r>
      <w:r>
        <w:rPr>
          <w:rFonts w:hint="default" w:ascii="Times New Roman" w:hAnsi="Times New Roman" w:eastAsia="仿宋_GB2312" w:cs="Times New Roman"/>
          <w:b w:val="0"/>
          <w:i w:val="0"/>
          <w:color w:val="auto"/>
          <w:spacing w:val="0"/>
          <w:sz w:val="32"/>
          <w:szCs w:val="32"/>
          <w:lang w:eastAsia="zh-CN"/>
        </w:rPr>
        <w:t>属地</w:t>
      </w:r>
      <w:r>
        <w:rPr>
          <w:rFonts w:hint="default" w:ascii="Times New Roman" w:hAnsi="Times New Roman" w:eastAsia="仿宋_GB2312" w:cs="Times New Roman"/>
          <w:b w:val="0"/>
          <w:i w:val="0"/>
          <w:color w:val="auto"/>
          <w:spacing w:val="0"/>
          <w:sz w:val="32"/>
          <w:szCs w:val="32"/>
        </w:rPr>
        <w:t>气象主管机构举报。</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在雷电防护装置定期检测后，应当及时将雷电防护装置检测情况上传全国防雷减灾综合管理服务平台。如果存在问题隐患，需要制定整改计划，在整改完成后，及时将整改结果上传全国防雷减灾综合管理服务平台。</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both"/>
        <w:textAlignment w:val="baseline"/>
        <w:rPr>
          <w:rFonts w:hint="default" w:ascii="Times New Roman" w:hAnsi="Times New Roman" w:eastAsia="仿宋" w:cs="Times New Roman"/>
          <w:b w:val="0"/>
          <w:i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b w:val="0"/>
          <w:i w:val="0"/>
          <w:color w:val="auto"/>
          <w:spacing w:val="0"/>
          <w:sz w:val="32"/>
          <w:szCs w:val="32"/>
          <w:lang w:val="en-US" w:eastAsia="zh-CN"/>
        </w:rPr>
      </w:pPr>
      <w:bookmarkStart w:id="5" w:name="_Toc5674"/>
      <w:r>
        <w:rPr>
          <w:rFonts w:hint="default" w:ascii="Times New Roman" w:hAnsi="Times New Roman" w:eastAsia="黑体" w:cs="Times New Roman"/>
          <w:b w:val="0"/>
          <w:i w:val="0"/>
          <w:color w:val="auto"/>
          <w:spacing w:val="0"/>
          <w:sz w:val="44"/>
          <w:szCs w:val="44"/>
          <w:lang w:val="en-US" w:eastAsia="zh-CN"/>
        </w:rPr>
        <w:t>5.医疗保障定点医疗机构</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b w:val="0"/>
          <w:i w:val="0"/>
          <w:color w:val="auto"/>
          <w:spacing w:val="0"/>
          <w:sz w:val="32"/>
          <w:szCs w:val="32"/>
          <w:lang w:val="en-US" w:eastAsia="zh-CN"/>
        </w:rPr>
      </w:pPr>
      <w:r>
        <w:rPr>
          <w:rFonts w:hint="default" w:ascii="Times New Roman" w:hAnsi="Times New Roman" w:eastAsia="楷体" w:cs="Times New Roman"/>
          <w:b w:val="0"/>
          <w:i w:val="0"/>
          <w:color w:val="auto"/>
          <w:spacing w:val="0"/>
          <w:sz w:val="32"/>
          <w:szCs w:val="32"/>
          <w:lang w:val="en-US" w:eastAsia="zh-CN"/>
        </w:rPr>
        <w:t>涉及</w:t>
      </w:r>
      <w:r>
        <w:rPr>
          <w:rFonts w:hint="default" w:ascii="Times New Roman" w:hAnsi="Times New Roman" w:eastAsia="楷体" w:cs="Times New Roman"/>
          <w:b w:val="0"/>
          <w:i w:val="0"/>
          <w:color w:val="auto"/>
          <w:spacing w:val="0"/>
          <w:sz w:val="32"/>
          <w:szCs w:val="32"/>
        </w:rPr>
        <w:t>监管部门：</w:t>
      </w:r>
      <w:r>
        <w:rPr>
          <w:rFonts w:hint="default" w:ascii="Times New Roman" w:hAnsi="Times New Roman" w:eastAsia="楷体" w:cs="Times New Roman"/>
          <w:b w:val="0"/>
          <w:i w:val="0"/>
          <w:color w:val="auto"/>
          <w:spacing w:val="0"/>
          <w:sz w:val="32"/>
          <w:szCs w:val="32"/>
          <w:lang w:val="en-US" w:eastAsia="zh-CN"/>
        </w:rPr>
        <w:t>州医保局、州卫健委、州生态环境局、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b w:val="0"/>
          <w:i w:val="0"/>
          <w:color w:val="auto"/>
          <w:spacing w:val="0"/>
          <w:sz w:val="32"/>
          <w:szCs w:val="32"/>
          <w:lang w:val="en-US" w:eastAsia="zh-CN"/>
        </w:rPr>
      </w:pPr>
      <w:r>
        <w:rPr>
          <w:rFonts w:hint="default" w:ascii="Times New Roman" w:hAnsi="Times New Roman" w:eastAsia="楷体" w:cs="Times New Roman"/>
          <w:b w:val="0"/>
          <w:i w:val="0"/>
          <w:color w:val="auto"/>
          <w:spacing w:val="0"/>
          <w:sz w:val="32"/>
          <w:szCs w:val="32"/>
          <w:lang w:val="en-US" w:eastAsia="zh-CN"/>
        </w:rPr>
        <w:t>州市场监管局、州消防救援支队、州人社局、州税务局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楷体" w:cs="Times New Roman"/>
          <w:b w:val="0"/>
          <w:i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_GB2312" w:cs="Times New Roman"/>
          <w:b w:val="0"/>
          <w:i w:val="0"/>
          <w:color w:val="auto"/>
          <w:spacing w:val="0"/>
          <w:sz w:val="32"/>
          <w:szCs w:val="32"/>
          <w:lang w:val="en-US" w:eastAsia="zh-CN"/>
        </w:rPr>
        <w:t>定点医疗机构要根据《中华人民共和国社会保险法》《中华人民共和国基本医疗卫生与健康促进法》《医疗机构管理条例》《中华人民共和国药品管理法》《中华人民共和国医师法》《医疗保障基金使用监督管理条例》《零售药店医疗保障定点管理暂行办法》等法律法规规章和政策规定，规范诊疗活动，不断提高药品质量和服务水平，加强机构管理和监管，合法合规使用医疗保障基金，确保医药服务安全和高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黑体" w:cs="Times New Roman"/>
          <w:b w:val="0"/>
          <w:bCs w:val="0"/>
          <w:color w:val="auto"/>
          <w:sz w:val="36"/>
          <w:szCs w:val="36"/>
          <w:lang w:val="en-US" w:eastAsia="zh-CN"/>
        </w:rPr>
        <w:t>医保部分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b w:val="0"/>
          <w:bCs w:val="0"/>
          <w:color w:val="auto"/>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w:t>
      </w:r>
      <w:r>
        <w:rPr>
          <w:rFonts w:hint="default" w:ascii="Times New Roman" w:hAnsi="Times New Roman" w:eastAsia="黑体" w:cs="Times New Roman"/>
          <w:b/>
          <w:bCs/>
          <w:color w:val="auto"/>
          <w:sz w:val="32"/>
          <w:szCs w:val="32"/>
          <w:lang w:val="en-US" w:eastAsia="zh-CN"/>
        </w:rPr>
        <w:t>基础管理合规</w:t>
      </w:r>
      <w:r>
        <w:rPr>
          <w:rFonts w:hint="default" w:ascii="Times New Roman" w:hAnsi="Times New Roman" w:eastAsia="黑体"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1.定点医疗机构应符合国家、自治区及本统筹地区医药机构医疗保障定点管理要求的人员配备、管理制度、信息系统建设等规定；严格遵循医疗保障、卫生健康、中医药等部门有关法律法规政策和管理要求。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2.定点医疗机构应健全考核评价体系，开展医保政策内部培训，定期检查本单位医保基金使用情况，及时纠正不规范行为。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3.定点医疗机构应按规定保管财务账目、会计凭证、处方、病历、治疗检查记录、费用明细、药品和医用耗材出入库记录等资料。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黑体" w:cs="Times New Roman"/>
          <w:b/>
          <w:bCs/>
          <w:color w:val="auto"/>
          <w:sz w:val="32"/>
          <w:szCs w:val="32"/>
          <w:lang w:val="en-US" w:eastAsia="zh-CN"/>
        </w:rPr>
        <w:t>信息管理合规</w:t>
      </w:r>
      <w:r>
        <w:rPr>
          <w:rFonts w:hint="default" w:ascii="Times New Roman" w:hAnsi="Times New Roman" w:eastAsia="仿宋"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定点医疗机构应当按照医疗保障部门的要求配置必备的医保费用结算设备，支持参保人使用医保电子凭证、社会保障卡或身份证联网结算医疗费用。定点医药机构应加强对医保结算设备的管理，不得转借或赠与他人，不得改变使用场地。</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2.定点医疗机构应保证本单位医保信息系统与互联网物理隔离，与其他外部网络联网采用有效的安全隔离措施。</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定点医疗机构应保持与医保信息系统对接运行平稳、传输顺畅，做好与医保有关的信息安全保障和数据管理，严格遵守国家、自治区和统筹区信息系统安全管理的相关规定，严格落实网络和数据安全主体责任，保护参保人个人信息，确保医保数据安全。</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定点医药机构应严格按照国家、自治区医保信息业务编码标准相关规范，按期推进医保信息业务编码标准的落地应用工作，及时、准确、规范地做好国家医保信息业务编码本机构基础信息的动态维护和相关数据的传输工作。</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5.定点医疗机构应建立医保编码管理及动态维护制度，严格执行医保基金结算清单、病案首页填报规范，确保信息填写完整，主要诊断、其他诊断及主要手术和操作填写准确。</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6.定点医疗机构应建立医生（护理）工作站，保证医嘱、护理工作记录的可追溯性。参保人入院时，定点医疗机构须24小时内完成病案信息录入，确保数据的准确性、真实性和完整性，并按要求做好数据备份。</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黑体" w:cs="Times New Roman"/>
          <w:b/>
          <w:bCs/>
          <w:color w:val="auto"/>
          <w:sz w:val="32"/>
          <w:szCs w:val="32"/>
          <w:lang w:val="en-US" w:eastAsia="zh-CN"/>
        </w:rPr>
        <w:t>进销存管理合规</w:t>
      </w:r>
      <w:r>
        <w:rPr>
          <w:rFonts w:hint="default" w:ascii="Times New Roman" w:hAnsi="Times New Roman" w:eastAsia="仿宋" w:cs="Times New Roman"/>
          <w:b w:val="0"/>
          <w:bCs w:val="0"/>
          <w:color w:val="auto"/>
          <w:sz w:val="32"/>
          <w:szCs w:val="32"/>
          <w:lang w:val="en-US" w:eastAsia="zh-CN"/>
        </w:rPr>
        <w:t>】</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定点医疗机构应按要求及时如实向医疗保障部门上传参保人购买药械的品种、规格、价格及费用信息，定期向医疗保障部门上报使用医保费用的药械购进、销售、库存（以下简称“进销存”）数据，并对其真实性负责。</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2.定点医疗机构应建立药械进销存的登记制度和与实际情况一致的进销存电子台账，留存凭证和票据，确保相关信息数据可追溯。</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药械购销记录必须注明产品名称、生产厂家（中药材标明产地）、剂型、规格、批号、购（销）数量、购（销）价格、购（销）金额、购（销）单位、生产日期、购进日期、有效期、批准文号及市场监管部门规定的其他内容。发票上的购、销单位名称及金额、品名应当与付款流向及金额、品名一致，并与财务账目内容相对应。进销存相关凭证保存2年以上。医疗保障部门可根据医保管理需要调查了解上述信息。</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.定点零售药店若为总公司统一管理财务的连锁零售药店，应设立门店财务管理账目和信息权限，以便医疗保障部门在门店能够及时检查财务账目和进销存情况。</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就医管理合规</w:t>
      </w:r>
      <w:r>
        <w:rPr>
          <w:rFonts w:hint="default" w:ascii="Times New Roman" w:hAnsi="Times New Roman" w:eastAsia="楷体" w:cs="Times New Roman"/>
          <w:b/>
          <w:bCs/>
          <w:color w:val="auto"/>
          <w:sz w:val="32"/>
          <w:szCs w:val="32"/>
          <w:lang w:val="en-US" w:eastAsia="zh-CN"/>
        </w:rPr>
        <w:t>】</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参保人就医时，定点医疗机构及其工作人员应执行实名就医和购药管理规定，核验参保人的身份证和医保电子凭证或社会保障卡等，做到人证相符，参保人就医时的有效身份凭证复印件归入病历档案中。定点医药机构发现证件无效、人证不符的，不得进行医保结算。特殊情况下为他人代购药品的，定点医药机构应当要求其出示本人和被代购人身份证并做好登记。</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定点医疗机构提供诊疗、药械服务时，应核对参保人有效身份凭证，做到人证相符。定点医药机构不得收集、留存参保人医疗保障凭证。不得诱导、协助他人冒名或者虚假就诊、住院、购买药械，不得串通参保人及第三方骗取医疗保障基金。</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医疗服务合规</w:t>
      </w:r>
      <w:r>
        <w:rPr>
          <w:rFonts w:hint="default" w:ascii="Times New Roman" w:hAnsi="Times New Roman" w:eastAsia="楷体" w:cs="Times New Roman"/>
          <w:b/>
          <w:bCs/>
          <w:color w:val="auto"/>
          <w:sz w:val="32"/>
          <w:szCs w:val="32"/>
          <w:lang w:val="en-US"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定点医药机构应当建立医疗保障基金使用内部管理制度，由专门机构或者人员负责医疗保障基金使用管理工作，建立健全考核评价体系。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定点医药机构应当组织开展医疗保障基金相关制度、政策的培训，定期检查本单位医疗保障基金使用情况，及时纠正医疗保障基金使用不规范的行为。</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定点医药机构应当确保医疗保障基金支付的费用符合规定的支付范围；除急诊、抢救等特殊情形外，提供医疗保障基金支付范围以外的医药服务的，应当经参保人员或者其近亲属、监护人同意。</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医保报销合规</w:t>
      </w:r>
      <w:r>
        <w:rPr>
          <w:rFonts w:hint="default" w:ascii="Times New Roman" w:hAnsi="Times New Roman" w:eastAsia="楷体" w:cs="Times New Roman"/>
          <w:b/>
          <w:bCs/>
          <w:color w:val="auto"/>
          <w:sz w:val="32"/>
          <w:szCs w:val="32"/>
          <w:lang w:val="en-US" w:eastAsia="zh-CN"/>
        </w:rPr>
        <w:t>】</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1.定点医疗机构应当确保医疗保障基金支付的费用符合规定的支付范围；除急诊、抢救等特殊情形外，提供医疗保障基金支付范围以外的医药服务的，应当经参保人员或者其近亲属、监护人同意。</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2.定点医疗机构不得将医疗保障不予支付的医疗服务项目、药品、耗材等非目录内项目串换成医疗保障目录内的医疗服务项目、药品、耗材等进行报销，或将低标准收费项目套入高标准收费项目结算。</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黑体" w:cs="Times New Roman"/>
          <w:b/>
          <w:bCs/>
          <w:color w:val="auto"/>
          <w:sz w:val="32"/>
          <w:szCs w:val="32"/>
          <w:lang w:val="en-US" w:eastAsia="zh-CN"/>
        </w:rPr>
        <w:t>医保医师管理合规</w:t>
      </w:r>
      <w:r>
        <w:rPr>
          <w:rFonts w:hint="default" w:ascii="Times New Roman" w:hAnsi="Times New Roman" w:eastAsia="仿宋" w:cs="Times New Roman"/>
          <w:b w:val="0"/>
          <w:bCs w:val="0"/>
          <w:color w:val="auto"/>
          <w:sz w:val="32"/>
          <w:szCs w:val="32"/>
          <w:lang w:val="en-US" w:eastAsia="zh-CN"/>
        </w:rPr>
        <w:t>】</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定点医疗机构应将医保医师名单报送医疗保障部门，医疗保障部门按规定纳入管理。定点医疗机构的医保医师应具有相应专业资质，注册地应在定点医疗机构（符合规定的医联体医师除外），并成功申请医保医师国家编码。医保医师应当严格执行医疗保障政策规定，自觉规范诊疗行为，诚信履行职责。</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公示合规</w:t>
      </w:r>
      <w:r>
        <w:rPr>
          <w:rFonts w:hint="default" w:ascii="Times New Roman" w:hAnsi="Times New Roman" w:eastAsia="楷体"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显著位置悬挂统一样式的定点医疗机构标识和医疗保障基金监督举报电话标牌，设置医疗保障服务窗口和意见箱，宣传医疗保障主要政策、医保凭证使用流程及本协议重点内容，实施医保管理，开展打击欺诈骗保等政策宣传，公布咨询电话，提供咨询服务；应向社会公开医药费用信息、费用结构等信息，如实出具费用单据和相关资料；应向社会公布医保投诉举报渠道，及时处理举报投诉问题，接受社会监督。</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6"/>
          <w:szCs w:val="36"/>
          <w:lang w:val="en-US" w:eastAsia="zh-CN"/>
        </w:rPr>
      </w:pPr>
      <w:r>
        <w:rPr>
          <w:rFonts w:hint="default" w:ascii="Times New Roman" w:hAnsi="Times New Roman" w:eastAsia="黑体" w:cs="Times New Roman"/>
          <w:b w:val="0"/>
          <w:bCs w:val="0"/>
          <w:color w:val="auto"/>
          <w:sz w:val="36"/>
          <w:szCs w:val="36"/>
          <w:lang w:val="en-US" w:eastAsia="zh-CN"/>
        </w:rPr>
        <w:t>卫健部分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资质合规</w:t>
      </w:r>
      <w:r>
        <w:rPr>
          <w:rFonts w:hint="default" w:ascii="Times New Roman" w:hAnsi="Times New Roman" w:eastAsia="楷体"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医疗机构必须依法取得《医疗机构执业许可证》，诊所必须按照规定向所在地的县级人民政府卫生行政部门进行备案。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医疗机构必须按照核准登记或者备案的诊疗科目开展诊疗活动。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人员合规</w:t>
      </w:r>
      <w:r>
        <w:rPr>
          <w:rFonts w:hint="default" w:ascii="Times New Roman" w:hAnsi="Times New Roman" w:eastAsia="楷体"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医师执业必须取得医师资格并申请执业注册,取得医师资格证书、医师执业证书；申请变更、停业再次执业应符合规定。不得伪造、变造、买卖、出租、出借医师执业证书。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医师在二个以上医疗卫生机构定期执业的，应当以一个医疗卫生机构为主，并按照国家有关规定办理相关手续。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医师执业应符合注册的执业地点、执业类别、执业范围规定，遵守法律法规、遵守技术操作规范。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医师不得利用职务之便，索取、非法收受患者财物或者牟取其他不正当利益；不得对患者实施不必要的检查、治疗。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医疗机构不得使用非卫生技术人员从事医疗卫生技术工作。医疗机构不得使用卫生技术人员从事本专业以外的诊疗活动,医疗机构护士执业必须取得合法有效的执业资格 , 医疗机构卫生技术人员配备应符合《医疗机构基本标准》规定。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病历书写合规</w:t>
      </w:r>
      <w:r>
        <w:rPr>
          <w:rFonts w:hint="default" w:ascii="Times New Roman" w:hAnsi="Times New Roman" w:eastAsia="楷体"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医疗机构及其医务人员应当按照国务院卫生主管部门的规定，填写并妥善保管病历资料。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任何单位和个人不得篡改、伪造、隐匿、毁灭或者抢夺病历资料。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病历书写应当客观、真实、准确、及时、完整、规范。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处方合规</w:t>
      </w:r>
      <w:r>
        <w:rPr>
          <w:rFonts w:hint="default" w:ascii="Times New Roman" w:hAnsi="Times New Roman" w:eastAsia="楷体"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医疗机构应当加强对本机构处方开具、调剂和保管的管理。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医师应当在注册的医疗机构签名留样或者专用签章备案后，方可开具处方。药师取得处方调剂资格后，签名或专用签章式样应当在本机构留样备查。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医师应当根据医疗、预防、保健需要，按照诊疗规范、药品说明书中的内容开具处方。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处方一般不得超过7日用量；急诊处方一般不得超过3日用量；对于某些慢性病、老年病或特殊情况，处方用量可适当延长，但医师应当注明理由。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疗机构应当按照有关规定，对本机构执业医师和药师进行麻醉药品和精神药品使用知识和规范化管理的培训。执业医师经考核合格后取得麻醉药品和第一类精神药品的处方权,方可在本机构开具麻醉药品和第一类精神药品处方；药师经考核合格后取得麻醉药品和第一类精神药品调剂资格,方可在本机构调剂麻醉药品和第一类精神药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医疗用毒性药品、放射性药品的处方用量应当严格按照国家有关规定执行。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药品使用合规</w:t>
      </w:r>
      <w:r>
        <w:rPr>
          <w:rFonts w:hint="default" w:ascii="Times New Roman" w:hAnsi="Times New Roman" w:eastAsia="楷体"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除正当诊断治疗外，医师不得使用麻醉药品、医疗毒性药品、精神药品和放射性药品。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医师应坚持安全有效、经济合理的用药原则，遵循药品临床应用指导原则、临床诊疗指南和药品说明书等合理用药。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医师发现假药或者劣药，应按照有关规定及时上报。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公示合规</w:t>
      </w:r>
      <w:r>
        <w:rPr>
          <w:rFonts w:hint="default" w:ascii="Times New Roman" w:hAnsi="Times New Roman" w:eastAsia="仿宋_GB2312"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医疗机构必须将《医疗机构执业许可证》或诊所备案凭证、诊疗科目、诊疗时间和收费标准悬挂于明显处所。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标有医疗机构标识的票据和医疗文书、药品分装袋、制剂标签等不得买卖、出借和转让。医疗机构不得使用其他医疗机构标识的票据和医疗文书、药品分装袋、制剂标签等。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黑体" w:cs="Times New Roman"/>
          <w:b/>
          <w:bCs/>
          <w:color w:val="auto"/>
          <w:sz w:val="32"/>
          <w:szCs w:val="32"/>
          <w:lang w:val="en-US" w:eastAsia="zh-CN"/>
        </w:rPr>
        <w:t>信息管理合规</w:t>
      </w:r>
      <w:r>
        <w:rPr>
          <w:rFonts w:hint="default" w:ascii="Times New Roman" w:hAnsi="Times New Roman" w:eastAsia="仿宋"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定点医疗机构应建立医生（护理）工作站，保证医嘱、护理工作记录的可追溯性。参保人入院时，定点医疗机构须24小时内完成病案信息录入，确保数据的准确性、真实性和完整性，并按要求做好数据备份。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医疗服务合规</w:t>
      </w:r>
      <w:r>
        <w:rPr>
          <w:rFonts w:hint="default" w:ascii="Times New Roman" w:hAnsi="Times New Roman" w:eastAsia="楷体" w:cs="Times New Roman"/>
          <w:b/>
          <w:bCs/>
          <w:color w:val="auto"/>
          <w:sz w:val="32"/>
          <w:szCs w:val="32"/>
          <w:lang w:val="en-US"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医务人员应当恪守职业道德，认真遵守医疗质量管理相关法律法规、规范、标准和本机构医疗质量管理制度的规定，规范临床诊疗行为，保障医疗质量和医疗安全。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医疗机构应当按照核准登记的诊疗科目执业。卫生技术人员开展诊疗活动应当依法取得执业资质, 医疗机构人力资源配备应当满足临床工作需要。</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医疗机构开展医疗技术应当与其功能任务和技术能力相适应，按照国家关于医疗技术和手术管理有关规定，加强医疗技术临床应用管理。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医疗机构及其医务人员应当遵循临床诊疗指南、临床技术操作规范、行业标准和临床路径等有关要求开展诊疗工作，严格遵守医疗质量安全核心制度，做到合理检查、合理用药、合理治疗。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6"/>
          <w:szCs w:val="36"/>
          <w:lang w:val="en-US" w:eastAsia="zh-CN"/>
        </w:rPr>
      </w:pPr>
      <w:r>
        <w:rPr>
          <w:rFonts w:hint="default" w:ascii="Times New Roman" w:hAnsi="Times New Roman" w:eastAsia="黑体" w:cs="Times New Roman"/>
          <w:b w:val="0"/>
          <w:bCs w:val="0"/>
          <w:color w:val="auto"/>
          <w:sz w:val="36"/>
          <w:szCs w:val="36"/>
          <w:lang w:val="en-US" w:eastAsia="zh-CN"/>
        </w:rPr>
        <w:t>市场监管部分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计量合规</w:t>
      </w:r>
      <w:r>
        <w:rPr>
          <w:rFonts w:hint="default" w:ascii="Times New Roman" w:hAnsi="Times New Roman" w:eastAsia="楷体"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定点医疗机构应按规定建立在用计量器具台账</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i w:val="0"/>
          <w:color w:val="auto"/>
          <w:spacing w:val="0"/>
          <w:sz w:val="32"/>
          <w:szCs w:val="32"/>
        </w:rPr>
        <w:t>使用属于强制检定的计量器具应当登记造册</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在使用前或有效期到期前</w:t>
      </w:r>
      <w:r>
        <w:rPr>
          <w:rFonts w:hint="default" w:ascii="Times New Roman" w:hAnsi="Times New Roman" w:eastAsia="仿宋_GB2312" w:cs="Times New Roman"/>
          <w:b w:val="0"/>
          <w:i w:val="0"/>
          <w:color w:val="auto"/>
          <w:spacing w:val="0"/>
          <w:sz w:val="32"/>
          <w:szCs w:val="32"/>
          <w:lang w:val="en-US" w:eastAsia="zh-CN"/>
        </w:rPr>
        <w:t>40</w:t>
      </w:r>
      <w:r>
        <w:rPr>
          <w:rFonts w:hint="default" w:ascii="Times New Roman" w:hAnsi="Times New Roman" w:eastAsia="仿宋_GB2312" w:cs="Times New Roman"/>
          <w:b w:val="0"/>
          <w:i w:val="0"/>
          <w:color w:val="auto"/>
          <w:spacing w:val="0"/>
          <w:sz w:val="32"/>
          <w:szCs w:val="32"/>
        </w:rPr>
        <w:t>日，</w:t>
      </w:r>
      <w:r>
        <w:rPr>
          <w:rFonts w:hint="default" w:ascii="Times New Roman" w:hAnsi="Times New Roman" w:eastAsia="仿宋_GB2312" w:cs="Times New Roman"/>
          <w:b w:val="0"/>
          <w:i w:val="0"/>
          <w:color w:val="auto"/>
          <w:spacing w:val="0"/>
          <w:sz w:val="32"/>
          <w:szCs w:val="32"/>
          <w:lang w:eastAsia="zh-CN"/>
        </w:rPr>
        <w:t>通过</w:t>
      </w:r>
      <w:r>
        <w:rPr>
          <w:rFonts w:hint="default" w:ascii="Times New Roman" w:hAnsi="Times New Roman" w:eastAsia="仿宋_GB2312" w:cs="Times New Roman"/>
          <w:b w:val="0"/>
          <w:i w:val="0"/>
          <w:color w:val="auto"/>
          <w:spacing w:val="0"/>
          <w:sz w:val="32"/>
          <w:szCs w:val="32"/>
        </w:rPr>
        <w:t>新疆计量智慧管理系统</w:t>
      </w:r>
      <w:r>
        <w:rPr>
          <w:rFonts w:hint="default" w:ascii="Times New Roman" w:hAnsi="Times New Roman" w:eastAsia="仿宋_GB2312" w:cs="Times New Roman"/>
          <w:b w:val="0"/>
          <w:i w:val="0"/>
          <w:color w:val="auto"/>
          <w:spacing w:val="0"/>
          <w:sz w:val="32"/>
          <w:szCs w:val="32"/>
          <w:lang w:eastAsia="zh-CN"/>
        </w:rPr>
        <w:t>公共服务端（</w:t>
      </w:r>
      <w:r>
        <w:rPr>
          <w:rFonts w:hint="default" w:ascii="Times New Roman" w:hAnsi="Times New Roman" w:eastAsia="仿宋_GB2312" w:cs="Times New Roman"/>
          <w:b w:val="0"/>
          <w:i w:val="0"/>
          <w:color w:val="auto"/>
          <w:spacing w:val="0"/>
          <w:sz w:val="32"/>
          <w:szCs w:val="32"/>
        </w:rPr>
        <w:t>网</w:t>
      </w:r>
      <w:r>
        <w:rPr>
          <w:rFonts w:hint="default" w:ascii="Times New Roman" w:hAnsi="Times New Roman" w:eastAsia="仿宋_GB2312" w:cs="Times New Roman"/>
          <w:b w:val="0"/>
          <w:i w:val="0"/>
          <w:color w:val="auto"/>
          <w:spacing w:val="0"/>
          <w:sz w:val="32"/>
          <w:szCs w:val="32"/>
          <w:lang w:eastAsia="zh-CN"/>
        </w:rPr>
        <w:t>址</w:t>
      </w:r>
      <w:r>
        <w:rPr>
          <w:rFonts w:hint="default" w:ascii="Times New Roman" w:hAnsi="Times New Roman" w:eastAsia="仿宋_GB2312" w:cs="Times New Roman"/>
          <w:b w:val="0"/>
          <w:i w:val="0"/>
          <w:color w:val="auto"/>
          <w:spacing w:val="0"/>
          <w:sz w:val="32"/>
          <w:szCs w:val="32"/>
        </w:rPr>
        <w:t>：</w:t>
      </w:r>
      <w:r>
        <w:rPr>
          <w:rFonts w:hint="default" w:ascii="Times New Roman" w:hAnsi="Times New Roman" w:eastAsia="仿宋_GB2312" w:cs="Times New Roman"/>
          <w:b w:val="0"/>
          <w:i w:val="0"/>
          <w:color w:val="auto"/>
          <w:spacing w:val="0"/>
          <w:sz w:val="32"/>
          <w:szCs w:val="32"/>
          <w:lang w:val="en-US" w:eastAsia="zh-CN"/>
        </w:rPr>
        <w:t>https://</w:t>
      </w:r>
      <w:r>
        <w:rPr>
          <w:rFonts w:hint="default" w:ascii="Times New Roman" w:hAnsi="Times New Roman" w:eastAsia="仿宋_GB2312" w:cs="Times New Roman"/>
          <w:b w:val="0"/>
          <w:i w:val="0"/>
          <w:color w:val="auto"/>
          <w:spacing w:val="0"/>
          <w:sz w:val="32"/>
          <w:szCs w:val="32"/>
        </w:rPr>
        <w:t>msjl.xjaic.gov.cn</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lang w:val="en-US" w:eastAsia="zh-CN"/>
        </w:rPr>
        <w:t>81</w:t>
      </w:r>
      <w:r>
        <w:rPr>
          <w:rFonts w:hint="default" w:ascii="Times New Roman" w:hAnsi="Times New Roman" w:eastAsia="仿宋_GB2312" w:cs="Times New Roman"/>
          <w:b w:val="0"/>
          <w:i w:val="0"/>
          <w:color w:val="auto"/>
          <w:spacing w:val="0"/>
          <w:sz w:val="32"/>
          <w:szCs w:val="32"/>
          <w:lang w:eastAsia="zh-CN"/>
        </w:rPr>
        <w:t>）注册账号，</w:t>
      </w:r>
      <w:r>
        <w:rPr>
          <w:rFonts w:hint="default" w:ascii="Times New Roman" w:hAnsi="Times New Roman" w:eastAsia="仿宋_GB2312" w:cs="Times New Roman"/>
          <w:b w:val="0"/>
          <w:i w:val="0"/>
          <w:color w:val="auto"/>
          <w:spacing w:val="0"/>
          <w:sz w:val="32"/>
          <w:szCs w:val="32"/>
        </w:rPr>
        <w:t>向当地市场监督管理部门备案</w:t>
      </w: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仿宋_GB2312" w:cs="Times New Roman"/>
          <w:b w:val="0"/>
          <w:i w:val="0"/>
          <w:color w:val="auto"/>
          <w:spacing w:val="0"/>
          <w:sz w:val="32"/>
          <w:szCs w:val="32"/>
        </w:rPr>
        <w:t>并配合市场监督管理部门及其指定的法定计量检定机构做好强制检定工作。</w:t>
      </w:r>
      <w:r>
        <w:rPr>
          <w:rFonts w:hint="default" w:ascii="Times New Roman" w:hAnsi="Times New Roman" w:eastAsia="仿宋_GB2312" w:cs="Times New Roman"/>
          <w:b w:val="0"/>
          <w:bCs w:val="0"/>
          <w:color w:val="auto"/>
          <w:sz w:val="32"/>
          <w:szCs w:val="32"/>
          <w:lang w:val="en-US" w:eastAsia="zh-CN"/>
        </w:rPr>
        <w:t>其他工作计量器具使用者可自行选择非强制检定或者校准的方式，保证量值准确。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收费合规</w:t>
      </w:r>
      <w:r>
        <w:rPr>
          <w:rFonts w:hint="default" w:ascii="Times New Roman" w:hAnsi="Times New Roman" w:eastAsia="仿宋_GB2312"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1.医疗机构应当遵守《价格法》《明码标价和禁止价格欺诈规定》等价格法律法规，醒目、完整公示医疗服务、药品、医用耗材等价格信息，不得利用虚假的或者使人误解的价格手段，诱骗患者与其进行交易。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医疗机构要严格落实医疗服务价格政策，公立医疗机构根据医疗等级执行价格主管部门制定的政府指导价标准，按照项目名称、项目内涵和计价单位等进行收费，并落实药品和耗材零差率政策，不得有《价格违法行为行政处罚规定》第九条所列的价格违法行为。非公立医疗机构提供医疗服务实行市场调节价，非营利性质的非公立医疗机构应按照政府部门制定的项目规范设立医疗服务项目，营利性质的非公立医疗机构可自行设立医疗服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经营行为合规</w:t>
      </w:r>
      <w:r>
        <w:rPr>
          <w:rFonts w:hint="default" w:ascii="Times New Roman" w:hAnsi="Times New Roman" w:eastAsia="仿宋_GB2312"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1.医疗机构配制制剂，应当经所在地区、州、县（市）人民政府药品监督管理部门批准，取得医疗机构制剂许可证。无医疗机构制剂许可证的，不得配制制剂。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2.医疗机构使用放射性药品等特殊管理的药品的，应当按规定取得相关的使用许可。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color w:val="auto"/>
          <w:kern w:val="0"/>
          <w:sz w:val="32"/>
          <w:szCs w:val="32"/>
          <w:lang w:val="en-US" w:eastAsia="zh-CN" w:bidi="ar"/>
        </w:rPr>
        <w:t>开办药品经营企业，应当在取得营业执照后，向所在地县级以上药品监督管理部门申请药品经营许可证。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4.药品经营企业不得经营疫苗、医疗机构制剂、中药配方颗粒等国家禁止药品经营企业经营或禁止零售的药品。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5.药品经营企业应当遵守国家处方药与非处方药分类管理制度，按规定凭处方销售处方药，处方保留不少于五年。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6.药品经营企业不得以买药品赠药品或者买商品赠药品等方式向公众赠送处方药、甲类非处方药。处方药不得开架销售。</w:t>
      </w:r>
    </w:p>
    <w:p>
      <w:pPr>
        <w:ind w:firstLine="64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 药品零售企业配备依法经过资格认定的药师或者其他药学技术人员，负责药品质量管理、处方审核和调配、合理用药指导以及不良反应信息收集与报告等工作。</w:t>
      </w:r>
    </w:p>
    <w:p>
      <w:pPr>
        <w:ind w:firstLine="64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8.药品零售企业营业时间内，依法经过资格认定的药师或者其他药学技术人员不在岗时，应当挂牌告知。未经依法经过资格认定的药师或者其他药学技术人员审核，不得销售处方药。</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日常制度合规</w:t>
      </w:r>
      <w:r>
        <w:rPr>
          <w:rFonts w:hint="default" w:ascii="Times New Roman" w:hAnsi="Times New Roman" w:eastAsia="仿宋_GB2312"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药品经营企业、</w:t>
      </w:r>
      <w:r>
        <w:rPr>
          <w:rFonts w:hint="default" w:ascii="Times New Roman" w:hAnsi="Times New Roman" w:eastAsia="仿宋_GB2312" w:cs="Times New Roman"/>
          <w:b w:val="0"/>
          <w:bCs w:val="0"/>
          <w:color w:val="auto"/>
          <w:sz w:val="32"/>
          <w:szCs w:val="32"/>
          <w:lang w:val="en-US" w:eastAsia="zh-CN"/>
        </w:rPr>
        <w:t>医疗机构应当建立健全药品质量管理体系，完善药品购进、验收、储存、养护等环节的质量管理制度，对本单位药品购进、储存、</w:t>
      </w:r>
      <w:r>
        <w:rPr>
          <w:rFonts w:hint="eastAsia" w:ascii="Times New Roman" w:hAnsi="Times New Roman" w:eastAsia="仿宋_GB2312" w:cs="Times New Roman"/>
          <w:b w:val="0"/>
          <w:bCs w:val="0"/>
          <w:color w:val="auto"/>
          <w:sz w:val="32"/>
          <w:szCs w:val="32"/>
          <w:lang w:val="en-US" w:eastAsia="zh-CN"/>
        </w:rPr>
        <w:t>销售（</w:t>
      </w:r>
      <w:r>
        <w:rPr>
          <w:rFonts w:hint="default" w:ascii="Times New Roman" w:hAnsi="Times New Roman" w:eastAsia="仿宋_GB2312" w:cs="Times New Roman"/>
          <w:b w:val="0"/>
          <w:bCs w:val="0"/>
          <w:color w:val="auto"/>
          <w:sz w:val="32"/>
          <w:szCs w:val="32"/>
          <w:lang w:val="en-US" w:eastAsia="zh-CN"/>
        </w:rPr>
        <w:t>使用</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全过程的药品质量管理负责，明确各环节中工作人员的岗位责任。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药品经营企业</w:t>
      </w:r>
      <w:r>
        <w:rPr>
          <w:rFonts w:hint="default" w:ascii="Times New Roman" w:hAnsi="Times New Roman" w:eastAsia="仿宋_GB2312" w:cs="Times New Roman"/>
          <w:b w:val="0"/>
          <w:bCs w:val="0"/>
          <w:color w:val="auto"/>
          <w:sz w:val="32"/>
          <w:szCs w:val="32"/>
          <w:lang w:val="en-US" w:eastAsia="zh-CN"/>
        </w:rPr>
        <w:t>医疗机构购进药品，应当核实供货单位的药品生产许可证或者药品经营许可证、授权委托书以及药品批准证明文件、药品合格证明等有效证明文件。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val="en-US" w:eastAsia="zh-CN"/>
        </w:rPr>
        <w:t>药品经营企业、</w:t>
      </w:r>
      <w:r>
        <w:rPr>
          <w:rFonts w:hint="default" w:ascii="Times New Roman" w:hAnsi="Times New Roman" w:eastAsia="仿宋_GB2312" w:cs="Times New Roman"/>
          <w:b w:val="0"/>
          <w:bCs w:val="0"/>
          <w:color w:val="auto"/>
          <w:sz w:val="32"/>
          <w:szCs w:val="32"/>
          <w:lang w:val="en-US" w:eastAsia="zh-CN"/>
        </w:rPr>
        <w:t>医疗机构应当建立和执行药品购进验收制度，购进药品应当逐批验收，并建立真实、完整的记录。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w:t>
      </w:r>
      <w:r>
        <w:rPr>
          <w:rFonts w:hint="eastAsia" w:ascii="Times New Roman" w:hAnsi="Times New Roman" w:eastAsia="仿宋_GB2312" w:cs="Times New Roman"/>
          <w:b w:val="0"/>
          <w:bCs w:val="0"/>
          <w:color w:val="auto"/>
          <w:sz w:val="32"/>
          <w:szCs w:val="32"/>
          <w:lang w:val="en-US" w:eastAsia="zh-CN"/>
        </w:rPr>
        <w:t>药品经营企业、</w:t>
      </w:r>
      <w:r>
        <w:rPr>
          <w:rFonts w:hint="default" w:ascii="Times New Roman" w:hAnsi="Times New Roman" w:eastAsia="仿宋_GB2312" w:cs="Times New Roman"/>
          <w:b w:val="0"/>
          <w:bCs w:val="0"/>
          <w:color w:val="auto"/>
          <w:sz w:val="32"/>
          <w:szCs w:val="32"/>
          <w:lang w:val="en-US" w:eastAsia="zh-CN"/>
        </w:rPr>
        <w:t>医疗机构应当制定并执行药品储存、养护制度，配备专用场所和设施设备储存药品，做好储存、养护记录，确保药品储存符合药品说明书标明的条件。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w:t>
      </w:r>
      <w:r>
        <w:rPr>
          <w:rFonts w:hint="eastAsia" w:ascii="Times New Roman" w:hAnsi="Times New Roman" w:eastAsia="仿宋_GB2312" w:cs="Times New Roman"/>
          <w:b w:val="0"/>
          <w:bCs w:val="0"/>
          <w:color w:val="auto"/>
          <w:sz w:val="32"/>
          <w:szCs w:val="32"/>
          <w:lang w:val="en-US" w:eastAsia="zh-CN"/>
        </w:rPr>
        <w:t>药品经营企业、</w:t>
      </w:r>
      <w:r>
        <w:rPr>
          <w:rFonts w:hint="default" w:ascii="Times New Roman" w:hAnsi="Times New Roman" w:eastAsia="仿宋_GB2312" w:cs="Times New Roman"/>
          <w:b w:val="0"/>
          <w:bCs w:val="0"/>
          <w:color w:val="auto"/>
          <w:sz w:val="32"/>
          <w:szCs w:val="32"/>
          <w:lang w:val="en-US" w:eastAsia="zh-CN"/>
        </w:rPr>
        <w:t>医疗机构应当建立覆盖药品购进、储存、</w:t>
      </w:r>
      <w:r>
        <w:rPr>
          <w:rFonts w:hint="eastAsia" w:ascii="Times New Roman" w:hAnsi="Times New Roman" w:eastAsia="仿宋_GB2312" w:cs="Times New Roman"/>
          <w:b w:val="0"/>
          <w:bCs w:val="0"/>
          <w:color w:val="auto"/>
          <w:sz w:val="32"/>
          <w:szCs w:val="32"/>
          <w:lang w:val="en-US" w:eastAsia="zh-CN"/>
        </w:rPr>
        <w:t>销售（</w:t>
      </w:r>
      <w:r>
        <w:rPr>
          <w:rFonts w:hint="default" w:ascii="Times New Roman" w:hAnsi="Times New Roman" w:eastAsia="仿宋_GB2312" w:cs="Times New Roman"/>
          <w:b w:val="0"/>
          <w:bCs w:val="0"/>
          <w:color w:val="auto"/>
          <w:sz w:val="32"/>
          <w:szCs w:val="32"/>
          <w:lang w:val="en-US" w:eastAsia="zh-CN"/>
        </w:rPr>
        <w:t>使用</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的全过程追溯体系，开展追溯数据校验和采集，按规定提供药品追溯信息。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val="en-US" w:eastAsia="zh-CN"/>
        </w:rPr>
        <w:t>.医疗机构应当制定本单位的药品安全事件处置方案，并组织开展培训和应急演练。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药品质量安全合规</w:t>
      </w:r>
      <w:r>
        <w:rPr>
          <w:rFonts w:hint="default" w:ascii="Times New Roman" w:hAnsi="Times New Roman" w:eastAsia="仿宋_GB2312"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1.购进验收条件。</w:t>
      </w:r>
      <w:r>
        <w:rPr>
          <w:rFonts w:hint="eastAsia" w:ascii="Times New Roman" w:hAnsi="Times New Roman" w:eastAsia="仿宋_GB2312" w:cs="Times New Roman"/>
          <w:b w:val="0"/>
          <w:bCs w:val="0"/>
          <w:color w:val="auto"/>
          <w:sz w:val="32"/>
          <w:szCs w:val="32"/>
          <w:lang w:val="en-US" w:eastAsia="zh-CN"/>
        </w:rPr>
        <w:t>药品经营企业、</w:t>
      </w:r>
      <w:r>
        <w:rPr>
          <w:rFonts w:hint="default" w:ascii="Times New Roman" w:hAnsi="Times New Roman" w:eastAsia="仿宋_GB2312" w:cs="Times New Roman"/>
          <w:b w:val="0"/>
          <w:bCs w:val="0"/>
          <w:color w:val="auto"/>
          <w:sz w:val="32"/>
          <w:szCs w:val="32"/>
          <w:lang w:val="en-US" w:eastAsia="zh-CN"/>
        </w:rPr>
        <w:t>医疗机构应当从药品上市许可持有人或者具有药品生产、经营资格的企业购进药品，并建立并执行进货检查验收制度，验明药品合格证明和其他标识；不符合规定要求的，不得购进。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Times New Roman" w:hAnsi="Times New Roman" w:eastAsia="仿宋_GB2312" w:cs="Times New Roman"/>
          <w:b w:val="0"/>
          <w:bCs w:val="0"/>
          <w:color w:val="auto"/>
          <w:sz w:val="32"/>
          <w:szCs w:val="32"/>
          <w:lang w:val="en-US" w:eastAsia="zh-CN"/>
        </w:rPr>
        <w:t>2.储存条件。</w:t>
      </w:r>
      <w:r>
        <w:rPr>
          <w:rFonts w:hint="eastAsia" w:ascii="仿宋_GB2312" w:hAnsi="仿宋_GB2312" w:eastAsia="仿宋_GB2312" w:cs="仿宋_GB2312"/>
          <w:color w:val="auto"/>
          <w:kern w:val="0"/>
          <w:sz w:val="32"/>
          <w:szCs w:val="32"/>
          <w:lang w:val="en-US" w:eastAsia="zh-CN" w:bidi="ar"/>
        </w:rPr>
        <w:t>医疗机构应当按照有关规定，根据药品属性和类别分库、分区、分垛储存药品，并实行色标管理。药品与非药品分开存放；中药饮片、中成药、化学药、生物制品分类存放；过期、变质、被污染等的药品应当放置在不合格库（区）；麻醉药品、精神药品、医疗用毒性药品、放射性药品、药品类易制毒化学品以及易燃、易爆、强腐蚀等危险性药品应当按照相关规定存放，并采取必要的安全措施。药品经营企业药品储存、运输应当严格遵守药品经营质量管理规范的要求，根据药品包装、质量特性、温度控制等要求采取有效措施，保证储存、运输过程中的药品质量安全。冷藏冷冻药品储存、运输应当按要求配备冷藏冷冻设施设备，确保全过程处于规定的温度环境，按照规定做好监测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3.养护条件。应当配备药品养护人员，定期对储存药品进行检查和养护，监测和记录储存区域的温湿度，维护储存设施设备，并建立相应的养护档案。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黑体" w:cs="Times New Roman"/>
          <w:b/>
          <w:bCs/>
          <w:color w:val="auto"/>
          <w:sz w:val="32"/>
          <w:szCs w:val="32"/>
          <w:lang w:val="en-US" w:eastAsia="zh-CN"/>
        </w:rPr>
        <w:t>从业人员合规</w:t>
      </w:r>
      <w:r>
        <w:rPr>
          <w:rFonts w:hint="default" w:ascii="Times New Roman" w:hAnsi="Times New Roman" w:eastAsia="仿宋_GB2312"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药品经营企业、医疗机构</w:t>
      </w:r>
      <w:r>
        <w:rPr>
          <w:rFonts w:hint="default" w:ascii="Times New Roman" w:hAnsi="Times New Roman" w:eastAsia="仿宋_GB2312" w:cs="Times New Roman"/>
          <w:b w:val="0"/>
          <w:bCs w:val="0"/>
          <w:color w:val="auto"/>
          <w:sz w:val="32"/>
          <w:szCs w:val="32"/>
          <w:lang w:val="en-US" w:eastAsia="zh-CN"/>
        </w:rPr>
        <w:t>应当指定专人负责药品质量管理。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2.配备药品养护人员，定期对储存药品进行检查和养护，监测和记录储存区域的温湿度，维护储存设施设备，并建立相应的养护档案。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color w:val="auto"/>
          <w:kern w:val="0"/>
          <w:sz w:val="32"/>
          <w:szCs w:val="32"/>
          <w:lang w:val="en-US" w:eastAsia="zh-CN" w:bidi="ar"/>
        </w:rPr>
        <w:t>.</w:t>
      </w:r>
      <w:r>
        <w:rPr>
          <w:rFonts w:hint="eastAsia" w:ascii="Times New Roman" w:hAnsi="Times New Roman" w:eastAsia="仿宋_GB2312" w:cs="Times New Roman"/>
          <w:b w:val="0"/>
          <w:bCs w:val="0"/>
          <w:color w:val="auto"/>
          <w:sz w:val="32"/>
          <w:szCs w:val="32"/>
          <w:lang w:val="en-US" w:eastAsia="zh-CN"/>
        </w:rPr>
        <w:t>药品经营企业经营处方药、甲类非处方药，应当按规定配备与经营范围和品种相适应的依法经过资格认定的药师或者其他药学技术人员。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仿宋_GB2312" w:cs="Times New Roman"/>
          <w:b w:val="0"/>
          <w:bCs w:val="0"/>
          <w:color w:val="auto"/>
          <w:kern w:val="2"/>
          <w:sz w:val="32"/>
          <w:szCs w:val="32"/>
          <w:lang w:val="en-US" w:eastAsia="zh-CN" w:bidi="ar-SA"/>
        </w:rPr>
      </w:pPr>
    </w:p>
    <w:p>
      <w:pPr>
        <w:pStyle w:val="2"/>
        <w:jc w:val="left"/>
        <w:rPr>
          <w:rFonts w:hint="default" w:ascii="Times New Roman" w:hAnsi="Times New Roman" w:eastAsia="仿宋_GB2312" w:cs="Times New Roman"/>
          <w:b w:val="0"/>
          <w:bCs w:val="0"/>
          <w:color w:val="auto"/>
          <w:kern w:val="2"/>
          <w:sz w:val="32"/>
          <w:szCs w:val="32"/>
          <w:lang w:val="en-US" w:eastAsia="zh-CN" w:bidi="ar-SA"/>
        </w:rPr>
      </w:pPr>
    </w:p>
    <w:p>
      <w:pPr>
        <w:jc w:val="left"/>
        <w:rPr>
          <w:rFonts w:hint="default" w:ascii="Times New Roman" w:hAnsi="Times New Roman" w:eastAsia="仿宋_GB2312" w:cs="Times New Roman"/>
          <w:b w:val="0"/>
          <w:bCs w:val="0"/>
          <w:color w:val="auto"/>
          <w:kern w:val="2"/>
          <w:sz w:val="32"/>
          <w:szCs w:val="32"/>
          <w:lang w:val="en-US" w:eastAsia="zh-CN" w:bidi="ar-SA"/>
        </w:rPr>
      </w:pPr>
    </w:p>
    <w:p>
      <w:pPr>
        <w:pStyle w:val="2"/>
        <w:jc w:val="left"/>
        <w:rPr>
          <w:rFonts w:hint="default" w:ascii="Times New Roman" w:hAnsi="Times New Roman" w:eastAsia="仿宋_GB2312" w:cs="Times New Roman"/>
          <w:b w:val="0"/>
          <w:bCs w:val="0"/>
          <w:color w:val="auto"/>
          <w:kern w:val="2"/>
          <w:sz w:val="32"/>
          <w:szCs w:val="32"/>
          <w:lang w:val="en-US" w:eastAsia="zh-CN" w:bidi="ar-SA"/>
        </w:rPr>
      </w:pPr>
    </w:p>
    <w:p>
      <w:pPr>
        <w:jc w:val="left"/>
        <w:rPr>
          <w:rFonts w:hint="default" w:ascii="Times New Roman" w:hAnsi="Times New Roman" w:eastAsia="仿宋_GB2312" w:cs="Times New Roman"/>
          <w:b w:val="0"/>
          <w:bCs w:val="0"/>
          <w:color w:val="auto"/>
          <w:kern w:val="2"/>
          <w:sz w:val="32"/>
          <w:szCs w:val="32"/>
          <w:lang w:val="en-US" w:eastAsia="zh-CN" w:bidi="ar-SA"/>
        </w:rPr>
      </w:pPr>
    </w:p>
    <w:p>
      <w:pPr>
        <w:pStyle w:val="2"/>
        <w:jc w:val="both"/>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rPr>
          <w:rFonts w:hint="default"/>
          <w:color w:val="auto"/>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b w:val="0"/>
          <w:i w:val="0"/>
          <w:color w:val="auto"/>
          <w:spacing w:val="0"/>
          <w:sz w:val="44"/>
          <w:szCs w:val="44"/>
        </w:rPr>
      </w:pPr>
      <w:bookmarkStart w:id="6" w:name="_Toc19614"/>
      <w:r>
        <w:rPr>
          <w:rFonts w:hint="default" w:ascii="Times New Roman" w:hAnsi="Times New Roman" w:eastAsia="黑体" w:cs="Times New Roman"/>
          <w:b w:val="0"/>
          <w:i w:val="0"/>
          <w:color w:val="auto"/>
          <w:spacing w:val="0"/>
          <w:sz w:val="44"/>
          <w:szCs w:val="44"/>
        </w:rPr>
        <w:t>旅行社及其分支机构</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楷体" w:cs="Times New Roman"/>
          <w:b w:val="0"/>
          <w:i w:val="0"/>
          <w:color w:val="auto"/>
          <w:spacing w:val="0"/>
          <w:sz w:val="32"/>
          <w:szCs w:val="32"/>
          <w:lang w:eastAsia="zh-CN"/>
        </w:rPr>
      </w:pPr>
      <w:bookmarkStart w:id="7" w:name="_Toc6885"/>
      <w:r>
        <w:rPr>
          <w:rFonts w:hint="default" w:ascii="Times New Roman" w:hAnsi="Times New Roman" w:eastAsia="楷体" w:cs="Times New Roman"/>
          <w:b w:val="0"/>
          <w:i w:val="0"/>
          <w:color w:val="auto"/>
          <w:spacing w:val="0"/>
          <w:sz w:val="32"/>
          <w:szCs w:val="32"/>
          <w:lang w:eastAsia="zh-CN"/>
        </w:rPr>
        <w:t>涉及</w:t>
      </w:r>
      <w:r>
        <w:rPr>
          <w:rFonts w:hint="default" w:ascii="Times New Roman" w:hAnsi="Times New Roman" w:eastAsia="楷体" w:cs="Times New Roman"/>
          <w:b w:val="0"/>
          <w:i w:val="0"/>
          <w:color w:val="auto"/>
          <w:spacing w:val="0"/>
          <w:sz w:val="32"/>
          <w:szCs w:val="32"/>
        </w:rPr>
        <w:t>监管部门：</w:t>
      </w:r>
      <w:r>
        <w:rPr>
          <w:rFonts w:hint="default" w:ascii="Times New Roman" w:hAnsi="Times New Roman" w:eastAsia="楷体" w:cs="Times New Roman"/>
          <w:b w:val="0"/>
          <w:i w:val="0"/>
          <w:color w:val="auto"/>
          <w:spacing w:val="0"/>
          <w:sz w:val="32"/>
          <w:szCs w:val="32"/>
          <w:lang w:eastAsia="zh-CN"/>
        </w:rPr>
        <w:t>州文旅局、州市场监督管理局、</w:t>
      </w:r>
      <w:bookmarkEnd w:id="7"/>
    </w:p>
    <w:p>
      <w:pPr>
        <w:keepNext w:val="0"/>
        <w:keepLines w:val="0"/>
        <w:pageBreakBefore w:val="0"/>
        <w:widowControl w:val="0"/>
        <w:kinsoku/>
        <w:wordWrap w:val="0"/>
        <w:overflowPunct/>
        <w:topLinePunct w:val="0"/>
        <w:autoSpaceDE/>
        <w:autoSpaceDN/>
        <w:bidi w:val="0"/>
        <w:adjustRightInd/>
        <w:snapToGrid/>
        <w:spacing w:before="0" w:after="0" w:line="560" w:lineRule="exact"/>
        <w:ind w:right="0"/>
        <w:jc w:val="center"/>
        <w:textAlignment w:val="baseline"/>
        <w:rPr>
          <w:rFonts w:hint="default"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州公安局、州交通局</w:t>
      </w:r>
      <w:r>
        <w:rPr>
          <w:rFonts w:hint="eastAsia" w:ascii="Times New Roman" w:hAnsi="Times New Roman" w:eastAsia="楷体" w:cs="Times New Roman"/>
          <w:b w:val="0"/>
          <w:i w:val="0"/>
          <w:color w:val="auto"/>
          <w:spacing w:val="0"/>
          <w:sz w:val="32"/>
          <w:szCs w:val="32"/>
          <w:lang w:eastAsia="zh-CN"/>
        </w:rPr>
        <w:t>、</w:t>
      </w:r>
      <w:r>
        <w:rPr>
          <w:rFonts w:hint="default" w:ascii="Times New Roman" w:hAnsi="Times New Roman" w:eastAsia="楷体" w:cs="Times New Roman"/>
          <w:b w:val="0"/>
          <w:i w:val="0"/>
          <w:color w:val="auto"/>
          <w:spacing w:val="0"/>
          <w:sz w:val="32"/>
          <w:szCs w:val="32"/>
          <w:lang w:eastAsia="zh-CN"/>
        </w:rPr>
        <w:t>州消防救援支队</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center"/>
        <w:textAlignment w:val="baseline"/>
        <w:rPr>
          <w:rFonts w:hint="default" w:ascii="Times New Roman" w:hAnsi="Times New Roman" w:eastAsia="楷体"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旅行社及其分支机构要严格落实《旅游法》《旅行社条例》《旅游安全管理办法》《合同违法行为监督处理办法》《中华人民共和国安全生产法》《中华人民共和国道路运输条例》《道路旅客运输及客运站管理规定》等相关法律、法规、规章要求，规范经营行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主体资格合规</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1.设立旅行社及其分支机构，组织、接待旅游者，为其提供旅游服务，应当具备下列条件，取得旅游主管部门的许可，依法办理注册登记：</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(1)有固定的经营场所；</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(2)有必要的营业设施；</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(3)有符合规定的注册资本；</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(4)有必要的经营管理人员和导游；</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(5)法律、行政法规规定的其他条件。</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2.旅行社及其分支机构不得出租、出借旅行社业务经营许可证，或者以其他形式非法转让旅行社业务经营许可。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旅行社及其分支机构应当按照规定交纳旅游服务质量保证金，用于旅游者权益损害赔偿和垫付旅游者人身安全遇有危险时紧急救助的费用。旅行社及其分支机构应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经营国内旅游业务和入境旅游业务的旅行社，应当存入质量保证金20万元；经营出境旅游业务的旅行社，应当增存质量保证金120万元。旅行社及其分支机构每设立一个经营国内旅游业务和入境旅游业务的分社，应当向其质量保证金账户增存5万元；每设立一个经营出境旅游业务的分社，应当向其质量保证金账户增存30万元。</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val="0"/>
          <w:i w:val="0"/>
          <w:color w:val="auto"/>
          <w:spacing w:val="0"/>
          <w:sz w:val="32"/>
          <w:szCs w:val="32"/>
          <w:lang w:val="en-US" w:eastAsia="zh-CN"/>
        </w:rPr>
        <w:t>4</w:t>
      </w:r>
      <w:r>
        <w:rPr>
          <w:rFonts w:hint="default" w:ascii="Times New Roman" w:hAnsi="Times New Roman" w:eastAsia="仿宋_GB2312" w:cs="Times New Roman"/>
          <w:b w:val="0"/>
          <w:i w:val="0"/>
          <w:color w:val="auto"/>
          <w:spacing w:val="0"/>
          <w:sz w:val="32"/>
          <w:szCs w:val="32"/>
        </w:rPr>
        <w:t>.申请经营国内旅游业务和入境旅游业务的，应当取得企业法人资格，并且注册资本不少于30万元。</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val="0"/>
          <w:i w:val="0"/>
          <w:color w:val="auto"/>
          <w:spacing w:val="0"/>
          <w:sz w:val="32"/>
          <w:szCs w:val="32"/>
          <w:lang w:val="en-US" w:eastAsia="zh-CN"/>
        </w:rPr>
        <w:t>5</w:t>
      </w:r>
      <w:r>
        <w:rPr>
          <w:rFonts w:hint="default" w:ascii="Times New Roman" w:hAnsi="Times New Roman" w:eastAsia="仿宋_GB2312" w:cs="Times New Roman"/>
          <w:b w:val="0"/>
          <w:i w:val="0"/>
          <w:color w:val="auto"/>
          <w:spacing w:val="0"/>
          <w:sz w:val="32"/>
          <w:szCs w:val="32"/>
        </w:rPr>
        <w:t>.旅行社及其分支机构取得经营许可满两年，且未因侵害旅游者合法权益受到行政机关罚款以上处罚的，可以申请经营出境旅游业务。</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eastAsia" w:ascii="Times New Roman" w:hAnsi="Times New Roman" w:eastAsia="仿宋_GB2312" w:cs="Times New Roman"/>
          <w:b w:val="0"/>
          <w:i w:val="0"/>
          <w:color w:val="auto"/>
          <w:spacing w:val="0"/>
          <w:sz w:val="32"/>
          <w:szCs w:val="32"/>
          <w:lang w:val="en-US" w:eastAsia="zh-CN"/>
        </w:rPr>
        <w:t>6</w:t>
      </w:r>
      <w:r>
        <w:rPr>
          <w:rFonts w:hint="default" w:ascii="Times New Roman" w:hAnsi="Times New Roman" w:eastAsia="仿宋_GB2312" w:cs="Times New Roman"/>
          <w:b w:val="0"/>
          <w:i w:val="0"/>
          <w:color w:val="auto"/>
          <w:spacing w:val="0"/>
          <w:sz w:val="32"/>
          <w:szCs w:val="32"/>
        </w:rPr>
        <w:t>.旅行社及其分支机构变更名称、经营场所、法定代表人等登记事项或者终止经营的，应当到市场监管部门办理相应的变更登记或者注销登记，并在登记办理完毕之日起10个工作日内，向原许可的旅游行政管理部门备案，换领或者交回旅行社业务经营许可证。</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经营行为合规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1.旅行社及其分支机构为组织旅游者发布信息，必须真实、准确，不得进行虚假宣传，误导旅游者。</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2.旅行社及其分支机构及其从业人员组织、接待旅游者，不得安排参观或者参与违反我国法律、法规和社会公德的项目或者活动。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3.旅行社及其分支机构组织旅游活动应当向合格的供应商订购产品和服务。</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4.旅行社及其分支机构不得以不合理的低价组织旅游活动，诱骗旅游者，并通过安排购物或者另行付费旅游项目获取回扣等不正当利益。</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旅行社及其分支机构组织、接待旅游者，不得指定具体购物场所，不得安排另行付费旅游项目。但是，经双方协商一致或者旅游者要求，且不影响其他旅游者行程安排的除外。</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发生违反前两款规定情形的，旅游者有权在旅游行程结束后三十日内，要求旅行社及其分支机构为其办理退货并先行垫付退货货款，或者退还另行付费旅游项目的费用。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旅行社及其分支机构组织团队出境旅游或者组织、接待团队入境旅游，应当按照规定安排领队或者导游全程陪同。旅行社及其分支机构组织中国内地居民出境旅游的，应当为旅游团队安排领队全程陪同。旅行社及其分支机构为接待旅游者委派的导游人员，应当持有国家规定的导游证。</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6.旅行社及其分支机构应当与其聘用的导游依法订立劳动合同，支付劳动报酬，缴纳社会保险费用。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旅行社及其分支机构临时聘用导游为旅游者提供服务的，应当全额向导游支付本法第六十条第三款规定的导游服务费用。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旅行社及其分支机构安排导游为团队旅游提供服务的，不得要求导游垫付或者向导游收取任何费用。旅行社及其分支机构不得要求导游人员和领队人员接待不支付接待和服务费用或者支付的费用低于接待和服务成本的旅游团队，不得要求导游人员和领队人员承担接待旅游团队的相关费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7.通过网络经营旅行社业务的，应当依法取得旅行社业务经营许可，并在其网站主页的显著位置标明其业务经营许可证信息。发布旅游经营信息的网站，应当保证其信息真实、准确。</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8.旅行社及其分支机构销售、购买商品或者服务，不得给予或者收受贿赂。</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9.旅行社及其分支机构对其在经营活动中知悉的旅游者个人信息，应当予以保密。</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10.旅行社及其分支机构</w:t>
      </w:r>
      <w:r>
        <w:rPr>
          <w:rFonts w:hint="default" w:ascii="Times New Roman" w:hAnsi="Times New Roman" w:eastAsia="仿宋_GB2312" w:cs="Times New Roman"/>
          <w:b w:val="0"/>
          <w:i w:val="0"/>
          <w:color w:val="auto"/>
          <w:spacing w:val="0"/>
          <w:sz w:val="32"/>
          <w:szCs w:val="32"/>
          <w:lang w:eastAsia="zh-CN"/>
        </w:rPr>
        <w:t>组织</w:t>
      </w:r>
      <w:r>
        <w:rPr>
          <w:rFonts w:hint="default" w:ascii="Times New Roman" w:hAnsi="Times New Roman" w:eastAsia="仿宋_GB2312" w:cs="Times New Roman"/>
          <w:b w:val="0"/>
          <w:i w:val="0"/>
          <w:color w:val="auto"/>
          <w:spacing w:val="0"/>
          <w:sz w:val="32"/>
          <w:szCs w:val="32"/>
        </w:rPr>
        <w:t>旅游者组团旅游，因未达到约定人数不能出团的，组团社可以解除合同。但是，境内旅游应当至少提前七日通知旅游者，出境旅游应当至少提前三十日通知旅游者。</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因未达到约定人数不能出团的，组团社经征得旅游者书面同意，可以委托其他旅行社履行合同。组团社对旅游者承担责任，受委托的旅行社对组团社承担责任。旅游者不同意的，可以解除合同。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因未达到约定的成团人数解除合同的，组团社应当向旅游者退还已收取的全部费用。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11.旅行社及其分支机构应当按照包价旅游合同的约定履行义务，不得擅自变更旅游行程安排。</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12.经营出境旅游业务的旅行社及其分支机构不得组织旅游者到国务院旅游行政主管部门公布的中国公民出境旅游目的地之外的国家和地区旅游。</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4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13.旅行社及其分支机构和其委派的导游人员和领队人员不得有下列行为：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(1)拒绝履行旅游合同约定的义务；</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(2)非因不可抗力改变旅游合同安排的行程；</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(3)欺骗、胁迫旅游者购物或者参加需要另行付费的游览项目。</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14.旅行社及其分支机构违反旅游合同约定，造成旅游者合法权益受到损害的，应当采取必要的补救措施，并及时报告旅游行政管理部门。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旅行社及其分支机构需要对旅游业务作出委托的，应当委托给具有相应资质的旅行社，征得旅游者的同意，并与接受委托的旅行社就接待旅游者的事宜签订委托合同，确定接待旅游者的各项服务安排及其标准，约定双方的权利、义务。</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旅行社及其分支机构将旅游业务委托给其他旅行社的，应当向接受委托的旅行社支付不低于接待和服务成本的费用；接受委托的旅行社不得接待不支付或者不足额支付接待和服务费用的旅游团队。</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15.旅行社及其分支机构应当投保旅行社责任险。旅行社责任险的具体方案由国务院旅游行政主管部门会同国务院保险监督管理机构另行制定。</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16.旅游者在境外滞留不归的，旅行社及其分支机构委派的领队人员应当及时向旅行社和中华人民共和国驻该国使领馆、相关驻外机构报告。旅行社及其分支机构接到报告后应当及时向旅游行政管理部门和公安机关报告，并协助提供非法滞留者的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旅行社及其分支机构接待入境旅游发生旅游者非法滞留我国境内的，应当及时向旅游行政管理部门、公安机关和外事部门报告，并协助提供非法滞留者的信息。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安全管理合规</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1.旅行社及其分支机构应当提示参加团队旅游的旅游者按照规定投保人身意外伤害保险。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2.旅行社及其分支机构应当就旅游活动中的下列事项，以明示的方式事先向旅游者作出说明或者警示：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(1)正确使用相关设施、设备的方法；</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(2)必要的安全防范和应急措施；</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(3)未向旅游者开放的经营、服务场所和设施、设备；</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(4)不适宜参加相关活动的群体；</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(5)可能危及旅游者人身、财产安全的其他情形。</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3.旅行社及其分支机构组织和接待旅游者，应当合理安排旅游行程，向合格的供应商订购产品和服务。</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旅行社及其分支机构和其从业人员发现履行辅助人提供的服务不符合法律、法规规定或者存在安全隐患的，应当予以制止或者更换。</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4.旅行社及其分支机构组织出境旅游，应当制作安全信息卡。</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安全信息卡应当包括旅游者姓名、出境证件号码和国籍，以及紧急情况下的联系人、联系方式等信息，使用中文和目的地官方语言(或者英文)填写。</w:t>
      </w:r>
    </w:p>
    <w:p>
      <w:pPr>
        <w:keepNext w:val="0"/>
        <w:keepLines w:val="0"/>
        <w:pageBreakBefore w:val="0"/>
        <w:widowControl w:val="0"/>
        <w:kinsoku/>
        <w:wordWrap w:val="0"/>
        <w:overflowPunct/>
        <w:topLinePunct w:val="0"/>
        <w:autoSpaceDE/>
        <w:autoSpaceDN/>
        <w:bidi w:val="0"/>
        <w:adjustRightInd/>
        <w:snapToGrid/>
        <w:spacing w:before="0" w:after="0" w:line="560" w:lineRule="exact"/>
        <w:ind w:left="2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旅行社及其分支机构应当将安全信息卡交由旅游者随身携带，并告知其自行填写血型、过敏药物和重大疾病等信息。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5.突发事件或者旅游安全事故发生后，旅游经营者应当立即采取必要的救助和处置措施，依法履行报告义务，并对旅游者作出妥善安排。</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6.旅行社及其分支机构对可能危及旅游者人身、财产安全的事项，应当向旅游者作出真实的说明和明确的警示，并采取防止危害发生的必要措施。</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7.发生危及旅游者人身安全的情形的，旅行社及其委派的导游人员、领队人员应当采取必要的处置措施并及时报告旅游行政管理部门；在境外发生的，还应当及时报告中华人民共和国驻该国使领馆、相关驻外机构、当地警方。</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合同行为合规</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1.旅行社及其分支机构组织和安排旅游活动，应当与旅游者订立合同。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包价旅游合同应当采用书面形式，包括下列内容：</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(1)旅行社、旅游者的基本信息；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(2)旅游行程安排；</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(3)旅游团成团的最低人数；</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(4)交通、住宿、餐饮等旅游服务安排和标准；</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(5)游览、娱乐等项目的具体内容和时间；</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(6)自由活动时间安排；</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(7)旅游费用及其交纳的期限和方式；</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(8)违约责任和解决纠纷的方式；</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(9)法律、法规规定和双方约定的其他事项。</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订立包价旅游合同时，旅行社及其分支机构应当向旅游者详细说明前款第二项至第八项所载内容。</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2.旅行社及其分支机构应当在旅游行程开始前向旅游者提供旅游行程单。旅游行程单是包价旅游合同的组成部分。</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3.旅行社及其分支机构委托其他旅行社代理销售包价旅游产品并与旅游者订立包价旅游合同的，应当在包价旅游合同中载明委托社和代理社的基本信息。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旅行社及其分支机构依照本法规定将包价旅游合同中的接待业务委托给地接社履行的，应当在包价旅游合同中载明地接社的基本信息。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安排导游为旅游者提供服务的，应当在包价旅游合同中载明导游服务费用。</w:t>
      </w:r>
    </w:p>
    <w:p>
      <w:pPr>
        <w:keepNext w:val="0"/>
        <w:keepLines w:val="0"/>
        <w:pageBreakBefore w:val="0"/>
        <w:widowControl w:val="0"/>
        <w:numPr>
          <w:ilvl w:val="0"/>
          <w:numId w:val="4"/>
        </w:numPr>
        <w:kinsoku/>
        <w:wordWrap w:val="0"/>
        <w:overflowPunct/>
        <w:topLinePunct w:val="0"/>
        <w:autoSpaceDE/>
        <w:autoSpaceDN/>
        <w:bidi w:val="0"/>
        <w:adjustRightInd/>
        <w:snapToGrid/>
        <w:spacing w:before="0" w:after="0" w:line="560" w:lineRule="exact"/>
        <w:ind w:left="0" w:right="4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订立包价旅游合同时，旅行社应当向旅游者告知下列事项</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40" w:rightChars="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rPr>
        <w:t>旅游者不适合参加旅游活动的情形；</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40" w:rightChars="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val="en-US" w:eastAsia="zh-CN"/>
        </w:rPr>
        <w:t>(2)</w:t>
      </w:r>
      <w:r>
        <w:rPr>
          <w:rFonts w:hint="default" w:ascii="Times New Roman" w:hAnsi="Times New Roman" w:eastAsia="仿宋_GB2312" w:cs="Times New Roman"/>
          <w:b w:val="0"/>
          <w:i w:val="0"/>
          <w:color w:val="auto"/>
          <w:spacing w:val="0"/>
          <w:sz w:val="32"/>
          <w:szCs w:val="32"/>
        </w:rPr>
        <w:t>旅游活动中的安全注意事项；</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旅行社依法可以减免责任的信息；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2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(4)</w:t>
      </w:r>
      <w:r>
        <w:rPr>
          <w:rFonts w:hint="default" w:ascii="Times New Roman" w:hAnsi="Times New Roman" w:eastAsia="仿宋_GB2312" w:cs="Times New Roman"/>
          <w:b w:val="0"/>
          <w:i w:val="0"/>
          <w:color w:val="auto"/>
          <w:spacing w:val="0"/>
          <w:sz w:val="32"/>
          <w:szCs w:val="32"/>
        </w:rPr>
        <w:t>旅游者应当注意的旅游目的地相关法律、法规和风俗习惯、宗教禁忌，依照中国法律不宜参加的活动等；</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2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(5)</w:t>
      </w:r>
      <w:r>
        <w:rPr>
          <w:rFonts w:hint="default" w:ascii="Times New Roman" w:hAnsi="Times New Roman" w:eastAsia="仿宋_GB2312" w:cs="Times New Roman"/>
          <w:b w:val="0"/>
          <w:i w:val="0"/>
          <w:color w:val="auto"/>
          <w:spacing w:val="0"/>
          <w:sz w:val="32"/>
          <w:szCs w:val="32"/>
        </w:rPr>
        <w:t>法律、法规规定的其他应当告知的事项。</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2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在包价旅游合同履行中，遇有前款规定事项的，旅行社也应当告知旅游者。</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2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5.旅行社及其分支机构应当与其聘用的导游依法订立劳动合同，支付不低于当地最低工资标准的报酬，缴纳社会保险费用。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6.旅行社及其分支机构不得利用合同实施下列欺诈行为：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(1)伪造合同；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(2)虚构合同主体资格或者盗用、冒用他人名义订立合同；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(3)虚构合同标的或者虚构货源、销售渠道诱人订立、履行合同；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(4)发布或者利用虚假信息，诱人订立合同；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(5)隐瞒重要事实，诱骗对方当事人做出错误的意思表示订立合同，或者诱骗对方当事人履行合同；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(6)没有实际履行能力，以先履行小额合同或者部分履行合同的方法，诱骗对方当事人订立、履行合同；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(7)恶意设置事实上不能履行的条款，造成对方当事人无法履行合同；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(8)编造虚假理由终止合同，骗取财物；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(9)提供虚假担保；</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(10)采用其他欺诈手段订立、履行合同。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10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7.旅行社及其分支机构与消费者采用格式条款订立合同的，旅行社不得在格式条款中免除自己的下列责任：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10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(1)造成消费者人身伤害的责任；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(2)因故意或者重大过失造成消费者财产损失的责任；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(3)对提供的商品或者服务依法应当承担的保证责任；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(4)因违约依法应当承担的违约责任；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(5)依法应当承担的其他责任。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6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8.旅行社及其分支机构与消费者采用格式条款订立合同的，旅行社不得在格式条款中加重消费者下列责任：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(1)违约金或者损害赔偿金超过法定数额或者合理数额；</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(2)承担应当由格式条款提供方承担的经营风险责任；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(3)其他依照法律法规不应由消费者承担的责任。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6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9.旅行社及其分支机构与消费者采用格式条款订立合同的，旅行社不得在格式条款中排除消费者下列权利：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(1)依法变更或者解除合同的权利；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(2)请求支付违约金的权利；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(3)请求损害赔偿的权利；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(4)解释格式条款的权利；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(5)就格式条款争议提起诉讼的权利；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(6)消费者依法应当享有的其他权利。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3"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旅行社及其分支机构租(使)用的旅游包车资质和驾驶员从业资质合规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eastAsia"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1.旅游包车企业应取得合法有效的《道路运输经营许可证》</w:t>
      </w:r>
      <w:r>
        <w:rPr>
          <w:rFonts w:hint="eastAsia"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baseline"/>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i w:val="0"/>
          <w:color w:val="auto"/>
          <w:spacing w:val="0"/>
          <w:sz w:val="32"/>
          <w:szCs w:val="32"/>
        </w:rPr>
        <w:t>2.旅游包车的驾驶员应取得相应的机动车驾驶证；年龄不超过6</w:t>
      </w:r>
      <w:r>
        <w:rPr>
          <w:rFonts w:hint="eastAsia"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周岁；3年内无重大以上交通责任事故记录；取得道路客运从业资格证</w:t>
      </w:r>
      <w:r>
        <w:rPr>
          <w:rFonts w:hint="eastAsia"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3.旅游包车车辆应取得合法有效的《道路运输证》、取得配发的客运车辆标志牌。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旅行社及其分支机构使用的旅游包车客运标志牌合规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1.按要求打印每趟次包车</w:t>
      </w:r>
      <w:r>
        <w:rPr>
          <w:rFonts w:hint="default" w:ascii="Times New Roman" w:hAnsi="Times New Roman" w:eastAsia="仿宋_GB2312" w:cs="Times New Roman"/>
          <w:b w:val="0"/>
          <w:i w:val="0"/>
          <w:color w:val="auto"/>
          <w:spacing w:val="0"/>
          <w:sz w:val="32"/>
          <w:szCs w:val="32"/>
          <w:lang w:eastAsia="zh-CN"/>
        </w:rPr>
        <w:t>车</w:t>
      </w:r>
      <w:r>
        <w:rPr>
          <w:rFonts w:hint="default" w:ascii="Times New Roman" w:hAnsi="Times New Roman" w:eastAsia="仿宋_GB2312" w:cs="Times New Roman"/>
          <w:b w:val="0"/>
          <w:i w:val="0"/>
          <w:color w:val="auto"/>
          <w:spacing w:val="0"/>
          <w:sz w:val="32"/>
          <w:szCs w:val="32"/>
        </w:rPr>
        <w:t>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2.按照约定的时间、起始地、目的地和线路运行，持有包车合同；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3.持有效的包车客运标志牌进行经营，按照包车客运标志牌载明的事项运行；</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4.包车线路两端至少一端应在车籍所在地。</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_GB2312" w:cs="Times New Roman"/>
          <w:b w:val="0"/>
          <w:i w:val="0"/>
          <w:color w:val="auto"/>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640" w:after="0" w:line="560" w:lineRule="exact"/>
        <w:ind w:right="80" w:firstLine="640" w:firstLineChars="200"/>
        <w:jc w:val="both"/>
        <w:textAlignment w:val="baseline"/>
        <w:outlineLvl w:val="0"/>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640" w:after="0" w:line="560" w:lineRule="exact"/>
        <w:ind w:right="80" w:firstLine="640" w:firstLineChars="200"/>
        <w:jc w:val="both"/>
        <w:textAlignment w:val="baseline"/>
        <w:outlineLvl w:val="0"/>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640" w:after="0" w:line="560" w:lineRule="exact"/>
        <w:ind w:right="80" w:firstLine="640" w:firstLineChars="200"/>
        <w:jc w:val="both"/>
        <w:textAlignment w:val="baseline"/>
        <w:outlineLvl w:val="0"/>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640" w:after="0" w:line="560" w:lineRule="exact"/>
        <w:ind w:right="80" w:firstLine="640" w:firstLineChars="200"/>
        <w:jc w:val="both"/>
        <w:textAlignment w:val="baseline"/>
        <w:outlineLvl w:val="0"/>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640" w:after="0" w:line="560" w:lineRule="exact"/>
        <w:ind w:right="79"/>
        <w:jc w:val="center"/>
        <w:textAlignment w:val="baseline"/>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before="640" w:after="0" w:line="560" w:lineRule="exact"/>
        <w:ind w:right="79"/>
        <w:jc w:val="center"/>
        <w:textAlignment w:val="baseline"/>
        <w:outlineLvl w:val="0"/>
        <w:rPr>
          <w:rFonts w:hint="default" w:ascii="Times New Roman" w:hAnsi="Times New Roman" w:eastAsia="仿宋_GB2312" w:cs="Times New Roman"/>
          <w:color w:val="auto"/>
          <w:sz w:val="32"/>
          <w:szCs w:val="32"/>
        </w:rPr>
      </w:pPr>
      <w:bookmarkStart w:id="8" w:name="_Toc18714"/>
      <w:r>
        <w:rPr>
          <w:rFonts w:hint="default" w:ascii="Times New Roman" w:hAnsi="Times New Roman" w:eastAsia="黑体" w:cs="Times New Roman"/>
          <w:b w:val="0"/>
          <w:i w:val="0"/>
          <w:color w:val="auto"/>
          <w:spacing w:val="0"/>
          <w:sz w:val="44"/>
          <w:szCs w:val="44"/>
          <w:lang w:val="en-US" w:eastAsia="zh-CN"/>
        </w:rPr>
        <w:t>7.</w:t>
      </w:r>
      <w:r>
        <w:rPr>
          <w:rFonts w:hint="default" w:ascii="Times New Roman" w:hAnsi="Times New Roman" w:eastAsia="黑体" w:cs="Times New Roman"/>
          <w:b w:val="0"/>
          <w:i w:val="0"/>
          <w:color w:val="auto"/>
          <w:spacing w:val="0"/>
          <w:sz w:val="44"/>
          <w:szCs w:val="44"/>
        </w:rPr>
        <w:t>互联网上网服务营业场所</w:t>
      </w:r>
      <w:bookmarkEnd w:id="8"/>
    </w:p>
    <w:p>
      <w:pPr>
        <w:keepNext w:val="0"/>
        <w:keepLines w:val="0"/>
        <w:pageBreakBefore w:val="0"/>
        <w:widowControl w:val="0"/>
        <w:kinsoku/>
        <w:wordWrap w:val="0"/>
        <w:overflowPunct/>
        <w:topLinePunct w:val="0"/>
        <w:autoSpaceDE/>
        <w:autoSpaceDN/>
        <w:bidi w:val="0"/>
        <w:adjustRightInd/>
        <w:snapToGrid/>
        <w:spacing w:before="0" w:after="0" w:line="560" w:lineRule="exact"/>
        <w:ind w:right="0"/>
        <w:jc w:val="center"/>
        <w:textAlignment w:val="baseline"/>
        <w:rPr>
          <w:rFonts w:hint="default"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涉及</w:t>
      </w:r>
      <w:r>
        <w:rPr>
          <w:rFonts w:hint="default" w:ascii="Times New Roman" w:hAnsi="Times New Roman" w:eastAsia="楷体" w:cs="Times New Roman"/>
          <w:b w:val="0"/>
          <w:i w:val="0"/>
          <w:color w:val="auto"/>
          <w:spacing w:val="0"/>
          <w:sz w:val="32"/>
          <w:szCs w:val="32"/>
        </w:rPr>
        <w:t>监管部门：</w:t>
      </w:r>
      <w:r>
        <w:rPr>
          <w:rFonts w:hint="default" w:ascii="Times New Roman" w:hAnsi="Times New Roman" w:eastAsia="楷体" w:cs="Times New Roman"/>
          <w:b w:val="0"/>
          <w:i w:val="0"/>
          <w:color w:val="auto"/>
          <w:spacing w:val="0"/>
          <w:sz w:val="32"/>
          <w:szCs w:val="32"/>
          <w:lang w:eastAsia="zh-CN"/>
        </w:rPr>
        <w:t>州文旅局、</w:t>
      </w:r>
      <w:r>
        <w:rPr>
          <w:rFonts w:hint="eastAsia" w:ascii="Times New Roman" w:hAnsi="Times New Roman" w:eastAsia="楷体" w:cs="Times New Roman"/>
          <w:b w:val="0"/>
          <w:i w:val="0"/>
          <w:color w:val="auto"/>
          <w:spacing w:val="0"/>
          <w:sz w:val="32"/>
          <w:szCs w:val="32"/>
          <w:lang w:eastAsia="zh-CN"/>
        </w:rPr>
        <w:t>州市场监管局</w:t>
      </w:r>
      <w:r>
        <w:rPr>
          <w:rFonts w:hint="default" w:ascii="Times New Roman" w:hAnsi="Times New Roman" w:eastAsia="楷体" w:cs="Times New Roman"/>
          <w:b w:val="0"/>
          <w:i w:val="0"/>
          <w:color w:val="auto"/>
          <w:spacing w:val="0"/>
          <w:sz w:val="32"/>
          <w:szCs w:val="32"/>
          <w:lang w:eastAsia="zh-CN"/>
        </w:rPr>
        <w:t>、州公安局、</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jc w:val="center"/>
        <w:textAlignment w:val="baseline"/>
        <w:rPr>
          <w:rFonts w:hint="default"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州消防救援支队、党委宣传部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center"/>
        <w:textAlignment w:val="baseline"/>
        <w:rPr>
          <w:rFonts w:hint="default" w:ascii="Times New Roman" w:hAnsi="Times New Roman" w:eastAsia="楷体"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互联网上网服务营业场所要严格落实《互联网上网服务营业场所管理条例》《计算机信息网络国际联网安全保护管理办法》《市场主体登记管理条例》《企业信息公示暂行条例》等相关法律、法规、规章及技术规范要求，规范经营行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主体资格合规</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1.互联网上网服务营业场所经营单位从事互联网上网服务经营活动，应当具备下列条件：</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rPr>
        <w:t>企业的名称、住所、组织机构和章程；</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(2)</w:t>
      </w:r>
      <w:r>
        <w:rPr>
          <w:rFonts w:hint="default" w:ascii="Times New Roman" w:hAnsi="Times New Roman" w:eastAsia="仿宋_GB2312" w:cs="Times New Roman"/>
          <w:b w:val="0"/>
          <w:i w:val="0"/>
          <w:color w:val="auto"/>
          <w:spacing w:val="0"/>
          <w:sz w:val="32"/>
          <w:szCs w:val="32"/>
        </w:rPr>
        <w:t>有与其经营活动相适应的资金；</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有与其经营活动相适应并符合国家规定的消防安全条件的营业场所；</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(4)有健全、完善的信息网络安全管理制度和安全技术措施；</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(5)有固定的网络地址和与其经营活动相适应的计算机等装置及附属设备；</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(6)有与其经营活动相适应并取得从业资格的安全管理人员、经营管理人员、专业技术人员；</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(7)法律、行政法规和国务院有关部门规定的其他条件。</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2.互联网上网服务营业场所经营单位申请从事互联网上网服务经营活动，应当向县级以上地方人民政府文化行政部门提出申请，并提交下列文件：</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(1)企业营业执照和章程；</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(2)法定代表人或者主要负责人的身份证明材料；</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(3)资金信用证明；</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(4)营业场所产权证明或者租赁意向书；</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(5)依法需要提交的其他文件。</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3.互联网上网服务营业场所经营单位不得涂改、出租、出借或者以其他方式转让《网络文化经营许可证》。</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4.互联网上网服务营业场所经营单位变更营业场所地址或者对营业场所进行改建、扩建，变更计算机数量或者其他重要事项的，应当经原审核机关同意。</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互联网上网服务营业场所经营单位变更名称、住所、法定代表人或者主要负责人、注册资本、网络地址或者终止经营活动的，应当依法到市场监管部门办理变更登记或者注销登记，并到文化行政部门、公安机关办理有关手续或者备案。</w:t>
      </w:r>
    </w:p>
    <w:p>
      <w:pPr>
        <w:keepNext w:val="0"/>
        <w:keepLines w:val="0"/>
        <w:pageBreakBefore w:val="0"/>
        <w:widowControl w:val="0"/>
        <w:numPr>
          <w:ilvl w:val="0"/>
          <w:numId w:val="4"/>
        </w:numPr>
        <w:kinsoku/>
        <w:wordWrap w:val="0"/>
        <w:overflowPunct/>
        <w:topLinePunct w:val="0"/>
        <w:autoSpaceDE/>
        <w:autoSpaceDN/>
        <w:bidi w:val="0"/>
        <w:adjustRightInd/>
        <w:snapToGrid/>
        <w:spacing w:before="0" w:after="0" w:line="560" w:lineRule="exact"/>
        <w:ind w:left="0" w:leftChars="0" w:right="0" w:rightChars="0" w:firstLine="580" w:firstLineChars="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互联网上网服务营业场所经营单位应当在营业场所的显著位置悬挂《网络文化经营许可证》。应当将营业执照置于住所或者营业场所醒目位置，不得使用未经核准登记注册的企业名称从事生产经营活动。营业执照遗失或者毁坏的，经营主体应当通过国家企业信用信息公示系统声明作废，申请补领。不得以虚报注册资本、提交虚假材料或者采取其他欺诈手段隐瞒重要事实取得公司登记；营业执照记载的事项发生变更的，应当依法办理变更登记，由登记机关换发营业执照。</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both"/>
        <w:textAlignment w:val="baseline"/>
        <w:rPr>
          <w:rFonts w:hint="default" w:ascii="Times New Roman" w:hAnsi="Times New Roman" w:eastAsia="仿宋_GB2312" w:cs="Times New Roman"/>
          <w:b/>
          <w:i w:val="0"/>
          <w:color w:val="auto"/>
          <w:spacing w:val="0"/>
          <w:sz w:val="32"/>
          <w:szCs w:val="3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3"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经营行为合规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1.互联网上网服务营业场所经营单位和上网消费者不得利用互联网上网服务营业场所制作、下载、复制、查阅、发布、传播或者以其他方式使用含有下列内容的信息：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(1)反对宪法确定的基本原则的；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(2)危害国家统一、主权和领土完整的；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4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(3)泄露国家秘密，危害国家安全或者损害国家荣誉和利益的；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(4)煽动民族仇恨、民族歧视，破坏民族团结，或者侵害民族风俗、习惯的；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(5)破坏国家宗教政策，宣扬邪教、迷信的；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(6)散布谣言，扰乱社会秩序，破坏社会稳定的；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(7)宣传淫秽、赌博、暴力或者教唆犯罪的；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(8)侮辱或者诽谤他人，侵害他人合法权益的；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(9)危害社会公德或者民族优秀文化传统的；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(10)含有法律、行政法规禁止的其他内容的。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2.互联网上网服务营业场所经营单位和上网消费者不得进行下列危害信息网络安全的活动：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(1)故意制作或者传播计算机病毒以及其他破坏性程序的；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(2)非法侵入计算机信息系统或者破坏计算机信息系统功能、数据和应用程序的；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(3)进行法律、行政法规禁止的其他活动的。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3.互联网上网服务营业场所经营单位应当通过依法取得经营许可证的互联网接入服务提供者接入互联网，不得采取其他方式接入互联网。</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互联网上网服务营业场所经营单位提供上网消费者使用的计算机必须通过局域网的方式接入互联网，不得直接接入互联网。</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4.互联网上网服务营业场所经营单位不得经营非网络游戏。互联网上网服务营业场所经营单位和上网消费者不得利用网络游戏或者其他方式进行赌博或者变相赌博活动。</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互联网上网服务营业场所经营单位应当实施经营管理技术措施，建立场内巡查制度，发现上网消费者有《互联网上网服务营业场所管理条例》第十四条、第十五条、第十八条所列行为或者有其他违法行为的，应当立即予以制止并向文化行政部门、公安机关举报。</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6.互联网上网服务营业场所经营单位不得接纳未成年人进入营业场所。互联网上网服务营业场所经营单位应当在营业场所入口处的显著位置悬挂未成年人禁入标志。</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firstLine="2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7.互联网上网服务营业场所每日营业时间限于8时至24时。</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firstLine="20"/>
        <w:jc w:val="both"/>
        <w:textAlignment w:val="baseline"/>
        <w:rPr>
          <w:rFonts w:hint="default" w:ascii="Times New Roman" w:hAnsi="Times New Roman" w:eastAsia="仿宋_GB2312" w:cs="Times New Roman"/>
          <w:b/>
          <w:bCs/>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firstLine="20"/>
        <w:jc w:val="both"/>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业务经营合规</w:t>
      </w:r>
      <w:r>
        <w:rPr>
          <w:rFonts w:hint="default" w:ascii="Times New Roman" w:hAnsi="Times New Roman" w:eastAsia="仿宋_GB2312"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场所管理合规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互联网上网服务营业场所经营单位应当依法履行信息网络安全、治安和消防安全职责，并遵守下列规定：</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rPr>
        <w:t>止明火照明和吸烟并悬挂禁止吸烟标志；</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val="en-US" w:eastAsia="zh-CN"/>
        </w:rPr>
        <w:t>(2)</w:t>
      </w:r>
      <w:r>
        <w:rPr>
          <w:rFonts w:hint="default" w:ascii="Times New Roman" w:hAnsi="Times New Roman" w:eastAsia="仿宋_GB2312" w:cs="Times New Roman"/>
          <w:b w:val="0"/>
          <w:i w:val="0"/>
          <w:color w:val="auto"/>
          <w:spacing w:val="0"/>
          <w:sz w:val="32"/>
          <w:szCs w:val="32"/>
        </w:rPr>
        <w:t>禁止带入和存放易燃、易爆物品；</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不得安装固定的封闭门窗栅栏</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val="en-US" w:eastAsia="zh-CN"/>
        </w:rPr>
        <w:t>(4)</w:t>
      </w:r>
      <w:r>
        <w:rPr>
          <w:rFonts w:hint="default" w:ascii="Times New Roman" w:hAnsi="Times New Roman" w:eastAsia="仿宋_GB2312" w:cs="Times New Roman"/>
          <w:b w:val="0"/>
          <w:i w:val="0"/>
          <w:color w:val="auto"/>
          <w:spacing w:val="0"/>
          <w:sz w:val="32"/>
          <w:szCs w:val="32"/>
        </w:rPr>
        <w:t>营业期间禁止封堵或者锁闭门窗、安全疏散通道和安全出口；</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lang w:val="en-US" w:eastAsia="zh-CN"/>
        </w:rPr>
        <w:t>(5)</w:t>
      </w:r>
      <w:r>
        <w:rPr>
          <w:rFonts w:hint="default" w:ascii="Times New Roman" w:hAnsi="Times New Roman" w:eastAsia="仿宋_GB2312" w:cs="Times New Roman"/>
          <w:b w:val="0"/>
          <w:i w:val="0"/>
          <w:color w:val="auto"/>
          <w:spacing w:val="0"/>
          <w:sz w:val="32"/>
          <w:szCs w:val="32"/>
        </w:rPr>
        <w:t>不得擅自停止实施安全技术措施。</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b/>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62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信息公示合规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1.互联网上网服务单位应当按照国家有关规定公示年度报告和登记、产生的相关信息，不得隐瞒真实情况、弄虚作假。</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互联网上网服务单位应当于每年1月1日至6月30日，通过企业信用信息公示系统向市场监管部门报送上一年度年度报告，并向社会公示。企业年度报告内容包括：企业通信地址、邮政编码、联系电话、电子邮箱等信息；企业开业、歇业、清算等存续状态信息；企业投资设立企业、购买股权信息；企业为有限责任公司或者股份有限公司的，其股东或者发起人认缴和实缴的出资额、出资时间、出资方式等信息；有限责任公司股东股权转让等股权变更信息；企业网站以及从事网络经营的网店的名称、网址等信息；企业从业人数、资产总额、负债总额、对外提供保证担保、所有者权益合计、营业总收入、主营业务收入、利润总额、净利润、纳税总额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3.互联网上网服务单位应当自下列信息形成之日起20个工作日内通过企业信用信息公示系统向社会公示：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i w:val="0"/>
          <w:color w:val="auto"/>
          <w:spacing w:val="0"/>
          <w:sz w:val="32"/>
          <w:szCs w:val="32"/>
          <w:lang w:val="en-US" w:eastAsia="zh-CN"/>
        </w:rPr>
        <w:t>【</w:t>
      </w:r>
      <w:r>
        <w:rPr>
          <w:rFonts w:hint="default" w:ascii="Times New Roman" w:hAnsi="Times New Roman" w:eastAsia="黑体" w:cs="Times New Roman"/>
          <w:b/>
          <w:i w:val="0"/>
          <w:color w:val="auto"/>
          <w:spacing w:val="0"/>
          <w:sz w:val="32"/>
          <w:szCs w:val="32"/>
        </w:rPr>
        <w:t>消防安全合规</w:t>
      </w:r>
      <w:r>
        <w:rPr>
          <w:rFonts w:hint="default" w:ascii="Times New Roman" w:hAnsi="Times New Roman" w:eastAsia="仿宋_GB2312" w:cs="Times New Roman"/>
          <w:b/>
          <w:i w:val="0"/>
          <w:color w:val="auto"/>
          <w:spacing w:val="0"/>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1.依法办理消防设计审查、消防验收和公众聚集场所投入使用、营业前消防安全检查。</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2.应当落实消防安全主体责任，履行下列职责：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(1)明确各级、各岗位消防安全责任人及其职责，制定本单位的消防安全制度、消防安全操作规程、灭火和应急疏散预案。定期组织开展灭火和应急疏散演练，进行消防工作检查考核，保证各项规章制度落实</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(2)保证防火检查巡查、消防设施器材维护保养、建筑消防设施检测、火灾隐患整改、专职或志愿消防队和微型消防站建设等消防工作所需资金的投入。生产经营单位安全费用应当保证适当比例用于消防工作</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(3)按照相关标准配备消防设施、器材，设置消防安全标志，定期检验维修，对建筑消防设施每年至少进行一次全面检测，确保完好有效。设有消防控制室的，实行24小时值班制度，每班不少于2人，并持证上岗</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(4)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(5)定期开展防火检查、巡查，及时消除火灾隐患</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(6)根据需要建立专职或志愿消防队、微型消防站，加强队伍建设，定期组织训练演练，加强消防装备配备和灭火药剂储备，建立联勤联动机制，提高扑救初起火灾能力</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(7)消防法律、法规、规章以及政策文件规定的其他职责。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3.属于消防安全重点单位的，除上述职责外还应当：</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(1)明确承担消防安全管理工作的机构和消防安全管理人并报知当地消防部门，组织实施本单位消防安全管理。消防安全管理人应当经过消防培训</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(2)建立消防档案，确定消防安全重点部位，设置防火标志，实行严格管理</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(3)安装、使用电器产品、燃气用具和敷设电气线路、管线必须符合相关标准和用电、用气安全管理规定，并定期维护保养、检测</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(4)组织员工进行岗前消防安全培训，定期组织消防安全培训和疏散演练</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(5)积极应用消防远程监控、电气火灾监测、物联网技术等技防物防措施。</w:t>
      </w:r>
    </w:p>
    <w:p>
      <w:pPr>
        <w:keepNext w:val="0"/>
        <w:keepLines w:val="0"/>
        <w:pageBreakBefore w:val="0"/>
        <w:widowControl w:val="0"/>
        <w:kinsoku/>
        <w:wordWrap w:val="0"/>
        <w:overflowPunct/>
        <w:topLinePunct w:val="0"/>
        <w:autoSpaceDE/>
        <w:autoSpaceDN/>
        <w:bidi w:val="0"/>
        <w:adjustRightInd/>
        <w:snapToGrid/>
        <w:spacing w:before="640" w:after="0" w:line="560" w:lineRule="exact"/>
        <w:ind w:right="80" w:firstLine="640" w:firstLineChars="200"/>
        <w:jc w:val="both"/>
        <w:textAlignment w:val="baseline"/>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640" w:after="0" w:line="560" w:lineRule="exact"/>
        <w:ind w:right="80" w:firstLine="640" w:firstLineChars="200"/>
        <w:jc w:val="both"/>
        <w:textAlignment w:val="baseline"/>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640" w:after="0" w:line="560" w:lineRule="exact"/>
        <w:ind w:right="80"/>
        <w:jc w:val="both"/>
        <w:textAlignment w:val="baseline"/>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640" w:after="0" w:line="560" w:lineRule="exact"/>
        <w:ind w:right="80"/>
        <w:jc w:val="both"/>
        <w:textAlignment w:val="baseline"/>
        <w:outlineLvl w:val="0"/>
        <w:rPr>
          <w:rFonts w:hint="default" w:ascii="Times New Roman" w:hAnsi="Times New Roman" w:eastAsia="仿宋_GB2312" w:cs="Times New Roman"/>
          <w:b w:val="0"/>
          <w:i w:val="0"/>
          <w:color w:val="auto"/>
          <w:spacing w:val="0"/>
          <w:sz w:val="32"/>
          <w:szCs w:val="32"/>
          <w:lang w:eastAsia="zh-CN"/>
        </w:rPr>
      </w:pPr>
    </w:p>
    <w:p>
      <w:pPr>
        <w:pStyle w:val="2"/>
        <w:rPr>
          <w:rFonts w:hint="default"/>
          <w:color w:val="auto"/>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640" w:after="0" w:line="560" w:lineRule="exact"/>
        <w:ind w:right="79" w:rightChars="0"/>
        <w:jc w:val="center"/>
        <w:textAlignment w:val="baseline"/>
        <w:outlineLvl w:val="0"/>
        <w:rPr>
          <w:rFonts w:hint="default" w:ascii="Times New Roman" w:hAnsi="Times New Roman" w:eastAsia="黑体" w:cs="Times New Roman"/>
          <w:b w:val="0"/>
          <w:i w:val="0"/>
          <w:color w:val="auto"/>
          <w:spacing w:val="0"/>
          <w:sz w:val="44"/>
          <w:szCs w:val="44"/>
        </w:rPr>
      </w:pPr>
      <w:bookmarkStart w:id="9" w:name="_Toc27027"/>
      <w:r>
        <w:rPr>
          <w:rFonts w:hint="default" w:ascii="Times New Roman" w:hAnsi="Times New Roman" w:eastAsia="黑体" w:cs="Times New Roman"/>
          <w:b w:val="0"/>
          <w:i w:val="0"/>
          <w:color w:val="auto"/>
          <w:spacing w:val="0"/>
          <w:sz w:val="44"/>
          <w:szCs w:val="44"/>
          <w:lang w:val="en-US" w:eastAsia="zh-CN"/>
        </w:rPr>
        <w:t>8.</w:t>
      </w:r>
      <w:r>
        <w:rPr>
          <w:rFonts w:hint="default" w:ascii="Times New Roman" w:hAnsi="Times New Roman" w:eastAsia="黑体" w:cs="Times New Roman"/>
          <w:b w:val="0"/>
          <w:i w:val="0"/>
          <w:color w:val="auto"/>
          <w:spacing w:val="0"/>
          <w:sz w:val="44"/>
          <w:szCs w:val="44"/>
        </w:rPr>
        <w:t>营业性演出场所</w:t>
      </w:r>
      <w:bookmarkEnd w:id="9"/>
    </w:p>
    <w:p>
      <w:pPr>
        <w:keepNext w:val="0"/>
        <w:keepLines w:val="0"/>
        <w:pageBreakBefore w:val="0"/>
        <w:widowControl w:val="0"/>
        <w:kinsoku/>
        <w:wordWrap w:val="0"/>
        <w:overflowPunct/>
        <w:topLinePunct w:val="0"/>
        <w:autoSpaceDE/>
        <w:autoSpaceDN/>
        <w:bidi w:val="0"/>
        <w:adjustRightInd/>
        <w:snapToGrid/>
        <w:spacing w:before="0" w:after="0" w:line="560" w:lineRule="exact"/>
        <w:ind w:right="0"/>
        <w:jc w:val="center"/>
        <w:textAlignment w:val="baseline"/>
        <w:rPr>
          <w:rFonts w:hint="default"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涉及</w:t>
      </w:r>
      <w:r>
        <w:rPr>
          <w:rFonts w:hint="default" w:ascii="Times New Roman" w:hAnsi="Times New Roman" w:eastAsia="楷体" w:cs="Times New Roman"/>
          <w:b w:val="0"/>
          <w:i w:val="0"/>
          <w:color w:val="auto"/>
          <w:spacing w:val="0"/>
          <w:sz w:val="32"/>
          <w:szCs w:val="32"/>
        </w:rPr>
        <w:t>监管部门：</w:t>
      </w:r>
      <w:r>
        <w:rPr>
          <w:rFonts w:hint="default" w:ascii="Times New Roman" w:hAnsi="Times New Roman" w:eastAsia="楷体" w:cs="Times New Roman"/>
          <w:b w:val="0"/>
          <w:i w:val="0"/>
          <w:color w:val="auto"/>
          <w:spacing w:val="0"/>
          <w:sz w:val="32"/>
          <w:szCs w:val="32"/>
          <w:lang w:eastAsia="zh-CN"/>
        </w:rPr>
        <w:t>州文旅局、</w:t>
      </w:r>
      <w:r>
        <w:rPr>
          <w:rFonts w:hint="eastAsia" w:ascii="Times New Roman" w:hAnsi="Times New Roman" w:eastAsia="楷体" w:cs="Times New Roman"/>
          <w:b w:val="0"/>
          <w:i w:val="0"/>
          <w:color w:val="auto"/>
          <w:spacing w:val="0"/>
          <w:sz w:val="32"/>
          <w:szCs w:val="32"/>
          <w:lang w:eastAsia="zh-CN"/>
        </w:rPr>
        <w:t>州市场监管局</w:t>
      </w:r>
      <w:r>
        <w:rPr>
          <w:rFonts w:hint="default" w:ascii="Times New Roman" w:hAnsi="Times New Roman" w:eastAsia="楷体" w:cs="Times New Roman"/>
          <w:b w:val="0"/>
          <w:i w:val="0"/>
          <w:color w:val="auto"/>
          <w:spacing w:val="0"/>
          <w:sz w:val="32"/>
          <w:szCs w:val="32"/>
          <w:lang w:eastAsia="zh-CN"/>
        </w:rPr>
        <w:t>、州公安局、</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jc w:val="center"/>
        <w:textAlignment w:val="baseline"/>
        <w:rPr>
          <w:rFonts w:hint="default"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州卫健委、州消防救援支队、</w:t>
      </w:r>
      <w:r>
        <w:rPr>
          <w:rFonts w:hint="eastAsia" w:ascii="Times New Roman" w:hAnsi="Times New Roman" w:eastAsia="楷体" w:cs="Times New Roman"/>
          <w:b w:val="0"/>
          <w:i w:val="0"/>
          <w:color w:val="auto"/>
          <w:spacing w:val="0"/>
          <w:sz w:val="32"/>
          <w:szCs w:val="32"/>
          <w:lang w:eastAsia="zh-CN"/>
        </w:rPr>
        <w:t>州</w:t>
      </w:r>
      <w:r>
        <w:rPr>
          <w:rFonts w:hint="default" w:ascii="Times New Roman" w:hAnsi="Times New Roman" w:eastAsia="楷体" w:cs="Times New Roman"/>
          <w:b w:val="0"/>
          <w:i w:val="0"/>
          <w:color w:val="auto"/>
          <w:spacing w:val="0"/>
          <w:sz w:val="32"/>
          <w:szCs w:val="32"/>
          <w:lang w:eastAsia="zh-CN"/>
        </w:rPr>
        <w:t>党委宣传部</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center"/>
        <w:textAlignment w:val="baseline"/>
        <w:rPr>
          <w:rFonts w:hint="default" w:ascii="Times New Roman" w:hAnsi="Times New Roman" w:eastAsia="楷体"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营业性演出场所要严格落实《营业性演出管理条例》《市场主体登记管理条例》《企业信息公示暂行条例》等相关法律、法规、规章及技术规范要求，规范经营行为。</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firstLine="20"/>
        <w:jc w:val="both"/>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主体资格合规</w:t>
      </w:r>
      <w:r>
        <w:rPr>
          <w:rFonts w:hint="default" w:ascii="Times New Roman" w:hAnsi="Times New Roman" w:eastAsia="仿宋_GB2312"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w:t>
      </w:r>
      <w:r>
        <w:rPr>
          <w:rFonts w:hint="default" w:ascii="Times New Roman" w:hAnsi="Times New Roman" w:eastAsia="仿宋_GB2312" w:cs="Times New Roman"/>
          <w:b w:val="0"/>
          <w:i w:val="0"/>
          <w:color w:val="auto"/>
          <w:spacing w:val="0"/>
          <w:sz w:val="32"/>
          <w:szCs w:val="32"/>
          <w:lang w:eastAsia="zh-CN"/>
        </w:rPr>
        <w:t>区、州、县（市）</w:t>
      </w:r>
      <w:r>
        <w:rPr>
          <w:rFonts w:hint="default" w:ascii="Times New Roman" w:hAnsi="Times New Roman" w:eastAsia="仿宋_GB2312" w:cs="Times New Roman"/>
          <w:b w:val="0"/>
          <w:i w:val="0"/>
          <w:color w:val="auto"/>
          <w:spacing w:val="0"/>
          <w:sz w:val="32"/>
          <w:szCs w:val="32"/>
        </w:rPr>
        <w:t>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2.文艺表演团体变更名称、住所、法定代表人或者主要负责人、营业性演出经营项目，应当向原发证机关申请换发营业性演出许可证，并依法到市场监管部门办理变更登记。</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营业性演出场所应当将营业执照置于住所或者营业场所醒目位置，不得使用未经核准登记注册的企业名称从事生产经营活动。营业执照遗失或者毁坏的，经营主体应当通过国家企业信用信息公示系统声明作废，申请补领。不得以虚报注册资本、提交虚假材料或者采取其他欺诈手段隐瞒重要事实取得公司登记；营业执照记载的事项发生变更的，应当依法办理变更登记，由登记机关换发营业执照。</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4.演出场所经营单位应当自领取营业执照之日起20日内向所在地县级人民政府文化主管部门备案。</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5.个体演员、个体演出经纪人应当自领取营业执照之日起20日内向所在地县级人民政府文化主管部门备案。</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营业性演出行为合规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1.举办营业性演出，应当向演出所在地县级人民政府文化主管部门提出申请。县级人民政府文化主管部门应当自受理申请之日起3日内作出决定。</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2.营业性演出不得冠以“中国”、“中华”、“全国”、“国际”等字样。</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3.营业性演出不得有下列情形：</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(1)反对宪法确定的基本原则的；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(2)危害国家统一、主权和领土完整，危害国家安全，或者损害国家荣誉和利益的；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(3)煽动民族仇恨、民族歧视，侵害民族风俗习惯，伤害民族感情，破坏民族团结，违反宗教政策的；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(4)扰乱社会秩序，破坏社会稳定的；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(5)危害社会公德或者民族优秀文化传统的；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(6)宣扬淫秽、色情、邪教、迷信或者渲染暴力的；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(7)侮辱或者诽谤他人，侵害他人合法权益的；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(8)表演方式恐怖、残忍，摧残演员身心健康的；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(9)利用人体缺陷或者以展示人体变异等方式招徕观众的；</w:t>
      </w: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(10)法律、行政法规禁止的其他情形。</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4.演员不得以假唱欺骗观众，演出举办单位不得组织演员假唱。任何单位或者个人不得为假唱提供条件。</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i w:val="0"/>
          <w:color w:val="auto"/>
          <w:spacing w:val="0"/>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信息公示合规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1.营业性演出场所应当按照国家有关规定公示年度报告和登记、产生的相关信息，不得隐瞒真实情况、弄虚作假。</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2.营业性演出场所应当于每年1月1日至6月30日，通过企业信用信息公示系统向市场监管部门报送上一年度年度报告，并向社会公示。企业年度报告内容包括：企业通信地址、邮政编码、联系电话、电子邮箱等信息；企业开业、歇业、清算等存续状态信息；企业投资设立企业、购买股权信息；企业为有限责任公司或者股份有限公司的，其股东或者发起人认缴和实缴的出资额、出资时间、出资方式等信息；有限责任公司股东股权转让等股权变更信息；企业网站以及从事网络经营的网店的名称、网址等信息；企业从业人数、资产总额、负债总额、对外提供保证担保、所有者权益合计、营业总收入、主营业务收入、利润总额、净利润、纳税总额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3.营业性演出场所应当自下列信息形成之日起20个工作日内通过企业信用信息公示系统向社会公示：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3" w:firstLineChars="200"/>
        <w:jc w:val="both"/>
        <w:textAlignment w:val="baseline"/>
        <w:rPr>
          <w:rFonts w:hint="default" w:ascii="Times New Roman" w:hAnsi="Times New Roman" w:eastAsia="仿宋_GB2312" w:cs="Times New Roman"/>
          <w:b/>
          <w:i w:val="0"/>
          <w:color w:val="auto"/>
          <w:spacing w:val="0"/>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消防安全合规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1.依法办理消防设计审查、消防验收和公众聚集场所投入使用、营业前消防安全检查。</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2.应当落实消防安全主体责任，履行下列职责：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(1)明确各级、各岗位消防安全责任人及其职责，制定本单位的消防安全制度、消防安全操作规程、灭火和应急疏散预案。定期组织开展灭火和应急疏散演练，进行消防工作检查考核，保证各项规章制度落实</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(2)保证防火检查巡查、消防设施器材维护保养、建筑消防设施检测、火灾隐患整改、专职或志愿消防队和微型消防站建设等消防工作所需资金的投入。生产经营单位安全费用应当保证适当比例用于消防工作</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(3)按照相关标准配备消防设施、器材，设置消防安全标志，定期检验维修，对建筑消防设施每年至少进行一次全面检测，确保完好有效。设有消防控制室的，实行24小时值班制度，每班不少于2人，并持证上岗</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(4)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(5)定期开展防火检查、巡查，及时消除火灾隐患</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(6)根据需要建立专职或志愿消防队、微型消防站，加强队伍建设，定期组织训练演练，加强消防装备配备和灭火药剂储备，建立联勤联动机制，提高扑救初起火灾能力</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(7)消防法律、法规、规章以及政策文件规定的其他职责。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3.属于消防安全重点单位的，除上述职责外还应当：</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(1)明确承担消防安全管理工作的机构和消防安全管理人并报知当地消防部门，组织实施本单位消防安全管理。消防安全管理人应当经过消防培训</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(2)建立消防档案，确定消防安全重点部位，设置防火标志，实行严格管理</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(3)安装、使用电器产品、燃气用具和敷设电气线路、管线必须符合相关标准和用电、用气安全管理规定，并定期维护保养、检测</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(4)组织员工进行岗前消防安全培训，定期组织消防安全培训和疏散演练</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(5)积极应用消防远程监控、电气火灾监测、物联网技术等技防物防措施。</w:t>
      </w:r>
    </w:p>
    <w:p>
      <w:pPr>
        <w:pStyle w:val="2"/>
        <w:keepNext w:val="0"/>
        <w:keepLines w:val="0"/>
        <w:pageBreakBefore w:val="0"/>
        <w:widowControl w:val="0"/>
        <w:kinsoku/>
        <w:overflowPunct/>
        <w:topLinePunct w:val="0"/>
        <w:autoSpaceDE/>
        <w:autoSpaceDN/>
        <w:bidi w:val="0"/>
        <w:adjustRightInd/>
        <w:snapToGrid/>
        <w:spacing w:line="560" w:lineRule="exact"/>
        <w:rPr>
          <w:rFonts w:hint="default"/>
          <w:color w:val="auto"/>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公共场所卫生管理合规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rPr>
        <w:t>卫生许可和卫生监督信息公示。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lang w:eastAsia="zh-CN"/>
        </w:rPr>
        <w:t>公</w:t>
      </w:r>
      <w:r>
        <w:rPr>
          <w:rFonts w:hint="default" w:ascii="Times New Roman" w:hAnsi="Times New Roman" w:eastAsia="仿宋_GB2312" w:cs="Times New Roman"/>
          <w:b w:val="0"/>
          <w:i w:val="0"/>
          <w:color w:val="auto"/>
          <w:spacing w:val="0"/>
          <w:sz w:val="32"/>
          <w:szCs w:val="32"/>
        </w:rPr>
        <w:t>共场所经营单位应持有效卫生许可证，卫生许可证有效期限4年；禁止涂改、转让、倒卖、伪造《公共场所卫生许可证》；变更单位名称、法定代表人或者负责人的，应当向原发证卫生健康部门办理变更手续。公共场所经营者变更经营项目、经营场所地址的，应当向县级以上地方人民政府卫生健康部门重新申请卫生许可证。公共场所经营者需要延续卫生许可证的，应当在卫生许可证有效期届满30日前，向原发证卫生健康部门提出申请</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lang w:val="en-US" w:eastAsia="zh-CN"/>
        </w:rPr>
        <w:t>(2)</w:t>
      </w:r>
      <w:r>
        <w:rPr>
          <w:rFonts w:hint="default" w:ascii="Times New Roman" w:hAnsi="Times New Roman" w:eastAsia="仿宋_GB2312" w:cs="Times New Roman"/>
          <w:b w:val="0"/>
          <w:i w:val="0"/>
          <w:color w:val="auto"/>
          <w:spacing w:val="0"/>
          <w:sz w:val="32"/>
          <w:szCs w:val="32"/>
        </w:rPr>
        <w:t>对公共场所空气、微小气候、顾客用品用具、集中空调通风系统等进行卫生检测</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醒目位置公示卫生监督信息(卫生许可证、卫生信誉等级及卫生检测报告等)</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2.</w:t>
      </w:r>
      <w:r>
        <w:rPr>
          <w:rFonts w:hint="default" w:ascii="Times New Roman" w:hAnsi="Times New Roman" w:eastAsia="仿宋_GB2312" w:cs="Times New Roman"/>
          <w:b w:val="0"/>
          <w:i w:val="0"/>
          <w:color w:val="auto"/>
          <w:spacing w:val="0"/>
          <w:sz w:val="32"/>
          <w:szCs w:val="32"/>
        </w:rPr>
        <w:t>从业人员卫生管理。从业人员持有效合格健康证明，健康合格证明有效期限1年；从业人员每2年进行1次卫生知识培训，培训合格取得培训合格证明后方可上岗。</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经营单位卫生管理。设立卫生管理部门，配备专(兼)职卫生管理人员；建立卫生管理制度及公共场所传染病和健康危害事故应急预案；建立健全卫生管理档案。</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4.</w:t>
      </w:r>
      <w:r>
        <w:rPr>
          <w:rFonts w:hint="default" w:ascii="Times New Roman" w:hAnsi="Times New Roman" w:eastAsia="仿宋_GB2312" w:cs="Times New Roman"/>
          <w:b w:val="0"/>
          <w:i w:val="0"/>
          <w:color w:val="auto"/>
          <w:spacing w:val="0"/>
          <w:sz w:val="32"/>
          <w:szCs w:val="32"/>
        </w:rPr>
        <w:t>卫生设施和卫生措施。公共场所经营单位应设置与经营规模相适应的清洗、消毒、保洁设施。</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5.</w:t>
      </w:r>
      <w:r>
        <w:rPr>
          <w:rFonts w:hint="default" w:ascii="Times New Roman" w:hAnsi="Times New Roman" w:eastAsia="仿宋_GB2312" w:cs="Times New Roman"/>
          <w:b w:val="0"/>
          <w:i w:val="0"/>
          <w:color w:val="auto"/>
          <w:spacing w:val="0"/>
          <w:sz w:val="32"/>
          <w:szCs w:val="32"/>
        </w:rPr>
        <w:t>病媒生物防制。应当配备安全、有效的预防控制蚊、蝇、蟑螂、鼠和其他病媒生物的设施设备及废弃物存放专用设施设备，并保证相关设施设备的正常使用，及时清运废物。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6.</w:t>
      </w:r>
      <w:r>
        <w:rPr>
          <w:rFonts w:hint="default" w:ascii="Times New Roman" w:hAnsi="Times New Roman" w:eastAsia="仿宋_GB2312" w:cs="Times New Roman"/>
          <w:b w:val="0"/>
          <w:i w:val="0"/>
          <w:color w:val="auto"/>
          <w:spacing w:val="0"/>
          <w:sz w:val="32"/>
          <w:szCs w:val="32"/>
        </w:rPr>
        <w:t>集中空调通风系统管理。公共场所经营单位应按要求对集中空调通风系统进行清洗消毒和卫生检测，并建立健全卫生管理档案。</w:t>
      </w:r>
    </w:p>
    <w:p>
      <w:pPr>
        <w:keepNext w:val="0"/>
        <w:keepLines w:val="0"/>
        <w:pageBreakBefore w:val="0"/>
        <w:widowControl w:val="0"/>
        <w:kinsoku/>
        <w:overflowPunct/>
        <w:topLinePunct w:val="0"/>
        <w:autoSpaceDE/>
        <w:autoSpaceDN/>
        <w:bidi w:val="0"/>
        <w:adjustRightInd/>
        <w:snapToGrid/>
        <w:spacing w:line="560" w:lineRule="exact"/>
        <w:ind w:firstLine="640" w:firstLineChars="200"/>
        <w:rPr>
          <w:rFonts w:hint="default"/>
          <w:color w:val="auto"/>
        </w:rPr>
      </w:pPr>
      <w:r>
        <w:rPr>
          <w:rFonts w:hint="default" w:ascii="Times New Roman" w:hAnsi="Times New Roman" w:eastAsia="仿宋_GB2312" w:cs="Times New Roman"/>
          <w:b w:val="0"/>
          <w:i w:val="0"/>
          <w:color w:val="auto"/>
          <w:spacing w:val="0"/>
          <w:sz w:val="32"/>
          <w:szCs w:val="32"/>
          <w:lang w:val="en-US" w:eastAsia="zh-CN"/>
        </w:rPr>
        <w:t>7.</w:t>
      </w:r>
      <w:r>
        <w:rPr>
          <w:rFonts w:hint="default" w:ascii="Times New Roman" w:hAnsi="Times New Roman" w:eastAsia="仿宋_GB2312" w:cs="Times New Roman"/>
          <w:b w:val="0"/>
          <w:i w:val="0"/>
          <w:color w:val="auto"/>
          <w:spacing w:val="0"/>
          <w:sz w:val="32"/>
          <w:szCs w:val="32"/>
        </w:rPr>
        <w:t>公共场所发生危害健康事故的，经营者应当立即处置，防止危害扩大，并及时向县级人民政府卫生计生行政部门报告。任何单位或者个人对危害健康事故不得隐瞒、缓报、谎报或者授意他人隐瞒、缓报、谎报。</w:t>
      </w:r>
    </w:p>
    <w:p>
      <w:pPr>
        <w:keepNext w:val="0"/>
        <w:keepLines w:val="0"/>
        <w:pageBreakBefore w:val="0"/>
        <w:widowControl w:val="0"/>
        <w:kinsoku/>
        <w:wordWrap w:val="0"/>
        <w:overflowPunct/>
        <w:topLinePunct w:val="0"/>
        <w:autoSpaceDE/>
        <w:autoSpaceDN/>
        <w:bidi w:val="0"/>
        <w:adjustRightInd/>
        <w:snapToGrid/>
        <w:spacing w:before="660" w:after="0" w:line="560" w:lineRule="exact"/>
        <w:ind w:right="0" w:firstLine="640" w:firstLineChars="200"/>
        <w:jc w:val="both"/>
        <w:textAlignment w:val="baseline"/>
        <w:outlineLvl w:val="0"/>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0" w:firstLine="640" w:firstLineChars="200"/>
        <w:jc w:val="both"/>
        <w:textAlignment w:val="baseline"/>
        <w:outlineLvl w:val="0"/>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660" w:after="0" w:line="560" w:lineRule="exact"/>
        <w:ind w:right="0" w:firstLine="640" w:firstLineChars="200"/>
        <w:jc w:val="both"/>
        <w:textAlignment w:val="baseline"/>
        <w:outlineLvl w:val="0"/>
        <w:rPr>
          <w:rFonts w:hint="default" w:ascii="Times New Roman" w:hAnsi="Times New Roman" w:eastAsia="仿宋_GB2312" w:cs="Times New Roman"/>
          <w:b w:val="0"/>
          <w:i w:val="0"/>
          <w:color w:val="auto"/>
          <w:spacing w:val="0"/>
          <w:sz w:val="32"/>
          <w:szCs w:val="3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660" w:after="0" w:line="560" w:lineRule="exact"/>
        <w:ind w:right="0" w:rightChars="0"/>
        <w:jc w:val="both"/>
        <w:textAlignment w:val="baseline"/>
        <w:outlineLvl w:val="0"/>
        <w:rPr>
          <w:rFonts w:hint="default" w:ascii="Times New Roman" w:hAnsi="Times New Roman" w:eastAsia="黑体" w:cs="Times New Roman"/>
          <w:b w:val="0"/>
          <w:i w:val="0"/>
          <w:color w:val="auto"/>
          <w:spacing w:val="0"/>
          <w:sz w:val="44"/>
          <w:szCs w:val="44"/>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660" w:after="0" w:line="560" w:lineRule="exact"/>
        <w:ind w:right="0" w:rightChars="0"/>
        <w:jc w:val="center"/>
        <w:textAlignment w:val="baseline"/>
        <w:outlineLvl w:val="0"/>
        <w:rPr>
          <w:rFonts w:hint="default" w:ascii="Times New Roman" w:hAnsi="Times New Roman" w:eastAsia="黑体" w:cs="Times New Roman"/>
          <w:b w:val="0"/>
          <w:i w:val="0"/>
          <w:color w:val="auto"/>
          <w:spacing w:val="0"/>
          <w:sz w:val="44"/>
          <w:szCs w:val="44"/>
        </w:rPr>
      </w:pPr>
      <w:bookmarkStart w:id="10" w:name="_Toc25679"/>
      <w:r>
        <w:rPr>
          <w:rFonts w:hint="default" w:ascii="Times New Roman" w:hAnsi="Times New Roman" w:eastAsia="黑体" w:cs="Times New Roman"/>
          <w:b w:val="0"/>
          <w:i w:val="0"/>
          <w:color w:val="auto"/>
          <w:spacing w:val="0"/>
          <w:sz w:val="44"/>
          <w:szCs w:val="44"/>
          <w:lang w:val="en-US" w:eastAsia="zh-CN"/>
        </w:rPr>
        <w:t>9.</w:t>
      </w:r>
      <w:r>
        <w:rPr>
          <w:rFonts w:hint="default" w:ascii="Times New Roman" w:hAnsi="Times New Roman" w:eastAsia="黑体" w:cs="Times New Roman"/>
          <w:b w:val="0"/>
          <w:i w:val="0"/>
          <w:color w:val="auto"/>
          <w:spacing w:val="0"/>
          <w:sz w:val="44"/>
          <w:szCs w:val="44"/>
        </w:rPr>
        <w:t>电影院</w:t>
      </w:r>
      <w:bookmarkEnd w:id="10"/>
    </w:p>
    <w:p>
      <w:pPr>
        <w:keepNext w:val="0"/>
        <w:keepLines w:val="0"/>
        <w:pageBreakBefore w:val="0"/>
        <w:widowControl w:val="0"/>
        <w:kinsoku/>
        <w:wordWrap w:val="0"/>
        <w:overflowPunct/>
        <w:topLinePunct w:val="0"/>
        <w:autoSpaceDE/>
        <w:autoSpaceDN/>
        <w:bidi w:val="0"/>
        <w:adjustRightInd/>
        <w:snapToGrid/>
        <w:spacing w:before="0" w:after="0" w:line="560" w:lineRule="exact"/>
        <w:ind w:right="20"/>
        <w:jc w:val="center"/>
        <w:textAlignment w:val="baseline"/>
        <w:rPr>
          <w:rFonts w:hint="default"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涉及</w:t>
      </w:r>
      <w:r>
        <w:rPr>
          <w:rFonts w:hint="default" w:ascii="Times New Roman" w:hAnsi="Times New Roman" w:eastAsia="楷体" w:cs="Times New Roman"/>
          <w:b w:val="0"/>
          <w:i w:val="0"/>
          <w:color w:val="auto"/>
          <w:spacing w:val="0"/>
          <w:sz w:val="32"/>
          <w:szCs w:val="32"/>
        </w:rPr>
        <w:t>监管部门：</w:t>
      </w:r>
      <w:r>
        <w:rPr>
          <w:rFonts w:hint="default" w:ascii="Times New Roman" w:hAnsi="Times New Roman" w:eastAsia="楷体" w:cs="Times New Roman"/>
          <w:b w:val="0"/>
          <w:i w:val="0"/>
          <w:color w:val="auto"/>
          <w:spacing w:val="0"/>
          <w:sz w:val="32"/>
          <w:szCs w:val="32"/>
          <w:lang w:eastAsia="zh-CN"/>
        </w:rPr>
        <w:t>州文旅局、州市场监管局、</w:t>
      </w:r>
      <w:r>
        <w:rPr>
          <w:rFonts w:hint="eastAsia" w:ascii="Times New Roman" w:hAnsi="Times New Roman" w:eastAsia="楷体" w:cs="Times New Roman"/>
          <w:b w:val="0"/>
          <w:i w:val="0"/>
          <w:color w:val="auto"/>
          <w:spacing w:val="0"/>
          <w:sz w:val="32"/>
          <w:szCs w:val="32"/>
          <w:lang w:eastAsia="zh-CN"/>
        </w:rPr>
        <w:t>州卫健委、</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20"/>
        <w:jc w:val="center"/>
        <w:textAlignment w:val="baseline"/>
        <w:rPr>
          <w:rFonts w:hint="default" w:ascii="Times New Roman" w:hAnsi="Times New Roman" w:eastAsia="楷体" w:cs="Times New Roman"/>
          <w:b w:val="0"/>
          <w:i w:val="0"/>
          <w:color w:val="auto"/>
          <w:spacing w:val="0"/>
          <w:sz w:val="32"/>
          <w:szCs w:val="32"/>
          <w:lang w:eastAsia="zh-CN"/>
        </w:rPr>
      </w:pPr>
      <w:r>
        <w:rPr>
          <w:rFonts w:hint="default" w:ascii="Times New Roman" w:hAnsi="Times New Roman" w:eastAsia="楷体" w:cs="Times New Roman"/>
          <w:b w:val="0"/>
          <w:i w:val="0"/>
          <w:color w:val="auto"/>
          <w:spacing w:val="0"/>
          <w:sz w:val="32"/>
          <w:szCs w:val="32"/>
          <w:lang w:eastAsia="zh-CN"/>
        </w:rPr>
        <w:t>州新闻出版（版权）局</w:t>
      </w:r>
      <w:r>
        <w:rPr>
          <w:rFonts w:hint="eastAsia" w:ascii="Times New Roman" w:hAnsi="Times New Roman" w:eastAsia="楷体" w:cs="Times New Roman"/>
          <w:b w:val="0"/>
          <w:i w:val="0"/>
          <w:color w:val="auto"/>
          <w:spacing w:val="0"/>
          <w:sz w:val="32"/>
          <w:szCs w:val="32"/>
          <w:lang w:eastAsia="zh-CN"/>
        </w:rPr>
        <w:t>、州消防救援支队</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20"/>
        <w:jc w:val="center"/>
        <w:textAlignment w:val="baseline"/>
        <w:rPr>
          <w:rFonts w:hint="default" w:ascii="Times New Roman" w:hAnsi="Times New Roman" w:eastAsia="楷体" w:cs="Times New Roman"/>
          <w:b w:val="0"/>
          <w:i w:val="0"/>
          <w:color w:val="auto"/>
          <w:spacing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2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电影发行放映单位应严格按照《电影产业促进法》《电影管理条例》《公共场所卫生管理条例》《中华人民共和国消防法》等法律法规规定，规范经营行为，丰富人民群众精神文化生活。</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20" w:firstLine="62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主体资格合规</w:t>
      </w:r>
      <w:r>
        <w:rPr>
          <w:rFonts w:hint="default" w:ascii="Times New Roman" w:hAnsi="Times New Roman" w:eastAsia="仿宋_GB2312"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电影发行放映单位应取得《电影发行经营许可证》《电影放映经营许可证》。电影发行单位、电影放映单位变更业务范围，或者兼并其他电影发行单位、电影放映单位，或者因合并、分立而设立新的电影发行单位、电影放映单位的，应当依照《电影管理条例》规定办理审批手续。</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2.电影发行单位、电影放映单位变更名称、地址、法定代表人或者主要负责人，或者终止电影发行、放映经营活动的，应当到原登记的市场监管部门办理变更登记或者注销登记，并向原审批的电影行政部门备案。</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场所设备合规</w:t>
      </w:r>
      <w:r>
        <w:rPr>
          <w:rFonts w:hint="default" w:ascii="Times New Roman" w:hAnsi="Times New Roman" w:eastAsia="仿宋_GB2312"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电影院的设施、设备以及用于流动放映的设备应当符合电影放映技术的国家标准。擅自改建、拆除电影院或者放映设施。电影院应当按照国家有关规定安装计算机售票系统。</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580" w:right="0"/>
        <w:jc w:val="both"/>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影院票房合规</w:t>
      </w:r>
      <w:r>
        <w:rPr>
          <w:rFonts w:hint="default" w:ascii="Times New Roman" w:hAnsi="Times New Roman" w:eastAsia="仿宋_GB2312"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电影发行企业、电影院等应当如实统计电影销售收入，提供真实准确的统计数据，不得采取制造虚假交易、虚报瞒报销售收入等不正当手段，欺骗、误导观众，扰乱电影市场秩序。</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3" w:firstLineChars="200"/>
        <w:jc w:val="both"/>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olor w:val="auto"/>
          <w:spacing w:val="0"/>
          <w:sz w:val="32"/>
          <w:szCs w:val="32"/>
          <w:lang w:eastAsia="zh-CN"/>
        </w:rPr>
        <w:t>【</w:t>
      </w:r>
      <w:r>
        <w:rPr>
          <w:rFonts w:hint="default" w:ascii="Times New Roman" w:hAnsi="Times New Roman" w:eastAsia="黑体" w:cs="Times New Roman"/>
          <w:b/>
          <w:bCs/>
          <w:i w:val="0"/>
          <w:color w:val="auto"/>
          <w:spacing w:val="0"/>
          <w:sz w:val="32"/>
          <w:szCs w:val="32"/>
        </w:rPr>
        <w:t>发行放映合规</w:t>
      </w:r>
      <w:r>
        <w:rPr>
          <w:rFonts w:hint="default" w:ascii="Times New Roman" w:hAnsi="Times New Roman" w:eastAsia="仿宋_GB2312" w:cs="Times New Roman"/>
          <w:b/>
          <w:bCs/>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电影发行放映单位应当依法放映取得国务院广播电影电视行政部门发给的《电影片公映许可证》的电影片。执行国务院广播电影电视行政部门作出的停止发行、放映的决定。不得利用电影资料片从事或者变相从事经营性的发行、放映活动。按照国家规定的国产电影片与进口电影片放映的时间比例放映电影片。</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公共场所卫生管理合规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rPr>
        <w:t>卫生许可和卫生监督信息公示。</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lang w:val="en-US" w:eastAsia="zh-CN"/>
        </w:rPr>
        <w:t>(1)</w:t>
      </w:r>
      <w:r>
        <w:rPr>
          <w:rFonts w:hint="default" w:ascii="Times New Roman" w:hAnsi="Times New Roman" w:eastAsia="仿宋_GB2312" w:cs="Times New Roman"/>
          <w:b w:val="0"/>
          <w:i w:val="0"/>
          <w:color w:val="auto"/>
          <w:spacing w:val="0"/>
          <w:sz w:val="32"/>
          <w:szCs w:val="32"/>
          <w:lang w:eastAsia="zh-CN"/>
        </w:rPr>
        <w:t>公</w:t>
      </w:r>
      <w:r>
        <w:rPr>
          <w:rFonts w:hint="default" w:ascii="Times New Roman" w:hAnsi="Times New Roman" w:eastAsia="仿宋_GB2312" w:cs="Times New Roman"/>
          <w:b w:val="0"/>
          <w:i w:val="0"/>
          <w:color w:val="auto"/>
          <w:spacing w:val="0"/>
          <w:sz w:val="32"/>
          <w:szCs w:val="32"/>
        </w:rPr>
        <w:t>共场所经营单位应持有效卫生许可证，卫生许可证有效期限4年；禁止涂改、转让、倒卖、伪造《公共场所卫生许可证》；变更单位名称、法定代表人或者负责人的，应当向原发证卫生健康部门办理变更手续。公共场所经营者变更经营项目、经营场所地址的，应当向县级以上地方人民政府卫生健康部门重新申请卫生许可证。公共场所经营者需要延续卫生许可证的，应当在卫生许可证有效期届满30日前，向原发证卫生健康部门提出申请</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lang w:val="en-US" w:eastAsia="zh-CN"/>
        </w:rPr>
        <w:t>(2)</w:t>
      </w:r>
      <w:r>
        <w:rPr>
          <w:rFonts w:hint="default" w:ascii="Times New Roman" w:hAnsi="Times New Roman" w:eastAsia="仿宋_GB2312" w:cs="Times New Roman"/>
          <w:b w:val="0"/>
          <w:i w:val="0"/>
          <w:color w:val="auto"/>
          <w:spacing w:val="0"/>
          <w:sz w:val="32"/>
          <w:szCs w:val="32"/>
        </w:rPr>
        <w:t>对公共场所空气、微小气候、顾客用品用具、集中空调通风系统等进行卫生检测</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醒目位置公示卫生监督信息(卫生许可证、卫生信誉等级及卫生检测报告等)</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2.</w:t>
      </w:r>
      <w:r>
        <w:rPr>
          <w:rFonts w:hint="default" w:ascii="Times New Roman" w:hAnsi="Times New Roman" w:eastAsia="仿宋_GB2312" w:cs="Times New Roman"/>
          <w:b w:val="0"/>
          <w:i w:val="0"/>
          <w:color w:val="auto"/>
          <w:spacing w:val="0"/>
          <w:sz w:val="32"/>
          <w:szCs w:val="32"/>
        </w:rPr>
        <w:t>从业人员卫生管理。从业人员持有效合格健康证明，健康合格证明有效期限1年；从业人员每2年进行1次卫生知识培训，培训合格取得培训合格证明后方可上岗。</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3.</w:t>
      </w:r>
      <w:r>
        <w:rPr>
          <w:rFonts w:hint="default" w:ascii="Times New Roman" w:hAnsi="Times New Roman" w:eastAsia="仿宋_GB2312" w:cs="Times New Roman"/>
          <w:b w:val="0"/>
          <w:i w:val="0"/>
          <w:color w:val="auto"/>
          <w:spacing w:val="0"/>
          <w:sz w:val="32"/>
          <w:szCs w:val="32"/>
        </w:rPr>
        <w:t>经营单位卫生管理。设立卫生管理部门，配备专(兼)职卫生管理人员；建立卫生管理制度及公共场所传染病和健康危害事故应急预案；建立健全卫生管理档案。</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4.</w:t>
      </w:r>
      <w:r>
        <w:rPr>
          <w:rFonts w:hint="default" w:ascii="Times New Roman" w:hAnsi="Times New Roman" w:eastAsia="仿宋_GB2312" w:cs="Times New Roman"/>
          <w:b w:val="0"/>
          <w:i w:val="0"/>
          <w:color w:val="auto"/>
          <w:spacing w:val="0"/>
          <w:sz w:val="32"/>
          <w:szCs w:val="32"/>
        </w:rPr>
        <w:t>卫生设施和卫生措施。公共场所经营单位应设置与经营规模相适应的清洗、消毒、保洁设施。</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5.</w:t>
      </w:r>
      <w:r>
        <w:rPr>
          <w:rFonts w:hint="default" w:ascii="Times New Roman" w:hAnsi="Times New Roman" w:eastAsia="仿宋_GB2312" w:cs="Times New Roman"/>
          <w:b w:val="0"/>
          <w:i w:val="0"/>
          <w:color w:val="auto"/>
          <w:spacing w:val="0"/>
          <w:sz w:val="32"/>
          <w:szCs w:val="32"/>
        </w:rPr>
        <w:t>病媒生物防制。应当配备安全、有效的预防控制蚊、蝇、蟑螂、鼠和其他病媒生物的设施设备及废弃物存放专用设施设备，并保证相关设施设备的正常使用，及时清运废物。</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6.</w:t>
      </w:r>
      <w:r>
        <w:rPr>
          <w:rFonts w:hint="default" w:ascii="Times New Roman" w:hAnsi="Times New Roman" w:eastAsia="仿宋_GB2312" w:cs="Times New Roman"/>
          <w:b w:val="0"/>
          <w:i w:val="0"/>
          <w:color w:val="auto"/>
          <w:spacing w:val="0"/>
          <w:sz w:val="32"/>
          <w:szCs w:val="32"/>
        </w:rPr>
        <w:t>集中空调通风系统管理。公共场所经营单位应按要求对集中空调通风系统进行清洗消毒和卫生检测，并建立健全卫生管理档案。</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lang w:val="en-US" w:eastAsia="zh-CN"/>
        </w:rPr>
        <w:t>7.</w:t>
      </w:r>
      <w:r>
        <w:rPr>
          <w:rFonts w:hint="default" w:ascii="Times New Roman" w:hAnsi="Times New Roman" w:eastAsia="仿宋_GB2312" w:cs="Times New Roman"/>
          <w:b w:val="0"/>
          <w:i w:val="0"/>
          <w:color w:val="auto"/>
          <w:spacing w:val="0"/>
          <w:sz w:val="32"/>
          <w:szCs w:val="32"/>
        </w:rPr>
        <w:t>公共场所发生危害健康事故的，经营者应当立即处置，防止危害扩大，并及时向县级人民政府卫生计生行政部门报告。任何单位或者个人对危害健康事故不得隐瞒、缓报、谎报或者授意他人隐瞒、缓报、谎报。</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val="0"/>
          <w:i w:val="0"/>
          <w:color w:val="auto"/>
          <w:spacing w:val="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b/>
          <w:i w:val="0"/>
          <w:color w:val="auto"/>
          <w:spacing w:val="0"/>
          <w:sz w:val="32"/>
          <w:szCs w:val="32"/>
        </w:rPr>
      </w:pPr>
      <w:r>
        <w:rPr>
          <w:rFonts w:hint="default" w:ascii="Times New Roman" w:hAnsi="Times New Roman" w:eastAsia="仿宋_GB2312" w:cs="Times New Roman"/>
          <w:b/>
          <w:i w:val="0"/>
          <w:color w:val="auto"/>
          <w:spacing w:val="0"/>
          <w:sz w:val="32"/>
          <w:szCs w:val="32"/>
          <w:lang w:eastAsia="zh-CN"/>
        </w:rPr>
        <w:t>【</w:t>
      </w:r>
      <w:r>
        <w:rPr>
          <w:rFonts w:hint="default" w:ascii="Times New Roman" w:hAnsi="Times New Roman" w:eastAsia="黑体" w:cs="Times New Roman"/>
          <w:b/>
          <w:i w:val="0"/>
          <w:color w:val="auto"/>
          <w:spacing w:val="0"/>
          <w:sz w:val="32"/>
          <w:szCs w:val="32"/>
        </w:rPr>
        <w:t>消防安全合规</w:t>
      </w:r>
      <w:r>
        <w:rPr>
          <w:rFonts w:hint="default" w:ascii="Times New Roman" w:hAnsi="Times New Roman" w:eastAsia="仿宋_GB2312" w:cs="Times New Roman"/>
          <w:b/>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58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1.依法办理消防设计审查、消防验收和公众聚集场所投入使用、营业前消防安全检查。</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2.应当落实消防安全主体责任，履行下列职责：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(1)明确各级、各岗位消防安全责任人及其职责，制定本单位的消防安全制度、消防安全操作规程、灭火和应急疏散预案。定期组织开展灭火和应急疏散演练，进行消防工作检查考核，保证各项规章制度落实</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(2)保证防火检查巡查、消防设施器材维护保养、建筑消防设施检测、火灾隐患整改、专职或志愿消防队和微型消防站建设等消防工作所需资金的投入。生产经营单位安全费用应当保证适当比例用于消防工作</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(3)按照相关标准配备消防设施、器材，设置消防安全标志，定期检验维修，对建筑消防设施每年至少进行一次全面检测，确保完好有效。设有消防控制室的，实行24小时值班制度，每班不少于2人，并持证上岗</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(4)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(5)定期开展防火检查、巡查，及时消除火灾隐患</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(6)根据需要建立专职或志愿消防队、微型消防站，加强队伍建设，定期组织训练演练，加强消防装备配备和灭火药剂储备，建立联勤联动机制，提高扑救初起火灾能力</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olor w:val="auto"/>
          <w:spacing w:val="0"/>
          <w:sz w:val="32"/>
          <w:szCs w:val="32"/>
        </w:rPr>
        <w:t>(7)消防法律、法规、规章以及政策文件规定的其他职责。</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3.属于消防安全重点单位的，除上述职责外还应当：</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(1)明确承担消防安全管理工作的机构和消防安全管理人并报知当地消防部门，组织实施本单位消防安全管理。消防安全管理人应当经过消防培训</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(2)建立消防档案，确定消防安全重点部位，设置防火标志，实行严格管理</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(3)安装、使用电器产品、燃气用具和敷设电气线路、管线必须符合相关标准和用电、用气安全管理规定，并定期维护保养、检测</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lang w:eastAsia="zh-CN"/>
        </w:rPr>
      </w:pPr>
      <w:r>
        <w:rPr>
          <w:rFonts w:hint="default" w:ascii="Times New Roman" w:hAnsi="Times New Roman" w:eastAsia="仿宋_GB2312" w:cs="Times New Roman"/>
          <w:b w:val="0"/>
          <w:i w:val="0"/>
          <w:color w:val="auto"/>
          <w:spacing w:val="0"/>
          <w:sz w:val="32"/>
          <w:szCs w:val="32"/>
        </w:rPr>
        <w:t>(4)组织员工进行岗前消防安全培训，定期组织消防安全培训和疏散演练</w:t>
      </w:r>
      <w:r>
        <w:rPr>
          <w:rFonts w:hint="default" w:ascii="Times New Roman" w:hAnsi="Times New Roman" w:eastAsia="仿宋_GB2312" w:cs="Times New Roman"/>
          <w:b w:val="0"/>
          <w:i w:val="0"/>
          <w:color w:val="auto"/>
          <w:spacing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20"/>
        <w:jc w:val="both"/>
        <w:textAlignment w:val="baseline"/>
        <w:rPr>
          <w:rFonts w:hint="default" w:ascii="Times New Roman" w:hAnsi="Times New Roman" w:eastAsia="仿宋_GB2312" w:cs="Times New Roman"/>
          <w:b w:val="0"/>
          <w:i w:val="0"/>
          <w:color w:val="auto"/>
          <w:spacing w:val="0"/>
          <w:sz w:val="32"/>
          <w:szCs w:val="32"/>
        </w:rPr>
      </w:pPr>
      <w:r>
        <w:rPr>
          <w:rFonts w:hint="default" w:ascii="Times New Roman" w:hAnsi="Times New Roman" w:eastAsia="仿宋_GB2312" w:cs="Times New Roman"/>
          <w:b w:val="0"/>
          <w:i w:val="0"/>
          <w:color w:val="auto"/>
          <w:spacing w:val="0"/>
          <w:sz w:val="32"/>
          <w:szCs w:val="32"/>
        </w:rPr>
        <w:t>(5)积极应用消防远程监控、电气火灾监测、物联网技术等技防物防措施。</w:t>
      </w: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0"/>
        <w:jc w:val="both"/>
        <w:textAlignment w:val="baseline"/>
        <w:rPr>
          <w:rFonts w:hint="default" w:ascii="Times New Roman" w:hAnsi="Times New Roman" w:eastAsia="仿宋" w:cs="Times New Roman"/>
          <w:b w:val="0"/>
          <w:i w:val="0"/>
          <w:color w:val="auto"/>
          <w:spacing w:val="0"/>
          <w:sz w:val="29"/>
          <w:lang w:val="en-US" w:eastAsia="zh-CN"/>
        </w:rPr>
      </w:pPr>
    </w:p>
    <w:sectPr>
      <w:headerReference r:id="rId5" w:type="default"/>
      <w:footerReference r:id="rId6"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55BA52"/>
    <w:multiLevelType w:val="singleLevel"/>
    <w:tmpl w:val="CF55BA52"/>
    <w:lvl w:ilvl="0" w:tentative="0">
      <w:start w:val="4"/>
      <w:numFmt w:val="decimal"/>
      <w:lvlText w:val="%1."/>
      <w:lvlJc w:val="left"/>
      <w:pPr>
        <w:tabs>
          <w:tab w:val="left" w:pos="312"/>
        </w:tabs>
      </w:pPr>
    </w:lvl>
  </w:abstractNum>
  <w:abstractNum w:abstractNumId="1">
    <w:nsid w:val="1FAF4BFD"/>
    <w:multiLevelType w:val="singleLevel"/>
    <w:tmpl w:val="1FAF4BFD"/>
    <w:lvl w:ilvl="0" w:tentative="0">
      <w:start w:val="1"/>
      <w:numFmt w:val="chineseCounting"/>
      <w:suff w:val="nothing"/>
      <w:lvlText w:val="%1、"/>
      <w:lvlJc w:val="left"/>
      <w:rPr>
        <w:rFonts w:hint="eastAsia" w:ascii="黑体" w:hAnsi="黑体" w:eastAsia="黑体" w:cs="黑体"/>
      </w:rPr>
    </w:lvl>
  </w:abstractNum>
  <w:abstractNum w:abstractNumId="2">
    <w:nsid w:val="36937DEA"/>
    <w:multiLevelType w:val="singleLevel"/>
    <w:tmpl w:val="36937DEA"/>
    <w:lvl w:ilvl="0" w:tentative="0">
      <w:start w:val="2"/>
      <w:numFmt w:val="chineseCounting"/>
      <w:suff w:val="nothing"/>
      <w:lvlText w:val="%1、"/>
      <w:lvlJc w:val="left"/>
      <w:rPr>
        <w:rFonts w:hint="eastAsia"/>
      </w:rPr>
    </w:lvl>
  </w:abstractNum>
  <w:abstractNum w:abstractNumId="3">
    <w:nsid w:val="5B5EC21E"/>
    <w:multiLevelType w:val="singleLevel"/>
    <w:tmpl w:val="5B5EC21E"/>
    <w:lvl w:ilvl="0" w:tentative="0">
      <w:start w:val="6"/>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03155"/>
    <w:rsid w:val="001F7F53"/>
    <w:rsid w:val="00D00841"/>
    <w:rsid w:val="02042F93"/>
    <w:rsid w:val="022C6679"/>
    <w:rsid w:val="03AA1C31"/>
    <w:rsid w:val="06415E6B"/>
    <w:rsid w:val="0643681C"/>
    <w:rsid w:val="065C0BB3"/>
    <w:rsid w:val="06CF38AB"/>
    <w:rsid w:val="06D42CFE"/>
    <w:rsid w:val="07A3442E"/>
    <w:rsid w:val="08212F92"/>
    <w:rsid w:val="092671B1"/>
    <w:rsid w:val="09873ED6"/>
    <w:rsid w:val="09BF12C6"/>
    <w:rsid w:val="0A6F749A"/>
    <w:rsid w:val="0B307B55"/>
    <w:rsid w:val="0BF64EA8"/>
    <w:rsid w:val="0C9B09B2"/>
    <w:rsid w:val="0CF1136C"/>
    <w:rsid w:val="0D327F09"/>
    <w:rsid w:val="0D5E60AF"/>
    <w:rsid w:val="0D7D44A0"/>
    <w:rsid w:val="0D817BC6"/>
    <w:rsid w:val="0DE668C2"/>
    <w:rsid w:val="0E7349B9"/>
    <w:rsid w:val="0FA82538"/>
    <w:rsid w:val="0FD95B03"/>
    <w:rsid w:val="10E422DC"/>
    <w:rsid w:val="10F802AF"/>
    <w:rsid w:val="113A66DB"/>
    <w:rsid w:val="11B532B3"/>
    <w:rsid w:val="11FB68C4"/>
    <w:rsid w:val="125C639A"/>
    <w:rsid w:val="12F86896"/>
    <w:rsid w:val="139B099C"/>
    <w:rsid w:val="14D50E87"/>
    <w:rsid w:val="1567475F"/>
    <w:rsid w:val="16345105"/>
    <w:rsid w:val="17C67C63"/>
    <w:rsid w:val="18D345AC"/>
    <w:rsid w:val="19913F59"/>
    <w:rsid w:val="1BAA0105"/>
    <w:rsid w:val="1BBF4C74"/>
    <w:rsid w:val="1BC6205E"/>
    <w:rsid w:val="1C644003"/>
    <w:rsid w:val="1D0F4589"/>
    <w:rsid w:val="1E105659"/>
    <w:rsid w:val="1F1C5DC1"/>
    <w:rsid w:val="1F8462D8"/>
    <w:rsid w:val="1FB451CC"/>
    <w:rsid w:val="207136A4"/>
    <w:rsid w:val="207C3C1E"/>
    <w:rsid w:val="20DE0C1F"/>
    <w:rsid w:val="23E6441B"/>
    <w:rsid w:val="2443041A"/>
    <w:rsid w:val="250B468C"/>
    <w:rsid w:val="25225423"/>
    <w:rsid w:val="25B21AFE"/>
    <w:rsid w:val="25E82BF7"/>
    <w:rsid w:val="27341998"/>
    <w:rsid w:val="27351208"/>
    <w:rsid w:val="29685C37"/>
    <w:rsid w:val="2AE001AD"/>
    <w:rsid w:val="2B652E2F"/>
    <w:rsid w:val="2BCA34DB"/>
    <w:rsid w:val="2CCA21B2"/>
    <w:rsid w:val="2DC36D70"/>
    <w:rsid w:val="2EF672EC"/>
    <w:rsid w:val="2F187AB9"/>
    <w:rsid w:val="2F5038D1"/>
    <w:rsid w:val="30577EB5"/>
    <w:rsid w:val="31C65A90"/>
    <w:rsid w:val="31CE6700"/>
    <w:rsid w:val="31DA4E35"/>
    <w:rsid w:val="321B6C36"/>
    <w:rsid w:val="32A23185"/>
    <w:rsid w:val="32B02ABD"/>
    <w:rsid w:val="338B7FC5"/>
    <w:rsid w:val="33FD1284"/>
    <w:rsid w:val="340C4529"/>
    <w:rsid w:val="36772AFC"/>
    <w:rsid w:val="38125AB5"/>
    <w:rsid w:val="389A3A1B"/>
    <w:rsid w:val="391901B7"/>
    <w:rsid w:val="394854E2"/>
    <w:rsid w:val="3A3505DA"/>
    <w:rsid w:val="3A3D12A6"/>
    <w:rsid w:val="3AE2444B"/>
    <w:rsid w:val="3B8C2D45"/>
    <w:rsid w:val="3B950CFC"/>
    <w:rsid w:val="3BF00A7F"/>
    <w:rsid w:val="3CC43A95"/>
    <w:rsid w:val="3D2B61A3"/>
    <w:rsid w:val="3D4011FA"/>
    <w:rsid w:val="3DDD2F9B"/>
    <w:rsid w:val="3F37AD01"/>
    <w:rsid w:val="3F7E4D46"/>
    <w:rsid w:val="3FFE0329"/>
    <w:rsid w:val="40031D14"/>
    <w:rsid w:val="413C59A0"/>
    <w:rsid w:val="41954259"/>
    <w:rsid w:val="42340F08"/>
    <w:rsid w:val="43827978"/>
    <w:rsid w:val="43B14B43"/>
    <w:rsid w:val="4474447D"/>
    <w:rsid w:val="449961EE"/>
    <w:rsid w:val="46353767"/>
    <w:rsid w:val="46A441E8"/>
    <w:rsid w:val="480F7FC2"/>
    <w:rsid w:val="484A497D"/>
    <w:rsid w:val="484C152C"/>
    <w:rsid w:val="4874013C"/>
    <w:rsid w:val="488333E4"/>
    <w:rsid w:val="495E4A98"/>
    <w:rsid w:val="49C95368"/>
    <w:rsid w:val="49F31AD6"/>
    <w:rsid w:val="4A1334E4"/>
    <w:rsid w:val="4A253C90"/>
    <w:rsid w:val="4A75122F"/>
    <w:rsid w:val="4B05723A"/>
    <w:rsid w:val="4B591B7A"/>
    <w:rsid w:val="4B8876B1"/>
    <w:rsid w:val="4CBA73B2"/>
    <w:rsid w:val="4D0A4D32"/>
    <w:rsid w:val="4D2B3EBE"/>
    <w:rsid w:val="4DAD4D9C"/>
    <w:rsid w:val="4FF935FD"/>
    <w:rsid w:val="516276A5"/>
    <w:rsid w:val="5171150B"/>
    <w:rsid w:val="51B026EB"/>
    <w:rsid w:val="51EC7166"/>
    <w:rsid w:val="523B1256"/>
    <w:rsid w:val="52407123"/>
    <w:rsid w:val="52B03F0C"/>
    <w:rsid w:val="52D45EB0"/>
    <w:rsid w:val="537D07E0"/>
    <w:rsid w:val="5539262D"/>
    <w:rsid w:val="55441A99"/>
    <w:rsid w:val="5674401B"/>
    <w:rsid w:val="56923114"/>
    <w:rsid w:val="56A25E06"/>
    <w:rsid w:val="57552891"/>
    <w:rsid w:val="57DF4A84"/>
    <w:rsid w:val="582042C6"/>
    <w:rsid w:val="588E0BE6"/>
    <w:rsid w:val="5A37526F"/>
    <w:rsid w:val="5AC925D2"/>
    <w:rsid w:val="5BC561BC"/>
    <w:rsid w:val="5BDC5B62"/>
    <w:rsid w:val="5C0D70E8"/>
    <w:rsid w:val="5C4316F7"/>
    <w:rsid w:val="5CC46154"/>
    <w:rsid w:val="5CD800F2"/>
    <w:rsid w:val="5D6B1A2C"/>
    <w:rsid w:val="5DC25DCF"/>
    <w:rsid w:val="5E5E7429"/>
    <w:rsid w:val="5E6224DE"/>
    <w:rsid w:val="5EE90003"/>
    <w:rsid w:val="5F881226"/>
    <w:rsid w:val="5FEE7AC1"/>
    <w:rsid w:val="60937FFD"/>
    <w:rsid w:val="60E538B1"/>
    <w:rsid w:val="620C7176"/>
    <w:rsid w:val="63321944"/>
    <w:rsid w:val="63ED7FDE"/>
    <w:rsid w:val="64243800"/>
    <w:rsid w:val="64461184"/>
    <w:rsid w:val="646620C9"/>
    <w:rsid w:val="64AA7EF1"/>
    <w:rsid w:val="655E3F55"/>
    <w:rsid w:val="65710A2C"/>
    <w:rsid w:val="663366B5"/>
    <w:rsid w:val="66B30929"/>
    <w:rsid w:val="6803617B"/>
    <w:rsid w:val="68CA237D"/>
    <w:rsid w:val="69A91216"/>
    <w:rsid w:val="6AE568BF"/>
    <w:rsid w:val="6B5F47C2"/>
    <w:rsid w:val="6BCA59F8"/>
    <w:rsid w:val="6C415D41"/>
    <w:rsid w:val="6E9F7308"/>
    <w:rsid w:val="6F201482"/>
    <w:rsid w:val="710D202B"/>
    <w:rsid w:val="723B3AD5"/>
    <w:rsid w:val="72D66CEF"/>
    <w:rsid w:val="733B2AEC"/>
    <w:rsid w:val="73494168"/>
    <w:rsid w:val="734958D4"/>
    <w:rsid w:val="739E7C2A"/>
    <w:rsid w:val="73E1456D"/>
    <w:rsid w:val="74553799"/>
    <w:rsid w:val="74B4224D"/>
    <w:rsid w:val="766F5D3E"/>
    <w:rsid w:val="772A2F18"/>
    <w:rsid w:val="77BA10DF"/>
    <w:rsid w:val="77D03155"/>
    <w:rsid w:val="793B3667"/>
    <w:rsid w:val="79650C11"/>
    <w:rsid w:val="796E3EE1"/>
    <w:rsid w:val="7C9D19C5"/>
    <w:rsid w:val="7DCFF903"/>
    <w:rsid w:val="7DF72EB6"/>
    <w:rsid w:val="8E74AE53"/>
    <w:rsid w:val="CFBF6099"/>
    <w:rsid w:val="D79A3EF7"/>
    <w:rsid w:val="DF7EAE8A"/>
    <w:rsid w:val="EEFFF8DF"/>
    <w:rsid w:val="F97BC06F"/>
    <w:rsid w:val="FA9F9AFC"/>
    <w:rsid w:val="FDEBBC55"/>
    <w:rsid w:val="FEBFE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Times New Roman" w:hAnsi="Times New Roman" w:eastAsia="方正小标宋_GBK"/>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Body Text 2"/>
    <w:basedOn w:val="1"/>
    <w:qFormat/>
    <w:uiPriority w:val="0"/>
    <w:pPr>
      <w:spacing w:line="360" w:lineRule="auto"/>
    </w:pPr>
    <w:rPr>
      <w:rFonts w:ascii="仿宋_GB2312" w:eastAsia="仿宋_GB2312"/>
      <w:sz w:val="32"/>
      <w:szCs w:val="32"/>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2025-09-19T04:03:00Z</dcterms:created>
  <dc:creator>hll</dc:creator>
  <cp:lastModifiedBy>Administrator</cp:lastModifiedBy>
  <cp:lastPrinted>2025-10-09T09:51:00Z</cp:lastPrinted>
  <dcterms:modified xsi:type="dcterms:W3CDTF">2025-12-12T05:10:25Z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A80A7BB7E858F9F2E71FD968CBDD3E0A</vt:lpwstr>
  </property>
</Properties>
</file>