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11076"/>
      <w:bookmarkStart w:id="1" w:name="_Toc76683343"/>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non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15</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新疆永禾石化有限公司:</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val="en-US" w:eastAsia="zh-CN"/>
        </w:rPr>
        <w:t>新疆永禾石化有限公司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val="en-US" w:eastAsia="zh-CN"/>
        </w:rPr>
        <w:t>新疆永禾石化有限公司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本局拟对</w:t>
      </w:r>
      <w:r>
        <w:rPr>
          <w:rFonts w:hint="eastAsia" w:ascii="Times New Roman" w:hAnsi="Times New Roman" w:eastAsia="仿宋_GB2312" w:cs="仿宋"/>
          <w:sz w:val="32"/>
          <w:szCs w:val="32"/>
          <w:lang w:val="en-US" w:eastAsia="zh-CN"/>
        </w:rPr>
        <w:t>新疆永禾石化有限公司</w:t>
      </w:r>
      <w:bookmarkStart w:id="3" w:name="_GoBack"/>
      <w:bookmarkEnd w:id="3"/>
      <w:r>
        <w:rPr>
          <w:rFonts w:hint="eastAsia" w:ascii="Times New Roman" w:hAnsi="Times New Roman" w:eastAsia="仿宋_GB2312" w:cs="仿宋"/>
          <w:sz w:val="32"/>
          <w:szCs w:val="32"/>
        </w:rPr>
        <w:t>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0FCD346E"/>
    <w:rsid w:val="10077C12"/>
    <w:rsid w:val="1B7C0263"/>
    <w:rsid w:val="1C622EA0"/>
    <w:rsid w:val="267F2E68"/>
    <w:rsid w:val="2BA936F4"/>
    <w:rsid w:val="4CA8348E"/>
    <w:rsid w:val="4FB432C8"/>
    <w:rsid w:val="516A0C28"/>
    <w:rsid w:val="561F7B33"/>
    <w:rsid w:val="5B6B2533"/>
    <w:rsid w:val="5C411FFC"/>
    <w:rsid w:val="61616D87"/>
    <w:rsid w:val="61BB764F"/>
    <w:rsid w:val="684D0837"/>
    <w:rsid w:val="71013BBD"/>
    <w:rsid w:val="7E685865"/>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0</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2025-12-08T02:25:00Z</cp:lastPrinted>
  <dcterms:modified xsi:type="dcterms:W3CDTF">2025-12-08T03:16:25Z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