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76683343"/>
      <w:bookmarkStart w:id="1" w:name="_Toc11076"/>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新疆华宇融汇生物科技股份有限公司: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新疆华宇融汇生物科技股份有限公司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新疆华宇融汇生物科技股份有限公司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对</w:t>
      </w:r>
      <w:r>
        <w:rPr>
          <w:rFonts w:hint="eastAsia" w:ascii="Times New Roman" w:hAnsi="Times New Roman" w:eastAsia="仿宋_GB2312" w:cs="仿宋"/>
          <w:sz w:val="32"/>
          <w:szCs w:val="32"/>
          <w:lang w:val="en-US" w:eastAsia="zh-CN"/>
        </w:rPr>
        <w:t>新疆华宇融汇生物科技股份有限公司</w:t>
      </w:r>
      <w:r>
        <w:rPr>
          <w:rFonts w:hint="eastAsia" w:ascii="Times New Roman" w:hAnsi="Times New Roman" w:eastAsia="仿宋_GB2312" w:cs="仿宋"/>
          <w:sz w:val="32"/>
          <w:szCs w:val="32"/>
        </w:rPr>
        <w:t>本局拟作出吊销其营业执照的行政处罚决定。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bookmarkStart w:id="3" w:name="_GoBack"/>
      <w:bookmarkEnd w:id="3"/>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10077C12"/>
    <w:rsid w:val="1C622EA0"/>
    <w:rsid w:val="2BA936F4"/>
    <w:rsid w:val="398D4531"/>
    <w:rsid w:val="516A0C28"/>
    <w:rsid w:val="5C411FFC"/>
    <w:rsid w:val="61BB764F"/>
    <w:rsid w:val="684D0837"/>
    <w:rsid w:val="71013BBD"/>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2</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2025-12-08T02:14:18Z</cp:lastPrinted>
  <dcterms:modified xsi:type="dcterms:W3CDTF">2025-12-08T02:14:48Z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