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1"/>
        <w:rPr>
          <w:rFonts w:hint="default" w:ascii="Times New Roman" w:hAnsi="Times New Roman" w:eastAsia="方正小标宋简体" w:cs="Times New Roman"/>
          <w:b w:val="0"/>
          <w:bCs w:val="0"/>
          <w:color w:val="auto"/>
          <w:spacing w:val="-12"/>
          <w:sz w:val="44"/>
          <w:szCs w:val="44"/>
          <w:highlight w:val="none"/>
        </w:rPr>
      </w:pPr>
      <w:r>
        <w:rPr>
          <w:rFonts w:hint="default" w:ascii="Times New Roman" w:hAnsi="Times New Roman" w:eastAsia="方正小标宋简体" w:cs="Times New Roman"/>
          <w:b w:val="0"/>
          <w:bCs w:val="0"/>
          <w:color w:val="auto"/>
          <w:spacing w:val="-12"/>
          <w:sz w:val="44"/>
          <w:szCs w:val="44"/>
          <w:highlight w:val="none"/>
          <w:lang w:eastAsia="zh-CN"/>
        </w:rPr>
        <w:t>部分</w:t>
      </w:r>
      <w:r>
        <w:rPr>
          <w:rFonts w:hint="default" w:ascii="Times New Roman" w:hAnsi="Times New Roman" w:eastAsia="方正小标宋简体" w:cs="Times New Roman"/>
          <w:b w:val="0"/>
          <w:bCs w:val="0"/>
          <w:color w:val="auto"/>
          <w:spacing w:val="-12"/>
          <w:sz w:val="44"/>
          <w:szCs w:val="44"/>
          <w:highlight w:val="none"/>
        </w:rPr>
        <w:t>不合格项目小知识</w:t>
      </w:r>
    </w:p>
    <w:p>
      <w:pPr>
        <w:pStyle w:val="5"/>
        <w:keepNext w:val="0"/>
        <w:keepLines w:val="0"/>
        <w:pageBreakBefore w:val="0"/>
        <w:widowControl w:val="0"/>
        <w:kinsoku/>
        <w:wordWrap/>
        <w:overflowPunct/>
        <w:topLinePunct w:val="0"/>
        <w:autoSpaceDE/>
        <w:autoSpaceDN/>
        <w:bidi w:val="0"/>
        <w:snapToGrid/>
        <w:spacing w:line="700" w:lineRule="exact"/>
        <w:textAlignment w:val="auto"/>
        <w:rPr>
          <w:rFonts w:hint="default" w:ascii="Times New Roman" w:hAnsi="Times New Roman" w:cs="Times New Roma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92" w:firstLineChars="200"/>
        <w:jc w:val="left"/>
        <w:textAlignment w:val="auto"/>
        <w:rPr>
          <w:rFonts w:hint="default" w:ascii="Times New Roman" w:hAnsi="Times New Roman" w:eastAsia="黑体" w:cs="Times New Roman"/>
          <w:spacing w:val="-12"/>
          <w:sz w:val="32"/>
          <w:szCs w:val="32"/>
          <w:lang w:eastAsia="zh-CN"/>
        </w:rPr>
      </w:pPr>
      <w:r>
        <w:rPr>
          <w:rFonts w:hint="eastAsia" w:ascii="Times New Roman" w:hAnsi="Times New Roman" w:eastAsia="黑体" w:cs="Times New Roman"/>
          <w:spacing w:val="-12"/>
          <w:sz w:val="32"/>
          <w:szCs w:val="32"/>
          <w:lang w:eastAsia="zh-CN"/>
        </w:rPr>
        <w:t>一、</w:t>
      </w:r>
      <w:bookmarkStart w:id="0" w:name="OLE_LINK1"/>
      <w:r>
        <w:rPr>
          <w:rFonts w:hint="default" w:ascii="Times New Roman" w:hAnsi="Times New Roman" w:eastAsia="黑体" w:cs="Times New Roman"/>
          <w:spacing w:val="-12"/>
          <w:sz w:val="32"/>
          <w:szCs w:val="32"/>
          <w:lang w:eastAsia="zh-CN"/>
        </w:rPr>
        <w:t>乙酰甲胺磷</w:t>
      </w:r>
    </w:p>
    <w:bookmarkEnd w:id="0"/>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spacing w:val="-12"/>
          <w:sz w:val="32"/>
          <w:szCs w:val="32"/>
          <w:lang w:eastAsia="zh-CN"/>
        </w:rPr>
      </w:pPr>
      <w:r>
        <w:rPr>
          <w:rFonts w:hint="eastAsia" w:ascii="仿宋_GB2312" w:hAnsi="仿宋_GB2312" w:eastAsia="仿宋_GB2312" w:cs="仿宋_GB2312"/>
          <w:b w:val="0"/>
          <w:bCs w:val="0"/>
          <w:kern w:val="2"/>
          <w:sz w:val="32"/>
          <w:szCs w:val="32"/>
          <w:highlight w:val="none"/>
          <w:lang w:val="en-GB" w:eastAsia="zh-CN" w:bidi="ar-SA"/>
        </w:rPr>
        <w:t>乙酰甲胺磷是内吸性的有机磷类杀虫剂。《食品安全国家标准 食品中农药最大残留限量》（GB 2763—2021）中规定，辣椒中乙酰甲胺磷的最大残留限量值为</w:t>
      </w:r>
      <w:r>
        <w:rPr>
          <w:rFonts w:hint="eastAsia" w:ascii="仿宋_GB2312" w:hAnsi="仿宋_GB2312" w:eastAsia="仿宋_GB2312" w:cs="仿宋_GB2312"/>
          <w:b w:val="0"/>
          <w:bCs w:val="0"/>
          <w:kern w:val="2"/>
          <w:sz w:val="32"/>
          <w:szCs w:val="32"/>
          <w:highlight w:val="none"/>
          <w:lang w:val="en-US" w:eastAsia="zh-CN" w:bidi="ar-SA"/>
        </w:rPr>
        <w:t>0.02mg/kg。辣椒中</w:t>
      </w:r>
      <w:r>
        <w:rPr>
          <w:rFonts w:hint="eastAsia" w:ascii="仿宋_GB2312" w:hAnsi="仿宋_GB2312" w:eastAsia="仿宋_GB2312" w:cs="仿宋_GB2312"/>
          <w:b w:val="0"/>
          <w:bCs w:val="0"/>
          <w:kern w:val="2"/>
          <w:sz w:val="32"/>
          <w:szCs w:val="32"/>
          <w:highlight w:val="none"/>
          <w:lang w:val="en-GB" w:eastAsia="zh-CN" w:bidi="ar-SA"/>
        </w:rPr>
        <w:t>乙酰甲胺磷不合格原因可能是菜农对使用农药的安全间隔期不了解，从而违规使用或滥用农药。</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92" w:firstLineChars="200"/>
        <w:jc w:val="left"/>
        <w:textAlignment w:val="auto"/>
        <w:rPr>
          <w:rFonts w:hint="eastAsia" w:ascii="Times New Roman" w:hAnsi="Times New Roman" w:eastAsia="黑体" w:cs="Times New Roman"/>
          <w:spacing w:val="-12"/>
          <w:sz w:val="32"/>
          <w:szCs w:val="32"/>
          <w:lang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92" w:firstLineChars="200"/>
        <w:jc w:val="left"/>
        <w:textAlignment w:val="auto"/>
        <w:rPr>
          <w:rFonts w:hint="eastAsia" w:ascii="Times New Roman" w:hAnsi="Times New Roman" w:eastAsia="黑体" w:cs="Times New Roman"/>
          <w:spacing w:val="-12"/>
          <w:sz w:val="32"/>
          <w:szCs w:val="32"/>
          <w:lang w:eastAsia="zh-CN"/>
        </w:rPr>
      </w:pPr>
      <w:r>
        <w:rPr>
          <w:rFonts w:hint="eastAsia" w:ascii="Times New Roman" w:hAnsi="Times New Roman" w:eastAsia="黑体" w:cs="Times New Roman"/>
          <w:spacing w:val="-12"/>
          <w:sz w:val="32"/>
          <w:szCs w:val="32"/>
          <w:lang w:eastAsia="zh-CN"/>
        </w:rPr>
        <w:t>二、噻虫胺</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GB" w:eastAsia="zh-CN" w:bidi="ar-SA"/>
        </w:rPr>
      </w:pPr>
      <w:r>
        <w:rPr>
          <w:rFonts w:hint="default" w:ascii="仿宋_GB2312" w:hAnsi="仿宋_GB2312" w:eastAsia="仿宋_GB2312" w:cs="仿宋_GB2312"/>
          <w:b w:val="0"/>
          <w:bCs w:val="0"/>
          <w:kern w:val="2"/>
          <w:sz w:val="32"/>
          <w:szCs w:val="32"/>
          <w:highlight w:val="none"/>
          <w:lang w:val="en-GB" w:eastAsia="zh-CN" w:bidi="ar-SA"/>
        </w:rPr>
        <w:t>噻虫胺属新烟碱类杀虫剂，具有内吸性、触杀和胃毒作用，对姜蛆等有较好防效。《食品安全国家标准 食品中农药最大残留限量》（GB 2763—20</w:t>
      </w:r>
      <w:r>
        <w:rPr>
          <w:rFonts w:hint="default" w:ascii="仿宋_GB2312" w:hAnsi="仿宋_GB2312" w:eastAsia="仿宋_GB2312" w:cs="仿宋_GB2312"/>
          <w:b w:val="0"/>
          <w:bCs w:val="0"/>
          <w:kern w:val="2"/>
          <w:sz w:val="32"/>
          <w:szCs w:val="32"/>
          <w:highlight w:val="none"/>
          <w:lang w:val="en-US" w:eastAsia="zh-CN" w:bidi="ar-SA"/>
        </w:rPr>
        <w:t>21</w:t>
      </w:r>
      <w:r>
        <w:rPr>
          <w:rFonts w:hint="default" w:ascii="仿宋_GB2312" w:hAnsi="仿宋_GB2312" w:eastAsia="仿宋_GB2312" w:cs="仿宋_GB2312"/>
          <w:b w:val="0"/>
          <w:bCs w:val="0"/>
          <w:kern w:val="2"/>
          <w:sz w:val="32"/>
          <w:szCs w:val="32"/>
          <w:highlight w:val="none"/>
          <w:lang w:val="en-GB" w:eastAsia="zh-CN" w:bidi="ar-SA"/>
        </w:rPr>
        <w:t>）中规定，噻虫胺在</w:t>
      </w:r>
      <w:r>
        <w:rPr>
          <w:rFonts w:hint="eastAsia" w:ascii="仿宋_GB2312" w:hAnsi="仿宋_GB2312" w:eastAsia="仿宋_GB2312" w:cs="仿宋_GB2312"/>
          <w:b w:val="0"/>
          <w:bCs w:val="0"/>
          <w:kern w:val="2"/>
          <w:sz w:val="32"/>
          <w:szCs w:val="32"/>
          <w:highlight w:val="none"/>
          <w:lang w:val="en-GB" w:eastAsia="zh-CN" w:bidi="ar-SA"/>
        </w:rPr>
        <w:t>生</w:t>
      </w:r>
      <w:r>
        <w:rPr>
          <w:rFonts w:hint="default" w:ascii="仿宋_GB2312" w:hAnsi="仿宋_GB2312" w:eastAsia="仿宋_GB2312" w:cs="仿宋_GB2312"/>
          <w:b w:val="0"/>
          <w:bCs w:val="0"/>
          <w:kern w:val="2"/>
          <w:sz w:val="32"/>
          <w:szCs w:val="32"/>
          <w:highlight w:val="none"/>
          <w:lang w:val="en-GB" w:eastAsia="zh-CN" w:bidi="ar-SA"/>
        </w:rPr>
        <w:t>姜中最大残留限量值为0.2mg/kg</w:t>
      </w:r>
      <w:r>
        <w:rPr>
          <w:rFonts w:hint="eastAsia" w:ascii="仿宋_GB2312" w:hAnsi="仿宋_GB2312" w:eastAsia="仿宋_GB2312" w:cs="仿宋_GB2312"/>
          <w:b w:val="0"/>
          <w:bCs w:val="0"/>
          <w:kern w:val="2"/>
          <w:sz w:val="32"/>
          <w:szCs w:val="32"/>
          <w:highlight w:val="none"/>
          <w:lang w:val="en-GB" w:eastAsia="zh-CN" w:bidi="ar-SA"/>
        </w:rPr>
        <w:t>。</w:t>
      </w:r>
      <w:r>
        <w:rPr>
          <w:rFonts w:hint="default" w:ascii="仿宋_GB2312" w:hAnsi="仿宋_GB2312" w:eastAsia="仿宋_GB2312" w:cs="仿宋_GB2312"/>
          <w:b w:val="0"/>
          <w:bCs w:val="0"/>
          <w:kern w:val="2"/>
          <w:sz w:val="32"/>
          <w:szCs w:val="32"/>
          <w:highlight w:val="none"/>
          <w:lang w:val="en-GB" w:eastAsia="zh-CN" w:bidi="ar-SA"/>
        </w:rPr>
        <w:t>噻虫胺残留量超标的原因，可能是种植户为快速控制虫害，加大用药量或未遵守采摘间隔期规定，致使上市销售的产品中残留量超标。</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92" w:firstLineChars="200"/>
        <w:jc w:val="left"/>
        <w:textAlignment w:val="auto"/>
        <w:rPr>
          <w:rFonts w:hint="eastAsia" w:ascii="Times New Roman" w:hAnsi="Times New Roman" w:eastAsia="黑体" w:cs="Times New Roman"/>
          <w:spacing w:val="-12"/>
          <w:sz w:val="32"/>
          <w:szCs w:val="32"/>
          <w:lang w:eastAsia="zh-CN"/>
        </w:rPr>
      </w:pP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592" w:firstLineChars="200"/>
        <w:jc w:val="left"/>
        <w:textAlignment w:val="auto"/>
        <w:rPr>
          <w:rFonts w:hint="eastAsia" w:ascii="Times New Roman" w:hAnsi="Times New Roman" w:eastAsia="黑体" w:cs="Times New Roman"/>
          <w:spacing w:val="-12"/>
          <w:sz w:val="32"/>
          <w:szCs w:val="32"/>
          <w:lang w:eastAsia="zh-CN"/>
        </w:rPr>
      </w:pPr>
      <w:r>
        <w:rPr>
          <w:rFonts w:hint="eastAsia" w:ascii="Times New Roman" w:hAnsi="Times New Roman" w:eastAsia="黑体" w:cs="Times New Roman"/>
          <w:spacing w:val="-12"/>
          <w:sz w:val="32"/>
          <w:szCs w:val="32"/>
          <w:lang w:eastAsia="zh-CN"/>
        </w:rPr>
        <w:t>三、咪鲜胺和咪鲜胺锰盐</w:t>
      </w:r>
    </w:p>
    <w:p>
      <w:pPr>
        <w:pStyle w:val="5"/>
        <w:keepNext w:val="0"/>
        <w:keepLines w:val="0"/>
        <w:pageBreakBefore w:val="0"/>
        <w:kinsoku/>
        <w:wordWrap/>
        <w:overflowPunct/>
        <w:topLinePunct w:val="0"/>
        <w:autoSpaceDE/>
        <w:autoSpaceDN/>
        <w:bidi w:val="0"/>
        <w:snapToGrid w:val="0"/>
        <w:spacing w:after="0" w:line="560" w:lineRule="exact"/>
        <w:ind w:left="0" w:leftChars="0"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仿宋_GB2312" w:hAnsi="仿宋_GB2312" w:eastAsia="仿宋_GB2312" w:cs="仿宋_GB2312"/>
          <w:b w:val="0"/>
          <w:bCs w:val="0"/>
          <w:kern w:val="2"/>
          <w:sz w:val="32"/>
          <w:szCs w:val="32"/>
          <w:highlight w:val="none"/>
          <w:lang w:val="en-US" w:eastAsia="zh-CN" w:bidi="ar-SA"/>
        </w:rPr>
        <w:t>咪鲜胺和咪鲜胺锰盐是一种广谱高效杀菌剂。《食品安全国家标准 食品中农药最大残留限量》（GB 2763-2021）中规定，山药中咪鲜胺和咪鲜胺锰盐的最大残留限量值为0.3mg/kg。造成山药中咪鲜胺和咪鲜胺锰盐超标的主要原因可能是种植户对使用农药的安全间隔期不了解，从而违规使用或滥用农药。</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592" w:firstLineChars="200"/>
        <w:jc w:val="left"/>
        <w:textAlignment w:val="auto"/>
        <w:rPr>
          <w:rFonts w:hint="eastAsia" w:ascii="Times New Roman" w:hAnsi="Times New Roman" w:eastAsia="黑体" w:cs="Times New Roman"/>
          <w:spacing w:val="-12"/>
          <w:sz w:val="32"/>
          <w:szCs w:val="32"/>
          <w:lang w:eastAsia="zh-CN"/>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Times New Roman" w:eastAsia="黑体" w:cs="Times New Roman"/>
          <w:sz w:val="32"/>
          <w:szCs w:val="32"/>
          <w:lang w:val="en-GB" w:eastAsia="zh-CN" w:bidi="ar"/>
        </w:rPr>
      </w:pPr>
      <w:r>
        <w:rPr>
          <w:rFonts w:hint="eastAsia" w:ascii="黑体" w:hAnsi="Times New Roman" w:eastAsia="黑体" w:cs="Times New Roman"/>
          <w:sz w:val="32"/>
          <w:szCs w:val="32"/>
          <w:lang w:val="en-GB" w:eastAsia="zh-CN" w:bidi="ar"/>
        </w:rPr>
        <w:t>四、甜蜜素(以环己基氨基磺酸计)</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甜蜜素的化学名称为“环己基氨基磺酸钠”，是食品添加剂中人工生产的一种低热量甜味剂。按照我国食品安全国家标准《食品添加剂使用标准》（GB2760-2014）规定，甜蜜素属于合法的食品添加剂，但禁止在白酒中使用。其不合格的原因可能是：一是原料带入；二是企业违规使用；三是生产过程控制不严。</w:t>
      </w:r>
    </w:p>
    <w:p>
      <w:pPr>
        <w:keepNext w:val="0"/>
        <w:keepLines w:val="0"/>
        <w:pageBreakBefore w:val="0"/>
        <w:kinsoku/>
        <w:wordWrap/>
        <w:overflowPunct/>
        <w:topLinePunct w:val="0"/>
        <w:autoSpaceDE/>
        <w:autoSpaceDN/>
        <w:bidi w:val="0"/>
        <w:spacing w:line="560" w:lineRule="exact"/>
        <w:ind w:firstLine="640" w:firstLineChars="200"/>
        <w:textAlignment w:val="auto"/>
        <w:rPr>
          <w:sz w:val="32"/>
          <w:szCs w:val="32"/>
        </w:rPr>
      </w:pPr>
      <w:bookmarkStart w:id="1" w:name="_GoBack"/>
      <w:bookmarkEnd w:id="1"/>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453FE7"/>
    <w:rsid w:val="24AF6911"/>
    <w:rsid w:val="256C5DAC"/>
    <w:rsid w:val="26152947"/>
    <w:rsid w:val="3B453FE7"/>
    <w:rsid w:val="4BBD0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2"/>
    <w:basedOn w:val="2"/>
    <w:next w:val="1"/>
    <w:qFormat/>
    <w:uiPriority w:val="0"/>
    <w:pPr>
      <w:adjustRightInd w:val="0"/>
      <w:ind w:left="0" w:leftChars="0" w:firstLine="880" w:firstLineChars="200"/>
    </w:pPr>
    <w:rPr>
      <w:rFonts w:ascii="Calibri" w:hAnsi="Calibri" w:eastAsia="仿宋" w:cs="Times New Roman"/>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2025-09-02T09:14:00Z</dcterms:created>
  <dc:creator>夜，魅，离</dc:creator>
  <cp:lastModifiedBy>夜，魅，离</cp:lastModifiedBy>
  <dcterms:modified xsi:type="dcterms:W3CDTF">2025-10-11T05:05:54Z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