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44"/>
          <w:szCs w:val="44"/>
          <w:lang w:val="en-US" w:eastAsia="zh-CN"/>
        </w:rPr>
      </w:pPr>
      <w:r>
        <w:rPr>
          <w:rFonts w:hint="default" w:ascii="Times New Roman" w:hAnsi="Times New Roman" w:eastAsia="仿宋_GB2312" w:cs="Times New Roman"/>
          <w:color w:val="auto"/>
          <w:sz w:val="32"/>
          <w:szCs w:val="32"/>
          <w:lang w:val="en-US" w:eastAsia="zh-CN"/>
        </w:rPr>
        <w:t>附件3：</w:t>
      </w:r>
    </w:p>
    <w:p>
      <w:pPr>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outlineLvl w:val="1"/>
        <w:rPr>
          <w:rFonts w:hint="default" w:ascii="Times New Roman" w:hAnsi="Times New Roman" w:eastAsia="仿宋_GB2312" w:cs="Times New Roman"/>
          <w:b w:val="0"/>
          <w:bCs w:val="0"/>
          <w:color w:val="auto"/>
          <w:spacing w:val="-12"/>
          <w:sz w:val="44"/>
          <w:szCs w:val="44"/>
          <w:highlight w:val="none"/>
        </w:rPr>
      </w:pPr>
      <w:r>
        <w:rPr>
          <w:rFonts w:hint="default" w:ascii="Times New Roman" w:hAnsi="Times New Roman" w:eastAsia="方正小标宋简体" w:cs="Times New Roman"/>
          <w:b w:val="0"/>
          <w:bCs w:val="0"/>
          <w:color w:val="auto"/>
          <w:spacing w:val="-12"/>
          <w:sz w:val="44"/>
          <w:szCs w:val="44"/>
          <w:highlight w:val="none"/>
          <w:lang w:eastAsia="zh-CN"/>
        </w:rPr>
        <w:t>部分</w:t>
      </w:r>
      <w:r>
        <w:rPr>
          <w:rFonts w:hint="default" w:ascii="Times New Roman" w:hAnsi="Times New Roman" w:eastAsia="方正小标宋简体" w:cs="Times New Roman"/>
          <w:b w:val="0"/>
          <w:bCs w:val="0"/>
          <w:color w:val="auto"/>
          <w:spacing w:val="-12"/>
          <w:sz w:val="44"/>
          <w:szCs w:val="44"/>
          <w:highlight w:val="none"/>
        </w:rPr>
        <w:t>不合格项目小知识</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黑体" w:cs="Times New Roman"/>
          <w:b w:val="0"/>
          <w:bCs w:val="0"/>
          <w:i w:val="0"/>
          <w:caps w:val="0"/>
          <w:color w:val="auto"/>
          <w:spacing w:val="0"/>
          <w:kern w:val="2"/>
          <w:sz w:val="44"/>
          <w:szCs w:val="44"/>
          <w:shd w:val="clear"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1"/>
        <w:rPr>
          <w:rStyle w:val="8"/>
          <w:rFonts w:hint="eastAsia" w:ascii="黑体" w:hAnsi="黑体" w:eastAsia="黑体" w:cs="黑体"/>
          <w:sz w:val="32"/>
          <w:szCs w:val="32"/>
          <w:lang w:val="en-US" w:eastAsia="zh-CN" w:bidi="ar"/>
        </w:rPr>
      </w:pPr>
      <w:bookmarkStart w:id="0" w:name="OLE_LINK2"/>
      <w:r>
        <w:rPr>
          <w:rStyle w:val="7"/>
          <w:rFonts w:hint="eastAsia" w:ascii="黑体" w:hAnsi="黑体" w:eastAsia="黑体" w:cs="黑体"/>
          <w:sz w:val="32"/>
          <w:szCs w:val="32"/>
          <w:lang w:val="en-US" w:eastAsia="zh-CN" w:bidi="ar"/>
        </w:rPr>
        <w:t>一、苯甲酸及其钠盐</w:t>
      </w:r>
      <w:r>
        <w:rPr>
          <w:rStyle w:val="8"/>
          <w:rFonts w:hint="eastAsia" w:ascii="黑体" w:hAnsi="黑体" w:eastAsia="黑体" w:cs="黑体"/>
          <w:sz w:val="32"/>
          <w:szCs w:val="32"/>
          <w:lang w:val="en-US" w:eastAsia="zh-CN" w:bidi="ar"/>
        </w:rPr>
        <w:t>(</w:t>
      </w:r>
      <w:r>
        <w:rPr>
          <w:rStyle w:val="7"/>
          <w:rFonts w:hint="eastAsia" w:ascii="黑体" w:hAnsi="黑体" w:eastAsia="黑体" w:cs="黑体"/>
          <w:sz w:val="32"/>
          <w:szCs w:val="32"/>
          <w:lang w:val="en-US" w:eastAsia="zh-CN" w:bidi="ar"/>
        </w:rPr>
        <w:t>以苯甲酸计</w:t>
      </w:r>
      <w:r>
        <w:rPr>
          <w:rStyle w:val="8"/>
          <w:rFonts w:hint="eastAsia" w:ascii="黑体" w:hAnsi="黑体" w:eastAsia="黑体" w:cs="黑体"/>
          <w:sz w:val="32"/>
          <w:szCs w:val="32"/>
          <w:lang w:val="en-US" w:eastAsia="zh-CN" w:bidi="ar"/>
        </w:rPr>
        <w:t>)</w:t>
      </w:r>
    </w:p>
    <w:bookmarkEnd w:id="0"/>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color w:val="000000"/>
          <w:kern w:val="0"/>
          <w:sz w:val="32"/>
          <w:szCs w:val="32"/>
          <w:lang w:val="en-US" w:eastAsia="zh-CN" w:bidi="ar"/>
        </w:rPr>
        <w:t>苯甲酸又称安息香酸，在酸性条件下对多种微生物有明显的杀菌、抑菌作用，是很常用的食品防腐剂。它是常见植物代谢产物，在食品中存在少量本底，如红枣、蓝莓、奶粉（来自饲料）等。造成食品中苯甲酸不合格的主要原因有生产经营企业为延长产品保质期，或者弥补产品生产过程卫生条件不佳而超限量、超范围使用，或者使用时未准确计量。</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outlineLvl w:val="1"/>
        <w:rPr>
          <w:rFonts w:hint="eastAsia" w:ascii="仿宋_GB2312" w:hAnsi="仿宋_GB2312" w:eastAsia="仿宋_GB2312" w:cs="仿宋_GB2312"/>
          <w:spacing w:val="-6"/>
          <w:kern w:val="2"/>
          <w:sz w:val="32"/>
          <w:szCs w:val="32"/>
          <w:lang w:val="en-GB"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1"/>
        <w:rPr>
          <w:rStyle w:val="7"/>
          <w:rFonts w:hint="eastAsia" w:ascii="黑体" w:hAnsi="黑体" w:eastAsia="黑体" w:cs="黑体"/>
          <w:i w:val="0"/>
          <w:color w:val="000000"/>
          <w:sz w:val="32"/>
          <w:szCs w:val="32"/>
          <w:lang w:val="en-US" w:eastAsia="zh-CN" w:bidi="ar"/>
        </w:rPr>
      </w:pPr>
      <w:bookmarkStart w:id="1" w:name="OLE_LINK1"/>
      <w:r>
        <w:rPr>
          <w:rStyle w:val="7"/>
          <w:rFonts w:hint="eastAsia" w:ascii="黑体" w:hAnsi="黑体" w:eastAsia="黑体" w:cs="黑体"/>
          <w:i w:val="0"/>
          <w:color w:val="000000"/>
          <w:sz w:val="32"/>
          <w:szCs w:val="32"/>
          <w:lang w:val="en-US" w:eastAsia="zh-CN" w:bidi="ar"/>
        </w:rPr>
        <w:t>二、铝的残留量(干样品,以Al计)</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含铝食品添加剂，比如硫酸铝钾（又名钾明矾）、硫酸铝铵（又名铵明矾）等，在食品中作为膨松剂、稳定剂使用，使用后会产生铝残留。《食品安全国家标准 食品添加剂使用标准》（GB 2760—20</w:t>
      </w:r>
      <w:r>
        <w:rPr>
          <w:rFonts w:hint="eastAsia" w:ascii="Times New Roman" w:hAnsi="Times New Roman" w:eastAsia="仿宋_GB2312" w:cs="Times New Roman"/>
          <w:b w:val="0"/>
          <w:bCs w:val="0"/>
          <w:color w:val="auto"/>
          <w:kern w:val="2"/>
          <w:sz w:val="32"/>
          <w:szCs w:val="32"/>
          <w:highlight w:val="none"/>
          <w:lang w:val="en-US" w:eastAsia="zh-CN" w:bidi="ar-SA"/>
        </w:rPr>
        <w:t>2</w:t>
      </w:r>
      <w:r>
        <w:rPr>
          <w:rFonts w:hint="default" w:ascii="Times New Roman" w:hAnsi="Times New Roman" w:eastAsia="仿宋_GB2312" w:cs="Times New Roman"/>
          <w:b w:val="0"/>
          <w:bCs w:val="0"/>
          <w:color w:val="auto"/>
          <w:kern w:val="2"/>
          <w:sz w:val="32"/>
          <w:szCs w:val="32"/>
          <w:highlight w:val="none"/>
          <w:lang w:val="en-US" w:eastAsia="zh-CN" w:bidi="ar-SA"/>
        </w:rPr>
        <w:t>4）中规定，</w:t>
      </w:r>
      <w:r>
        <w:rPr>
          <w:rFonts w:hint="eastAsia" w:ascii="Times New Roman" w:hAnsi="Times New Roman" w:eastAsia="仿宋_GB2312" w:cs="Times New Roman"/>
          <w:b w:val="0"/>
          <w:bCs w:val="0"/>
          <w:color w:val="auto"/>
          <w:kern w:val="2"/>
          <w:sz w:val="32"/>
          <w:szCs w:val="32"/>
          <w:highlight w:val="none"/>
          <w:lang w:val="en-US" w:eastAsia="zh-CN" w:bidi="ar-SA"/>
        </w:rPr>
        <w:t>油饼、油条</w:t>
      </w:r>
      <w:r>
        <w:rPr>
          <w:rFonts w:hint="default" w:ascii="Times New Roman" w:hAnsi="Times New Roman" w:eastAsia="仿宋_GB2312" w:cs="Times New Roman"/>
          <w:b w:val="0"/>
          <w:bCs w:val="0"/>
          <w:color w:val="auto"/>
          <w:kern w:val="2"/>
          <w:sz w:val="32"/>
          <w:szCs w:val="32"/>
          <w:highlight w:val="none"/>
          <w:lang w:val="en-US" w:eastAsia="zh-CN" w:bidi="ar-SA"/>
        </w:rPr>
        <w:t>中铝的最大残留限量值为100mg/kg。</w:t>
      </w:r>
      <w:r>
        <w:rPr>
          <w:rFonts w:hint="eastAsia" w:ascii="Times New Roman" w:hAnsi="Times New Roman" w:eastAsia="仿宋_GB2312" w:cs="Times New Roman"/>
          <w:b w:val="0"/>
          <w:bCs w:val="0"/>
          <w:color w:val="auto"/>
          <w:kern w:val="2"/>
          <w:sz w:val="32"/>
          <w:szCs w:val="32"/>
          <w:highlight w:val="none"/>
          <w:lang w:val="en-US" w:eastAsia="zh-CN" w:bidi="ar-SA"/>
        </w:rPr>
        <w:t>油饼、油条</w:t>
      </w:r>
      <w:r>
        <w:rPr>
          <w:rFonts w:hint="default" w:ascii="Times New Roman" w:hAnsi="Times New Roman" w:eastAsia="仿宋_GB2312" w:cs="Times New Roman"/>
          <w:b w:val="0"/>
          <w:bCs w:val="0"/>
          <w:color w:val="auto"/>
          <w:kern w:val="2"/>
          <w:sz w:val="32"/>
          <w:szCs w:val="32"/>
          <w:highlight w:val="none"/>
          <w:lang w:val="en-US" w:eastAsia="zh-CN" w:bidi="ar-SA"/>
        </w:rPr>
        <w:t>中铝的残留量（干样品，以Al计）超标较多的原因，可能是个别经营者为增加产品口感，在生产加工过程中超限量使用含铝添加剂。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1"/>
        <w:rPr>
          <w:rStyle w:val="8"/>
          <w:rFonts w:hint="eastAsia" w:ascii="仿宋_GB2312" w:hAnsi="仿宋_GB2312" w:eastAsia="仿宋_GB2312" w:cs="仿宋_GB2312"/>
          <w:sz w:val="32"/>
          <w:szCs w:val="32"/>
          <w:lang w:val="en-US" w:eastAsia="zh-CN" w:bidi="ar"/>
        </w:rPr>
      </w:pPr>
    </w:p>
    <w:bookmarkEnd w:id="1"/>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7"/>
          <w:rFonts w:hint="eastAsia" w:ascii="黑体" w:hAnsi="黑体" w:eastAsia="黑体" w:cs="黑体"/>
          <w:i w:val="0"/>
          <w:color w:val="000000"/>
          <w:sz w:val="32"/>
          <w:szCs w:val="32"/>
          <w:lang w:val="en-US" w:eastAsia="zh-CN" w:bidi="ar"/>
        </w:rPr>
      </w:pPr>
      <w:bookmarkStart w:id="2" w:name="OLE_LINK6"/>
      <w:r>
        <w:rPr>
          <w:rStyle w:val="7"/>
          <w:rFonts w:hint="eastAsia" w:ascii="黑体" w:hAnsi="黑体" w:eastAsia="黑体" w:cs="黑体"/>
          <w:i w:val="0"/>
          <w:color w:val="000000"/>
          <w:sz w:val="32"/>
          <w:szCs w:val="32"/>
          <w:lang w:val="en-US" w:eastAsia="zh-CN" w:bidi="ar"/>
        </w:rPr>
        <w:t>三、</w:t>
      </w:r>
      <w:bookmarkStart w:id="3" w:name="OLE_LINK7"/>
      <w:r>
        <w:rPr>
          <w:rStyle w:val="7"/>
          <w:rFonts w:hint="eastAsia" w:ascii="黑体" w:hAnsi="黑体" w:eastAsia="黑体" w:cs="黑体"/>
          <w:i w:val="0"/>
          <w:color w:val="000000"/>
          <w:sz w:val="32"/>
          <w:szCs w:val="32"/>
          <w:lang w:val="en-US" w:eastAsia="zh-CN" w:bidi="ar"/>
        </w:rPr>
        <w:t>糖精钠</w:t>
      </w:r>
      <w:bookmarkEnd w:id="3"/>
      <w:r>
        <w:rPr>
          <w:rStyle w:val="7"/>
          <w:rFonts w:hint="eastAsia" w:ascii="黑体" w:hAnsi="黑体" w:eastAsia="黑体" w:cs="黑体"/>
          <w:i w:val="0"/>
          <w:color w:val="000000"/>
          <w:sz w:val="32"/>
          <w:szCs w:val="32"/>
          <w:lang w:val="en-US" w:eastAsia="zh-CN" w:bidi="ar"/>
        </w:rPr>
        <w:t>(以糖精计)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sz w:val="32"/>
          <w:szCs w:val="32"/>
          <w:lang w:val="en-US" w:eastAsia="zh-CN" w:bidi="ar"/>
        </w:rPr>
      </w:pPr>
      <w:r>
        <w:rPr>
          <w:rFonts w:hint="default" w:ascii="Times New Roman" w:hAnsi="Times New Roman" w:eastAsia="方正仿宋_GBK" w:cs="Times New Roman"/>
          <w:b w:val="0"/>
          <w:bCs w:val="0"/>
          <w:kern w:val="2"/>
          <w:sz w:val="32"/>
          <w:szCs w:val="32"/>
          <w:highlight w:val="none"/>
          <w:lang w:val="en-US" w:eastAsia="zh-CN" w:bidi="ar-SA"/>
        </w:rPr>
        <w:t>糖精钠</w:t>
      </w:r>
      <w:r>
        <w:rPr>
          <w:rFonts w:hint="eastAsia" w:ascii="Times New Roman" w:hAnsi="Times New Roman" w:eastAsia="方正仿宋_GBK" w:cs="Times New Roman"/>
          <w:b w:val="0"/>
          <w:bCs w:val="0"/>
          <w:kern w:val="2"/>
          <w:sz w:val="32"/>
          <w:szCs w:val="32"/>
          <w:highlight w:val="none"/>
          <w:lang w:val="en-US" w:eastAsia="zh-CN" w:bidi="ar-SA"/>
        </w:rPr>
        <w:t>是</w:t>
      </w:r>
      <w:r>
        <w:rPr>
          <w:rFonts w:hint="default" w:ascii="Times New Roman" w:hAnsi="Times New Roman" w:eastAsia="方正仿宋_GBK" w:cs="Times New Roman"/>
          <w:b w:val="0"/>
          <w:bCs w:val="0"/>
          <w:kern w:val="2"/>
          <w:sz w:val="32"/>
          <w:szCs w:val="32"/>
          <w:highlight w:val="none"/>
          <w:lang w:val="en-US" w:eastAsia="zh-CN" w:bidi="ar-SA"/>
        </w:rPr>
        <w:t>无色结晶或稍带白色的结晶性粉末，无臭或微</w:t>
      </w:r>
      <w:r>
        <w:rPr>
          <w:rFonts w:hint="eastAsia" w:ascii="仿宋_GB2312" w:hAnsi="仿宋_GB2312" w:eastAsia="仿宋_GB2312" w:cs="仿宋_GB2312"/>
          <w:b w:val="0"/>
          <w:bCs w:val="0"/>
          <w:kern w:val="2"/>
          <w:sz w:val="32"/>
          <w:szCs w:val="32"/>
          <w:highlight w:val="none"/>
          <w:lang w:val="en-US" w:eastAsia="zh-CN" w:bidi="ar-SA"/>
        </w:rPr>
        <w:t>有香气，甜度为蔗糖的200-700倍，是普遍使用的人工合成甜味剂。</w:t>
      </w:r>
      <w:r>
        <w:rPr>
          <w:rFonts w:hint="eastAsia" w:ascii="仿宋_GB2312" w:hAnsi="仿宋_GB2312" w:eastAsia="仿宋_GB2312" w:cs="仿宋_GB2312"/>
          <w:b w:val="0"/>
          <w:bCs w:val="0"/>
          <w:kern w:val="2"/>
          <w:sz w:val="32"/>
          <w:szCs w:val="32"/>
          <w:highlight w:val="none"/>
          <w:lang w:val="en-GB" w:eastAsia="zh-CN" w:bidi="ar-SA"/>
        </w:rPr>
        <w:t>本次抽检产品水果制品（海棠果干）中不得使用糖精钠。糖</w:t>
      </w:r>
      <w:r>
        <w:rPr>
          <w:rFonts w:hint="eastAsia" w:ascii="仿宋_GB2312" w:hAnsi="仿宋_GB2312" w:eastAsia="仿宋_GB2312" w:cs="仿宋_GB2312"/>
          <w:b w:val="0"/>
          <w:color w:val="000000"/>
          <w:sz w:val="32"/>
          <w:szCs w:val="32"/>
        </w:rPr>
        <w:t>造成食品中糖精钠不合格的主要原因有生产经营企业为增加产品甜味，超限量、超范围使用或者未准确计量。</w:t>
      </w:r>
    </w:p>
    <w:bookmarkEnd w:id="2"/>
    <w:p>
      <w:pPr>
        <w:keepNext w:val="0"/>
        <w:keepLines w:val="0"/>
        <w:pageBreakBefore w:val="0"/>
        <w:widowControl w:val="0"/>
        <w:numPr>
          <w:ilvl w:val="0"/>
          <w:numId w:val="0"/>
        </w:numPr>
        <w:kinsoku/>
        <w:wordWrap/>
        <w:overflowPunct/>
        <w:topLinePunct w:val="0"/>
        <w:autoSpaceDE/>
        <w:autoSpaceDN/>
        <w:bidi w:val="0"/>
        <w:snapToGrid/>
        <w:spacing w:line="560" w:lineRule="exact"/>
        <w:jc w:val="both"/>
        <w:textAlignment w:val="auto"/>
        <w:rPr>
          <w:rFonts w:hint="eastAsia" w:ascii="仿宋_GB2312" w:hAnsi="仿宋_GB2312" w:eastAsia="仿宋_GB2312" w:cs="仿宋_GB2312"/>
          <w:b w:val="0"/>
          <w:bCs w:val="0"/>
          <w:i w:val="0"/>
          <w:caps w:val="0"/>
          <w:color w:val="auto"/>
          <w:spacing w:val="0"/>
          <w:kern w:val="2"/>
          <w:sz w:val="32"/>
          <w:szCs w:val="32"/>
          <w:shd w:val="clear" w:fill="auto"/>
          <w:lang w:val="en-GB"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1"/>
        <w:rPr>
          <w:rStyle w:val="7"/>
          <w:rFonts w:hint="eastAsia" w:ascii="黑体" w:hAnsi="黑体" w:eastAsia="黑体" w:cs="黑体"/>
          <w:i w:val="0"/>
          <w:color w:val="000000"/>
          <w:sz w:val="32"/>
          <w:szCs w:val="32"/>
          <w:lang w:val="en-US" w:eastAsia="zh-CN" w:bidi="ar"/>
        </w:rPr>
      </w:pPr>
      <w:bookmarkStart w:id="4" w:name="OLE_LINK3"/>
      <w:r>
        <w:rPr>
          <w:rStyle w:val="7"/>
          <w:rFonts w:hint="eastAsia" w:ascii="黑体" w:hAnsi="黑体" w:eastAsia="黑体" w:cs="黑体"/>
          <w:i w:val="0"/>
          <w:color w:val="000000"/>
          <w:sz w:val="32"/>
          <w:szCs w:val="32"/>
          <w:lang w:val="en-US" w:eastAsia="zh-CN" w:bidi="ar"/>
        </w:rPr>
        <w:t>四、孔雀石绿</w:t>
      </w:r>
    </w:p>
    <w:p>
      <w:pPr>
        <w:keepNext w:val="0"/>
        <w:keepLines w:val="0"/>
        <w:widowControl/>
        <w:suppressLineNumbers w:val="0"/>
        <w:ind w:firstLine="640" w:firstLineChars="200"/>
        <w:jc w:val="left"/>
      </w:pPr>
      <w:r>
        <w:rPr>
          <w:rFonts w:hint="eastAsia" w:ascii="仿宋_GB2312" w:hAnsi="仿宋_GB2312" w:eastAsia="仿宋_GB2312" w:cs="仿宋_GB2312"/>
          <w:b w:val="0"/>
          <w:color w:val="000000"/>
          <w:kern w:val="0"/>
          <w:sz w:val="32"/>
          <w:szCs w:val="32"/>
          <w:lang w:val="en-US" w:eastAsia="zh-CN" w:bidi="ar"/>
        </w:rPr>
        <w:t>孔雀石绿极易溶于水，水溶液呈蓝绿色，是工业染料。在水产养殖过程中，曾作为杀菌剂和抗寄生虫药，用于防治各种鱼病。孔雀石绿在鱼体内代谢为隐色孔雀石绿，长时间残留于生物体内。在动物所有可食组织中不得检出。我国已发布的孔雀石绿检测方法标准有：推荐性国家标准 2项（GB/T 19857-2005、GB/T 20361-2006），为液相色谱、液相色谱-串联质谱法，涉及水产品及其制品等。</w:t>
      </w:r>
    </w:p>
    <w:p>
      <w:pPr>
        <w:keepNext w:val="0"/>
        <w:keepLines w:val="0"/>
        <w:pageBreakBefore w:val="0"/>
        <w:widowControl w:val="0"/>
        <w:numPr>
          <w:ilvl w:val="0"/>
          <w:numId w:val="0"/>
        </w:numPr>
        <w:kinsoku/>
        <w:wordWrap/>
        <w:overflowPunct/>
        <w:topLinePunct w:val="0"/>
        <w:autoSpaceDE/>
        <w:autoSpaceDN/>
        <w:bidi w:val="0"/>
        <w:snapToGrid/>
        <w:spacing w:line="560" w:lineRule="exact"/>
        <w:jc w:val="both"/>
        <w:textAlignment w:val="auto"/>
        <w:rPr>
          <w:rFonts w:hint="eastAsia" w:ascii="仿宋_GB2312" w:hAnsi="仿宋_GB2312" w:eastAsia="仿宋_GB2312" w:cs="仿宋_GB2312"/>
          <w:i w:val="0"/>
          <w:color w:val="000000"/>
          <w:kern w:val="0"/>
          <w:sz w:val="32"/>
          <w:szCs w:val="32"/>
          <w:u w:val="none"/>
          <w:lang w:val="en-GB" w:eastAsia="zh-CN" w:bidi="ar"/>
        </w:rPr>
      </w:pPr>
    </w:p>
    <w:bookmarkEnd w:id="4"/>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b w:val="0"/>
          <w:bCs w:val="0"/>
          <w:i w:val="0"/>
          <w:caps w:val="0"/>
          <w:color w:val="auto"/>
          <w:spacing w:val="0"/>
          <w:kern w:val="2"/>
          <w:sz w:val="32"/>
          <w:szCs w:val="32"/>
          <w:shd w:val="clear" w:fill="auto"/>
          <w:lang w:val="en-US" w:eastAsia="zh-CN" w:bidi="ar-SA"/>
        </w:rPr>
      </w:pPr>
      <w:bookmarkStart w:id="5" w:name="OLE_LINK4"/>
      <w:r>
        <w:rPr>
          <w:rStyle w:val="7"/>
          <w:rFonts w:hint="eastAsia" w:ascii="黑体" w:hAnsi="黑体" w:eastAsia="黑体" w:cs="黑体"/>
          <w:i w:val="0"/>
          <w:color w:val="000000"/>
          <w:sz w:val="32"/>
          <w:szCs w:val="32"/>
          <w:lang w:val="en-GB" w:eastAsia="zh-CN" w:bidi="ar"/>
        </w:rPr>
        <w:t>五、噻虫胺</w:t>
      </w:r>
    </w:p>
    <w:bookmarkEnd w:id="5"/>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GB" w:eastAsia="zh-CN" w:bidi="ar-SA"/>
        </w:rPr>
      </w:pPr>
      <w:r>
        <w:rPr>
          <w:rFonts w:hint="eastAsia" w:ascii="仿宋_GB2312" w:hAnsi="仿宋_GB2312" w:eastAsia="仿宋_GB2312" w:cs="仿宋_GB2312"/>
          <w:b w:val="0"/>
          <w:bCs w:val="0"/>
          <w:color w:val="auto"/>
          <w:kern w:val="2"/>
          <w:sz w:val="32"/>
          <w:szCs w:val="32"/>
          <w:highlight w:val="none"/>
          <w:lang w:val="en-GB" w:eastAsia="zh-CN" w:bidi="ar-SA"/>
        </w:rPr>
        <w:t>噻虫胺属新烟碱类杀虫剂，具有内吸性、触杀和胃毒作用，对姜蛆等有较好防效。《食品安全国家标准 食品中农药最大残留限量》（GB 2763—20</w:t>
      </w:r>
      <w:r>
        <w:rPr>
          <w:rFonts w:hint="eastAsia" w:ascii="仿宋_GB2312" w:hAnsi="仿宋_GB2312" w:eastAsia="仿宋_GB2312" w:cs="仿宋_GB2312"/>
          <w:b w:val="0"/>
          <w:bCs w:val="0"/>
          <w:color w:val="auto"/>
          <w:kern w:val="2"/>
          <w:sz w:val="32"/>
          <w:szCs w:val="32"/>
          <w:highlight w:val="none"/>
          <w:lang w:val="en-US" w:eastAsia="zh-CN" w:bidi="ar-SA"/>
        </w:rPr>
        <w:t>21</w:t>
      </w:r>
      <w:r>
        <w:rPr>
          <w:rFonts w:hint="eastAsia" w:ascii="仿宋_GB2312" w:hAnsi="仿宋_GB2312" w:eastAsia="仿宋_GB2312" w:cs="仿宋_GB2312"/>
          <w:b w:val="0"/>
          <w:bCs w:val="0"/>
          <w:color w:val="auto"/>
          <w:kern w:val="2"/>
          <w:sz w:val="32"/>
          <w:szCs w:val="32"/>
          <w:highlight w:val="none"/>
          <w:lang w:val="en-GB" w:eastAsia="zh-CN" w:bidi="ar-SA"/>
        </w:rPr>
        <w:t>）中规定，噻虫胺在姜、芹菜中最大残留限量值分别为0.2mg/kg、</w:t>
      </w:r>
      <w:r>
        <w:rPr>
          <w:rFonts w:hint="eastAsia" w:ascii="仿宋_GB2312" w:hAnsi="仿宋_GB2312" w:eastAsia="仿宋_GB2312" w:cs="仿宋_GB2312"/>
          <w:b w:val="0"/>
          <w:bCs w:val="0"/>
          <w:color w:val="auto"/>
          <w:kern w:val="2"/>
          <w:sz w:val="32"/>
          <w:szCs w:val="32"/>
          <w:highlight w:val="none"/>
          <w:lang w:val="en-US" w:eastAsia="zh-CN" w:bidi="ar-SA"/>
        </w:rPr>
        <w:t>0.04</w:t>
      </w:r>
      <w:r>
        <w:rPr>
          <w:rFonts w:hint="eastAsia" w:ascii="仿宋_GB2312" w:hAnsi="仿宋_GB2312" w:eastAsia="仿宋_GB2312" w:cs="仿宋_GB2312"/>
          <w:b w:val="0"/>
          <w:bCs w:val="0"/>
          <w:color w:val="auto"/>
          <w:kern w:val="2"/>
          <w:sz w:val="32"/>
          <w:szCs w:val="32"/>
          <w:highlight w:val="none"/>
          <w:lang w:val="en-GB" w:eastAsia="zh-CN" w:bidi="ar-SA"/>
        </w:rPr>
        <w:t>mg/kg噻虫胺残留量超标的原因，可能是种植户为快速控制虫害，加大用药量或未遵守采摘间隔期规定，致使上市销售的产品中残留量超标。</w:t>
      </w:r>
    </w:p>
    <w:p>
      <w:pPr>
        <w:pStyle w:val="4"/>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b w:val="0"/>
          <w:bCs w:val="0"/>
          <w:color w:val="auto"/>
          <w:kern w:val="2"/>
          <w:sz w:val="32"/>
          <w:szCs w:val="32"/>
          <w:lang w:val="en-GB" w:eastAsia="zh-CN" w:bidi="ar-SA"/>
        </w:rPr>
      </w:pPr>
    </w:p>
    <w:p>
      <w:pPr>
        <w:pStyle w:val="4"/>
        <w:keepNext w:val="0"/>
        <w:keepLines w:val="0"/>
        <w:pageBreakBefore w:val="0"/>
        <w:numPr>
          <w:ilvl w:val="0"/>
          <w:numId w:val="0"/>
        </w:numPr>
        <w:kinsoku/>
        <w:wordWrap/>
        <w:overflowPunct/>
        <w:topLinePunct w:val="0"/>
        <w:autoSpaceDE/>
        <w:autoSpaceDN/>
        <w:bidi w:val="0"/>
        <w:spacing w:line="560" w:lineRule="exact"/>
        <w:ind w:leftChars="200"/>
        <w:textAlignment w:val="auto"/>
        <w:rPr>
          <w:rStyle w:val="7"/>
          <w:rFonts w:hint="eastAsia" w:ascii="黑体" w:hAnsi="黑体" w:eastAsia="黑体" w:cs="黑体"/>
          <w:color w:val="000000"/>
          <w:kern w:val="2"/>
          <w:sz w:val="32"/>
          <w:szCs w:val="32"/>
          <w:lang w:val="en-US" w:eastAsia="zh-CN" w:bidi="ar"/>
        </w:rPr>
      </w:pPr>
      <w:bookmarkStart w:id="6" w:name="OLE_LINK5"/>
      <w:r>
        <w:rPr>
          <w:rStyle w:val="7"/>
          <w:rFonts w:hint="eastAsia" w:ascii="黑体" w:hAnsi="黑体" w:eastAsia="黑体" w:cs="黑体"/>
          <w:color w:val="000000"/>
          <w:kern w:val="2"/>
          <w:sz w:val="32"/>
          <w:szCs w:val="32"/>
          <w:lang w:val="en-US" w:eastAsia="zh-CN" w:bidi="ar"/>
        </w:rPr>
        <w:t>六、噻虫嗪</w:t>
      </w:r>
    </w:p>
    <w:p>
      <w:pPr>
        <w:pStyle w:val="4"/>
        <w:keepNext w:val="0"/>
        <w:keepLines w:val="0"/>
        <w:pageBreakBefore w:val="0"/>
        <w:numPr>
          <w:ilvl w:val="0"/>
          <w:numId w:val="0"/>
        </w:numPr>
        <w:kinsoku/>
        <w:wordWrap/>
        <w:overflowPunct/>
        <w:topLinePunct w:val="0"/>
        <w:autoSpaceDE/>
        <w:autoSpaceDN/>
        <w:bidi w:val="0"/>
        <w:spacing w:line="560" w:lineRule="exact"/>
        <w:ind w:leftChars="200" w:firstLine="640" w:firstLineChars="200"/>
        <w:textAlignment w:val="auto"/>
        <w:rPr>
          <w:rFonts w:hint="default" w:ascii="Times New Roman" w:hAnsi="Times New Roman" w:eastAsia="仿宋_GB2312" w:cs="Times New Roman"/>
          <w:b w:val="0"/>
          <w:bCs w:val="0"/>
          <w:color w:val="auto"/>
          <w:kern w:val="2"/>
          <w:sz w:val="32"/>
          <w:szCs w:val="32"/>
          <w:highlight w:val="none"/>
          <w:lang w:val="en-GB"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噻虫嗪</w:t>
      </w:r>
      <w:r>
        <w:rPr>
          <w:rFonts w:hint="default" w:ascii="Times New Roman" w:hAnsi="Times New Roman" w:eastAsia="仿宋_GB2312" w:cs="Times New Roman"/>
          <w:b w:val="0"/>
          <w:bCs w:val="0"/>
          <w:color w:val="auto"/>
          <w:kern w:val="2"/>
          <w:sz w:val="32"/>
          <w:szCs w:val="32"/>
          <w:highlight w:val="none"/>
          <w:lang w:val="en-GB" w:eastAsia="zh-CN" w:bidi="ar-SA"/>
        </w:rPr>
        <w:t>属新烟碱类杀虫剂，具有内吸性、触杀和胃毒作用。《食品安全国家标准 食品中农药最大残留限量》（GB 2763—20</w:t>
      </w:r>
      <w:r>
        <w:rPr>
          <w:rFonts w:hint="default" w:ascii="Times New Roman" w:hAnsi="Times New Roman" w:eastAsia="仿宋_GB2312" w:cs="Times New Roman"/>
          <w:b w:val="0"/>
          <w:bCs w:val="0"/>
          <w:color w:val="auto"/>
          <w:kern w:val="2"/>
          <w:sz w:val="32"/>
          <w:szCs w:val="32"/>
          <w:highlight w:val="none"/>
          <w:lang w:val="en-US" w:eastAsia="zh-CN" w:bidi="ar-SA"/>
        </w:rPr>
        <w:t>21</w:t>
      </w:r>
      <w:r>
        <w:rPr>
          <w:rFonts w:hint="default" w:ascii="Times New Roman" w:hAnsi="Times New Roman" w:eastAsia="仿宋_GB2312" w:cs="Times New Roman"/>
          <w:b w:val="0"/>
          <w:bCs w:val="0"/>
          <w:color w:val="auto"/>
          <w:kern w:val="2"/>
          <w:sz w:val="32"/>
          <w:szCs w:val="32"/>
          <w:highlight w:val="none"/>
          <w:lang w:val="en-GB" w:eastAsia="zh-CN" w:bidi="ar-SA"/>
        </w:rPr>
        <w:t>）中规定，</w:t>
      </w:r>
      <w:r>
        <w:rPr>
          <w:rFonts w:hint="default" w:ascii="Times New Roman" w:hAnsi="Times New Roman" w:eastAsia="仿宋_GB2312" w:cs="Times New Roman"/>
          <w:b w:val="0"/>
          <w:bCs w:val="0"/>
          <w:color w:val="auto"/>
          <w:kern w:val="2"/>
          <w:sz w:val="32"/>
          <w:szCs w:val="32"/>
          <w:highlight w:val="none"/>
          <w:lang w:val="en-US" w:eastAsia="zh-CN" w:bidi="ar-SA"/>
        </w:rPr>
        <w:t>噻虫嗪在</w:t>
      </w:r>
      <w:r>
        <w:rPr>
          <w:rFonts w:hint="eastAsia" w:ascii="Times New Roman" w:hAnsi="Times New Roman" w:eastAsia="仿宋_GB2312" w:cs="Times New Roman"/>
          <w:b w:val="0"/>
          <w:bCs w:val="0"/>
          <w:color w:val="auto"/>
          <w:kern w:val="2"/>
          <w:sz w:val="32"/>
          <w:szCs w:val="32"/>
          <w:highlight w:val="none"/>
          <w:lang w:val="en-US" w:eastAsia="zh-CN" w:bidi="ar-SA"/>
        </w:rPr>
        <w:t>姜中</w:t>
      </w:r>
      <w:r>
        <w:rPr>
          <w:rFonts w:hint="default" w:ascii="Times New Roman" w:hAnsi="Times New Roman" w:eastAsia="仿宋_GB2312" w:cs="Times New Roman"/>
          <w:b w:val="0"/>
          <w:bCs w:val="0"/>
          <w:color w:val="auto"/>
          <w:kern w:val="2"/>
          <w:sz w:val="32"/>
          <w:szCs w:val="32"/>
          <w:highlight w:val="none"/>
          <w:lang w:val="en-GB" w:eastAsia="zh-CN" w:bidi="ar-SA"/>
        </w:rPr>
        <w:t>最大残留限量值为0.</w:t>
      </w:r>
      <w:r>
        <w:rPr>
          <w:rFonts w:hint="default" w:ascii="Times New Roman" w:hAnsi="Times New Roman" w:eastAsia="仿宋_GB2312" w:cs="Times New Roman"/>
          <w:b w:val="0"/>
          <w:bCs w:val="0"/>
          <w:color w:val="auto"/>
          <w:kern w:val="2"/>
          <w:sz w:val="32"/>
          <w:szCs w:val="32"/>
          <w:highlight w:val="none"/>
          <w:lang w:val="en-US" w:eastAsia="zh-CN" w:bidi="ar-SA"/>
        </w:rPr>
        <w:t>3</w:t>
      </w:r>
      <w:r>
        <w:rPr>
          <w:rFonts w:hint="default" w:ascii="Times New Roman" w:hAnsi="Times New Roman" w:eastAsia="仿宋_GB2312" w:cs="Times New Roman"/>
          <w:b w:val="0"/>
          <w:bCs w:val="0"/>
          <w:color w:val="auto"/>
          <w:kern w:val="2"/>
          <w:sz w:val="32"/>
          <w:szCs w:val="32"/>
          <w:highlight w:val="none"/>
          <w:lang w:val="en-GB" w:eastAsia="zh-CN" w:bidi="ar-SA"/>
        </w:rPr>
        <w:t>mg/kg。</w:t>
      </w:r>
      <w:r>
        <w:rPr>
          <w:rFonts w:hint="default" w:ascii="Times New Roman" w:hAnsi="Times New Roman" w:eastAsia="仿宋_GB2312" w:cs="Times New Roman"/>
          <w:b w:val="0"/>
          <w:bCs w:val="0"/>
          <w:color w:val="auto"/>
          <w:kern w:val="2"/>
          <w:sz w:val="32"/>
          <w:szCs w:val="32"/>
          <w:highlight w:val="none"/>
          <w:lang w:val="en-US" w:eastAsia="zh-CN" w:bidi="ar-SA"/>
        </w:rPr>
        <w:t>噻虫嗪</w:t>
      </w:r>
      <w:r>
        <w:rPr>
          <w:rFonts w:hint="default" w:ascii="Times New Roman" w:hAnsi="Times New Roman" w:eastAsia="仿宋_GB2312" w:cs="Times New Roman"/>
          <w:b w:val="0"/>
          <w:bCs w:val="0"/>
          <w:color w:val="auto"/>
          <w:kern w:val="2"/>
          <w:sz w:val="32"/>
          <w:szCs w:val="32"/>
          <w:highlight w:val="none"/>
          <w:lang w:val="en-GB" w:eastAsia="zh-CN" w:bidi="ar-SA"/>
        </w:rPr>
        <w:t>残留量超标的原因，可能是种植户为快速控制虫害，加大用药量或未遵守采摘间隔期规定，致使上市销售的产品中残留量超标。</w:t>
      </w:r>
      <w:bookmarkEnd w:id="6"/>
    </w:p>
    <w:p>
      <w:pPr>
        <w:pStyle w:val="4"/>
        <w:keepNext w:val="0"/>
        <w:keepLines w:val="0"/>
        <w:pageBreakBefore w:val="0"/>
        <w:numPr>
          <w:ilvl w:val="0"/>
          <w:numId w:val="0"/>
        </w:numPr>
        <w:kinsoku/>
        <w:wordWrap/>
        <w:overflowPunct/>
        <w:topLinePunct w:val="0"/>
        <w:autoSpaceDE/>
        <w:autoSpaceDN/>
        <w:bidi w:val="0"/>
        <w:spacing w:line="560" w:lineRule="exact"/>
        <w:ind w:leftChars="200" w:firstLine="640" w:firstLineChars="200"/>
        <w:textAlignment w:val="auto"/>
        <w:rPr>
          <w:rFonts w:hint="default" w:ascii="Times New Roman" w:hAnsi="Times New Roman" w:eastAsia="仿宋_GB2312" w:cs="Times New Roman"/>
          <w:b w:val="0"/>
          <w:bCs w:val="0"/>
          <w:color w:val="auto"/>
          <w:kern w:val="2"/>
          <w:sz w:val="32"/>
          <w:szCs w:val="32"/>
          <w:highlight w:val="none"/>
          <w:lang w:val="en-GB" w:eastAsia="zh-CN" w:bidi="ar-SA"/>
        </w:rPr>
      </w:pPr>
    </w:p>
    <w:p>
      <w:pPr>
        <w:pStyle w:val="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Style w:val="7"/>
          <w:rFonts w:hint="eastAsia" w:ascii="黑体" w:hAnsi="黑体" w:eastAsia="黑体" w:cs="黑体"/>
          <w:i w:val="0"/>
          <w:color w:val="000000"/>
          <w:kern w:val="2"/>
          <w:sz w:val="32"/>
          <w:szCs w:val="32"/>
          <w:lang w:val="en-GB" w:eastAsia="zh-CN" w:bidi="ar"/>
        </w:rPr>
      </w:pPr>
      <w:bookmarkStart w:id="7" w:name="_GoBack"/>
      <w:bookmarkEnd w:id="7"/>
      <w:r>
        <w:rPr>
          <w:rStyle w:val="7"/>
          <w:rFonts w:hint="eastAsia" w:ascii="黑体" w:hAnsi="黑体" w:eastAsia="黑体" w:cs="黑体"/>
          <w:i w:val="0"/>
          <w:color w:val="000000"/>
          <w:kern w:val="2"/>
          <w:sz w:val="32"/>
          <w:szCs w:val="32"/>
          <w:lang w:val="en-GB" w:eastAsia="zh-CN" w:bidi="ar"/>
        </w:rPr>
        <w:t>七、大肠菌群</w:t>
      </w:r>
    </w:p>
    <w:p>
      <w:pPr>
        <w:numPr>
          <w:ilvl w:val="0"/>
          <w:numId w:val="0"/>
        </w:numPr>
        <w:ind w:firstLine="640" w:firstLineChars="200"/>
        <w:rPr>
          <w:rFonts w:hint="eastAsia" w:ascii="仿宋_GB2312" w:hAnsi="仿宋_GB2312" w:eastAsia="仿宋_GB2312" w:cs="仿宋_GB2312"/>
          <w:sz w:val="32"/>
          <w:szCs w:val="32"/>
          <w:lang w:val="en-GB" w:eastAsia="zh-CN"/>
        </w:rPr>
      </w:pPr>
      <w:r>
        <w:rPr>
          <w:rFonts w:hint="default" w:ascii="Times New Roman" w:hAnsi="Times New Roman" w:eastAsia="仿宋_GB2312" w:cs="Times New Roman"/>
          <w:color w:val="auto"/>
          <w:kern w:val="2"/>
          <w:sz w:val="32"/>
          <w:szCs w:val="32"/>
          <w:highlight w:val="none"/>
          <w:lang w:val="en-GB" w:eastAsia="zh-CN" w:bidi="ar-SA"/>
        </w:rPr>
        <w:t>大肠菌群是国内外通用的食品污染常用指示菌之一。食品中检出大肠菌群，提示被致病菌（如沙门氏菌、志贺氏菌、致病性大肠杆菌）污染的可能性较大。《食品安全国家标准 消毒餐（饮）具》（GB 14934-2016）中规定，大肠菌群为不得检出。造成复用餐饮具中大肠菌群超标的主要原因可能是餐饮服务场所对餐具未消毒杀菌或杀菌不彻底。</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E245E"/>
    <w:rsid w:val="1D0711A6"/>
    <w:rsid w:val="411E245E"/>
    <w:rsid w:val="41A66218"/>
    <w:rsid w:val="71D611F5"/>
    <w:rsid w:val="7D4C6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Body Text First Indent 2"/>
    <w:basedOn w:val="2"/>
    <w:next w:val="1"/>
    <w:qFormat/>
    <w:uiPriority w:val="0"/>
    <w:pPr>
      <w:adjustRightInd w:val="0"/>
      <w:ind w:left="0" w:leftChars="0" w:firstLine="880" w:firstLineChars="200"/>
    </w:pPr>
    <w:rPr>
      <w:rFonts w:ascii="Calibri" w:hAnsi="Calibri" w:eastAsia="仿宋" w:cs="Times New Roman"/>
      <w:sz w:val="32"/>
    </w:rPr>
  </w:style>
  <w:style w:type="character" w:customStyle="1" w:styleId="7">
    <w:name w:val="font11"/>
    <w:basedOn w:val="6"/>
    <w:qFormat/>
    <w:uiPriority w:val="0"/>
    <w:rPr>
      <w:rFonts w:hint="eastAsia" w:ascii="仿宋_GB2312" w:eastAsia="仿宋_GB2312" w:cs="仿宋_GB2312"/>
      <w:color w:val="000000"/>
      <w:sz w:val="22"/>
      <w:szCs w:val="22"/>
      <w:u w:val="none"/>
    </w:rPr>
  </w:style>
  <w:style w:type="character" w:customStyle="1" w:styleId="8">
    <w:name w:val="font0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2025-08-19T11:24:00Z</dcterms:created>
  <dc:creator>夜，魅，离</dc:creator>
  <cp:lastModifiedBy>夜，魅，离</cp:lastModifiedBy>
  <cp:lastPrinted>2025-08-25T03:55:45Z</cp:lastPrinted>
  <dcterms:modified xsi:type="dcterms:W3CDTF">2025-08-25T03:56:20Z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