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44"/>
          <w:szCs w:val="44"/>
          <w:lang w:val="en-US" w:eastAsia="zh-CN"/>
        </w:rPr>
      </w:pPr>
      <w:r>
        <w:rPr>
          <w:rFonts w:hint="default" w:ascii="Times New Roman" w:hAnsi="Times New Roman" w:eastAsia="仿宋_GB2312" w:cs="Times New Roman"/>
          <w:color w:val="auto"/>
          <w:sz w:val="32"/>
          <w:szCs w:val="32"/>
          <w:lang w:val="en-US" w:eastAsia="zh-CN"/>
        </w:rPr>
        <w:t>附件3：</w:t>
      </w:r>
    </w:p>
    <w:p>
      <w:pPr>
        <w:keepNext w:val="0"/>
        <w:keepLines w:val="0"/>
        <w:pageBreakBefore w:val="0"/>
        <w:widowControl w:val="0"/>
        <w:shd w:val="clear"/>
        <w:kinsoku/>
        <w:wordWrap/>
        <w:overflowPunct/>
        <w:topLinePunct w:val="0"/>
        <w:autoSpaceDE/>
        <w:autoSpaceDN/>
        <w:bidi w:val="0"/>
        <w:adjustRightInd/>
        <w:snapToGrid/>
        <w:spacing w:line="640" w:lineRule="exact"/>
        <w:jc w:val="center"/>
        <w:textAlignment w:val="auto"/>
        <w:outlineLvl w:val="1"/>
        <w:rPr>
          <w:rFonts w:hint="default" w:ascii="Times New Roman" w:hAnsi="Times New Roman" w:eastAsia="仿宋_GB2312" w:cs="Times New Roman"/>
          <w:b w:val="0"/>
          <w:bCs w:val="0"/>
          <w:color w:val="auto"/>
          <w:spacing w:val="-12"/>
          <w:sz w:val="44"/>
          <w:szCs w:val="44"/>
          <w:highlight w:val="none"/>
        </w:rPr>
      </w:pPr>
      <w:r>
        <w:rPr>
          <w:rFonts w:hint="default" w:ascii="Times New Roman" w:hAnsi="Times New Roman" w:eastAsia="方正小标宋简体" w:cs="Times New Roman"/>
          <w:b w:val="0"/>
          <w:bCs w:val="0"/>
          <w:color w:val="auto"/>
          <w:spacing w:val="-12"/>
          <w:sz w:val="44"/>
          <w:szCs w:val="44"/>
          <w:highlight w:val="none"/>
          <w:lang w:eastAsia="zh-CN"/>
        </w:rPr>
        <w:t>部分</w:t>
      </w:r>
      <w:r>
        <w:rPr>
          <w:rFonts w:hint="default" w:ascii="Times New Roman" w:hAnsi="Times New Roman" w:eastAsia="方正小标宋简体" w:cs="Times New Roman"/>
          <w:b w:val="0"/>
          <w:bCs w:val="0"/>
          <w:color w:val="auto"/>
          <w:spacing w:val="-12"/>
          <w:sz w:val="44"/>
          <w:szCs w:val="44"/>
          <w:highlight w:val="none"/>
        </w:rPr>
        <w:t>不合格项目小知识</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textAlignment w:val="auto"/>
        <w:rPr>
          <w:rFonts w:hint="default" w:ascii="Times New Roman" w:hAnsi="Times New Roman" w:eastAsia="黑体" w:cs="Times New Roman"/>
          <w:b w:val="0"/>
          <w:bCs w:val="0"/>
          <w:i w:val="0"/>
          <w:caps w:val="0"/>
          <w:color w:val="auto"/>
          <w:spacing w:val="0"/>
          <w:kern w:val="2"/>
          <w:sz w:val="44"/>
          <w:szCs w:val="44"/>
          <w:shd w:val="clear" w:fill="auto"/>
          <w:lang w:val="en-US" w:eastAsia="zh-CN" w:bidi="ar-SA"/>
        </w:rPr>
      </w:pPr>
    </w:p>
    <w:p>
      <w:pPr>
        <w:keepNext w:val="0"/>
        <w:keepLines w:val="0"/>
        <w:pageBreakBefore w:val="0"/>
        <w:widowControl w:val="0"/>
        <w:numPr>
          <w:ilvl w:val="0"/>
          <w:numId w:val="0"/>
        </w:numPr>
        <w:kinsoku/>
        <w:wordWrap/>
        <w:overflowPunct/>
        <w:topLinePunct w:val="0"/>
        <w:autoSpaceDE/>
        <w:autoSpaceDN/>
        <w:bidi w:val="0"/>
        <w:snapToGrid/>
        <w:spacing w:line="560" w:lineRule="exact"/>
        <w:ind w:left="0" w:firstLine="640" w:firstLineChars="200"/>
        <w:jc w:val="both"/>
        <w:textAlignment w:val="auto"/>
        <w:rPr>
          <w:rFonts w:hint="default" w:ascii="Times New Roman" w:hAnsi="Times New Roman" w:eastAsia="黑体" w:cs="Times New Roman"/>
          <w:b w:val="0"/>
          <w:bCs w:val="0"/>
          <w:i w:val="0"/>
          <w:caps w:val="0"/>
          <w:color w:val="auto"/>
          <w:spacing w:val="0"/>
          <w:kern w:val="2"/>
          <w:sz w:val="32"/>
          <w:szCs w:val="32"/>
          <w:shd w:val="clear" w:fill="auto"/>
          <w:lang w:val="en-US" w:eastAsia="zh-CN" w:bidi="ar-SA"/>
        </w:rPr>
      </w:pPr>
      <w:r>
        <w:rPr>
          <w:rFonts w:hint="default" w:ascii="Times New Roman" w:hAnsi="Times New Roman" w:eastAsia="黑体" w:cs="Times New Roman"/>
          <w:b w:val="0"/>
          <w:bCs w:val="0"/>
          <w:i w:val="0"/>
          <w:caps w:val="0"/>
          <w:color w:val="auto"/>
          <w:spacing w:val="0"/>
          <w:kern w:val="2"/>
          <w:sz w:val="32"/>
          <w:szCs w:val="32"/>
          <w:shd w:val="clear" w:fill="auto"/>
          <w:lang w:val="en-US" w:eastAsia="zh-CN" w:bidi="ar-SA"/>
        </w:rPr>
        <w:t>一、阴离子合成洗涤剂（以十二烷基苯磺酸钠计）</w:t>
      </w:r>
    </w:p>
    <w:p>
      <w:pPr>
        <w:pStyle w:val="2"/>
        <w:keepNext w:val="0"/>
        <w:keepLines w:val="0"/>
        <w:pageBreakBefore w:val="0"/>
        <w:kinsoku/>
        <w:wordWrap/>
        <w:overflowPunct/>
        <w:topLinePunct w:val="0"/>
        <w:autoSpaceDE/>
        <w:autoSpaceDN/>
        <w:bidi w:val="0"/>
        <w:snapToGrid/>
        <w:spacing w:after="0" w:line="560" w:lineRule="exact"/>
        <w:ind w:firstLine="640" w:firstLineChars="200"/>
        <w:textAlignment w:val="auto"/>
        <w:rPr>
          <w:rFonts w:hint="default" w:ascii="Times New Roman" w:hAnsi="Times New Roman" w:eastAsia="仿宋_GB2312" w:cs="Times New Roman"/>
          <w:b w:val="0"/>
          <w:bCs w:val="0"/>
          <w:color w:val="auto"/>
          <w:kern w:val="2"/>
          <w:sz w:val="32"/>
          <w:szCs w:val="32"/>
          <w:highlight w:val="none"/>
          <w:lang w:val="en-GB" w:eastAsia="zh-CN" w:bidi="ar-SA"/>
        </w:rPr>
      </w:pPr>
      <w:r>
        <w:rPr>
          <w:rFonts w:hint="default" w:ascii="Times New Roman" w:hAnsi="Times New Roman" w:eastAsia="仿宋_GB2312" w:cs="Times New Roman"/>
          <w:b w:val="0"/>
          <w:bCs w:val="0"/>
          <w:color w:val="auto"/>
          <w:kern w:val="2"/>
          <w:sz w:val="32"/>
          <w:szCs w:val="32"/>
          <w:highlight w:val="none"/>
          <w:lang w:val="en-GB" w:eastAsia="zh-CN" w:bidi="ar-SA"/>
        </w:rPr>
        <w:t>阴离子合成洗涤剂（以十二烷基苯磺酸钠计），即日常生活中经常用到的洗衣粉、洗洁精、洗衣液等洗涤剂的主要成分，其主要成分十二烷基</w:t>
      </w:r>
      <w:r>
        <w:rPr>
          <w:rFonts w:hint="eastAsia" w:ascii="Times New Roman" w:hAnsi="Times New Roman" w:eastAsia="仿宋_GB2312" w:cs="Times New Roman"/>
          <w:b w:val="0"/>
          <w:bCs w:val="0"/>
          <w:color w:val="auto"/>
          <w:kern w:val="2"/>
          <w:sz w:val="32"/>
          <w:szCs w:val="32"/>
          <w:highlight w:val="none"/>
          <w:lang w:val="en-GB" w:eastAsia="zh-CN" w:bidi="ar-SA"/>
        </w:rPr>
        <w:t>苯</w:t>
      </w:r>
      <w:r>
        <w:rPr>
          <w:rFonts w:hint="default" w:ascii="Times New Roman" w:hAnsi="Times New Roman" w:eastAsia="仿宋_GB2312" w:cs="Times New Roman"/>
          <w:b w:val="0"/>
          <w:bCs w:val="0"/>
          <w:color w:val="auto"/>
          <w:kern w:val="2"/>
          <w:sz w:val="32"/>
          <w:szCs w:val="32"/>
          <w:highlight w:val="none"/>
          <w:lang w:val="en-GB" w:eastAsia="zh-CN" w:bidi="ar-SA"/>
        </w:rPr>
        <w:t>磺酸钠，因其使用方便、易溶解、稳定性好，成本低等优点，在消毒企业中广泛使用。《食品安全国家标准 消毒餐（饮）具》（GB14934</w:t>
      </w:r>
      <w:r>
        <w:rPr>
          <w:rFonts w:hint="default" w:ascii="Times New Roman" w:hAnsi="Times New Roman" w:eastAsia="仿宋_GB2312" w:cs="Times New Roman"/>
          <w:b w:val="0"/>
          <w:bCs w:val="0"/>
          <w:color w:val="auto"/>
          <w:kern w:val="2"/>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highlight w:val="none"/>
          <w:lang w:val="en-GB" w:eastAsia="zh-CN" w:bidi="ar-SA"/>
        </w:rPr>
        <w:t>2016）中规定，采用化学消毒法的餐（饮）具阴离子合成洗涤剂应不得检出。餐（饮）具阴离子合成洗涤剂不合格的原因可能是：餐（饮）具消毒单位使用的洗涤剂不合格或使用量过大，未经足够量清水清洗。</w:t>
      </w:r>
    </w:p>
    <w:p>
      <w:pPr>
        <w:rPr>
          <w:rFonts w:hint="default" w:ascii="Times New Roman" w:hAnsi="Times New Roman" w:cs="Times New Roman"/>
          <w:lang w:val="en-GB" w:eastAsia="zh-CN"/>
        </w:rPr>
      </w:pP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i w:val="0"/>
          <w:caps w:val="0"/>
          <w:color w:val="auto"/>
          <w:spacing w:val="0"/>
          <w:kern w:val="2"/>
          <w:sz w:val="32"/>
          <w:szCs w:val="32"/>
          <w:shd w:val="clear" w:fill="auto"/>
          <w:lang w:val="en-US" w:eastAsia="zh-CN" w:bidi="ar-SA"/>
        </w:rPr>
        <w:t>二</w:t>
      </w:r>
      <w:r>
        <w:rPr>
          <w:rFonts w:hint="default" w:ascii="Times New Roman" w:hAnsi="Times New Roman" w:eastAsia="黑体" w:cs="Times New Roman"/>
          <w:b w:val="0"/>
          <w:bCs w:val="0"/>
          <w:i w:val="0"/>
          <w:caps w:val="0"/>
          <w:color w:val="auto"/>
          <w:spacing w:val="0"/>
          <w:kern w:val="2"/>
          <w:sz w:val="32"/>
          <w:szCs w:val="32"/>
          <w:shd w:val="clear" w:fill="auto"/>
          <w:lang w:val="en-GB" w:eastAsia="zh-CN" w:bidi="ar-SA"/>
        </w:rPr>
        <w:t>、</w:t>
      </w:r>
      <w:r>
        <w:rPr>
          <w:rFonts w:hint="default" w:ascii="Times New Roman" w:hAnsi="Times New Roman" w:eastAsia="黑体" w:cs="Times New Roman"/>
          <w:b w:val="0"/>
          <w:bCs w:val="0"/>
          <w:color w:val="auto"/>
          <w:sz w:val="32"/>
          <w:szCs w:val="32"/>
          <w:lang w:val="en-GB" w:eastAsia="zh-CN"/>
        </w:rPr>
        <w:t>脱氢乙酸及其钠盐（以脱氢乙酸计）</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脱氢乙酸及其钠盐作为一种广谱食品防腐剂，对霉菌和酵母菌的抑制能力强，为苯甲酸钠的2~10倍，在高剂量使用时能抑制细菌</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《食品安全国家标准 食品添加剂使用标准》（GB 2760—20</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4）中规定，浆果和其他小型水果中不得使用。脱氢乙酸超标的原因可能是个别生产经营企业为防止食品腐败变质，超量使用了该添加剂，或者其使用的复配添加剂中该添加剂含量较高，也可能是在添加过程中未计量或计量不准。</w:t>
      </w:r>
      <w:bookmarkStart w:id="0" w:name="_GoBack"/>
      <w:bookmarkEnd w:id="0"/>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黑体" w:cs="Times New Roman"/>
          <w:b w:val="0"/>
          <w:bCs w:val="0"/>
          <w:i w:val="0"/>
          <w:caps w:val="0"/>
          <w:color w:val="auto"/>
          <w:spacing w:val="0"/>
          <w:kern w:val="2"/>
          <w:sz w:val="32"/>
          <w:szCs w:val="32"/>
          <w:shd w:val="clear" w:fill="auto"/>
          <w:lang w:val="en-GB" w:eastAsia="zh-CN" w:bidi="ar-SA"/>
        </w:rPr>
      </w:pPr>
      <w:r>
        <w:rPr>
          <w:rFonts w:hint="default" w:ascii="Times New Roman" w:hAnsi="Times New Roman" w:eastAsia="黑体" w:cs="Times New Roman"/>
          <w:b w:val="0"/>
          <w:bCs w:val="0"/>
          <w:i w:val="0"/>
          <w:caps w:val="0"/>
          <w:color w:val="auto"/>
          <w:spacing w:val="0"/>
          <w:kern w:val="2"/>
          <w:sz w:val="32"/>
          <w:szCs w:val="32"/>
          <w:shd w:val="clear" w:fill="auto"/>
          <w:lang w:val="en-US" w:eastAsia="zh-CN" w:bidi="ar-SA"/>
        </w:rPr>
        <w:t>三</w:t>
      </w:r>
      <w:r>
        <w:rPr>
          <w:rFonts w:hint="default" w:ascii="Times New Roman" w:hAnsi="Times New Roman" w:eastAsia="黑体" w:cs="Times New Roman"/>
          <w:b w:val="0"/>
          <w:bCs w:val="0"/>
          <w:i w:val="0"/>
          <w:caps w:val="0"/>
          <w:color w:val="auto"/>
          <w:spacing w:val="0"/>
          <w:kern w:val="2"/>
          <w:sz w:val="32"/>
          <w:szCs w:val="32"/>
          <w:shd w:val="clear" w:fill="auto"/>
          <w:lang w:val="en-GB" w:eastAsia="zh-CN" w:bidi="ar-SA"/>
        </w:rPr>
        <w:t>、</w:t>
      </w:r>
      <w:r>
        <w:rPr>
          <w:rFonts w:hint="default" w:ascii="Times New Roman" w:hAnsi="Times New Roman" w:eastAsia="黑体" w:cs="Times New Roman"/>
          <w:b w:val="0"/>
          <w:bCs w:val="0"/>
          <w:i w:val="0"/>
          <w:caps w:val="0"/>
          <w:color w:val="auto"/>
          <w:spacing w:val="0"/>
          <w:kern w:val="2"/>
          <w:sz w:val="32"/>
          <w:szCs w:val="32"/>
          <w:shd w:val="clear" w:fill="auto"/>
          <w:lang w:val="en-US" w:eastAsia="zh-CN" w:bidi="ar-SA"/>
        </w:rPr>
        <w:t>二氧化硫残留量</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二氧化硫是食品加工中常用的漂白剂和防腐剂，具有漂白、防腐和抗氧化作用。《食品安全国家标准</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食品添加剂使用标准》（GB2760—20</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4）中规定，淀粉制品中二氧化硫</w:t>
      </w:r>
      <w:r>
        <w:rPr>
          <w:rFonts w:hint="default" w:ascii="Times New Roman" w:hAnsi="Times New Roman" w:eastAsia="仿宋_GB2312" w:cs="Times New Roman"/>
          <w:color w:val="000000"/>
          <w:sz w:val="32"/>
          <w:szCs w:val="32"/>
          <w:lang w:val="en-US" w:eastAsia="zh-CN"/>
        </w:rPr>
        <w:t>不得使用</w:t>
      </w:r>
      <w:r>
        <w:rPr>
          <w:rFonts w:hint="default" w:ascii="Times New Roman" w:hAnsi="Times New Roman" w:eastAsia="仿宋_GB2312" w:cs="Times New Roman"/>
          <w:color w:val="000000"/>
          <w:sz w:val="32"/>
          <w:szCs w:val="32"/>
        </w:rPr>
        <w:t>。二氧化硫残留量超标的原因，可能是个别生产经营企业使用劣质原料以降低成本，其后为了提高产品色泽超量使用二氧化硫，也有可能是使用时不计量或计量不准确。</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黑体" w:cs="Times New Roman"/>
          <w:b w:val="0"/>
          <w:bCs w:val="0"/>
          <w:color w:val="auto"/>
          <w:kern w:val="2"/>
          <w:sz w:val="32"/>
          <w:szCs w:val="32"/>
          <w:lang w:val="en-US" w:eastAsia="zh-CN" w:bidi="ar-SA"/>
        </w:rPr>
        <w:t>四、</w:t>
      </w:r>
      <w:r>
        <w:rPr>
          <w:rFonts w:hint="default" w:ascii="Times New Roman" w:hAnsi="Times New Roman" w:eastAsia="黑体" w:cs="Times New Roman"/>
          <w:b w:val="0"/>
          <w:bCs w:val="0"/>
          <w:i w:val="0"/>
          <w:caps w:val="0"/>
          <w:color w:val="auto"/>
          <w:spacing w:val="0"/>
          <w:kern w:val="2"/>
          <w:sz w:val="32"/>
          <w:szCs w:val="32"/>
          <w:shd w:val="clear" w:fill="auto"/>
          <w:lang w:val="en-US" w:eastAsia="zh-CN" w:bidi="ar-SA"/>
        </w:rPr>
        <w:t>过氧化值</w:t>
      </w:r>
      <w:r>
        <w:rPr>
          <w:rFonts w:hint="default" w:ascii="Times New Roman" w:hAnsi="Times New Roman" w:eastAsia="黑体" w:cs="Times New Roman"/>
          <w:b w:val="0"/>
          <w:bCs w:val="0"/>
          <w:i w:val="0"/>
          <w:caps w:val="0"/>
          <w:color w:val="auto"/>
          <w:spacing w:val="0"/>
          <w:kern w:val="2"/>
          <w:sz w:val="32"/>
          <w:szCs w:val="32"/>
          <w:shd w:val="clear" w:fill="auto"/>
          <w:lang w:val="en-US" w:eastAsia="zh-CN" w:bidi="ar-SA"/>
        </w:rPr>
        <w:br w:type="textWrapping"/>
      </w:r>
      <w:r>
        <w:rPr>
          <w:rFonts w:hint="default" w:ascii="Times New Roman" w:hAnsi="Times New Roman" w:eastAsia="黑体" w:cs="Times New Roman"/>
          <w:b w:val="0"/>
          <w:bCs w:val="0"/>
          <w:i w:val="0"/>
          <w:caps w:val="0"/>
          <w:color w:val="auto"/>
          <w:spacing w:val="0"/>
          <w:kern w:val="2"/>
          <w:sz w:val="32"/>
          <w:szCs w:val="32"/>
          <w:shd w:val="clear" w:fill="auto"/>
          <w:lang w:val="en-US" w:eastAsia="zh-CN" w:bidi="ar-SA"/>
        </w:rPr>
        <w:t xml:space="preserve">    </w:t>
      </w:r>
      <w:r>
        <w:rPr>
          <w:rFonts w:hint="default" w:ascii="Times New Roman" w:hAnsi="Times New Roman" w:eastAsia="仿宋_GB2312" w:cs="Times New Roman"/>
          <w:b w:val="0"/>
          <w:bCs w:val="0"/>
          <w:color w:val="auto"/>
          <w:sz w:val="32"/>
          <w:szCs w:val="32"/>
          <w:lang w:val="en-US" w:eastAsia="zh-CN"/>
        </w:rPr>
        <w:t>过氧化值主要反映产品中油脂被氧化的程度。《食品安全国家标准 植物油》（GB 2716-2018）</w:t>
      </w:r>
      <w:r>
        <w:rPr>
          <w:rFonts w:hint="default" w:ascii="Times New Roman" w:hAnsi="Times New Roman" w:eastAsia="仿宋_GB2312" w:cs="Times New Roman"/>
          <w:b w:val="0"/>
          <w:bCs w:val="0"/>
          <w:color w:val="auto"/>
          <w:sz w:val="32"/>
          <w:szCs w:val="32"/>
          <w:lang w:val="en-GB" w:eastAsia="zh-CN"/>
        </w:rPr>
        <w:t>中规定，</w:t>
      </w:r>
      <w:r>
        <w:rPr>
          <w:rFonts w:hint="default" w:ascii="Times New Roman" w:hAnsi="Times New Roman" w:eastAsia="仿宋_GB2312" w:cs="Times New Roman"/>
          <w:b w:val="0"/>
          <w:bCs w:val="0"/>
          <w:color w:val="auto"/>
          <w:sz w:val="32"/>
          <w:szCs w:val="32"/>
          <w:lang w:val="en-US" w:eastAsia="zh-CN"/>
        </w:rPr>
        <w:t>食用植物油中</w:t>
      </w:r>
      <w:r>
        <w:rPr>
          <w:rFonts w:hint="default" w:ascii="Times New Roman" w:hAnsi="Times New Roman" w:eastAsia="仿宋_GB2312" w:cs="Times New Roman"/>
          <w:b w:val="0"/>
          <w:bCs w:val="0"/>
          <w:color w:val="auto"/>
          <w:sz w:val="32"/>
          <w:szCs w:val="32"/>
          <w:lang w:val="en-GB" w:eastAsia="zh-CN"/>
        </w:rPr>
        <w:t>过氧化值的最大限量值</w:t>
      </w:r>
      <w:r>
        <w:rPr>
          <w:rFonts w:hint="default" w:ascii="Times New Roman" w:hAnsi="Times New Roman" w:eastAsia="仿宋_GB2312" w:cs="Times New Roman"/>
          <w:b w:val="0"/>
          <w:bCs w:val="0"/>
          <w:color w:val="auto"/>
          <w:sz w:val="32"/>
          <w:szCs w:val="32"/>
          <w:lang w:val="en-US" w:eastAsia="zh-CN"/>
        </w:rPr>
        <w:t>为0.25g/100g。造成</w:t>
      </w:r>
      <w:r>
        <w:rPr>
          <w:rFonts w:hint="default" w:ascii="Times New Roman" w:hAnsi="Times New Roman" w:eastAsia="仿宋_GB2312" w:cs="Times New Roman"/>
          <w:b w:val="0"/>
          <w:bCs w:val="0"/>
          <w:color w:val="auto"/>
          <w:sz w:val="32"/>
          <w:szCs w:val="32"/>
          <w:lang w:val="en-GB" w:eastAsia="zh-CN"/>
        </w:rPr>
        <w:t>过氧化值</w:t>
      </w:r>
      <w:r>
        <w:rPr>
          <w:rFonts w:hint="default" w:ascii="Times New Roman" w:hAnsi="Times New Roman" w:eastAsia="仿宋_GB2312" w:cs="Times New Roman"/>
          <w:b w:val="0"/>
          <w:bCs w:val="0"/>
          <w:color w:val="auto"/>
          <w:sz w:val="32"/>
          <w:szCs w:val="32"/>
          <w:lang w:val="en-US" w:eastAsia="zh-CN"/>
        </w:rPr>
        <w:t>不符合标准的原因主要是产品用油已经变质，或者产品在储存过程中环境条件控制不当，导致产品酸败。</w:t>
      </w:r>
    </w:p>
    <w:p>
      <w:pPr>
        <w:keepNext w:val="0"/>
        <w:keepLines w:val="0"/>
        <w:pageBreakBefore w:val="0"/>
        <w:widowControl w:val="0"/>
        <w:numPr>
          <w:ilvl w:val="0"/>
          <w:numId w:val="0"/>
        </w:numPr>
        <w:kinsoku/>
        <w:wordWrap/>
        <w:overflowPunct/>
        <w:topLinePunct w:val="0"/>
        <w:autoSpaceDE/>
        <w:autoSpaceDN/>
        <w:bidi w:val="0"/>
        <w:snapToGrid/>
        <w:spacing w:line="560" w:lineRule="exact"/>
        <w:jc w:val="both"/>
        <w:textAlignment w:val="auto"/>
        <w:rPr>
          <w:rFonts w:hint="default" w:ascii="Times New Roman" w:hAnsi="Times New Roman" w:eastAsia="黑体" w:cs="Times New Roman"/>
          <w:b w:val="0"/>
          <w:bCs w:val="0"/>
          <w:i w:val="0"/>
          <w:caps w:val="0"/>
          <w:color w:val="auto"/>
          <w:spacing w:val="0"/>
          <w:kern w:val="2"/>
          <w:sz w:val="32"/>
          <w:szCs w:val="32"/>
          <w:shd w:val="clear" w:fill="auto"/>
          <w:lang w:val="en-GB" w:eastAsia="zh-CN" w:bidi="ar-SA"/>
        </w:rPr>
      </w:pP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黑体" w:cs="Times New Roman"/>
          <w:b w:val="0"/>
          <w:bCs w:val="0"/>
          <w:i w:val="0"/>
          <w:caps w:val="0"/>
          <w:color w:val="auto"/>
          <w:spacing w:val="0"/>
          <w:kern w:val="2"/>
          <w:sz w:val="32"/>
          <w:szCs w:val="32"/>
          <w:shd w:val="clear" w:fill="auto"/>
          <w:lang w:val="en-US" w:eastAsia="zh-CN" w:bidi="ar-SA"/>
        </w:rPr>
      </w:pPr>
      <w:r>
        <w:rPr>
          <w:rFonts w:hint="default" w:ascii="Times New Roman" w:hAnsi="Times New Roman" w:eastAsia="黑体" w:cs="Times New Roman"/>
          <w:b w:val="0"/>
          <w:bCs w:val="0"/>
          <w:i w:val="0"/>
          <w:caps w:val="0"/>
          <w:color w:val="auto"/>
          <w:spacing w:val="0"/>
          <w:kern w:val="2"/>
          <w:sz w:val="32"/>
          <w:szCs w:val="32"/>
          <w:shd w:val="clear" w:fill="auto"/>
          <w:lang w:val="en-GB" w:eastAsia="zh-CN" w:bidi="ar-SA"/>
        </w:rPr>
        <w:t>五、噻虫胺</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val="0"/>
          <w:color w:val="auto"/>
          <w:kern w:val="2"/>
          <w:sz w:val="32"/>
          <w:szCs w:val="32"/>
          <w:highlight w:val="none"/>
          <w:lang w:val="en-GB" w:eastAsia="zh-CN" w:bidi="ar-SA"/>
        </w:rPr>
      </w:pPr>
      <w:r>
        <w:rPr>
          <w:rFonts w:hint="default" w:ascii="Times New Roman" w:hAnsi="Times New Roman" w:eastAsia="仿宋_GB2312" w:cs="Times New Roman"/>
          <w:b w:val="0"/>
          <w:bCs w:val="0"/>
          <w:color w:val="auto"/>
          <w:kern w:val="2"/>
          <w:sz w:val="32"/>
          <w:szCs w:val="32"/>
          <w:highlight w:val="none"/>
          <w:lang w:val="en-GB" w:eastAsia="zh-CN" w:bidi="ar-SA"/>
        </w:rPr>
        <w:t>噻虫胺属新烟碱类杀虫剂，具有内吸性、触杀和胃毒作用，对姜蛆等有较好防效。《食品安全国家标准 食品中农药最大残留限量》（GB 2763—20</w:t>
      </w:r>
      <w:r>
        <w:rPr>
          <w:rFonts w:hint="default" w:ascii="Times New Roman" w:hAnsi="Times New Roman" w:eastAsia="仿宋_GB2312" w:cs="Times New Roman"/>
          <w:b w:val="0"/>
          <w:bCs w:val="0"/>
          <w:color w:val="auto"/>
          <w:kern w:val="2"/>
          <w:sz w:val="32"/>
          <w:szCs w:val="32"/>
          <w:highlight w:val="none"/>
          <w:lang w:val="en-US" w:eastAsia="zh-CN" w:bidi="ar-SA"/>
        </w:rPr>
        <w:t>21</w:t>
      </w:r>
      <w:r>
        <w:rPr>
          <w:rFonts w:hint="default" w:ascii="Times New Roman" w:hAnsi="Times New Roman" w:eastAsia="仿宋_GB2312" w:cs="Times New Roman"/>
          <w:b w:val="0"/>
          <w:bCs w:val="0"/>
          <w:color w:val="auto"/>
          <w:kern w:val="2"/>
          <w:sz w:val="32"/>
          <w:szCs w:val="32"/>
          <w:highlight w:val="none"/>
          <w:lang w:val="en-GB" w:eastAsia="zh-CN" w:bidi="ar-SA"/>
        </w:rPr>
        <w:t>）中规定，噻虫胺在姜中最大残留限量值为0.2mg/kg。噻虫胺残留量超标的原因，可能是种植户为快速控制虫害，加大用药量或未遵守采摘间隔期规定，致使上市销售的产品中残留量超标。</w:t>
      </w:r>
    </w:p>
    <w:p>
      <w:pPr>
        <w:pStyle w:val="2"/>
        <w:keepNext w:val="0"/>
        <w:keepLines w:val="0"/>
        <w:pageBreakBefore w:val="0"/>
        <w:numPr>
          <w:ilvl w:val="0"/>
          <w:numId w:val="0"/>
        </w:numPr>
        <w:kinsoku/>
        <w:wordWrap/>
        <w:overflowPunct/>
        <w:topLinePunct w:val="0"/>
        <w:autoSpaceDE/>
        <w:autoSpaceDN/>
        <w:bidi w:val="0"/>
        <w:spacing w:line="560" w:lineRule="exact"/>
        <w:ind w:left="170" w:leftChars="0" w:firstLine="880" w:firstLineChars="0"/>
        <w:textAlignment w:val="auto"/>
        <w:rPr>
          <w:rFonts w:hint="default" w:ascii="Times New Roman" w:hAnsi="Times New Roman" w:eastAsia="黑体" w:cs="Times New Roman"/>
          <w:b w:val="0"/>
          <w:bCs w:val="0"/>
          <w:color w:val="auto"/>
          <w:kern w:val="2"/>
          <w:sz w:val="32"/>
          <w:szCs w:val="32"/>
          <w:lang w:val="en-GB" w:eastAsia="zh-CN" w:bidi="ar-SA"/>
        </w:rPr>
      </w:pPr>
    </w:p>
    <w:p>
      <w:pPr>
        <w:pStyle w:val="2"/>
        <w:keepNext w:val="0"/>
        <w:keepLines w:val="0"/>
        <w:pageBreakBefore w:val="0"/>
        <w:numPr>
          <w:ilvl w:val="0"/>
          <w:numId w:val="0"/>
        </w:numPr>
        <w:kinsoku/>
        <w:wordWrap/>
        <w:overflowPunct/>
        <w:topLinePunct w:val="0"/>
        <w:autoSpaceDE/>
        <w:autoSpaceDN/>
        <w:bidi w:val="0"/>
        <w:spacing w:line="560" w:lineRule="exact"/>
        <w:ind w:left="170" w:leftChars="0" w:firstLine="880" w:firstLineChars="0"/>
        <w:textAlignment w:val="auto"/>
        <w:rPr>
          <w:rFonts w:hint="default" w:ascii="Times New Roman" w:hAnsi="Times New Roman" w:eastAsia="黑体" w:cs="Times New Roman"/>
          <w:b w:val="0"/>
          <w:bCs w:val="0"/>
          <w:color w:val="auto"/>
          <w:kern w:val="2"/>
          <w:sz w:val="32"/>
          <w:szCs w:val="32"/>
          <w:highlight w:val="none"/>
          <w:lang w:val="en-GB" w:eastAsia="zh-CN" w:bidi="ar-SA"/>
        </w:rPr>
      </w:pPr>
      <w:r>
        <w:rPr>
          <w:rFonts w:hint="default" w:ascii="Times New Roman" w:hAnsi="Times New Roman" w:eastAsia="黑体" w:cs="Times New Roman"/>
          <w:b w:val="0"/>
          <w:bCs w:val="0"/>
          <w:color w:val="auto"/>
          <w:kern w:val="2"/>
          <w:sz w:val="32"/>
          <w:szCs w:val="32"/>
          <w:lang w:val="en-GB" w:eastAsia="zh-CN" w:bidi="ar-SA"/>
        </w:rPr>
        <w:t>六、</w:t>
      </w:r>
      <w:r>
        <w:rPr>
          <w:rFonts w:hint="default" w:ascii="Times New Roman" w:hAnsi="Times New Roman" w:eastAsia="黑体" w:cs="Times New Roman"/>
          <w:b w:val="0"/>
          <w:bCs w:val="0"/>
          <w:color w:val="auto"/>
          <w:kern w:val="2"/>
          <w:sz w:val="32"/>
          <w:szCs w:val="32"/>
          <w:highlight w:val="none"/>
          <w:lang w:val="en-US" w:eastAsia="zh-CN" w:bidi="ar-SA"/>
        </w:rPr>
        <w:t>噻虫嗪</w:t>
      </w:r>
    </w:p>
    <w:p>
      <w:pPr>
        <w:pStyle w:val="2"/>
        <w:keepNext w:val="0"/>
        <w:keepLines w:val="0"/>
        <w:pageBreakBefore w:val="0"/>
        <w:numPr>
          <w:ilvl w:val="0"/>
          <w:numId w:val="0"/>
        </w:numPr>
        <w:kinsoku/>
        <w:wordWrap/>
        <w:overflowPunct/>
        <w:topLinePunct w:val="0"/>
        <w:autoSpaceDE/>
        <w:autoSpaceDN/>
        <w:bidi w:val="0"/>
        <w:spacing w:line="560" w:lineRule="exact"/>
        <w:ind w:leftChars="200" w:firstLine="640" w:firstLineChars="200"/>
        <w:textAlignment w:val="auto"/>
        <w:rPr>
          <w:rFonts w:hint="default" w:ascii="Times New Roman" w:hAnsi="Times New Roman" w:eastAsia="仿宋_GB2312" w:cs="Times New Roman"/>
          <w:b w:val="0"/>
          <w:bCs w:val="0"/>
          <w:color w:val="auto"/>
          <w:kern w:val="2"/>
          <w:sz w:val="32"/>
          <w:szCs w:val="32"/>
          <w:highlight w:val="none"/>
          <w:lang w:val="en-GB"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噻虫嗪</w:t>
      </w:r>
      <w:r>
        <w:rPr>
          <w:rFonts w:hint="default" w:ascii="Times New Roman" w:hAnsi="Times New Roman" w:eastAsia="仿宋_GB2312" w:cs="Times New Roman"/>
          <w:b w:val="0"/>
          <w:bCs w:val="0"/>
          <w:color w:val="auto"/>
          <w:kern w:val="2"/>
          <w:sz w:val="32"/>
          <w:szCs w:val="32"/>
          <w:highlight w:val="none"/>
          <w:lang w:val="en-GB" w:eastAsia="zh-CN" w:bidi="ar-SA"/>
        </w:rPr>
        <w:t>属新烟碱类杀虫剂，具有内吸性、触杀和胃毒作用。《食品安全国家标准 食品中农药最大残留限量》（GB 2763—20</w:t>
      </w:r>
      <w:r>
        <w:rPr>
          <w:rFonts w:hint="default" w:ascii="Times New Roman" w:hAnsi="Times New Roman" w:eastAsia="仿宋_GB2312" w:cs="Times New Roman"/>
          <w:b w:val="0"/>
          <w:bCs w:val="0"/>
          <w:color w:val="auto"/>
          <w:kern w:val="2"/>
          <w:sz w:val="32"/>
          <w:szCs w:val="32"/>
          <w:highlight w:val="none"/>
          <w:lang w:val="en-US" w:eastAsia="zh-CN" w:bidi="ar-SA"/>
        </w:rPr>
        <w:t>21</w:t>
      </w:r>
      <w:r>
        <w:rPr>
          <w:rFonts w:hint="default" w:ascii="Times New Roman" w:hAnsi="Times New Roman" w:eastAsia="仿宋_GB2312" w:cs="Times New Roman"/>
          <w:b w:val="0"/>
          <w:bCs w:val="0"/>
          <w:color w:val="auto"/>
          <w:kern w:val="2"/>
          <w:sz w:val="32"/>
          <w:szCs w:val="32"/>
          <w:highlight w:val="none"/>
          <w:lang w:val="en-GB" w:eastAsia="zh-CN" w:bidi="ar-SA"/>
        </w:rPr>
        <w:t>）中规定，</w:t>
      </w:r>
      <w:r>
        <w:rPr>
          <w:rFonts w:hint="default" w:ascii="Times New Roman" w:hAnsi="Times New Roman" w:eastAsia="仿宋_GB2312" w:cs="Times New Roman"/>
          <w:b w:val="0"/>
          <w:bCs w:val="0"/>
          <w:color w:val="auto"/>
          <w:kern w:val="2"/>
          <w:sz w:val="32"/>
          <w:szCs w:val="32"/>
          <w:highlight w:val="none"/>
          <w:lang w:val="en-US" w:eastAsia="zh-CN" w:bidi="ar-SA"/>
        </w:rPr>
        <w:t>噻虫嗪在</w:t>
      </w:r>
      <w:r>
        <w:rPr>
          <w:rFonts w:hint="default" w:ascii="Times New Roman" w:hAnsi="Times New Roman" w:eastAsia="仿宋_GB2312" w:cs="Times New Roman"/>
          <w:b w:val="0"/>
          <w:bCs w:val="0"/>
          <w:color w:val="auto"/>
          <w:kern w:val="2"/>
          <w:sz w:val="32"/>
          <w:szCs w:val="32"/>
          <w:highlight w:val="none"/>
          <w:lang w:val="en-GB" w:eastAsia="zh-CN" w:bidi="ar-SA"/>
        </w:rPr>
        <w:t>豆类蔬菜</w:t>
      </w:r>
      <w:r>
        <w:rPr>
          <w:rFonts w:hint="default" w:ascii="Times New Roman" w:hAnsi="Times New Roman" w:eastAsia="仿宋_GB2312" w:cs="Times New Roman"/>
          <w:b w:val="0"/>
          <w:bCs w:val="0"/>
          <w:color w:val="auto"/>
          <w:kern w:val="2"/>
          <w:sz w:val="32"/>
          <w:szCs w:val="32"/>
          <w:highlight w:val="none"/>
          <w:lang w:val="en-US" w:eastAsia="zh-CN" w:bidi="ar-SA"/>
        </w:rPr>
        <w:t>中</w:t>
      </w:r>
      <w:r>
        <w:rPr>
          <w:rFonts w:hint="default" w:ascii="Times New Roman" w:hAnsi="Times New Roman" w:eastAsia="仿宋_GB2312" w:cs="Times New Roman"/>
          <w:b w:val="0"/>
          <w:bCs w:val="0"/>
          <w:color w:val="auto"/>
          <w:kern w:val="2"/>
          <w:sz w:val="32"/>
          <w:szCs w:val="32"/>
          <w:highlight w:val="none"/>
          <w:lang w:val="en-GB" w:eastAsia="zh-CN" w:bidi="ar-SA"/>
        </w:rPr>
        <w:t>最大残留限量值为0.</w:t>
      </w:r>
      <w:r>
        <w:rPr>
          <w:rFonts w:hint="default" w:ascii="Times New Roman" w:hAnsi="Times New Roman" w:eastAsia="仿宋_GB2312" w:cs="Times New Roman"/>
          <w:b w:val="0"/>
          <w:bCs w:val="0"/>
          <w:color w:val="auto"/>
          <w:kern w:val="2"/>
          <w:sz w:val="32"/>
          <w:szCs w:val="32"/>
          <w:highlight w:val="none"/>
          <w:lang w:val="en-US" w:eastAsia="zh-CN" w:bidi="ar-SA"/>
        </w:rPr>
        <w:t>3</w:t>
      </w:r>
      <w:r>
        <w:rPr>
          <w:rFonts w:hint="default" w:ascii="Times New Roman" w:hAnsi="Times New Roman" w:eastAsia="仿宋_GB2312" w:cs="Times New Roman"/>
          <w:b w:val="0"/>
          <w:bCs w:val="0"/>
          <w:color w:val="auto"/>
          <w:kern w:val="2"/>
          <w:sz w:val="32"/>
          <w:szCs w:val="32"/>
          <w:highlight w:val="none"/>
          <w:lang w:val="en-GB" w:eastAsia="zh-CN" w:bidi="ar-SA"/>
        </w:rPr>
        <w:t>mg/kg。</w:t>
      </w:r>
      <w:r>
        <w:rPr>
          <w:rFonts w:hint="default" w:ascii="Times New Roman" w:hAnsi="Times New Roman" w:eastAsia="仿宋_GB2312" w:cs="Times New Roman"/>
          <w:b w:val="0"/>
          <w:bCs w:val="0"/>
          <w:color w:val="auto"/>
          <w:kern w:val="2"/>
          <w:sz w:val="32"/>
          <w:szCs w:val="32"/>
          <w:highlight w:val="none"/>
          <w:lang w:val="en-US" w:eastAsia="zh-CN" w:bidi="ar-SA"/>
        </w:rPr>
        <w:t>噻虫嗪</w:t>
      </w:r>
      <w:r>
        <w:rPr>
          <w:rFonts w:hint="default" w:ascii="Times New Roman" w:hAnsi="Times New Roman" w:eastAsia="仿宋_GB2312" w:cs="Times New Roman"/>
          <w:b w:val="0"/>
          <w:bCs w:val="0"/>
          <w:color w:val="auto"/>
          <w:kern w:val="2"/>
          <w:sz w:val="32"/>
          <w:szCs w:val="32"/>
          <w:highlight w:val="none"/>
          <w:lang w:val="en-GB" w:eastAsia="zh-CN" w:bidi="ar-SA"/>
        </w:rPr>
        <w:t>残留量超标的原因，可能是种植户为快速控制虫害，加大用药量或未遵守采摘间隔期规定，致使上市销售的产品中残留量超标。</w:t>
      </w:r>
    </w:p>
    <w:p>
      <w:pPr>
        <w:rPr>
          <w:rFonts w:hint="default" w:ascii="Times New Roman" w:hAnsi="Times New Roman" w:cs="Times New Roman"/>
          <w:lang w:val="en-GB" w:eastAsia="zh-CN"/>
        </w:rPr>
      </w:pP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i w:val="0"/>
          <w:caps w:val="0"/>
          <w:color w:val="auto"/>
          <w:spacing w:val="0"/>
          <w:kern w:val="2"/>
          <w:sz w:val="32"/>
          <w:szCs w:val="32"/>
          <w:shd w:val="clear" w:fill="auto"/>
          <w:lang w:val="en-US" w:eastAsia="zh-CN" w:bidi="ar-SA"/>
        </w:rPr>
        <w:t>七</w:t>
      </w:r>
      <w:r>
        <w:rPr>
          <w:rFonts w:hint="default" w:ascii="Times New Roman" w:hAnsi="Times New Roman" w:eastAsia="黑体" w:cs="Times New Roman"/>
          <w:b w:val="0"/>
          <w:bCs w:val="0"/>
          <w:i w:val="0"/>
          <w:caps w:val="0"/>
          <w:color w:val="auto"/>
          <w:spacing w:val="0"/>
          <w:kern w:val="2"/>
          <w:sz w:val="32"/>
          <w:szCs w:val="32"/>
          <w:shd w:val="clear" w:fill="auto"/>
          <w:lang w:val="en-GB" w:eastAsia="zh-CN" w:bidi="ar-SA"/>
        </w:rPr>
        <w:t>、</w:t>
      </w:r>
      <w:r>
        <w:rPr>
          <w:rFonts w:hint="default" w:ascii="Times New Roman" w:hAnsi="Times New Roman" w:eastAsia="黑体" w:cs="Times New Roman"/>
          <w:b w:val="0"/>
          <w:bCs w:val="0"/>
          <w:color w:val="auto"/>
          <w:sz w:val="32"/>
          <w:szCs w:val="32"/>
          <w:lang w:val="en-GB" w:eastAsia="zh-CN"/>
        </w:rPr>
        <w:t>咪鲜胺和咪鲜胺锰盐</w:t>
      </w:r>
    </w:p>
    <w:p>
      <w:pPr>
        <w:pStyle w:val="2"/>
        <w:keepNext w:val="0"/>
        <w:keepLines w:val="0"/>
        <w:pageBreakBefore w:val="0"/>
        <w:kinsoku/>
        <w:wordWrap/>
        <w:overflowPunct/>
        <w:topLinePunct w:val="0"/>
        <w:autoSpaceDE/>
        <w:autoSpaceDN/>
        <w:bidi w:val="0"/>
        <w:snapToGrid w:val="0"/>
        <w:spacing w:after="0" w:line="560" w:lineRule="exact"/>
        <w:ind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咪鲜胺和咪鲜胺锰盐是一种广谱高效杀菌剂。《食品安全国家标准 食品中农药最大残留限量》（GB 2763-2021）中规定，山药中咪鲜胺和咪鲜胺锰盐的最大残留限量值为0.3mg/kg。造成山药中咪鲜胺和咪鲜胺锰盐超标的主要原因可能是种植户对使用农药的安全间隔期不了解，从而违规使用或滥用农药。</w:t>
      </w:r>
    </w:p>
    <w:p>
      <w:pPr>
        <w:keepNext w:val="0"/>
        <w:keepLines w:val="0"/>
        <w:pageBreakBefore w:val="0"/>
        <w:widowControl w:val="0"/>
        <w:numPr>
          <w:ilvl w:val="0"/>
          <w:numId w:val="0"/>
        </w:numPr>
        <w:kinsoku/>
        <w:wordWrap/>
        <w:overflowPunct/>
        <w:topLinePunct w:val="0"/>
        <w:autoSpaceDE/>
        <w:autoSpaceDN/>
        <w:bidi w:val="0"/>
        <w:snapToGrid/>
        <w:spacing w:line="560" w:lineRule="exact"/>
        <w:ind w:left="0" w:firstLine="640" w:firstLineChars="200"/>
        <w:jc w:val="both"/>
        <w:textAlignment w:val="auto"/>
        <w:rPr>
          <w:rFonts w:hint="default" w:ascii="Times New Roman" w:hAnsi="Times New Roman" w:eastAsia="仿宋_GB2312" w:cs="Times New Roman"/>
          <w:b w:val="0"/>
          <w:bCs w:val="0"/>
          <w:i w:val="0"/>
          <w:caps w:val="0"/>
          <w:color w:val="auto"/>
          <w:spacing w:val="0"/>
          <w:kern w:val="2"/>
          <w:sz w:val="32"/>
          <w:szCs w:val="32"/>
          <w:shd w:val="clear" w:fill="auto"/>
          <w:lang w:val="en-GB" w:eastAsia="zh-CN" w:bidi="ar-SA"/>
        </w:rPr>
      </w:pPr>
    </w:p>
    <w:p>
      <w:pPr>
        <w:keepNext w:val="0"/>
        <w:keepLines w:val="0"/>
        <w:pageBreakBefore w:val="0"/>
        <w:numPr>
          <w:ilvl w:val="0"/>
          <w:numId w:val="0"/>
        </w:numPr>
        <w:kinsoku/>
        <w:wordWrap/>
        <w:overflowPunct/>
        <w:topLinePunct w:val="0"/>
        <w:autoSpaceDE/>
        <w:autoSpaceDN/>
        <w:bidi w:val="0"/>
        <w:spacing w:line="560" w:lineRule="exact"/>
        <w:textAlignment w:val="auto"/>
        <w:rPr>
          <w:rFonts w:hint="default" w:ascii="Times New Roman" w:hAnsi="Times New Roman" w:eastAsia="仿宋_GB2312" w:cs="Times New Roman"/>
          <w:sz w:val="32"/>
          <w:szCs w:val="32"/>
          <w:lang w:val="en-US" w:eastAsia="zh-CN"/>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yN2FkNzk3ODQ3YmU0MmFlNmZkNmQzZjFlYzk4ODQifQ=="/>
    <w:docVar w:name="KSO_WPS_MARK_KEY" w:val="727b8f75-4db5-42e6-8df3-77cba825525d"/>
  </w:docVars>
  <w:rsids>
    <w:rsidRoot w:val="3ED85CAC"/>
    <w:rsid w:val="00061473"/>
    <w:rsid w:val="0089084C"/>
    <w:rsid w:val="05873B5C"/>
    <w:rsid w:val="07F73811"/>
    <w:rsid w:val="08C275D5"/>
    <w:rsid w:val="0998538A"/>
    <w:rsid w:val="09AA52D1"/>
    <w:rsid w:val="09BE36D1"/>
    <w:rsid w:val="0A1839E1"/>
    <w:rsid w:val="0AC3578F"/>
    <w:rsid w:val="0C767178"/>
    <w:rsid w:val="0DBF6071"/>
    <w:rsid w:val="0DDF2EFF"/>
    <w:rsid w:val="0ECF0DC1"/>
    <w:rsid w:val="0F073143"/>
    <w:rsid w:val="0FD70ECB"/>
    <w:rsid w:val="104A3AA4"/>
    <w:rsid w:val="13931CCD"/>
    <w:rsid w:val="148443FC"/>
    <w:rsid w:val="1555796F"/>
    <w:rsid w:val="156D2C53"/>
    <w:rsid w:val="1A076A79"/>
    <w:rsid w:val="1B92441E"/>
    <w:rsid w:val="1D586688"/>
    <w:rsid w:val="1E0D1C03"/>
    <w:rsid w:val="1E0D7210"/>
    <w:rsid w:val="1F596AE4"/>
    <w:rsid w:val="1FB30F30"/>
    <w:rsid w:val="20E0505D"/>
    <w:rsid w:val="214C750C"/>
    <w:rsid w:val="21880FC6"/>
    <w:rsid w:val="22785078"/>
    <w:rsid w:val="227B1F94"/>
    <w:rsid w:val="22C225D6"/>
    <w:rsid w:val="23663263"/>
    <w:rsid w:val="23E73FA1"/>
    <w:rsid w:val="24D64800"/>
    <w:rsid w:val="250A3032"/>
    <w:rsid w:val="26D8505D"/>
    <w:rsid w:val="272B2CD9"/>
    <w:rsid w:val="28635B95"/>
    <w:rsid w:val="2873484A"/>
    <w:rsid w:val="288E3949"/>
    <w:rsid w:val="295B6CF3"/>
    <w:rsid w:val="29F72DC4"/>
    <w:rsid w:val="2A3630C9"/>
    <w:rsid w:val="2AEF02DA"/>
    <w:rsid w:val="2B534EB5"/>
    <w:rsid w:val="2CAC1DD8"/>
    <w:rsid w:val="2F0D1A0D"/>
    <w:rsid w:val="2F2D14C0"/>
    <w:rsid w:val="2F6A73CC"/>
    <w:rsid w:val="2F781BB8"/>
    <w:rsid w:val="2FAB0D80"/>
    <w:rsid w:val="2FEE72E0"/>
    <w:rsid w:val="32195F39"/>
    <w:rsid w:val="333170A5"/>
    <w:rsid w:val="335C1278"/>
    <w:rsid w:val="34134F74"/>
    <w:rsid w:val="35054858"/>
    <w:rsid w:val="359F5039"/>
    <w:rsid w:val="38E726E0"/>
    <w:rsid w:val="395175E2"/>
    <w:rsid w:val="39E6663F"/>
    <w:rsid w:val="3C065547"/>
    <w:rsid w:val="3CB66543"/>
    <w:rsid w:val="3D413CED"/>
    <w:rsid w:val="3ED85CAC"/>
    <w:rsid w:val="3F3E11C6"/>
    <w:rsid w:val="3F535113"/>
    <w:rsid w:val="401B24DD"/>
    <w:rsid w:val="43637E2F"/>
    <w:rsid w:val="43E91A02"/>
    <w:rsid w:val="45061CA3"/>
    <w:rsid w:val="459A51D8"/>
    <w:rsid w:val="46F94E0E"/>
    <w:rsid w:val="48965CFE"/>
    <w:rsid w:val="489F39D2"/>
    <w:rsid w:val="4A0F57DB"/>
    <w:rsid w:val="4B2353AC"/>
    <w:rsid w:val="4BB0707E"/>
    <w:rsid w:val="4D821C75"/>
    <w:rsid w:val="4DDB1DD3"/>
    <w:rsid w:val="4E7A18F1"/>
    <w:rsid w:val="4FF43C08"/>
    <w:rsid w:val="52B94C95"/>
    <w:rsid w:val="534247C1"/>
    <w:rsid w:val="53D5377C"/>
    <w:rsid w:val="55433722"/>
    <w:rsid w:val="57016DC0"/>
    <w:rsid w:val="574C252A"/>
    <w:rsid w:val="58837E58"/>
    <w:rsid w:val="58BD6BFE"/>
    <w:rsid w:val="5C985AE1"/>
    <w:rsid w:val="5D406CB5"/>
    <w:rsid w:val="5DED1B8A"/>
    <w:rsid w:val="6071095D"/>
    <w:rsid w:val="60AC2D28"/>
    <w:rsid w:val="60F615AC"/>
    <w:rsid w:val="61686AD2"/>
    <w:rsid w:val="62077493"/>
    <w:rsid w:val="62406EAB"/>
    <w:rsid w:val="647B4FEE"/>
    <w:rsid w:val="6493460B"/>
    <w:rsid w:val="64FB3DD0"/>
    <w:rsid w:val="65A2780B"/>
    <w:rsid w:val="660B4AD4"/>
    <w:rsid w:val="675D13FE"/>
    <w:rsid w:val="694D3053"/>
    <w:rsid w:val="6A3561DA"/>
    <w:rsid w:val="6A5F12A5"/>
    <w:rsid w:val="6AEE287A"/>
    <w:rsid w:val="6BB633AD"/>
    <w:rsid w:val="6C172A87"/>
    <w:rsid w:val="6D1C44BE"/>
    <w:rsid w:val="6EE7565B"/>
    <w:rsid w:val="6FF8242A"/>
    <w:rsid w:val="6FFD5FD2"/>
    <w:rsid w:val="7204226F"/>
    <w:rsid w:val="76830F93"/>
    <w:rsid w:val="788969CA"/>
    <w:rsid w:val="78FD3156"/>
    <w:rsid w:val="7A8A5D8E"/>
    <w:rsid w:val="7F9E7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semiHidden/>
    <w:unhideWhenUsed/>
    <w:qFormat/>
    <w:uiPriority w:val="99"/>
    <w:pPr>
      <w:spacing w:after="120"/>
      <w:ind w:left="420" w:leftChars="200"/>
    </w:pPr>
  </w:style>
  <w:style w:type="paragraph" w:styleId="4">
    <w:name w:val="Body Text"/>
    <w:basedOn w:val="1"/>
    <w:next w:val="5"/>
    <w:qFormat/>
    <w:uiPriority w:val="0"/>
    <w:pPr>
      <w:spacing w:after="120"/>
    </w:pPr>
    <w:rPr>
      <w:rFonts w:ascii="Times New Roman" w:hAnsi="Times New Roman"/>
      <w:kern w:val="0"/>
      <w:sz w:val="20"/>
      <w:szCs w:val="24"/>
    </w:rPr>
  </w:style>
  <w:style w:type="paragraph" w:styleId="5">
    <w:name w:val="toc 2"/>
    <w:basedOn w:val="1"/>
    <w:next w:val="1"/>
    <w:semiHidden/>
    <w:qFormat/>
    <w:uiPriority w:val="99"/>
    <w:pPr>
      <w:widowControl/>
      <w:spacing w:after="100" w:line="276" w:lineRule="auto"/>
      <w:ind w:left="220"/>
      <w:jc w:val="left"/>
    </w:pPr>
    <w:rPr>
      <w:kern w:val="0"/>
      <w:sz w:val="2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Hyperlink"/>
    <w:basedOn w:val="11"/>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999</Words>
  <Characters>1082</Characters>
  <Lines>0</Lines>
  <Paragraphs>0</Paragraphs>
  <TotalTime>6</TotalTime>
  <ScaleCrop>false</ScaleCrop>
  <LinksUpToDate>false</LinksUpToDate>
  <CharactersWithSpaces>1096</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2023-07-19T08:45:00Z</dcterms:created>
  <dc:creator>樱桃</dc:creator>
  <cp:lastModifiedBy>夜，魅，离</cp:lastModifiedBy>
  <cp:lastPrinted>2025-02-21T05:04:00Z</cp:lastPrinted>
  <dcterms:modified xsi:type="dcterms:W3CDTF">2025-07-28T04:12:33Z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D7B47A79FD3F43D39EEAF01CB2EEEC00_13</vt:lpwstr>
  </property>
  <property fmtid="{D5CDD505-2E9C-101B-9397-08002B2CF9AE}" pid="4" name="KSOTemplateDocerSaveRecord">
    <vt:lpwstr>eyJoZGlkIjoiOGQ3OTgxMDg4MGY3ZjcyODJkOTgwYjg2YTcyODRkNzIiLCJ1c2VySWQiOiIzODI0MTMwNzEifQ==</vt:lpwstr>
  </property>
</Properties>
</file>