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80" w:lineRule="exact"/>
        <w:rPr>
          <w:rFonts w:ascii="黑体" w:hAnsi="宋体" w:eastAsia="黑体"/>
          <w:sz w:val="32"/>
          <w:szCs w:val="32"/>
        </w:rPr>
      </w:pPr>
      <w:r>
        <w:rPr>
          <w:rFonts w:ascii="黑体" w:hAnsi="宋体" w:eastAsia="黑体"/>
          <w:sz w:val="32"/>
          <w:szCs w:val="32"/>
        </w:rPr>
        <w:t xml:space="preserve">                                                       </w:t>
      </w:r>
    </w:p>
    <w:tbl>
      <w:tblPr>
        <w:tblStyle w:val="8"/>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3" w:type="dxa"/>
          </w:tcPr>
          <w:p>
            <w:pPr>
              <w:spacing w:line="360" w:lineRule="auto"/>
              <w:jc w:val="center"/>
              <w:rPr>
                <w:rFonts w:ascii="黑体" w:hAnsi="宋体" w:eastAsia="黑体"/>
                <w:b/>
                <w:spacing w:val="20"/>
                <w:w w:val="105"/>
                <w:sz w:val="44"/>
                <w:szCs w:val="44"/>
              </w:rPr>
            </w:pPr>
            <w:r>
              <w:rPr>
                <w:rFonts w:hint="eastAsia" w:ascii="黑体" w:hAnsi="宋体" w:eastAsia="黑体"/>
                <w:b/>
                <w:spacing w:val="20"/>
                <w:w w:val="105"/>
                <w:sz w:val="44"/>
                <w:szCs w:val="44"/>
              </w:rPr>
              <w:t>产品质量监督抽查实施细则</w:t>
            </w:r>
          </w:p>
        </w:tc>
      </w:tr>
    </w:tbl>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tabs>
          <w:tab w:val="left" w:pos="6930"/>
        </w:tabs>
        <w:adjustRightInd w:val="0"/>
        <w:spacing w:line="480" w:lineRule="exact"/>
        <w:jc w:val="center"/>
        <w:rPr>
          <w:rFonts w:hint="eastAsia" w:ascii="黑体" w:hAnsi="黑体" w:eastAsia="黑体" w:cs="黑体"/>
          <w:b/>
          <w:bCs/>
          <w:sz w:val="44"/>
          <w:szCs w:val="44"/>
        </w:rPr>
      </w:pP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4</w:t>
      </w:r>
      <w:r>
        <w:rPr>
          <w:rFonts w:hint="eastAsia" w:ascii="黑体" w:hAnsi="黑体" w:eastAsia="黑体" w:cs="黑体"/>
          <w:b/>
          <w:bCs/>
          <w:sz w:val="44"/>
          <w:szCs w:val="44"/>
        </w:rPr>
        <w:t>年</w:t>
      </w:r>
      <w:r>
        <w:rPr>
          <w:rFonts w:hint="eastAsia" w:ascii="黑体" w:hAnsi="黑体" w:eastAsia="黑体" w:cs="黑体"/>
          <w:b/>
          <w:bCs/>
          <w:sz w:val="44"/>
          <w:szCs w:val="44"/>
          <w:lang w:eastAsia="zh-CN"/>
        </w:rPr>
        <w:t>昌吉回族自治州</w:t>
      </w:r>
      <w:r>
        <w:rPr>
          <w:rFonts w:hint="eastAsia" w:ascii="黑体" w:hAnsi="黑体" w:eastAsia="黑体" w:cs="黑体"/>
          <w:b/>
          <w:bCs/>
          <w:sz w:val="44"/>
          <w:szCs w:val="44"/>
        </w:rPr>
        <w:t>电热水壶产品质量</w:t>
      </w:r>
    </w:p>
    <w:p>
      <w:pPr>
        <w:tabs>
          <w:tab w:val="left" w:pos="6930"/>
        </w:tabs>
        <w:adjustRightInd w:val="0"/>
        <w:spacing w:line="480" w:lineRule="exact"/>
        <w:jc w:val="center"/>
        <w:rPr>
          <w:rFonts w:ascii="黑体" w:hAnsi="黑体" w:eastAsia="黑体" w:cs="黑体"/>
          <w:b/>
          <w:bCs/>
          <w:sz w:val="44"/>
          <w:szCs w:val="44"/>
        </w:rPr>
      </w:pPr>
      <w:r>
        <w:rPr>
          <w:rFonts w:hint="eastAsia" w:ascii="黑体" w:hAnsi="黑体" w:eastAsia="黑体" w:cs="黑体"/>
          <w:b/>
          <w:bCs/>
          <w:sz w:val="44"/>
          <w:szCs w:val="44"/>
        </w:rPr>
        <w:t>监督抽查实施细则</w:t>
      </w:r>
    </w:p>
    <w:p>
      <w:pPr>
        <w:tabs>
          <w:tab w:val="left" w:pos="6930"/>
        </w:tabs>
        <w:adjustRightInd w:val="0"/>
        <w:spacing w:line="480" w:lineRule="exact"/>
        <w:jc w:val="left"/>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r>
        <mc:AlternateContent>
          <mc:Choice Requires="wps">
            <w:drawing>
              <wp:anchor distT="0" distB="0" distL="114300" distR="114300" simplePos="0" relativeHeight="251659264" behindDoc="0" locked="0" layoutInCell="1" allowOverlap="1">
                <wp:simplePos x="0" y="0"/>
                <wp:positionH relativeFrom="page">
                  <wp:posOffset>2400300</wp:posOffset>
                </wp:positionH>
                <wp:positionV relativeFrom="page">
                  <wp:posOffset>6461760</wp:posOffset>
                </wp:positionV>
                <wp:extent cx="1440180" cy="198120"/>
                <wp:effectExtent l="0" t="3810" r="0" b="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40180" cy="198120"/>
                        </a:xfrm>
                        <a:prstGeom prst="rect">
                          <a:avLst/>
                        </a:prstGeom>
                        <a:solidFill>
                          <a:srgbClr val="FFFFFF"/>
                        </a:solidFill>
                        <a:ln>
                          <a:noFill/>
                        </a:ln>
                      </wps:spPr>
                      <wps:txbx>
                        <w:txbxContent>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189pt;margin-top:508.8pt;height:15.6pt;width:113.4pt;mso-position-horizontal-relative:page;mso-position-vertical-relative:page;z-index:251659264;mso-width-relative:page;mso-height-relative:page;" fillcolor="#FFFFFF" filled="t" stroked="f" coordsize="21600,21600" o:gfxdata="UEsDBAoAAAAAAIdO4kAAAAAAAAAAAAAAAAAEAAAAZHJzL1BLAwQUAAAACACHTuJA7N9BDtoAAAAN&#10;AQAADwAAAGRycy9kb3ducmV2LnhtbE2PwU7DMBBE70j8g7VIXBC1U6o0CnEq0cINDi1Vz268JBHx&#10;Ooqdpv17tid63JnR7LxidXadOOEQWk8akpkCgVR521KtYf/98ZyBCNGQNZ0n1HDBAKvy/q4wufUT&#10;bfG0i7XgEgq50dDE2OdShqpBZ8LM90js/fjBmcjnUEs7mInLXSfnSqXSmZb4Q2N6XDdY/e5GpyHd&#10;DOO0pfXTZv/+ab76en54uxy0fnxI1CuIiOf4H4brfJ4OJW86+pFsEJ2Gl2XGLJENlSxTEBxJ1YJp&#10;jldpkWUgy0LeUpR/UEsDBBQAAAAIAIdO4kDoZpIAHwIAAC4EAAAOAAAAZHJzL2Uyb0RvYy54bWyt&#10;U82O0zAQviPxDpbvNE1ZoSVqulpaFSEtP9LCA7iOk1g4HjN2m5QHgDfgxIU7z9XnYOy0ZVUueyCH&#10;aBzPfDPfN1/mN0Nn2E6h12BLnk+mnCkrodK2Kfmnj+tn15z5IGwlDFhV8r3y/Gbx9Mm8d4WaQQum&#10;UsgIxPqidyVvQ3BFlnnZqk74CThl6bIG7ESgIzZZhaIn9M5ks+n0RdYDVg5BKu/p62q85EdEfAwg&#10;1LWWagVy2ykbRlRURgSi5FvtPF+kaetayfC+rr0KzJScmIb0piYUb+I7W8xF0aBwrZbHEcRjRrjg&#10;1AltqekZaiWCYFvU/0B1WiJ4qMNEQpeNRJIixCKfXmhz3wqnEheS2ruz6P7/wcp3uw/IdFXy55xZ&#10;0dHCDz++H37+Pvz6xmZRnt75grLuHeWF4RUMZJpE1bs7kJ89s7BshW3ULSL0rRIVjZfHyuxB6Yjj&#10;I8imfwsV9RHbAAloqLGL2pEajNBpNfvzatQQmIwtr66m+TVdSbrLX17ns7S7TBSnaoc+vFbQsRiU&#10;HGn1CV3s7nyI04jilBKbeTC6Wmtj0gGbzdIg2wmyyTo9icBFmrEx2UIsGxHjl0QzMhs5hmEzHGXb&#10;QLUnwgij7eino6AF/MpZT5Yruf+yFag4M28siRb9eQrwFGxOgbCSSkseOBvDZRh9vHWom5aQx7VY&#10;uCVha504xw2MUxznJBslKY6Wjz59eE5Zf3/z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30EO&#10;2gAAAA0BAAAPAAAAAAAAAAEAIAAAACIAAABkcnMvZG93bnJldi54bWxQSwECFAAUAAAACACHTuJA&#10;6GaSAB8CAAAuBAAADgAAAAAAAAABACAAAAApAQAAZHJzL2Uyb0RvYy54bWxQSwUGAAAAAAYABgBZ&#10;AQAAugUAAAAA&#10;">
                <v:fill on="t"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3657600</wp:posOffset>
                </wp:positionH>
                <wp:positionV relativeFrom="page">
                  <wp:posOffset>6865620</wp:posOffset>
                </wp:positionV>
                <wp:extent cx="1440180" cy="198120"/>
                <wp:effectExtent l="0" t="0" r="0" b="381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40180" cy="198120"/>
                        </a:xfrm>
                        <a:prstGeom prst="rect">
                          <a:avLst/>
                        </a:prstGeom>
                        <a:solidFill>
                          <a:srgbClr val="FFFFFF"/>
                        </a:solidFill>
                        <a:ln>
                          <a:noFill/>
                        </a:ln>
                      </wps:spPr>
                      <wps:txbx>
                        <w:txbxContent>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left:288pt;margin-top:540.6pt;height:15.6pt;width:113.4pt;mso-position-horizontal-relative:page;mso-position-vertical-relative:page;z-index:251660288;mso-width-relative:page;mso-height-relative:page;" fillcolor="#FFFFFF" filled="t" stroked="f" coordsize="21600,21600" o:gfxdata="UEsDBAoAAAAAAIdO4kAAAAAAAAAAAAAAAAAEAAAAZHJzL1BLAwQUAAAACACHTuJAEJSPF9oAAAAN&#10;AQAADwAAAGRycy9kb3ducmV2LnhtbE2PwU7DMBBE70j8g7VIXBC1Y0GI0jiVaOEGh5aqZzd2k4h4&#10;HdlO0/49ywmOOzOanVetLm5gZxti71FBthDALDbe9Ngq2H+9PxbAYtJo9ODRKrjaCKv69qbSpfEz&#10;bu15l1pGJRhLraBLaSw5j01nnY4LP1ok7+SD04nO0HIT9EzlbuBSiJw73SN96PRo151tvneTU5Bv&#10;wjRvcf2w2b996M+xlYfX60Gp+7tMLIEle0l/YfidT9Ohpk1HP6GJbFDw/JITSyJDFJkERpFCSKI5&#10;kpRl8gl4XfH/FPUPUEsDBBQAAAAIAIdO4kB61JBQHwIAAC4EAAAOAAAAZHJzL2Uyb0RvYy54bWyt&#10;U82O0zAQviPxDpbvNE1ZoSVqulpaFSEtP9LCA7iOk1g4HjN2m5QHgDfgxIU7z9XnYOy0ZVUueyCH&#10;aBzPfDPfN1/mN0Nn2E6h12BLnk+mnCkrodK2Kfmnj+tn15z5IGwlDFhV8r3y/Gbx9Mm8d4WaQQum&#10;UsgIxPqidyVvQ3BFlnnZqk74CThl6bIG7ESgIzZZhaIn9M5ks+n0RdYDVg5BKu/p62q85EdEfAwg&#10;1LWWagVy2ykbRlRURgSi5FvtPF+kaetayfC+rr0KzJScmIb0piYUb+I7W8xF0aBwrZbHEcRjRrjg&#10;1AltqekZaiWCYFvU/0B1WiJ4qMNEQpeNRJIixCKfXmhz3wqnEheS2ruz6P7/wcp3uw/IdFXyGWdW&#10;dLTww4/vh5+/D7++sedRnt75grLuHeWF4RUMZJpE1bs7kJ89s7BshW3ULSL0rRIVjZfHyuxB6Yjj&#10;I8imfwsV9RHbAAloqLGL2pEajNBpNfvzatQQmIwtr66m+TVdSbrLX17ns7S7TBSnaoc+vFbQsRiU&#10;HGn1CV3s7nyI04jilBKbeTC6Wmtj0gGbzdIg2wmyyTo9icBFmrEx2UIsGxHjl0QzMhs5hmEzHGXb&#10;QLUnwgij7eino6AF/MpZT5Yruf+yFag4M28siRb9eQrwFGxOgbCSSkseOBvDZRh9vHWom5aQx7VY&#10;uCVha504xw2MUxznJBslKY6Wjz59eE5Zf3/z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lI8X&#10;2gAAAA0BAAAPAAAAAAAAAAEAIAAAACIAAABkcnMvZG93bnJldi54bWxQSwECFAAUAAAACACHTuJA&#10;etSQUB8CAAAuBAAADgAAAAAAAAABACAAAAApAQAAZHJzL2Uyb0RvYy54bWxQSwUGAAAAAAYABgBZ&#10;AQAAugUAAAAA&#10;">
                <v:fill on="t" focussize="0,0"/>
                <v:stroke on="f"/>
                <v:imagedata o:title=""/>
                <o:lock v:ext="edit" aspectratio="f"/>
                <v:textbox inset="0mm,0mm,0mm,0mm">
                  <w:txbxContent>
                    <w:p/>
                  </w:txbxContent>
                </v:textbox>
              </v:shape>
            </w:pict>
          </mc:Fallback>
        </mc:AlternateContent>
      </w: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rPr>
          <w:rFonts w:ascii="黑体" w:hAnsi="宋体" w:eastAsia="黑体"/>
          <w:b/>
          <w:sz w:val="52"/>
          <w:szCs w:val="52"/>
        </w:rPr>
      </w:pPr>
    </w:p>
    <w:p>
      <w:pPr>
        <w:adjustRightInd w:val="0"/>
        <w:spacing w:line="480" w:lineRule="exact"/>
        <w:rPr>
          <w:rFonts w:ascii="黑体" w:hAnsi="宋体" w:eastAsia="黑体"/>
          <w:b/>
          <w:sz w:val="52"/>
          <w:szCs w:val="52"/>
        </w:rPr>
      </w:pPr>
    </w:p>
    <w:p>
      <w:pPr>
        <w:adjustRightInd w:val="0"/>
        <w:spacing w:line="480" w:lineRule="exact"/>
        <w:rPr>
          <w:rFonts w:ascii="黑体" w:hAnsi="宋体" w:eastAsia="黑体"/>
          <w:b/>
          <w:sz w:val="52"/>
          <w:szCs w:val="52"/>
        </w:rPr>
      </w:pPr>
    </w:p>
    <w:p>
      <w:pPr>
        <w:adjustRightInd w:val="0"/>
        <w:spacing w:line="480" w:lineRule="exact"/>
        <w:ind w:right="-693" w:rightChars="-330"/>
        <w:rPr>
          <w:rFonts w:ascii="黑体" w:hAnsi="宋体" w:eastAsia="黑体"/>
          <w:sz w:val="28"/>
          <w:szCs w:val="28"/>
          <w:u w:val="single"/>
        </w:rPr>
      </w:pPr>
      <w:r>
        <w:rPr>
          <w:rFonts w:hint="eastAsia" w:ascii="黑体" w:hAnsi="宋体" w:eastAsia="黑体"/>
          <w:sz w:val="28"/>
          <w:szCs w:val="28"/>
          <w:u w:val="single"/>
        </w:rPr>
        <w:t>202</w:t>
      </w:r>
      <w:r>
        <w:rPr>
          <w:rFonts w:hint="eastAsia" w:ascii="黑体" w:hAnsi="宋体" w:eastAsia="黑体"/>
          <w:sz w:val="28"/>
          <w:szCs w:val="28"/>
          <w:u w:val="single"/>
          <w:lang w:val="en-US" w:eastAsia="zh-CN"/>
        </w:rPr>
        <w:t>4</w:t>
      </w:r>
      <w:r>
        <w:rPr>
          <w:rFonts w:hint="eastAsia" w:ascii="黑体" w:hAnsi="宋体" w:eastAsia="黑体"/>
          <w:sz w:val="28"/>
          <w:szCs w:val="28"/>
          <w:u w:val="single"/>
        </w:rPr>
        <w:t>-</w:t>
      </w:r>
      <w:r>
        <w:rPr>
          <w:rFonts w:ascii="黑体" w:hAnsi="宋体" w:eastAsia="黑体"/>
          <w:sz w:val="28"/>
          <w:szCs w:val="28"/>
          <w:u w:val="single"/>
        </w:rPr>
        <w:t>0</w:t>
      </w:r>
      <w:r>
        <w:rPr>
          <w:rFonts w:hint="eastAsia" w:ascii="黑体" w:hAnsi="宋体" w:eastAsia="黑体"/>
          <w:sz w:val="28"/>
          <w:szCs w:val="28"/>
          <w:u w:val="single"/>
          <w:lang w:val="en-US" w:eastAsia="zh-CN"/>
        </w:rPr>
        <w:t>4</w:t>
      </w:r>
      <w:r>
        <w:rPr>
          <w:rFonts w:hint="eastAsia" w:ascii="黑体" w:hAnsi="宋体" w:eastAsia="黑体"/>
          <w:sz w:val="28"/>
          <w:szCs w:val="28"/>
          <w:u w:val="single"/>
        </w:rPr>
        <w:t>-</w:t>
      </w:r>
      <w:r>
        <w:rPr>
          <w:rFonts w:hint="eastAsia" w:ascii="黑体" w:hAnsi="宋体" w:eastAsia="黑体"/>
          <w:sz w:val="28"/>
          <w:szCs w:val="28"/>
          <w:u w:val="single"/>
          <w:lang w:val="en-US" w:eastAsia="zh-CN"/>
        </w:rPr>
        <w:t xml:space="preserve">  </w:t>
      </w:r>
      <w:r>
        <w:rPr>
          <w:rFonts w:hint="eastAsia" w:ascii="黑体" w:hAnsi="宋体" w:eastAsia="黑体"/>
          <w:sz w:val="28"/>
          <w:szCs w:val="28"/>
          <w:u w:val="single"/>
        </w:rPr>
        <w:t>发布                                       20</w:t>
      </w:r>
      <w:r>
        <w:rPr>
          <w:rFonts w:ascii="黑体" w:hAnsi="宋体" w:eastAsia="黑体"/>
          <w:sz w:val="28"/>
          <w:szCs w:val="28"/>
          <w:u w:val="single"/>
        </w:rPr>
        <w:t>2</w:t>
      </w:r>
      <w:r>
        <w:rPr>
          <w:rFonts w:hint="eastAsia" w:ascii="黑体" w:hAnsi="宋体" w:eastAsia="黑体"/>
          <w:sz w:val="28"/>
          <w:szCs w:val="28"/>
          <w:u w:val="single"/>
          <w:lang w:val="en-US" w:eastAsia="zh-CN"/>
        </w:rPr>
        <w:t>4</w:t>
      </w:r>
      <w:r>
        <w:rPr>
          <w:rFonts w:hint="eastAsia" w:ascii="黑体" w:hAnsi="宋体" w:eastAsia="黑体"/>
          <w:sz w:val="28"/>
          <w:szCs w:val="28"/>
          <w:u w:val="single"/>
        </w:rPr>
        <w:t>-</w:t>
      </w:r>
      <w:r>
        <w:rPr>
          <w:rFonts w:ascii="黑体" w:hAnsi="宋体" w:eastAsia="黑体"/>
          <w:sz w:val="28"/>
          <w:szCs w:val="28"/>
          <w:u w:val="single"/>
        </w:rPr>
        <w:t>0</w:t>
      </w:r>
      <w:r>
        <w:rPr>
          <w:rFonts w:hint="eastAsia" w:ascii="黑体" w:hAnsi="宋体" w:eastAsia="黑体"/>
          <w:sz w:val="28"/>
          <w:szCs w:val="28"/>
          <w:u w:val="single"/>
          <w:lang w:val="en-US" w:eastAsia="zh-CN"/>
        </w:rPr>
        <w:t>4</w:t>
      </w:r>
      <w:r>
        <w:rPr>
          <w:rFonts w:hint="eastAsia" w:ascii="黑体" w:hAnsi="宋体" w:eastAsia="黑体"/>
          <w:sz w:val="28"/>
          <w:szCs w:val="28"/>
          <w:u w:val="single"/>
        </w:rPr>
        <w:t>-</w:t>
      </w:r>
      <w:r>
        <w:rPr>
          <w:rFonts w:hint="eastAsia" w:ascii="黑体" w:hAnsi="宋体" w:eastAsia="黑体"/>
          <w:sz w:val="28"/>
          <w:szCs w:val="28"/>
          <w:u w:val="single"/>
          <w:lang w:val="en-US" w:eastAsia="zh-CN"/>
        </w:rPr>
        <w:t xml:space="preserve">  </w:t>
      </w:r>
      <w:r>
        <w:rPr>
          <w:rFonts w:hint="eastAsia" w:ascii="黑体" w:hAnsi="宋体" w:eastAsia="黑体"/>
          <w:sz w:val="28"/>
          <w:szCs w:val="28"/>
          <w:u w:val="single"/>
        </w:rPr>
        <w:t xml:space="preserve">实施                          </w:t>
      </w:r>
    </w:p>
    <w:p>
      <w:pPr>
        <w:adjustRightInd w:val="0"/>
        <w:spacing w:line="480" w:lineRule="exact"/>
        <w:ind w:right="-334" w:rightChars="-159"/>
        <w:jc w:val="center"/>
        <w:rPr>
          <w:rFonts w:ascii="黑体" w:hAnsi="宋体" w:eastAsia="黑体"/>
          <w:sz w:val="36"/>
          <w:szCs w:val="36"/>
        </w:rPr>
      </w:pPr>
      <w:r>
        <w:rPr>
          <w:rFonts w:hint="eastAsia" w:ascii="黑体" w:hAnsi="宋体" w:eastAsia="黑体"/>
          <w:sz w:val="36"/>
          <w:szCs w:val="36"/>
          <w:lang w:eastAsia="zh-CN"/>
        </w:rPr>
        <w:t>昌吉回族自治州</w:t>
      </w:r>
      <w:r>
        <w:rPr>
          <w:rFonts w:hint="eastAsia" w:ascii="黑体" w:hAnsi="宋体" w:eastAsia="黑体"/>
          <w:sz w:val="36"/>
          <w:szCs w:val="36"/>
        </w:rPr>
        <w:t>市场监督管理局</w:t>
      </w:r>
    </w:p>
    <w:p>
      <w:pPr>
        <w:adjustRightInd w:val="0"/>
        <w:snapToGrid w:val="0"/>
        <w:jc w:val="center"/>
        <w:rPr>
          <w:rFonts w:hint="eastAsia" w:ascii="方正小标宋简体" w:hAnsi="仿宋" w:eastAsia="方正小标宋简体" w:cs="方正仿宋简体"/>
          <w:b/>
          <w:sz w:val="32"/>
          <w:szCs w:val="32"/>
          <w:lang w:eastAsia="zh-CN"/>
        </w:rPr>
      </w:pPr>
      <w:r>
        <w:rPr>
          <w:rFonts w:ascii="方正小标宋简体" w:hAnsi="仿宋" w:eastAsia="方正小标宋简体" w:cs="方正仿宋简体"/>
          <w:sz w:val="32"/>
          <w:szCs w:val="32"/>
        </w:rPr>
        <w:br w:type="page"/>
      </w:r>
      <w:r>
        <w:rPr>
          <w:rFonts w:hint="eastAsia" w:ascii="方正小标宋简体" w:hAnsi="仿宋" w:eastAsia="方正小标宋简体" w:cs="方正仿宋简体"/>
          <w:b/>
          <w:sz w:val="32"/>
          <w:szCs w:val="32"/>
          <w:lang w:eastAsia="zh-CN"/>
        </w:rPr>
        <w:t>202</w:t>
      </w:r>
      <w:r>
        <w:rPr>
          <w:rFonts w:hint="eastAsia" w:ascii="方正小标宋简体" w:hAnsi="仿宋" w:eastAsia="方正小标宋简体" w:cs="方正仿宋简体"/>
          <w:b/>
          <w:sz w:val="32"/>
          <w:szCs w:val="32"/>
          <w:lang w:val="en-US" w:eastAsia="zh-CN"/>
        </w:rPr>
        <w:t>4</w:t>
      </w:r>
      <w:r>
        <w:rPr>
          <w:rFonts w:hint="eastAsia" w:ascii="方正小标宋简体" w:hAnsi="仿宋" w:eastAsia="方正小标宋简体" w:cs="方正仿宋简体"/>
          <w:b/>
          <w:sz w:val="32"/>
          <w:szCs w:val="32"/>
          <w:lang w:eastAsia="zh-CN"/>
        </w:rPr>
        <w:t>年</w:t>
      </w:r>
      <w:r>
        <w:rPr>
          <w:rFonts w:hint="eastAsia" w:ascii="方正小标宋简体" w:hAnsi="仿宋" w:eastAsia="方正小标宋简体" w:cs="方正仿宋简体"/>
          <w:b/>
          <w:sz w:val="32"/>
          <w:szCs w:val="32"/>
          <w:lang w:eastAsia="zh-CN"/>
        </w:rPr>
        <w:t>昌吉回族自治州电热水壶产品质量</w:t>
      </w:r>
    </w:p>
    <w:p>
      <w:pPr>
        <w:adjustRightInd w:val="0"/>
        <w:snapToGrid w:val="0"/>
        <w:jc w:val="center"/>
        <w:rPr>
          <w:rFonts w:hint="eastAsia" w:ascii="方正小标宋简体" w:hAnsi="仿宋" w:eastAsia="方正小标宋简体" w:cs="方正仿宋简体"/>
          <w:b/>
          <w:sz w:val="32"/>
          <w:szCs w:val="32"/>
          <w:lang w:eastAsia="zh-CN"/>
        </w:rPr>
      </w:pPr>
      <w:r>
        <w:rPr>
          <w:rFonts w:hint="eastAsia" w:ascii="方正小标宋简体" w:hAnsi="仿宋" w:eastAsia="方正小标宋简体" w:cs="方正仿宋简体"/>
          <w:b/>
          <w:sz w:val="32"/>
          <w:szCs w:val="32"/>
          <w:lang w:eastAsia="zh-CN"/>
        </w:rPr>
        <w:t>监督抽查实施细则</w:t>
      </w:r>
    </w:p>
    <w:p>
      <w:pPr>
        <w:adjustRightInd w:val="0"/>
        <w:snapToGrid w:val="0"/>
        <w:spacing w:before="312" w:beforeLines="100" w:line="360" w:lineRule="auto"/>
        <w:rPr>
          <w:rFonts w:ascii="黑体" w:hAnsi="黑体" w:eastAsia="黑体"/>
          <w:b/>
          <w:szCs w:val="21"/>
        </w:rPr>
      </w:pPr>
      <w:r>
        <w:rPr>
          <w:rFonts w:hint="eastAsia" w:ascii="黑体" w:hAnsi="黑体" w:eastAsia="黑体"/>
          <w:b/>
          <w:szCs w:val="21"/>
        </w:rPr>
        <w:t>1 抽样方法</w:t>
      </w:r>
    </w:p>
    <w:p>
      <w:pPr>
        <w:spacing w:line="360" w:lineRule="auto"/>
        <w:rPr>
          <w:rFonts w:ascii="宋体" w:hAnsi="宋体"/>
          <w:bCs/>
          <w:szCs w:val="21"/>
        </w:rPr>
      </w:pPr>
      <w:r>
        <w:rPr>
          <w:rFonts w:hint="eastAsia" w:ascii="宋体" w:hAnsi="宋体"/>
          <w:bCs/>
          <w:szCs w:val="21"/>
        </w:rPr>
        <w:t>1.1在</w:t>
      </w:r>
      <w:r>
        <w:rPr>
          <w:rFonts w:hint="eastAsia" w:ascii="宋体" w:hAnsi="宋体"/>
          <w:bCs/>
          <w:szCs w:val="21"/>
          <w:lang w:eastAsia="zh-CN"/>
        </w:rPr>
        <w:t>昌吉回族自治州</w:t>
      </w:r>
      <w:r>
        <w:rPr>
          <w:rFonts w:hint="eastAsia" w:ascii="宋体" w:hAnsi="宋体"/>
          <w:bCs/>
          <w:szCs w:val="21"/>
          <w:lang w:val="en-US" w:eastAsia="zh-CN"/>
        </w:rPr>
        <w:t>行政区</w:t>
      </w:r>
      <w:r>
        <w:rPr>
          <w:rFonts w:hint="eastAsia" w:ascii="宋体" w:hAnsi="宋体"/>
          <w:bCs/>
          <w:szCs w:val="21"/>
        </w:rPr>
        <w:t>内电热水壶销售单位待销产品中随机抽取有产品质量检验合格证明或者以其他形式表明合格的产品。</w:t>
      </w:r>
    </w:p>
    <w:p>
      <w:pPr>
        <w:spacing w:line="360" w:lineRule="auto"/>
        <w:rPr>
          <w:rFonts w:ascii="宋体" w:hAnsi="宋体"/>
          <w:bCs/>
          <w:szCs w:val="21"/>
        </w:rPr>
      </w:pPr>
      <w:r>
        <w:rPr>
          <w:rFonts w:ascii="宋体" w:hAnsi="宋体"/>
          <w:bCs/>
          <w:szCs w:val="21"/>
        </w:rPr>
        <w:t>1.2</w:t>
      </w:r>
      <w:r>
        <w:rPr>
          <w:rFonts w:hint="eastAsia" w:ascii="宋体" w:hAnsi="宋体"/>
          <w:bCs/>
          <w:szCs w:val="21"/>
        </w:rPr>
        <w:t>抽取样品应为同一生产企业生产的同一种类、同一型号规格、同一批次的产品。</w:t>
      </w:r>
    </w:p>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1.3抽查样品基数满足抽样数量即可。</w:t>
      </w:r>
    </w:p>
    <w:p>
      <w:pPr>
        <w:spacing w:line="360" w:lineRule="auto"/>
        <w:ind w:firstLine="420" w:firstLineChars="200"/>
        <w:rPr>
          <w:szCs w:val="21"/>
        </w:rPr>
      </w:pPr>
      <w:r>
        <w:rPr>
          <w:rFonts w:hint="eastAsia"/>
          <w:szCs w:val="21"/>
        </w:rPr>
        <w:t>每批次产品抽取样品</w:t>
      </w:r>
      <w:r>
        <w:rPr>
          <w:szCs w:val="21"/>
        </w:rPr>
        <w:t>3</w:t>
      </w:r>
      <w:r>
        <w:rPr>
          <w:rFonts w:hint="eastAsia"/>
          <w:szCs w:val="21"/>
        </w:rPr>
        <w:t>台，其中</w:t>
      </w:r>
      <w:r>
        <w:rPr>
          <w:szCs w:val="21"/>
        </w:rPr>
        <w:t>2</w:t>
      </w:r>
      <w:r>
        <w:rPr>
          <w:rFonts w:hint="eastAsia"/>
          <w:szCs w:val="21"/>
        </w:rPr>
        <w:t>台作为检验样品，</w:t>
      </w:r>
      <w:r>
        <w:rPr>
          <w:szCs w:val="21"/>
        </w:rPr>
        <w:t>1</w:t>
      </w:r>
      <w:r>
        <w:rPr>
          <w:rFonts w:hint="eastAsia"/>
          <w:szCs w:val="21"/>
        </w:rPr>
        <w:t>台作为备用样品。</w:t>
      </w:r>
    </w:p>
    <w:p>
      <w:pPr>
        <w:spacing w:line="360" w:lineRule="auto"/>
        <w:ind w:firstLine="420" w:firstLineChars="200"/>
        <w:rPr>
          <w:rFonts w:ascii="宋体" w:hAnsi="宋体"/>
          <w:bCs/>
          <w:szCs w:val="21"/>
        </w:rPr>
      </w:pPr>
      <w:r>
        <w:rPr>
          <w:rFonts w:hint="eastAsia" w:ascii="宋体" w:hAnsi="宋体"/>
          <w:szCs w:val="21"/>
        </w:rPr>
        <w:t>随机数一般可使用随机数表、骰子或扑克牌等方法产生。</w:t>
      </w:r>
    </w:p>
    <w:p>
      <w:pPr>
        <w:adjustRightInd w:val="0"/>
        <w:snapToGrid w:val="0"/>
        <w:spacing w:before="312" w:beforeLines="100" w:line="360" w:lineRule="auto"/>
        <w:rPr>
          <w:rFonts w:ascii="黑体" w:hAnsi="黑体" w:eastAsia="黑体"/>
          <w:b/>
          <w:szCs w:val="21"/>
        </w:rPr>
      </w:pPr>
      <w:r>
        <w:rPr>
          <w:rFonts w:hint="eastAsia" w:ascii="黑体" w:hAnsi="黑体" w:eastAsia="黑体"/>
          <w:b/>
          <w:szCs w:val="21"/>
        </w:rPr>
        <w:t>2 检验依据</w:t>
      </w:r>
    </w:p>
    <w:tbl>
      <w:tblPr>
        <w:tblStyle w:val="8"/>
        <w:tblW w:w="8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
        <w:gridCol w:w="4434"/>
        <w:gridCol w:w="3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98" w:type="dxa"/>
            <w:tcBorders>
              <w:left w:val="single" w:color="000000" w:sz="4" w:space="0"/>
              <w:bottom w:val="single" w:color="000000" w:sz="4" w:space="0"/>
              <w:right w:val="single" w:color="000000" w:sz="4" w:space="0"/>
            </w:tcBorders>
            <w:vAlign w:val="center"/>
          </w:tcPr>
          <w:p>
            <w:pPr>
              <w:snapToGrid w:val="0"/>
              <w:jc w:val="center"/>
              <w:rPr>
                <w:rFonts w:ascii="黑体" w:hAnsi="黑体" w:eastAsia="黑体"/>
                <w:sz w:val="18"/>
                <w:szCs w:val="18"/>
              </w:rPr>
            </w:pPr>
            <w:r>
              <w:rPr>
                <w:rFonts w:hint="eastAsia" w:ascii="黑体" w:hAnsi="黑体" w:eastAsia="黑体"/>
                <w:sz w:val="18"/>
                <w:szCs w:val="18"/>
              </w:rPr>
              <w:t>序号</w:t>
            </w:r>
          </w:p>
        </w:tc>
        <w:tc>
          <w:tcPr>
            <w:tcW w:w="4434" w:type="dxa"/>
            <w:tcBorders>
              <w:left w:val="single" w:color="000000" w:sz="4" w:space="0"/>
              <w:bottom w:val="single" w:color="000000" w:sz="4" w:space="0"/>
              <w:right w:val="single" w:color="000000" w:sz="4" w:space="0"/>
            </w:tcBorders>
            <w:vAlign w:val="center"/>
          </w:tcPr>
          <w:p>
            <w:pPr>
              <w:snapToGrid w:val="0"/>
              <w:jc w:val="center"/>
              <w:rPr>
                <w:rFonts w:ascii="黑体" w:hAnsi="黑体" w:eastAsia="黑体"/>
                <w:sz w:val="18"/>
                <w:szCs w:val="18"/>
              </w:rPr>
            </w:pPr>
            <w:r>
              <w:rPr>
                <w:rFonts w:hint="eastAsia" w:ascii="黑体" w:hAnsi="黑体" w:eastAsia="黑体"/>
                <w:sz w:val="18"/>
                <w:szCs w:val="18"/>
              </w:rPr>
              <w:t>试验项目</w:t>
            </w:r>
          </w:p>
        </w:tc>
        <w:tc>
          <w:tcPr>
            <w:tcW w:w="3307" w:type="dxa"/>
            <w:tcBorders>
              <w:left w:val="single" w:color="000000" w:sz="4" w:space="0"/>
              <w:bottom w:val="single" w:color="000000" w:sz="4" w:space="0"/>
              <w:right w:val="single" w:color="auto" w:sz="4" w:space="0"/>
            </w:tcBorders>
            <w:vAlign w:val="center"/>
          </w:tcPr>
          <w:p>
            <w:pPr>
              <w:jc w:val="center"/>
              <w:rPr>
                <w:rFonts w:ascii="黑体" w:hAnsi="黑体" w:eastAsia="黑体"/>
                <w:sz w:val="18"/>
                <w:szCs w:val="18"/>
              </w:rPr>
            </w:pPr>
            <w:r>
              <w:rPr>
                <w:rFonts w:hint="eastAsia" w:ascii="黑体" w:hAnsi="黑体" w:eastAsia="黑体"/>
                <w:sz w:val="18"/>
                <w:szCs w:val="18"/>
              </w:rPr>
              <w:t>检验方法标准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18"/>
                <w:szCs w:val="18"/>
              </w:rPr>
            </w:pPr>
            <w:r>
              <w:rPr>
                <w:rFonts w:ascii="宋体" w:hAnsi="宋体"/>
                <w:sz w:val="18"/>
                <w:szCs w:val="18"/>
              </w:rPr>
              <w:t>1</w:t>
            </w:r>
          </w:p>
        </w:tc>
        <w:tc>
          <w:tcPr>
            <w:tcW w:w="44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对触及带电部件的防护（除8.1.4条）</w:t>
            </w:r>
          </w:p>
        </w:tc>
        <w:tc>
          <w:tcPr>
            <w:tcW w:w="3307" w:type="dxa"/>
            <w:tcBorders>
              <w:top w:val="single" w:color="000000" w:sz="4" w:space="0"/>
              <w:left w:val="single" w:color="000000" w:sz="4" w:space="0"/>
              <w:bottom w:val="single" w:color="000000" w:sz="4" w:space="0"/>
              <w:right w:val="single" w:color="auto" w:sz="4" w:space="0"/>
            </w:tcBorders>
            <w:vAlign w:val="center"/>
          </w:tcPr>
          <w:p>
            <w:pPr>
              <w:spacing w:line="260" w:lineRule="exact"/>
              <w:jc w:val="center"/>
              <w:rPr>
                <w:rFonts w:ascii="宋体" w:hAnsi="宋体"/>
                <w:sz w:val="18"/>
                <w:szCs w:val="18"/>
              </w:rPr>
            </w:pPr>
            <w:r>
              <w:rPr>
                <w:rFonts w:hint="eastAsia" w:ascii="宋体" w:hAnsi="宋体"/>
                <w:sz w:val="18"/>
                <w:szCs w:val="18"/>
              </w:rPr>
              <w:t>GB 4706.1-2005</w:t>
            </w:r>
            <w:r>
              <w:rPr>
                <w:rFonts w:ascii="宋体" w:hAnsi="宋体"/>
                <w:sz w:val="18"/>
                <w:szCs w:val="18"/>
              </w:rPr>
              <w:t xml:space="preserve"> </w:t>
            </w:r>
          </w:p>
          <w:p>
            <w:pPr>
              <w:spacing w:line="260" w:lineRule="exact"/>
              <w:jc w:val="center"/>
              <w:rPr>
                <w:rFonts w:ascii="宋体" w:hAnsi="宋体"/>
                <w:sz w:val="18"/>
                <w:szCs w:val="18"/>
              </w:rPr>
            </w:pPr>
            <w:r>
              <w:rPr>
                <w:rFonts w:ascii="宋体" w:hAnsi="宋体"/>
                <w:sz w:val="18"/>
                <w:szCs w:val="18"/>
              </w:rPr>
              <w:t xml:space="preserve">GB 4706.19-2008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18"/>
                <w:szCs w:val="18"/>
              </w:rPr>
            </w:pPr>
            <w:r>
              <w:rPr>
                <w:rFonts w:ascii="宋体" w:hAnsi="宋体"/>
                <w:sz w:val="18"/>
                <w:szCs w:val="18"/>
              </w:rPr>
              <w:t>2</w:t>
            </w:r>
          </w:p>
        </w:tc>
        <w:tc>
          <w:tcPr>
            <w:tcW w:w="44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输入功率和电流</w:t>
            </w:r>
          </w:p>
        </w:tc>
        <w:tc>
          <w:tcPr>
            <w:tcW w:w="3307" w:type="dxa"/>
            <w:tcBorders>
              <w:top w:val="single" w:color="000000" w:sz="4" w:space="0"/>
              <w:left w:val="single" w:color="000000" w:sz="4" w:space="0"/>
              <w:bottom w:val="single" w:color="000000" w:sz="4" w:space="0"/>
              <w:right w:val="single" w:color="auto" w:sz="4" w:space="0"/>
            </w:tcBorders>
            <w:vAlign w:val="center"/>
          </w:tcPr>
          <w:p>
            <w:pPr>
              <w:spacing w:line="260" w:lineRule="exact"/>
              <w:jc w:val="center"/>
              <w:rPr>
                <w:rFonts w:ascii="宋体" w:hAnsi="宋体"/>
                <w:sz w:val="18"/>
                <w:szCs w:val="18"/>
              </w:rPr>
            </w:pPr>
            <w:r>
              <w:rPr>
                <w:rFonts w:hint="eastAsia" w:ascii="宋体" w:hAnsi="宋体"/>
                <w:sz w:val="18"/>
                <w:szCs w:val="18"/>
              </w:rPr>
              <w:t>GB 4706.1-2005</w:t>
            </w:r>
            <w:r>
              <w:rPr>
                <w:rFonts w:ascii="宋体" w:hAnsi="宋体"/>
                <w:sz w:val="18"/>
                <w:szCs w:val="18"/>
              </w:rPr>
              <w:t xml:space="preserve"> </w:t>
            </w:r>
          </w:p>
          <w:p>
            <w:pPr>
              <w:spacing w:line="260" w:lineRule="exact"/>
              <w:jc w:val="center"/>
              <w:rPr>
                <w:rFonts w:ascii="宋体" w:hAnsi="宋体"/>
                <w:sz w:val="18"/>
                <w:szCs w:val="18"/>
              </w:rPr>
            </w:pPr>
            <w:r>
              <w:rPr>
                <w:rFonts w:ascii="宋体" w:hAnsi="宋体"/>
                <w:sz w:val="18"/>
                <w:szCs w:val="18"/>
              </w:rPr>
              <w:t xml:space="preserve">GB 4706.19-2008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18"/>
                <w:szCs w:val="18"/>
              </w:rPr>
            </w:pPr>
            <w:r>
              <w:rPr>
                <w:rFonts w:hint="eastAsia" w:ascii="宋体" w:hAnsi="宋体"/>
                <w:sz w:val="18"/>
                <w:szCs w:val="18"/>
              </w:rPr>
              <w:t>3</w:t>
            </w:r>
          </w:p>
        </w:tc>
        <w:tc>
          <w:tcPr>
            <w:tcW w:w="44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发热</w:t>
            </w:r>
          </w:p>
        </w:tc>
        <w:tc>
          <w:tcPr>
            <w:tcW w:w="3307" w:type="dxa"/>
            <w:tcBorders>
              <w:top w:val="single" w:color="000000" w:sz="4" w:space="0"/>
              <w:left w:val="single" w:color="000000" w:sz="4" w:space="0"/>
              <w:bottom w:val="single" w:color="000000" w:sz="4" w:space="0"/>
              <w:right w:val="single" w:color="auto" w:sz="4" w:space="0"/>
            </w:tcBorders>
            <w:vAlign w:val="center"/>
          </w:tcPr>
          <w:p>
            <w:pPr>
              <w:spacing w:line="260" w:lineRule="exact"/>
              <w:jc w:val="center"/>
              <w:rPr>
                <w:rFonts w:ascii="宋体" w:hAnsi="宋体"/>
                <w:sz w:val="18"/>
                <w:szCs w:val="18"/>
              </w:rPr>
            </w:pPr>
            <w:r>
              <w:rPr>
                <w:rFonts w:hint="eastAsia" w:ascii="宋体" w:hAnsi="宋体"/>
                <w:sz w:val="18"/>
                <w:szCs w:val="18"/>
              </w:rPr>
              <w:t>GB 4706.1-2005</w:t>
            </w:r>
            <w:r>
              <w:rPr>
                <w:rFonts w:ascii="宋体" w:hAnsi="宋体"/>
                <w:sz w:val="18"/>
                <w:szCs w:val="18"/>
              </w:rPr>
              <w:t xml:space="preserve"> </w:t>
            </w:r>
          </w:p>
          <w:p>
            <w:pPr>
              <w:spacing w:line="260" w:lineRule="exact"/>
              <w:jc w:val="center"/>
              <w:rPr>
                <w:rFonts w:ascii="宋体" w:hAnsi="宋体"/>
                <w:sz w:val="18"/>
                <w:szCs w:val="18"/>
              </w:rPr>
            </w:pPr>
            <w:r>
              <w:rPr>
                <w:rFonts w:ascii="宋体" w:hAnsi="宋体"/>
                <w:sz w:val="18"/>
                <w:szCs w:val="18"/>
              </w:rPr>
              <w:t xml:space="preserve">GB 4706.19-2008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18"/>
                <w:szCs w:val="18"/>
              </w:rPr>
            </w:pPr>
            <w:r>
              <w:rPr>
                <w:rFonts w:hint="eastAsia" w:ascii="宋体" w:hAnsi="宋体"/>
                <w:sz w:val="18"/>
                <w:szCs w:val="18"/>
              </w:rPr>
              <w:t>4</w:t>
            </w:r>
          </w:p>
        </w:tc>
        <w:tc>
          <w:tcPr>
            <w:tcW w:w="44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工作温度下的泄漏电流和电气强度</w:t>
            </w:r>
          </w:p>
        </w:tc>
        <w:tc>
          <w:tcPr>
            <w:tcW w:w="3307" w:type="dxa"/>
            <w:tcBorders>
              <w:top w:val="single" w:color="000000" w:sz="4" w:space="0"/>
              <w:left w:val="single" w:color="000000" w:sz="4" w:space="0"/>
              <w:bottom w:val="single" w:color="000000" w:sz="4" w:space="0"/>
              <w:right w:val="single" w:color="auto" w:sz="4" w:space="0"/>
            </w:tcBorders>
            <w:vAlign w:val="center"/>
          </w:tcPr>
          <w:p>
            <w:pPr>
              <w:spacing w:line="260" w:lineRule="exact"/>
              <w:jc w:val="center"/>
              <w:rPr>
                <w:rFonts w:ascii="宋体" w:hAnsi="宋体"/>
                <w:sz w:val="18"/>
                <w:szCs w:val="18"/>
              </w:rPr>
            </w:pPr>
            <w:r>
              <w:rPr>
                <w:rFonts w:hint="eastAsia" w:ascii="宋体" w:hAnsi="宋体"/>
                <w:sz w:val="18"/>
                <w:szCs w:val="18"/>
              </w:rPr>
              <w:t>GB 4706.1-2005</w:t>
            </w:r>
            <w:r>
              <w:rPr>
                <w:rFonts w:ascii="宋体" w:hAnsi="宋体"/>
                <w:sz w:val="18"/>
                <w:szCs w:val="18"/>
              </w:rPr>
              <w:t xml:space="preserve"> </w:t>
            </w:r>
          </w:p>
          <w:p>
            <w:pPr>
              <w:spacing w:line="260" w:lineRule="exact"/>
              <w:jc w:val="center"/>
              <w:rPr>
                <w:rFonts w:ascii="宋体" w:hAnsi="宋体"/>
                <w:sz w:val="18"/>
                <w:szCs w:val="18"/>
              </w:rPr>
            </w:pPr>
            <w:r>
              <w:rPr>
                <w:rFonts w:ascii="宋体" w:hAnsi="宋体"/>
                <w:sz w:val="18"/>
                <w:szCs w:val="18"/>
              </w:rPr>
              <w:t xml:space="preserve">GB 4706.19-2008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spacing w:before="80" w:after="40"/>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44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电源连接和外部软线</w:t>
            </w:r>
          </w:p>
        </w:tc>
        <w:tc>
          <w:tcPr>
            <w:tcW w:w="3307" w:type="dxa"/>
            <w:tcBorders>
              <w:top w:val="single" w:color="000000" w:sz="4" w:space="0"/>
              <w:left w:val="single" w:color="000000" w:sz="4" w:space="0"/>
              <w:bottom w:val="single" w:color="000000" w:sz="4" w:space="0"/>
              <w:right w:val="single" w:color="auto" w:sz="4" w:space="0"/>
            </w:tcBorders>
            <w:vAlign w:val="center"/>
          </w:tcPr>
          <w:p>
            <w:pPr>
              <w:spacing w:line="260" w:lineRule="exact"/>
              <w:jc w:val="center"/>
              <w:rPr>
                <w:rFonts w:ascii="宋体" w:hAnsi="宋体"/>
                <w:sz w:val="18"/>
                <w:szCs w:val="18"/>
              </w:rPr>
            </w:pPr>
            <w:r>
              <w:rPr>
                <w:rFonts w:hint="eastAsia" w:ascii="宋体" w:hAnsi="宋体"/>
                <w:sz w:val="18"/>
                <w:szCs w:val="18"/>
              </w:rPr>
              <w:t>GB 4706.1-2005</w:t>
            </w:r>
            <w:r>
              <w:rPr>
                <w:rFonts w:ascii="宋体" w:hAnsi="宋体"/>
                <w:sz w:val="18"/>
                <w:szCs w:val="18"/>
              </w:rPr>
              <w:t xml:space="preserve"> </w:t>
            </w:r>
          </w:p>
          <w:p>
            <w:pPr>
              <w:spacing w:line="260" w:lineRule="exact"/>
              <w:jc w:val="center"/>
              <w:rPr>
                <w:rFonts w:ascii="宋体" w:hAnsi="宋体"/>
                <w:sz w:val="18"/>
                <w:szCs w:val="18"/>
              </w:rPr>
            </w:pPr>
            <w:r>
              <w:rPr>
                <w:rFonts w:ascii="宋体" w:hAnsi="宋体"/>
                <w:sz w:val="18"/>
                <w:szCs w:val="18"/>
              </w:rPr>
              <w:t xml:space="preserve">GB 4706.19-2008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spacing w:before="80" w:after="4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44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接地措施（除27.4条）</w:t>
            </w:r>
          </w:p>
        </w:tc>
        <w:tc>
          <w:tcPr>
            <w:tcW w:w="3307" w:type="dxa"/>
            <w:tcBorders>
              <w:top w:val="single" w:color="000000" w:sz="4" w:space="0"/>
              <w:left w:val="single" w:color="000000" w:sz="4" w:space="0"/>
              <w:bottom w:val="single" w:color="000000" w:sz="4" w:space="0"/>
              <w:right w:val="single" w:color="auto" w:sz="4" w:space="0"/>
            </w:tcBorders>
            <w:vAlign w:val="center"/>
          </w:tcPr>
          <w:p>
            <w:pPr>
              <w:spacing w:line="260" w:lineRule="exact"/>
              <w:jc w:val="center"/>
              <w:rPr>
                <w:rFonts w:ascii="宋体" w:hAnsi="宋体"/>
                <w:sz w:val="18"/>
                <w:szCs w:val="18"/>
              </w:rPr>
            </w:pPr>
            <w:r>
              <w:rPr>
                <w:rFonts w:hint="eastAsia" w:ascii="宋体" w:hAnsi="宋体"/>
                <w:sz w:val="18"/>
                <w:szCs w:val="18"/>
              </w:rPr>
              <w:t>GB 4706.1-2005</w:t>
            </w:r>
            <w:r>
              <w:rPr>
                <w:rFonts w:ascii="宋体" w:hAnsi="宋体"/>
                <w:sz w:val="18"/>
                <w:szCs w:val="18"/>
              </w:rPr>
              <w:t xml:space="preserve"> </w:t>
            </w:r>
          </w:p>
          <w:p>
            <w:pPr>
              <w:spacing w:line="260" w:lineRule="exact"/>
              <w:jc w:val="center"/>
              <w:rPr>
                <w:rFonts w:ascii="宋体" w:hAnsi="宋体"/>
                <w:sz w:val="18"/>
                <w:szCs w:val="18"/>
              </w:rPr>
            </w:pPr>
            <w:r>
              <w:rPr>
                <w:rFonts w:ascii="宋体" w:hAnsi="宋体"/>
                <w:sz w:val="18"/>
                <w:szCs w:val="18"/>
              </w:rPr>
              <w:t xml:space="preserve">GB 4706.19-2008 </w:t>
            </w:r>
          </w:p>
        </w:tc>
      </w:tr>
    </w:tbl>
    <w:p>
      <w:pPr>
        <w:snapToGrid w:val="0"/>
        <w:spacing w:before="156" w:beforeLines="50"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snapToGrid w:val="0"/>
        <w:spacing w:line="360" w:lineRule="auto"/>
        <w:ind w:firstLine="420" w:firstLineChars="200"/>
        <w:rPr>
          <w:rFonts w:ascii="宋体" w:hAnsi="宋体"/>
          <w:szCs w:val="21"/>
        </w:rPr>
      </w:pPr>
      <w:r>
        <w:rPr>
          <w:rFonts w:hint="eastAsia" w:ascii="宋体" w:hAnsi="宋体"/>
          <w:szCs w:val="21"/>
        </w:rPr>
        <w:t>凡是注日期的文件，其随后所有的修改单（不包括勘误的内容）或修订版不适用于本细则。凡是不注日期的文件，其最新版本适用于本细则。</w:t>
      </w:r>
    </w:p>
    <w:p>
      <w:pPr>
        <w:adjustRightInd w:val="0"/>
        <w:snapToGrid w:val="0"/>
        <w:spacing w:before="312" w:beforeLines="100" w:line="360" w:lineRule="auto"/>
        <w:rPr>
          <w:rFonts w:ascii="黑体" w:hAnsi="黑体" w:eastAsia="黑体"/>
          <w:b/>
          <w:szCs w:val="21"/>
        </w:rPr>
      </w:pPr>
      <w:r>
        <w:rPr>
          <w:rFonts w:hint="eastAsia" w:ascii="黑体" w:hAnsi="黑体" w:eastAsia="黑体"/>
          <w:b/>
          <w:szCs w:val="21"/>
        </w:rPr>
        <w:t>3 判定规则</w:t>
      </w:r>
    </w:p>
    <w:p>
      <w:pPr>
        <w:snapToGrid w:val="0"/>
        <w:spacing w:line="360" w:lineRule="auto"/>
        <w:rPr>
          <w:rFonts w:ascii="宋体" w:hAnsi="宋体"/>
          <w:b/>
          <w:szCs w:val="21"/>
        </w:rPr>
      </w:pPr>
      <w:r>
        <w:rPr>
          <w:rFonts w:hint="eastAsia" w:ascii="宋体" w:hAnsi="宋体"/>
          <w:b/>
          <w:szCs w:val="21"/>
        </w:rPr>
        <w:t>3.1依据标准</w:t>
      </w:r>
    </w:p>
    <w:p>
      <w:pPr>
        <w:snapToGrid w:val="0"/>
        <w:spacing w:line="360" w:lineRule="auto"/>
        <w:ind w:firstLine="420" w:firstLineChars="200"/>
        <w:rPr>
          <w:rFonts w:hint="eastAsia" w:ascii="宋体" w:hAnsi="宋体"/>
          <w:szCs w:val="21"/>
        </w:rPr>
      </w:pPr>
      <w:r>
        <w:rPr>
          <w:rFonts w:hint="eastAsia" w:ascii="宋体" w:hAnsi="宋体"/>
          <w:szCs w:val="21"/>
        </w:rPr>
        <w:t>GB 4706.1-2005《家用和类似用途电器的安全 第1部分：通用要求》</w:t>
      </w:r>
    </w:p>
    <w:p>
      <w:pPr>
        <w:snapToGrid w:val="0"/>
        <w:spacing w:line="360" w:lineRule="auto"/>
        <w:ind w:firstLine="420" w:firstLineChars="200"/>
        <w:rPr>
          <w:rFonts w:hint="eastAsia" w:ascii="宋体" w:hAnsi="宋体"/>
          <w:szCs w:val="21"/>
        </w:rPr>
      </w:pPr>
      <w:r>
        <w:rPr>
          <w:rFonts w:hint="eastAsia" w:ascii="宋体" w:hAnsi="宋体"/>
          <w:szCs w:val="21"/>
        </w:rPr>
        <w:t>GB 4706.19-2008</w:t>
      </w:r>
      <w:r>
        <w:rPr>
          <w:rFonts w:hint="eastAsia" w:ascii="宋体" w:hAnsi="宋体"/>
          <w:szCs w:val="21"/>
        </w:rPr>
        <w:t>《家用和类似用途电器的安全</w:t>
      </w:r>
      <w:bookmarkStart w:id="0" w:name="_GoBack"/>
      <w:bookmarkEnd w:id="0"/>
      <w:r>
        <w:rPr>
          <w:rFonts w:hint="eastAsia" w:ascii="宋体" w:hAnsi="宋体"/>
          <w:szCs w:val="21"/>
        </w:rPr>
        <w:t xml:space="preserve"> 液体加热器的特殊要求》</w:t>
      </w:r>
    </w:p>
    <w:p>
      <w:pPr>
        <w:snapToGrid w:val="0"/>
        <w:spacing w:line="360" w:lineRule="auto"/>
        <w:ind w:firstLine="420" w:firstLineChars="200"/>
        <w:rPr>
          <w:rFonts w:hint="eastAsia" w:ascii="宋体" w:hAnsi="宋体"/>
          <w:szCs w:val="21"/>
        </w:rPr>
      </w:pPr>
      <w:r>
        <w:rPr>
          <w:rFonts w:hint="eastAsia" w:ascii="宋体" w:hAnsi="宋体"/>
          <w:szCs w:val="21"/>
        </w:rPr>
        <w:t>现行有效的企业标准、团体标准、地方标准及产品明示质量要求</w:t>
      </w:r>
    </w:p>
    <w:p>
      <w:pPr>
        <w:snapToGrid w:val="0"/>
        <w:spacing w:line="360" w:lineRule="auto"/>
        <w:ind w:firstLine="420" w:firstLineChars="200"/>
        <w:rPr>
          <w:rFonts w:ascii="宋体" w:hAnsi="宋体"/>
          <w:szCs w:val="21"/>
        </w:rPr>
      </w:pPr>
    </w:p>
    <w:p>
      <w:pPr>
        <w:snapToGrid w:val="0"/>
        <w:spacing w:line="360" w:lineRule="auto"/>
        <w:rPr>
          <w:rFonts w:ascii="宋体" w:hAnsi="宋体"/>
          <w:b/>
          <w:szCs w:val="21"/>
        </w:rPr>
      </w:pPr>
      <w:r>
        <w:rPr>
          <w:rFonts w:hint="eastAsia" w:ascii="宋体" w:hAnsi="宋体"/>
          <w:b/>
          <w:szCs w:val="21"/>
        </w:rPr>
        <w:t>3.2判定原则</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Times New Roman" w:hAnsi="Times New Roman"/>
          <w:color w:val="000000"/>
          <w:szCs w:val="21"/>
        </w:rPr>
      </w:pPr>
      <w:r>
        <w:rPr>
          <w:rFonts w:ascii="Times New Roman" w:hAnsi="Times New Roman"/>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Times New Roman" w:hAnsi="Times New Roman"/>
          <w:color w:val="000000"/>
          <w:szCs w:val="21"/>
        </w:rPr>
      </w:pPr>
      <w:r>
        <w:rPr>
          <w:rFonts w:ascii="Times New Roman" w:hAnsi="Times New Roman"/>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Times New Roman" w:hAnsi="Times New Roman"/>
          <w:color w:val="000000"/>
          <w:szCs w:val="21"/>
        </w:rPr>
      </w:pPr>
      <w:r>
        <w:rPr>
          <w:rFonts w:ascii="Times New Roman" w:hAnsi="Times New Roman"/>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Times New Roman" w:hAnsi="Times New Roman"/>
          <w:color w:val="000000"/>
          <w:szCs w:val="21"/>
        </w:rPr>
      </w:pPr>
      <w:r>
        <w:rPr>
          <w:rFonts w:ascii="Times New Roman" w:hAnsi="Times New Roman"/>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s="方正仿宋简体"/>
          <w:szCs w:val="21"/>
        </w:rPr>
      </w:pPr>
      <w:r>
        <w:rPr>
          <w:rFonts w:ascii="Times New Roman" w:hAnsi="Times New Roman"/>
          <w:color w:val="000000"/>
          <w:szCs w:val="21"/>
        </w:rPr>
        <w:t>若被检产品明示的质量要求缺少本细则中检验项目依据的推荐性标准要求时，该项目不参与判定。</w:t>
      </w:r>
    </w:p>
    <w:p>
      <w:pPr>
        <w:snapToGrid w:val="0"/>
        <w:spacing w:line="440" w:lineRule="exact"/>
        <w:rPr>
          <w:rFonts w:hint="eastAsia" w:ascii="宋体" w:hAnsi="宋体"/>
          <w:color w:val="000000"/>
          <w:szCs w:val="21"/>
          <w:u w:val="single"/>
        </w:rPr>
      </w:pPr>
      <w:r>
        <w:rPr>
          <w:rFonts w:hint="eastAsia"/>
          <w:lang w:val="en-US" w:eastAsia="zh-CN"/>
        </w:rPr>
        <w:t xml:space="preserve">            </w:t>
      </w:r>
      <w:r>
        <w:rPr>
          <w:rFonts w:ascii="宋体" w:hAnsi="宋体"/>
          <w:color w:val="000000"/>
          <w:szCs w:val="21"/>
          <w:u w:val="single"/>
        </w:rPr>
        <w:t xml:space="preserve">                                              </w:t>
      </w:r>
    </w:p>
    <w:p>
      <w:pPr>
        <w:adjustRightInd w:val="0"/>
        <w:snapToGrid w:val="0"/>
        <w:spacing w:line="360" w:lineRule="auto"/>
        <w:rPr>
          <w:rFonts w:hint="eastAsia" w:ascii="宋体" w:hAnsi="宋体"/>
          <w:szCs w:val="21"/>
        </w:rPr>
      </w:pPr>
    </w:p>
    <w:sectPr>
      <w:headerReference r:id="rId3" w:type="default"/>
      <w:footerReference r:id="rId4" w:type="default"/>
      <w:footerReference r:id="rId5" w:type="even"/>
      <w:pgSz w:w="11906" w:h="16838"/>
      <w:pgMar w:top="1985" w:right="1361" w:bottom="1361"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1YThlYjdiNjhjODg4N2VkNzcxZTEwY2ZkZTdmYzIifQ=="/>
  </w:docVars>
  <w:rsids>
    <w:rsidRoot w:val="00172A27"/>
    <w:rsid w:val="000003C7"/>
    <w:rsid w:val="00000B18"/>
    <w:rsid w:val="00015A12"/>
    <w:rsid w:val="000276A9"/>
    <w:rsid w:val="00032E0F"/>
    <w:rsid w:val="000341AF"/>
    <w:rsid w:val="00035064"/>
    <w:rsid w:val="00051A44"/>
    <w:rsid w:val="00071001"/>
    <w:rsid w:val="00081CBD"/>
    <w:rsid w:val="00087857"/>
    <w:rsid w:val="000976DE"/>
    <w:rsid w:val="000A1656"/>
    <w:rsid w:val="000B5D21"/>
    <w:rsid w:val="000C613E"/>
    <w:rsid w:val="000D0007"/>
    <w:rsid w:val="000F64F9"/>
    <w:rsid w:val="000F6E44"/>
    <w:rsid w:val="001035C2"/>
    <w:rsid w:val="001061C6"/>
    <w:rsid w:val="00134831"/>
    <w:rsid w:val="001518B6"/>
    <w:rsid w:val="001715A9"/>
    <w:rsid w:val="00172A27"/>
    <w:rsid w:val="00175489"/>
    <w:rsid w:val="001754B1"/>
    <w:rsid w:val="001757D7"/>
    <w:rsid w:val="001809DD"/>
    <w:rsid w:val="001A4BA7"/>
    <w:rsid w:val="001A78A8"/>
    <w:rsid w:val="001B77ED"/>
    <w:rsid w:val="001C0253"/>
    <w:rsid w:val="001C0B5F"/>
    <w:rsid w:val="001C4F34"/>
    <w:rsid w:val="001D1FBC"/>
    <w:rsid w:val="001D6824"/>
    <w:rsid w:val="001E4729"/>
    <w:rsid w:val="001F7180"/>
    <w:rsid w:val="00210539"/>
    <w:rsid w:val="0021196E"/>
    <w:rsid w:val="00220D45"/>
    <w:rsid w:val="002211A8"/>
    <w:rsid w:val="00223317"/>
    <w:rsid w:val="0022473B"/>
    <w:rsid w:val="00226724"/>
    <w:rsid w:val="00253624"/>
    <w:rsid w:val="002725B3"/>
    <w:rsid w:val="002749D1"/>
    <w:rsid w:val="00274E3E"/>
    <w:rsid w:val="002825C2"/>
    <w:rsid w:val="00293B52"/>
    <w:rsid w:val="002A069A"/>
    <w:rsid w:val="002A7D1C"/>
    <w:rsid w:val="002B3154"/>
    <w:rsid w:val="002B50E7"/>
    <w:rsid w:val="002D2068"/>
    <w:rsid w:val="002D7F8A"/>
    <w:rsid w:val="002E0D1D"/>
    <w:rsid w:val="002E1EAC"/>
    <w:rsid w:val="002E68A8"/>
    <w:rsid w:val="002E772A"/>
    <w:rsid w:val="002E7B01"/>
    <w:rsid w:val="002F49EA"/>
    <w:rsid w:val="00306A87"/>
    <w:rsid w:val="00314D52"/>
    <w:rsid w:val="00314E0D"/>
    <w:rsid w:val="0031786C"/>
    <w:rsid w:val="003203A3"/>
    <w:rsid w:val="003211DD"/>
    <w:rsid w:val="00371567"/>
    <w:rsid w:val="00375E4A"/>
    <w:rsid w:val="003908BA"/>
    <w:rsid w:val="0039208F"/>
    <w:rsid w:val="003B226D"/>
    <w:rsid w:val="003C3085"/>
    <w:rsid w:val="003C388C"/>
    <w:rsid w:val="003C4CFD"/>
    <w:rsid w:val="003D0118"/>
    <w:rsid w:val="003D165C"/>
    <w:rsid w:val="003E4890"/>
    <w:rsid w:val="003E61BF"/>
    <w:rsid w:val="003F1695"/>
    <w:rsid w:val="003F7815"/>
    <w:rsid w:val="00427534"/>
    <w:rsid w:val="00427D8E"/>
    <w:rsid w:val="004315D3"/>
    <w:rsid w:val="00431B92"/>
    <w:rsid w:val="004407A6"/>
    <w:rsid w:val="00441CD2"/>
    <w:rsid w:val="00442A9A"/>
    <w:rsid w:val="00445E86"/>
    <w:rsid w:val="00457A50"/>
    <w:rsid w:val="00474E04"/>
    <w:rsid w:val="0047614B"/>
    <w:rsid w:val="004820E0"/>
    <w:rsid w:val="00490A9C"/>
    <w:rsid w:val="004A4057"/>
    <w:rsid w:val="004C7F27"/>
    <w:rsid w:val="004D0C5A"/>
    <w:rsid w:val="004D0E11"/>
    <w:rsid w:val="004D25D5"/>
    <w:rsid w:val="004D4B2E"/>
    <w:rsid w:val="004E1396"/>
    <w:rsid w:val="004F4DF1"/>
    <w:rsid w:val="00515553"/>
    <w:rsid w:val="00523863"/>
    <w:rsid w:val="0053767C"/>
    <w:rsid w:val="00560BA9"/>
    <w:rsid w:val="00563EBC"/>
    <w:rsid w:val="005A3E5F"/>
    <w:rsid w:val="005D7833"/>
    <w:rsid w:val="006003B9"/>
    <w:rsid w:val="00620876"/>
    <w:rsid w:val="006222C8"/>
    <w:rsid w:val="006241C7"/>
    <w:rsid w:val="00643C90"/>
    <w:rsid w:val="00650FA2"/>
    <w:rsid w:val="006617E9"/>
    <w:rsid w:val="006661AC"/>
    <w:rsid w:val="00672B6A"/>
    <w:rsid w:val="00677567"/>
    <w:rsid w:val="00684106"/>
    <w:rsid w:val="006B1436"/>
    <w:rsid w:val="006B3511"/>
    <w:rsid w:val="006B5E89"/>
    <w:rsid w:val="006B7ACD"/>
    <w:rsid w:val="006D58B0"/>
    <w:rsid w:val="006F0971"/>
    <w:rsid w:val="007035AB"/>
    <w:rsid w:val="007064E0"/>
    <w:rsid w:val="007076A7"/>
    <w:rsid w:val="00711039"/>
    <w:rsid w:val="00720D95"/>
    <w:rsid w:val="0072334C"/>
    <w:rsid w:val="0074174D"/>
    <w:rsid w:val="00756A15"/>
    <w:rsid w:val="007626BB"/>
    <w:rsid w:val="00764B44"/>
    <w:rsid w:val="00775B99"/>
    <w:rsid w:val="007B0569"/>
    <w:rsid w:val="007B3BBD"/>
    <w:rsid w:val="007D4454"/>
    <w:rsid w:val="007D5622"/>
    <w:rsid w:val="007F26B4"/>
    <w:rsid w:val="00803110"/>
    <w:rsid w:val="0080654F"/>
    <w:rsid w:val="00807D64"/>
    <w:rsid w:val="008121A2"/>
    <w:rsid w:val="0081453E"/>
    <w:rsid w:val="00832480"/>
    <w:rsid w:val="0083350B"/>
    <w:rsid w:val="00833A7C"/>
    <w:rsid w:val="00835F10"/>
    <w:rsid w:val="00840977"/>
    <w:rsid w:val="0084366D"/>
    <w:rsid w:val="00854F6E"/>
    <w:rsid w:val="00895BEA"/>
    <w:rsid w:val="008A0055"/>
    <w:rsid w:val="008A0FF4"/>
    <w:rsid w:val="008A3497"/>
    <w:rsid w:val="008A55AE"/>
    <w:rsid w:val="008A5AF6"/>
    <w:rsid w:val="008A5D98"/>
    <w:rsid w:val="008B158C"/>
    <w:rsid w:val="008B69C6"/>
    <w:rsid w:val="008B6AA6"/>
    <w:rsid w:val="008B7AB8"/>
    <w:rsid w:val="008C7121"/>
    <w:rsid w:val="008F2CA7"/>
    <w:rsid w:val="008F7267"/>
    <w:rsid w:val="0090401C"/>
    <w:rsid w:val="009044C8"/>
    <w:rsid w:val="00905558"/>
    <w:rsid w:val="009055F7"/>
    <w:rsid w:val="00916DA0"/>
    <w:rsid w:val="00917A54"/>
    <w:rsid w:val="009339AE"/>
    <w:rsid w:val="009439DD"/>
    <w:rsid w:val="0094409B"/>
    <w:rsid w:val="009443F6"/>
    <w:rsid w:val="009464F9"/>
    <w:rsid w:val="009659A3"/>
    <w:rsid w:val="009667AA"/>
    <w:rsid w:val="00972E10"/>
    <w:rsid w:val="00973B12"/>
    <w:rsid w:val="0097718A"/>
    <w:rsid w:val="009A1D61"/>
    <w:rsid w:val="009A3D32"/>
    <w:rsid w:val="009B2BEE"/>
    <w:rsid w:val="009D29B0"/>
    <w:rsid w:val="009D7B49"/>
    <w:rsid w:val="009E3857"/>
    <w:rsid w:val="009E73FD"/>
    <w:rsid w:val="009F6B32"/>
    <w:rsid w:val="009F79F4"/>
    <w:rsid w:val="00A034F4"/>
    <w:rsid w:val="00A25095"/>
    <w:rsid w:val="00A40FEF"/>
    <w:rsid w:val="00A43553"/>
    <w:rsid w:val="00A50A1C"/>
    <w:rsid w:val="00A61567"/>
    <w:rsid w:val="00A62B41"/>
    <w:rsid w:val="00A82410"/>
    <w:rsid w:val="00A8284B"/>
    <w:rsid w:val="00A8778B"/>
    <w:rsid w:val="00A95167"/>
    <w:rsid w:val="00AA2B3B"/>
    <w:rsid w:val="00AA2BE0"/>
    <w:rsid w:val="00AB1B60"/>
    <w:rsid w:val="00AB47A2"/>
    <w:rsid w:val="00AB5A76"/>
    <w:rsid w:val="00AC2C98"/>
    <w:rsid w:val="00AC63A0"/>
    <w:rsid w:val="00AD1654"/>
    <w:rsid w:val="00AD5446"/>
    <w:rsid w:val="00AF06AE"/>
    <w:rsid w:val="00B052CD"/>
    <w:rsid w:val="00B06575"/>
    <w:rsid w:val="00B11A9D"/>
    <w:rsid w:val="00B31285"/>
    <w:rsid w:val="00B34EAF"/>
    <w:rsid w:val="00B435B0"/>
    <w:rsid w:val="00B53911"/>
    <w:rsid w:val="00B6027C"/>
    <w:rsid w:val="00B60FC4"/>
    <w:rsid w:val="00B65001"/>
    <w:rsid w:val="00B66C1C"/>
    <w:rsid w:val="00B67859"/>
    <w:rsid w:val="00B92E02"/>
    <w:rsid w:val="00B92EA8"/>
    <w:rsid w:val="00BA29DB"/>
    <w:rsid w:val="00BA39E8"/>
    <w:rsid w:val="00BA444C"/>
    <w:rsid w:val="00BA7CBE"/>
    <w:rsid w:val="00BB2E33"/>
    <w:rsid w:val="00BB4F8B"/>
    <w:rsid w:val="00BC0F3D"/>
    <w:rsid w:val="00BC2570"/>
    <w:rsid w:val="00BD5E15"/>
    <w:rsid w:val="00BE601A"/>
    <w:rsid w:val="00BF04E2"/>
    <w:rsid w:val="00BF2499"/>
    <w:rsid w:val="00C04BB6"/>
    <w:rsid w:val="00C11645"/>
    <w:rsid w:val="00C14067"/>
    <w:rsid w:val="00C235A7"/>
    <w:rsid w:val="00C26074"/>
    <w:rsid w:val="00C32153"/>
    <w:rsid w:val="00C353D5"/>
    <w:rsid w:val="00C50105"/>
    <w:rsid w:val="00C5014D"/>
    <w:rsid w:val="00C54630"/>
    <w:rsid w:val="00C54BC5"/>
    <w:rsid w:val="00C54FB2"/>
    <w:rsid w:val="00C83B0A"/>
    <w:rsid w:val="00C94824"/>
    <w:rsid w:val="00C9718B"/>
    <w:rsid w:val="00CB27CE"/>
    <w:rsid w:val="00CB4CFB"/>
    <w:rsid w:val="00CB5DFE"/>
    <w:rsid w:val="00CC3F7B"/>
    <w:rsid w:val="00CD5014"/>
    <w:rsid w:val="00CE1E0C"/>
    <w:rsid w:val="00CE277E"/>
    <w:rsid w:val="00CE387D"/>
    <w:rsid w:val="00CE5230"/>
    <w:rsid w:val="00D14906"/>
    <w:rsid w:val="00D15D3E"/>
    <w:rsid w:val="00D31AD0"/>
    <w:rsid w:val="00D32D7C"/>
    <w:rsid w:val="00D45E0D"/>
    <w:rsid w:val="00D557D2"/>
    <w:rsid w:val="00D56867"/>
    <w:rsid w:val="00D67FB9"/>
    <w:rsid w:val="00D727AC"/>
    <w:rsid w:val="00D9366F"/>
    <w:rsid w:val="00DA08DE"/>
    <w:rsid w:val="00DB6E0E"/>
    <w:rsid w:val="00DC19FC"/>
    <w:rsid w:val="00DC570B"/>
    <w:rsid w:val="00DD4B0F"/>
    <w:rsid w:val="00DE187C"/>
    <w:rsid w:val="00DE27A9"/>
    <w:rsid w:val="00DE5A74"/>
    <w:rsid w:val="00DF135C"/>
    <w:rsid w:val="00E02A7F"/>
    <w:rsid w:val="00E07880"/>
    <w:rsid w:val="00E20E35"/>
    <w:rsid w:val="00E34A99"/>
    <w:rsid w:val="00E44A9F"/>
    <w:rsid w:val="00E47801"/>
    <w:rsid w:val="00E72F85"/>
    <w:rsid w:val="00E753E6"/>
    <w:rsid w:val="00E82621"/>
    <w:rsid w:val="00E82AA9"/>
    <w:rsid w:val="00E85E2F"/>
    <w:rsid w:val="00E8703C"/>
    <w:rsid w:val="00E8743E"/>
    <w:rsid w:val="00EA577E"/>
    <w:rsid w:val="00EB2A98"/>
    <w:rsid w:val="00EE2F85"/>
    <w:rsid w:val="00EF086A"/>
    <w:rsid w:val="00EF6524"/>
    <w:rsid w:val="00F01BEC"/>
    <w:rsid w:val="00F030E4"/>
    <w:rsid w:val="00F209C5"/>
    <w:rsid w:val="00F34791"/>
    <w:rsid w:val="00F370D1"/>
    <w:rsid w:val="00F41F1B"/>
    <w:rsid w:val="00F51B27"/>
    <w:rsid w:val="00F5233C"/>
    <w:rsid w:val="00F721D8"/>
    <w:rsid w:val="00F77C9A"/>
    <w:rsid w:val="00F8284C"/>
    <w:rsid w:val="00F85D18"/>
    <w:rsid w:val="00F9402A"/>
    <w:rsid w:val="00FA64F9"/>
    <w:rsid w:val="00FB2570"/>
    <w:rsid w:val="00FB576C"/>
    <w:rsid w:val="00FD2AA6"/>
    <w:rsid w:val="00FE060F"/>
    <w:rsid w:val="00FE2EBB"/>
    <w:rsid w:val="00FE7E8A"/>
    <w:rsid w:val="00FF477D"/>
    <w:rsid w:val="012869A8"/>
    <w:rsid w:val="03845237"/>
    <w:rsid w:val="07A574EE"/>
    <w:rsid w:val="0F4A7D3F"/>
    <w:rsid w:val="10FD39C4"/>
    <w:rsid w:val="19A2504A"/>
    <w:rsid w:val="19BE3706"/>
    <w:rsid w:val="1AD97324"/>
    <w:rsid w:val="1B310649"/>
    <w:rsid w:val="1BA004BA"/>
    <w:rsid w:val="1BAC7F86"/>
    <w:rsid w:val="1EDA7B0B"/>
    <w:rsid w:val="21271E30"/>
    <w:rsid w:val="22A70FE7"/>
    <w:rsid w:val="232D19AA"/>
    <w:rsid w:val="25901ED5"/>
    <w:rsid w:val="27EE2B60"/>
    <w:rsid w:val="2A520044"/>
    <w:rsid w:val="2A864303"/>
    <w:rsid w:val="2B035D23"/>
    <w:rsid w:val="308675AA"/>
    <w:rsid w:val="3B7926FA"/>
    <w:rsid w:val="3BA713EC"/>
    <w:rsid w:val="3C022A85"/>
    <w:rsid w:val="3E6E32C4"/>
    <w:rsid w:val="40A705CB"/>
    <w:rsid w:val="41235F41"/>
    <w:rsid w:val="45217A1C"/>
    <w:rsid w:val="4BEC1766"/>
    <w:rsid w:val="4C224BFA"/>
    <w:rsid w:val="4E16362F"/>
    <w:rsid w:val="4F891FE9"/>
    <w:rsid w:val="50052A51"/>
    <w:rsid w:val="52133DDD"/>
    <w:rsid w:val="569331F6"/>
    <w:rsid w:val="56A3467A"/>
    <w:rsid w:val="5A522FD2"/>
    <w:rsid w:val="60387B56"/>
    <w:rsid w:val="62A10094"/>
    <w:rsid w:val="659D498D"/>
    <w:rsid w:val="6A1C6093"/>
    <w:rsid w:val="755271FF"/>
    <w:rsid w:val="75A05606"/>
    <w:rsid w:val="78E6536E"/>
    <w:rsid w:val="7E89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uiPriority w:val="99"/>
    <w:pPr>
      <w:jc w:val="left"/>
    </w:pPr>
    <w:rPr>
      <w:lang w:val="zh-CN" w:eastAsia="zh-CN"/>
    </w:rPr>
  </w:style>
  <w:style w:type="paragraph" w:styleId="3">
    <w:name w:val="Date"/>
    <w:basedOn w:val="1"/>
    <w:next w:val="1"/>
    <w:link w:val="19"/>
    <w:autoRedefine/>
    <w:unhideWhenUsed/>
    <w:qFormat/>
    <w:uiPriority w:val="99"/>
    <w:pPr>
      <w:ind w:left="100" w:leftChars="2500"/>
    </w:pPr>
    <w:rPr>
      <w:lang w:val="zh-CN" w:eastAsia="zh-CN"/>
    </w:rPr>
  </w:style>
  <w:style w:type="paragraph" w:styleId="4">
    <w:name w:val="Balloon Text"/>
    <w:basedOn w:val="1"/>
    <w:link w:val="16"/>
    <w:autoRedefine/>
    <w:unhideWhenUsed/>
    <w:qFormat/>
    <w:uiPriority w:val="99"/>
    <w:rPr>
      <w:sz w:val="18"/>
      <w:szCs w:val="18"/>
      <w:lang w:val="zh-CN" w:eastAsia="zh-CN"/>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annotation subject"/>
    <w:basedOn w:val="2"/>
    <w:next w:val="2"/>
    <w:link w:val="14"/>
    <w:autoRedefine/>
    <w:unhideWhenUsed/>
    <w:qFormat/>
    <w:uiPriority w:val="99"/>
    <w:rPr>
      <w:b/>
      <w:bCs/>
      <w:lang w:val="en-US" w:eastAsia="zh-CN"/>
    </w:rPr>
  </w:style>
  <w:style w:type="table" w:styleId="9">
    <w:name w:val="Table Grid"/>
    <w:basedOn w:val="8"/>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autoRedefine/>
    <w:qFormat/>
    <w:uiPriority w:val="0"/>
  </w:style>
  <w:style w:type="character" w:styleId="12">
    <w:name w:val="annotation reference"/>
    <w:autoRedefine/>
    <w:unhideWhenUsed/>
    <w:qFormat/>
    <w:uiPriority w:val="99"/>
    <w:rPr>
      <w:sz w:val="21"/>
      <w:szCs w:val="21"/>
    </w:rPr>
  </w:style>
  <w:style w:type="character" w:customStyle="1" w:styleId="13">
    <w:name w:val="页眉 字符"/>
    <w:link w:val="6"/>
    <w:autoRedefine/>
    <w:semiHidden/>
    <w:qFormat/>
    <w:uiPriority w:val="99"/>
    <w:rPr>
      <w:kern w:val="2"/>
      <w:sz w:val="18"/>
      <w:szCs w:val="18"/>
    </w:rPr>
  </w:style>
  <w:style w:type="character" w:customStyle="1" w:styleId="14">
    <w:name w:val="批注主题 字符"/>
    <w:basedOn w:val="15"/>
    <w:link w:val="7"/>
    <w:autoRedefine/>
    <w:semiHidden/>
    <w:qFormat/>
    <w:uiPriority w:val="99"/>
    <w:rPr>
      <w:b/>
      <w:bCs/>
      <w:kern w:val="2"/>
      <w:sz w:val="21"/>
      <w:szCs w:val="24"/>
    </w:rPr>
  </w:style>
  <w:style w:type="character" w:customStyle="1" w:styleId="15">
    <w:name w:val="批注文字 字符"/>
    <w:link w:val="2"/>
    <w:autoRedefine/>
    <w:semiHidden/>
    <w:qFormat/>
    <w:uiPriority w:val="99"/>
    <w:rPr>
      <w:kern w:val="2"/>
      <w:sz w:val="21"/>
      <w:szCs w:val="24"/>
    </w:rPr>
  </w:style>
  <w:style w:type="character" w:customStyle="1" w:styleId="16">
    <w:name w:val="批注框文本 字符"/>
    <w:link w:val="4"/>
    <w:autoRedefine/>
    <w:semiHidden/>
    <w:qFormat/>
    <w:uiPriority w:val="99"/>
    <w:rPr>
      <w:kern w:val="2"/>
      <w:sz w:val="18"/>
      <w:szCs w:val="18"/>
    </w:rPr>
  </w:style>
  <w:style w:type="character" w:customStyle="1" w:styleId="17">
    <w:name w:val="页脚 字符"/>
    <w:link w:val="5"/>
    <w:autoRedefine/>
    <w:qFormat/>
    <w:uiPriority w:val="99"/>
    <w:rPr>
      <w:kern w:val="2"/>
      <w:sz w:val="18"/>
      <w:szCs w:val="18"/>
    </w:rPr>
  </w:style>
  <w:style w:type="character" w:customStyle="1" w:styleId="18">
    <w:name w:val="highlight"/>
    <w:basedOn w:val="10"/>
    <w:autoRedefine/>
    <w:qFormat/>
    <w:uiPriority w:val="0"/>
  </w:style>
  <w:style w:type="character" w:customStyle="1" w:styleId="19">
    <w:name w:val="日期 字符"/>
    <w:link w:val="3"/>
    <w:autoRedefine/>
    <w:semiHidden/>
    <w:qFormat/>
    <w:uiPriority w:val="99"/>
    <w:rPr>
      <w:kern w:val="2"/>
      <w:sz w:val="21"/>
      <w:szCs w:val="24"/>
    </w:rPr>
  </w:style>
  <w:style w:type="paragraph" w:customStyle="1" w:styleId="20">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1056</Words>
  <Characters>1416</Characters>
  <Lines>12</Lines>
  <Paragraphs>3</Paragraphs>
  <TotalTime>181</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2021-05-21T04:46:00Z</dcterms:created>
  <dc:creator>Legend User</dc:creator>
  <cp:lastModifiedBy>阿田</cp:lastModifiedBy>
  <cp:lastPrinted>2022-05-12T09:26:00Z</cp:lastPrinted>
  <dcterms:modified xsi:type="dcterms:W3CDTF">2024-04-30T04:07:41Z</dcterms:modified>
  <dc:title>××产品质量监督抽查实施细则</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5E3C3F3526624E00A06270C7734B3812_13</vt:lpwstr>
  </property>
</Properties>
</file>