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300" w:firstLineChars="250"/>
        <w:rPr>
          <w:rFonts w:eastAsia="黑体"/>
          <w:sz w:val="52"/>
          <w:szCs w:val="52"/>
        </w:rPr>
      </w:pPr>
      <w:r>
        <w:rPr>
          <w:rFonts w:eastAsia="黑体"/>
          <w:sz w:val="52"/>
          <w:szCs w:val="52"/>
        </w:rPr>
        <w:t>产品质量监督抽查实施细则</w:t>
      </w:r>
    </w:p>
    <w:p>
      <w:pPr>
        <w:spacing w:line="440" w:lineRule="exact"/>
        <w:jc w:val="center"/>
        <w:rPr>
          <w:rFonts w:eastAsia="黑体"/>
          <w:sz w:val="32"/>
        </w:rPr>
      </w:pPr>
      <w:r>
        <w:rPr>
          <w:rFonts w:eastAsia="黑体"/>
          <w:sz w:val="3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99060</wp:posOffset>
                </wp:positionV>
                <wp:extent cx="5200650" cy="1905"/>
                <wp:effectExtent l="0" t="0" r="0" b="0"/>
                <wp:wrapNone/>
                <wp:docPr id="1" name="直线 18"/>
                <wp:cNvGraphicFramePr/>
                <a:graphic xmlns:a="http://schemas.openxmlformats.org/drawingml/2006/main">
                  <a:graphicData uri="http://schemas.microsoft.com/office/word/2010/wordprocessingShape">
                    <wps:wsp>
                      <wps:cNvCnPr/>
                      <wps:spPr>
                        <a:xfrm flipV="1">
                          <a:off x="0" y="0"/>
                          <a:ext cx="5200650" cy="190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flip:y;margin-left:5.25pt;margin-top:7.8pt;height:0.15pt;width:409.5pt;z-index:251659264;mso-width-relative:page;mso-height-relative:page;" filled="f" stroked="t" coordsize="21600,21600" o:gfxdata="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0FprtMAAAAIAQAA&#10;DwAAAAAAAAABACAAAAAiAAAAZHJzL2Rvd25yZXYueG1sUEsBAhQAFAAAAAgAh07iQF5vpunlAQAA&#10;3gMAAA4AAAAAAAAAAQAgAAAAIgEAAGRycy9lMm9Eb2MueG1sUEsFBgAAAAAGAAYAWQEAAHkFAAAA&#10;AA==&#10;">
                <v:fill on="f" focussize="0,0"/>
                <v:stroke weight="1.25pt" color="#000000" joinstyle="round"/>
                <v:imagedata o:title=""/>
                <o:lock v:ext="edit" aspectratio="f"/>
              </v:line>
            </w:pict>
          </mc:Fallback>
        </mc:AlternateContent>
      </w: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80" w:lineRule="exact"/>
        <w:jc w:val="center"/>
        <w:rPr>
          <w:rFonts w:eastAsia="黑体"/>
          <w:sz w:val="32"/>
        </w:rPr>
      </w:pPr>
    </w:p>
    <w:p>
      <w:pPr>
        <w:spacing w:line="600" w:lineRule="exact"/>
        <w:jc w:val="center"/>
        <w:rPr>
          <w:rFonts w:hAnsi="黑体" w:eastAsia="黑体"/>
          <w:b/>
          <w:bCs/>
          <w:sz w:val="44"/>
          <w:szCs w:val="44"/>
        </w:rPr>
      </w:pPr>
      <w:r>
        <w:rPr>
          <w:rFonts w:hint="eastAsia" w:hAnsi="黑体" w:eastAsia="黑体"/>
          <w:b/>
          <w:bCs/>
          <w:sz w:val="44"/>
          <w:szCs w:val="44"/>
          <w:lang w:eastAsia="zh-CN"/>
        </w:rPr>
        <w:t>2023</w:t>
      </w:r>
      <w:r>
        <w:rPr>
          <w:rFonts w:hAnsi="黑体" w:eastAsia="黑体"/>
          <w:b/>
          <w:bCs/>
          <w:sz w:val="44"/>
          <w:szCs w:val="44"/>
        </w:rPr>
        <w:t>年</w:t>
      </w:r>
      <w:r>
        <w:rPr>
          <w:rFonts w:hint="eastAsia" w:hAnsi="黑体" w:eastAsia="黑体"/>
          <w:b/>
          <w:bCs/>
          <w:sz w:val="44"/>
          <w:szCs w:val="44"/>
          <w:lang w:eastAsia="zh-CN"/>
        </w:rPr>
        <w:t>昌吉回族自治州</w:t>
      </w:r>
      <w:r>
        <w:rPr>
          <w:rFonts w:hAnsi="黑体" w:eastAsia="黑体"/>
          <w:b/>
          <w:bCs/>
          <w:sz w:val="44"/>
          <w:szCs w:val="44"/>
        </w:rPr>
        <w:t>商品煤产品质量</w:t>
      </w:r>
    </w:p>
    <w:p>
      <w:pPr>
        <w:spacing w:line="600" w:lineRule="exact"/>
        <w:jc w:val="center"/>
        <w:rPr>
          <w:rFonts w:hAnsi="黑体" w:eastAsia="黑体"/>
          <w:b/>
          <w:bCs/>
          <w:sz w:val="44"/>
          <w:szCs w:val="44"/>
        </w:rPr>
      </w:pPr>
      <w:r>
        <w:rPr>
          <w:rFonts w:hAnsi="黑体" w:eastAsia="黑体"/>
          <w:b/>
          <w:bCs/>
          <w:sz w:val="44"/>
          <w:szCs w:val="44"/>
        </w:rPr>
        <w:t>监督抽查实施细则</w:t>
      </w: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jc w:val="center"/>
        <w:rPr>
          <w:rFonts w:eastAsia="黑体"/>
          <w:sz w:val="32"/>
        </w:rPr>
      </w:pPr>
    </w:p>
    <w:p>
      <w:pPr>
        <w:spacing w:line="440" w:lineRule="exact"/>
        <w:rPr>
          <w:rFonts w:eastAsia="黑体"/>
          <w:sz w:val="32"/>
        </w:rPr>
      </w:pPr>
    </w:p>
    <w:p>
      <w:pPr>
        <w:spacing w:line="440" w:lineRule="exact"/>
        <w:rPr>
          <w:rFonts w:eastAsia="黑体"/>
          <w:sz w:val="32"/>
        </w:rPr>
      </w:pPr>
    </w:p>
    <w:p>
      <w:pPr>
        <w:numPr>
          <w:ilvl w:val="0"/>
          <w:numId w:val="2"/>
        </w:numPr>
        <w:spacing w:line="440" w:lineRule="exact"/>
        <w:ind w:firstLine="160" w:firstLineChars="50"/>
        <w:rPr>
          <w:rFonts w:eastAsia="黑体"/>
          <w:sz w:val="28"/>
          <w:szCs w:val="28"/>
        </w:rPr>
      </w:pPr>
      <w:r>
        <w:rPr>
          <w:rFonts w:eastAsia="黑体"/>
          <w:sz w:val="32"/>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276860</wp:posOffset>
                </wp:positionV>
                <wp:extent cx="5430520" cy="0"/>
                <wp:effectExtent l="0" t="0" r="0" b="0"/>
                <wp:wrapNone/>
                <wp:docPr id="2" name="直线 19"/>
                <wp:cNvGraphicFramePr/>
                <a:graphic xmlns:a="http://schemas.openxmlformats.org/drawingml/2006/main">
                  <a:graphicData uri="http://schemas.microsoft.com/office/word/2010/wordprocessingShape">
                    <wps:wsp>
                      <wps:cNvCnPr/>
                      <wps:spPr>
                        <a:xfrm>
                          <a:off x="0" y="0"/>
                          <a:ext cx="543052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19" o:spid="_x0000_s1026" o:spt="20" style="position:absolute;left:0pt;margin-left:7pt;margin-top:21.8pt;height:0pt;width:427.6pt;z-index:251660288;mso-width-relative:page;mso-height-relative:page;" filled="f" stroked="t" coordsize="21600,21600" o:gfxdata="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qZvANcAAAAIAQAA&#10;DwAAAAAAAAABACAAAAAiAAAAZHJzL2Rvd25yZXYueG1sUEsBAhQAFAAAAAgAh07iQPbDRmbhAQAA&#10;0QMAAA4AAAAAAAAAAQAgAAAAJgEAAGRycy9lMm9Eb2MueG1sUEsFBgAAAAAGAAYAWQEAAHkFAAAA&#10;AA==&#10;">
                <v:fill on="f" focussize="0,0"/>
                <v:stroke weight="1.25pt" color="#000000" joinstyle="round"/>
                <v:imagedata o:title=""/>
                <o:lock v:ext="edit" aspectratio="f"/>
              </v:line>
            </w:pict>
          </mc:Fallback>
        </mc:AlternateContent>
      </w:r>
      <w:r>
        <w:rPr>
          <w:rFonts w:hint="eastAsia" w:eastAsia="黑体"/>
          <w:sz w:val="32"/>
          <w:lang w:val="en-US" w:eastAsia="zh-CN"/>
        </w:rPr>
        <w:t xml:space="preserve"> </w:t>
      </w:r>
      <w:r>
        <w:rPr>
          <w:rFonts w:eastAsia="黑体"/>
          <w:sz w:val="28"/>
          <w:szCs w:val="28"/>
        </w:rPr>
        <w:t>-</w:t>
      </w:r>
      <w:r>
        <w:rPr>
          <w:rFonts w:hint="eastAsia" w:eastAsia="黑体"/>
          <w:sz w:val="28"/>
          <w:szCs w:val="28"/>
          <w:lang w:val="en-US" w:eastAsia="zh-CN"/>
        </w:rPr>
        <w:t xml:space="preserve">  </w:t>
      </w:r>
      <w:r>
        <w:rPr>
          <w:rFonts w:eastAsia="黑体"/>
          <w:sz w:val="28"/>
          <w:szCs w:val="28"/>
        </w:rPr>
        <w:t xml:space="preserve"> 发布                           </w:t>
      </w:r>
      <w:r>
        <w:rPr>
          <w:rFonts w:hint="eastAsia" w:eastAsia="黑体"/>
          <w:sz w:val="28"/>
          <w:szCs w:val="28"/>
        </w:rPr>
        <w:t xml:space="preserve">    </w:t>
      </w:r>
      <w:r>
        <w:rPr>
          <w:rFonts w:hint="eastAsia" w:eastAsia="黑体"/>
          <w:sz w:val="28"/>
          <w:szCs w:val="28"/>
          <w:lang w:eastAsia="zh-CN"/>
        </w:rPr>
        <w:t>2023</w:t>
      </w:r>
      <w:r>
        <w:rPr>
          <w:rFonts w:eastAsia="黑体"/>
          <w:sz w:val="28"/>
          <w:szCs w:val="28"/>
        </w:rPr>
        <w:t>-</w:t>
      </w:r>
      <w:r>
        <w:rPr>
          <w:rFonts w:hint="eastAsia" w:eastAsia="黑体"/>
          <w:sz w:val="28"/>
          <w:szCs w:val="28"/>
          <w:lang w:val="en-US" w:eastAsia="zh-CN"/>
        </w:rPr>
        <w:t xml:space="preserve">  </w:t>
      </w:r>
      <w:r>
        <w:rPr>
          <w:rFonts w:eastAsia="黑体"/>
          <w:sz w:val="28"/>
          <w:szCs w:val="28"/>
        </w:rPr>
        <w:t>-</w:t>
      </w:r>
      <w:r>
        <w:rPr>
          <w:rFonts w:hint="eastAsia" w:eastAsia="黑体"/>
          <w:sz w:val="28"/>
          <w:szCs w:val="28"/>
          <w:lang w:val="en-US" w:eastAsia="zh-CN"/>
        </w:rPr>
        <w:t xml:space="preserve">  </w:t>
      </w:r>
      <w:r>
        <w:rPr>
          <w:rFonts w:eastAsia="黑体"/>
          <w:sz w:val="28"/>
          <w:szCs w:val="28"/>
        </w:rPr>
        <w:t xml:space="preserve"> 实施                            </w:t>
      </w:r>
    </w:p>
    <w:p>
      <w:pPr>
        <w:spacing w:line="440" w:lineRule="exact"/>
        <w:jc w:val="center"/>
        <w:rPr>
          <w:rFonts w:eastAsia="黑体"/>
          <w:sz w:val="32"/>
        </w:rPr>
      </w:pPr>
      <w:r>
        <w:rPr>
          <w:rFonts w:hint="eastAsia" w:eastAsia="黑体"/>
          <w:sz w:val="32"/>
          <w:lang w:eastAsia="zh-CN"/>
        </w:rPr>
        <w:t>昌吉回族自治州</w:t>
      </w:r>
      <w:r>
        <w:rPr>
          <w:rFonts w:eastAsia="黑体"/>
          <w:sz w:val="32"/>
        </w:rPr>
        <w:t>市场监督管理局</w:t>
      </w:r>
    </w:p>
    <w:p>
      <w:pPr>
        <w:adjustRightInd w:val="0"/>
        <w:snapToGrid w:val="0"/>
        <w:jc w:val="center"/>
        <w:rPr>
          <w:rFonts w:eastAsia="方正小标宋简体"/>
          <w:b/>
          <w:sz w:val="32"/>
          <w:szCs w:val="32"/>
        </w:rPr>
      </w:pPr>
      <w:bookmarkStart w:id="1" w:name="_GoBack"/>
      <w:r>
        <w:rPr>
          <w:rFonts w:hint="eastAsia" w:eastAsia="方正小标宋简体"/>
          <w:b/>
          <w:sz w:val="32"/>
          <w:szCs w:val="32"/>
          <w:lang w:eastAsia="zh-CN"/>
        </w:rPr>
        <w:t>2023</w:t>
      </w:r>
      <w:r>
        <w:rPr>
          <w:rFonts w:eastAsia="方正小标宋简体"/>
          <w:b/>
          <w:sz w:val="32"/>
          <w:szCs w:val="32"/>
        </w:rPr>
        <w:t>年</w:t>
      </w:r>
      <w:r>
        <w:rPr>
          <w:rFonts w:hint="eastAsia" w:eastAsia="方正小标宋简体"/>
          <w:b/>
          <w:sz w:val="32"/>
          <w:szCs w:val="32"/>
          <w:lang w:eastAsia="zh-CN"/>
        </w:rPr>
        <w:t>昌吉回族自治州</w:t>
      </w:r>
      <w:r>
        <w:rPr>
          <w:rFonts w:eastAsia="方正小标宋简体"/>
          <w:b/>
          <w:sz w:val="32"/>
          <w:szCs w:val="32"/>
        </w:rPr>
        <w:t>商品煤产品质量</w:t>
      </w:r>
    </w:p>
    <w:p>
      <w:pPr>
        <w:adjustRightInd w:val="0"/>
        <w:snapToGrid w:val="0"/>
        <w:jc w:val="center"/>
        <w:rPr>
          <w:rFonts w:eastAsia="方正小标宋简体"/>
          <w:b/>
          <w:sz w:val="32"/>
          <w:szCs w:val="32"/>
        </w:rPr>
      </w:pPr>
      <w:r>
        <w:rPr>
          <w:rFonts w:eastAsia="方正小标宋简体"/>
          <w:b/>
          <w:sz w:val="32"/>
          <w:szCs w:val="32"/>
        </w:rPr>
        <w:t>监督抽查实施细则</w:t>
      </w:r>
      <w:bookmarkEnd w:id="1"/>
    </w:p>
    <w:p>
      <w:pPr>
        <w:snapToGrid w:val="0"/>
        <w:spacing w:line="360" w:lineRule="auto"/>
        <w:jc w:val="center"/>
        <w:rPr>
          <w:rFonts w:eastAsia="方正小标宋简体"/>
          <w:color w:val="000000"/>
          <w:sz w:val="32"/>
          <w:szCs w:val="32"/>
        </w:rPr>
      </w:pPr>
    </w:p>
    <w:p>
      <w:pPr>
        <w:adjustRightInd w:val="0"/>
        <w:snapToGrid w:val="0"/>
        <w:spacing w:line="360" w:lineRule="auto"/>
        <w:rPr>
          <w:rFonts w:eastAsia="黑体"/>
          <w:b/>
          <w:bCs/>
          <w:szCs w:val="21"/>
          <w:highlight w:val="yellow"/>
        </w:rPr>
      </w:pPr>
      <w:r>
        <w:rPr>
          <w:rFonts w:eastAsia="黑体"/>
          <w:b/>
          <w:bCs/>
          <w:szCs w:val="21"/>
        </w:rPr>
        <w:t>1 抽样方法</w:t>
      </w:r>
    </w:p>
    <w:p>
      <w:pPr>
        <w:adjustRightInd w:val="0"/>
        <w:snapToGrid w:val="0"/>
        <w:spacing w:line="360" w:lineRule="auto"/>
        <w:ind w:firstLine="420"/>
        <w:rPr>
          <w:rFonts w:hAnsi="宋体"/>
          <w:szCs w:val="21"/>
        </w:rPr>
      </w:pPr>
      <w:r>
        <w:rPr>
          <w:rFonts w:hAnsi="宋体"/>
          <w:szCs w:val="21"/>
        </w:rPr>
        <w:t>抽样地点为</w:t>
      </w:r>
      <w:r>
        <w:rPr>
          <w:rFonts w:hint="eastAsia" w:hAnsi="宋体"/>
          <w:szCs w:val="21"/>
          <w:lang w:eastAsia="zh-CN"/>
        </w:rPr>
        <w:t>昌吉回族自治州</w:t>
      </w:r>
      <w:r>
        <w:rPr>
          <w:rFonts w:hint="eastAsia" w:hAnsi="宋体"/>
          <w:szCs w:val="21"/>
        </w:rPr>
        <w:t>辖区</w:t>
      </w:r>
      <w:r>
        <w:rPr>
          <w:rFonts w:hAnsi="宋体"/>
          <w:szCs w:val="21"/>
        </w:rPr>
        <w:t>内</w:t>
      </w:r>
      <w:r>
        <w:rPr>
          <w:rFonts w:hint="eastAsia" w:hAnsi="宋体"/>
          <w:szCs w:val="21"/>
        </w:rPr>
        <w:t>煤炭的</w:t>
      </w:r>
      <w:r>
        <w:rPr>
          <w:rFonts w:hint="eastAsia" w:hAnsi="宋体"/>
          <w:szCs w:val="21"/>
          <w:lang w:val="en-US" w:eastAsia="zh-CN"/>
        </w:rPr>
        <w:t>销售企业</w:t>
      </w:r>
      <w:r>
        <w:rPr>
          <w:rFonts w:hAnsi="宋体"/>
          <w:szCs w:val="21"/>
        </w:rPr>
        <w:t>。</w:t>
      </w:r>
    </w:p>
    <w:p>
      <w:pPr>
        <w:adjustRightInd w:val="0"/>
        <w:snapToGrid w:val="0"/>
        <w:spacing w:line="360" w:lineRule="auto"/>
        <w:ind w:firstLine="420"/>
        <w:rPr>
          <w:rFonts w:hAnsi="宋体"/>
          <w:szCs w:val="21"/>
        </w:rPr>
      </w:pPr>
      <w:r>
        <w:rPr>
          <w:szCs w:val="21"/>
        </w:rPr>
        <w:t>煤样从煤炭受检单位或委托方</w:t>
      </w:r>
      <w:r>
        <w:rPr>
          <w:rFonts w:hAnsi="宋体"/>
          <w:szCs w:val="21"/>
        </w:rPr>
        <w:t>认定的煤堆（煤堆高度＜2m）或移动煤流中采取。</w:t>
      </w:r>
    </w:p>
    <w:p>
      <w:pPr>
        <w:adjustRightInd w:val="0"/>
        <w:snapToGrid w:val="0"/>
        <w:spacing w:line="360" w:lineRule="auto"/>
        <w:ind w:firstLine="420"/>
        <w:rPr>
          <w:rFonts w:hint="eastAsia" w:hAnsi="宋体" w:eastAsia="宋体"/>
          <w:szCs w:val="21"/>
          <w:lang w:val="en-US" w:eastAsia="zh-CN"/>
        </w:rPr>
      </w:pPr>
      <w:r>
        <w:rPr>
          <w:rFonts w:hAnsi="宋体"/>
          <w:szCs w:val="21"/>
        </w:rPr>
        <w:t>所抽煤样应为</w:t>
      </w:r>
      <w:r>
        <w:rPr>
          <w:rFonts w:hAnsi="宋体"/>
          <w:szCs w:val="21"/>
          <w:highlight w:val="none"/>
        </w:rPr>
        <w:t>同一</w:t>
      </w:r>
      <w:r>
        <w:rPr>
          <w:rFonts w:hint="eastAsia" w:hAnsi="宋体"/>
          <w:szCs w:val="21"/>
          <w:highlight w:val="none"/>
          <w:lang w:val="en-US" w:eastAsia="zh-CN"/>
        </w:rPr>
        <w:t>煤种</w:t>
      </w:r>
      <w:r>
        <w:rPr>
          <w:rFonts w:hAnsi="宋体"/>
          <w:szCs w:val="21"/>
          <w:highlight w:val="none"/>
        </w:rPr>
        <w:t>、同一批次的</w:t>
      </w:r>
      <w:r>
        <w:rPr>
          <w:rFonts w:hAnsi="宋体"/>
          <w:szCs w:val="21"/>
        </w:rPr>
        <w:t>产品</w:t>
      </w:r>
      <w:r>
        <w:rPr>
          <w:rFonts w:hint="eastAsia" w:hAnsi="宋体"/>
          <w:szCs w:val="21"/>
          <w:lang w:eastAsia="zh-CN"/>
        </w:rPr>
        <w:t>。</w:t>
      </w:r>
    </w:p>
    <w:p>
      <w:pPr>
        <w:adjustRightInd w:val="0"/>
        <w:snapToGrid w:val="0"/>
        <w:spacing w:line="360" w:lineRule="auto"/>
        <w:ind w:firstLine="420"/>
        <w:rPr>
          <w:rFonts w:hAnsi="宋体"/>
          <w:szCs w:val="21"/>
        </w:rPr>
      </w:pPr>
      <w:r>
        <w:rPr>
          <w:rFonts w:hint="eastAsia" w:hAnsi="宋体"/>
          <w:szCs w:val="21"/>
        </w:rPr>
        <w:t>煤样按GB/T 475或GB/T 19494.1的规定，根据实际情况按移动煤流抽样方法或静止煤抽样方法抽取。抽取煤样时抽样基数的确定以及抽样数量按GB/T 475或GB/T 19494.1中的规定进行（表1）。一般为1000t或一个发运批量，当采样基数小于1000t时，至少应为一个作业班的生产、堆存或运输量。</w:t>
      </w:r>
    </w:p>
    <w:p>
      <w:pPr>
        <w:adjustRightInd w:val="0"/>
        <w:snapToGrid w:val="0"/>
        <w:spacing w:line="360" w:lineRule="auto"/>
        <w:ind w:firstLine="420"/>
        <w:rPr>
          <w:rFonts w:hAnsi="宋体"/>
          <w:szCs w:val="21"/>
        </w:rPr>
      </w:pPr>
      <w:r>
        <w:rPr>
          <w:rFonts w:hint="eastAsia" w:hAnsi="宋体"/>
          <w:szCs w:val="21"/>
        </w:rPr>
        <w:t>移动煤流抽样以时间基或质量基系统采样方式或分层随机采样方式抽取。</w:t>
      </w:r>
    </w:p>
    <w:p>
      <w:pPr>
        <w:spacing w:line="360" w:lineRule="auto"/>
        <w:jc w:val="center"/>
        <w:rPr>
          <w:color w:val="000000"/>
          <w:sz w:val="18"/>
          <w:szCs w:val="18"/>
          <w:highlight w:val="yellow"/>
        </w:rPr>
      </w:pPr>
      <w:r>
        <w:rPr>
          <w:rFonts w:hint="eastAsia" w:hAnsi="宋体"/>
          <w:color w:val="000000"/>
          <w:sz w:val="18"/>
          <w:szCs w:val="18"/>
        </w:rPr>
        <w:t>表</w:t>
      </w:r>
      <w:r>
        <w:rPr>
          <w:color w:val="000000"/>
          <w:sz w:val="18"/>
          <w:szCs w:val="18"/>
        </w:rPr>
        <w:t xml:space="preserve">1  </w:t>
      </w:r>
      <w:r>
        <w:rPr>
          <w:rFonts w:hint="eastAsia" w:hAnsi="宋体"/>
          <w:bCs/>
          <w:color w:val="000000"/>
          <w:sz w:val="18"/>
          <w:szCs w:val="18"/>
        </w:rPr>
        <w:t>总样的最小质量</w:t>
      </w:r>
    </w:p>
    <w:tbl>
      <w:tblPr>
        <w:tblStyle w:val="6"/>
        <w:tblW w:w="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2"/>
        <w:gridCol w:w="40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6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adjustRightInd w:val="0"/>
              <w:snapToGrid w:val="0"/>
              <w:jc w:val="center"/>
              <w:textAlignment w:val="baseline"/>
              <w:rPr>
                <w:rFonts w:ascii="宋体" w:hAnsi="宋体"/>
                <w:kern w:val="0"/>
                <w:sz w:val="18"/>
                <w:szCs w:val="18"/>
              </w:rPr>
            </w:pPr>
            <w:r>
              <w:rPr>
                <w:rFonts w:hint="eastAsia" w:ascii="宋体" w:hAnsi="宋体"/>
                <w:bCs/>
                <w:color w:val="000000"/>
                <w:kern w:val="24"/>
                <w:sz w:val="18"/>
                <w:szCs w:val="18"/>
              </w:rPr>
              <w:t>标称最大粒度/mm</w:t>
            </w:r>
          </w:p>
        </w:tc>
        <w:tc>
          <w:tcPr>
            <w:tcW w:w="40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一般分析和共用试样/kg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6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150</w:t>
            </w:r>
          </w:p>
        </w:tc>
        <w:tc>
          <w:tcPr>
            <w:tcW w:w="40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2600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6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100</w:t>
            </w:r>
          </w:p>
        </w:tc>
        <w:tc>
          <w:tcPr>
            <w:tcW w:w="40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6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80</w:t>
            </w:r>
          </w:p>
        </w:tc>
        <w:tc>
          <w:tcPr>
            <w:tcW w:w="40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6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50</w:t>
            </w:r>
          </w:p>
        </w:tc>
        <w:tc>
          <w:tcPr>
            <w:tcW w:w="40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170</w:t>
            </w:r>
            <w:r>
              <w:rPr>
                <w:rFonts w:hint="eastAsia" w:ascii="宋体" w:hAnsi="宋体"/>
                <w:bCs/>
                <w:color w:val="000000"/>
                <w:kern w:val="24"/>
                <w:sz w:val="18"/>
                <w:szCs w:val="18"/>
                <w:vertAlign w:val="superscript"/>
              </w:rPr>
              <w:t>a</w:t>
            </w:r>
            <w:r>
              <w:rPr>
                <w:rFonts w:hint="eastAsia" w:ascii="宋体" w:hAnsi="宋体"/>
                <w:bCs/>
                <w:color w:val="000000"/>
                <w:kern w:val="24"/>
                <w:sz w:val="18"/>
                <w:szCs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6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25</w:t>
            </w:r>
          </w:p>
        </w:tc>
        <w:tc>
          <w:tcPr>
            <w:tcW w:w="40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6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13</w:t>
            </w:r>
          </w:p>
        </w:tc>
        <w:tc>
          <w:tcPr>
            <w:tcW w:w="40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6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6</w:t>
            </w:r>
          </w:p>
        </w:tc>
        <w:tc>
          <w:tcPr>
            <w:tcW w:w="40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62"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3</w:t>
            </w:r>
          </w:p>
        </w:tc>
        <w:tc>
          <w:tcPr>
            <w:tcW w:w="4011" w:type="dxa"/>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center"/>
              <w:textAlignment w:val="baseline"/>
              <w:rPr>
                <w:rFonts w:hint="eastAsia" w:ascii="宋体" w:hAnsi="宋体"/>
                <w:kern w:val="0"/>
                <w:sz w:val="18"/>
                <w:szCs w:val="18"/>
              </w:rPr>
            </w:pPr>
            <w:r>
              <w:rPr>
                <w:rFonts w:hint="eastAsia" w:ascii="宋体" w:hAnsi="宋体"/>
                <w:bCs/>
                <w:color w:val="000000"/>
                <w:kern w:val="24"/>
                <w:sz w:val="18"/>
                <w:szCs w:val="18"/>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473" w:type="dxa"/>
            <w:gridSpan w:val="2"/>
            <w:tcBorders>
              <w:top w:val="single" w:color="000000" w:sz="4" w:space="0"/>
              <w:left w:val="single" w:color="000000" w:sz="4" w:space="0"/>
              <w:bottom w:val="single" w:color="000000" w:sz="4" w:space="0"/>
              <w:right w:val="single" w:color="000000" w:sz="4" w:space="0"/>
            </w:tcBorders>
            <w:tcMar>
              <w:top w:w="72" w:type="dxa"/>
              <w:left w:w="144" w:type="dxa"/>
              <w:bottom w:w="72" w:type="dxa"/>
              <w:right w:w="144" w:type="dxa"/>
            </w:tcMar>
            <w:vAlign w:val="center"/>
          </w:tcPr>
          <w:p>
            <w:pPr>
              <w:widowControl/>
              <w:kinsoku w:val="0"/>
              <w:overflowPunct w:val="0"/>
              <w:adjustRightInd w:val="0"/>
              <w:snapToGrid w:val="0"/>
              <w:jc w:val="left"/>
              <w:textAlignment w:val="baseline"/>
              <w:rPr>
                <w:rFonts w:hint="eastAsia" w:ascii="宋体" w:hAnsi="宋体"/>
                <w:bCs/>
                <w:color w:val="000000"/>
                <w:kern w:val="24"/>
                <w:sz w:val="18"/>
                <w:szCs w:val="18"/>
              </w:rPr>
            </w:pPr>
            <w:r>
              <w:rPr>
                <w:rFonts w:hint="eastAsia" w:ascii="宋体" w:hAnsi="宋体"/>
                <w:bCs/>
                <w:kern w:val="24"/>
                <w:sz w:val="18"/>
                <w:szCs w:val="18"/>
                <w:vertAlign w:val="superscript"/>
              </w:rPr>
              <w:t>a</w:t>
            </w:r>
            <w:r>
              <w:rPr>
                <w:rFonts w:hint="eastAsia" w:ascii="宋体" w:hAnsi="宋体"/>
                <w:sz w:val="18"/>
                <w:szCs w:val="18"/>
              </w:rPr>
              <w:t>备注：标称最大粒度50mm的精煤，一般分析和共用试样总样最小质量可为60kg。</w:t>
            </w:r>
          </w:p>
        </w:tc>
      </w:tr>
    </w:tbl>
    <w:p>
      <w:pPr>
        <w:adjustRightInd w:val="0"/>
        <w:snapToGrid w:val="0"/>
        <w:spacing w:line="360" w:lineRule="auto"/>
        <w:rPr>
          <w:rFonts w:ascii="黑体" w:hAnsi="黑体" w:eastAsia="黑体"/>
          <w:b/>
          <w:color w:val="000000"/>
          <w:szCs w:val="21"/>
        </w:rPr>
      </w:pPr>
    </w:p>
    <w:p>
      <w:pPr>
        <w:adjustRightInd w:val="0"/>
        <w:snapToGrid w:val="0"/>
        <w:spacing w:line="360" w:lineRule="auto"/>
        <w:rPr>
          <w:rFonts w:ascii="黑体" w:hAnsi="黑体" w:eastAsia="黑体"/>
          <w:b/>
          <w:color w:val="000000"/>
          <w:szCs w:val="21"/>
        </w:rPr>
      </w:pPr>
      <w:r>
        <w:rPr>
          <w:rFonts w:hint="eastAsia" w:ascii="黑体" w:hAnsi="黑体" w:eastAsia="黑体"/>
          <w:b/>
          <w:color w:val="000000"/>
          <w:szCs w:val="21"/>
        </w:rPr>
        <w:t>2  检验依据</w:t>
      </w:r>
    </w:p>
    <w:p>
      <w:pPr>
        <w:adjustRightInd w:val="0"/>
        <w:snapToGrid w:val="0"/>
        <w:spacing w:line="360" w:lineRule="auto"/>
        <w:ind w:firstLine="420"/>
        <w:rPr>
          <w:rFonts w:hAnsi="宋体"/>
          <w:szCs w:val="21"/>
        </w:rPr>
      </w:pPr>
      <w:bookmarkStart w:id="0" w:name="OLE_LINK3"/>
      <w:r>
        <w:rPr>
          <w:rFonts w:hint="eastAsia" w:hAnsi="宋体"/>
          <w:szCs w:val="21"/>
        </w:rPr>
        <w:t>本次抽查煤样种类分为散煤、动力用煤。</w:t>
      </w:r>
    </w:p>
    <w:p>
      <w:pPr>
        <w:adjustRightInd w:val="0"/>
        <w:snapToGrid w:val="0"/>
        <w:spacing w:line="360" w:lineRule="auto"/>
        <w:ind w:firstLine="420"/>
        <w:rPr>
          <w:rFonts w:hAnsi="宋体"/>
          <w:szCs w:val="21"/>
        </w:rPr>
      </w:pPr>
      <w:r>
        <w:rPr>
          <w:rFonts w:hint="eastAsia" w:hAnsi="宋体"/>
          <w:szCs w:val="21"/>
        </w:rPr>
        <w:t>检验项目及检验依据见表</w:t>
      </w:r>
      <w:r>
        <w:rPr>
          <w:rFonts w:hAnsi="宋体"/>
          <w:szCs w:val="21"/>
        </w:rPr>
        <w:t>2</w:t>
      </w:r>
      <w:r>
        <w:rPr>
          <w:rFonts w:hint="eastAsia" w:hAnsi="宋体"/>
          <w:szCs w:val="21"/>
        </w:rPr>
        <w:t>。</w:t>
      </w:r>
    </w:p>
    <w:bookmarkEnd w:id="0"/>
    <w:p>
      <w:pPr>
        <w:snapToGrid w:val="0"/>
        <w:spacing w:line="440" w:lineRule="exact"/>
        <w:jc w:val="center"/>
        <w:rPr>
          <w:rFonts w:hAnsi="宋体"/>
          <w:bCs/>
          <w:sz w:val="18"/>
          <w:szCs w:val="18"/>
        </w:rPr>
      </w:pPr>
      <w:r>
        <w:rPr>
          <w:rFonts w:hAnsi="宋体"/>
          <w:bCs/>
          <w:sz w:val="18"/>
          <w:szCs w:val="18"/>
        </w:rPr>
        <w:t>表</w:t>
      </w:r>
      <w:r>
        <w:rPr>
          <w:bCs/>
          <w:sz w:val="18"/>
          <w:szCs w:val="18"/>
        </w:rPr>
        <w:t>2</w:t>
      </w:r>
      <w:r>
        <w:rPr>
          <w:rFonts w:hint="eastAsia" w:hAnsi="宋体"/>
          <w:bCs/>
          <w:sz w:val="18"/>
          <w:szCs w:val="18"/>
        </w:rPr>
        <w:t xml:space="preserve"> 检验项目及检验依据</w:t>
      </w:r>
    </w:p>
    <w:tbl>
      <w:tblPr>
        <w:tblStyle w:val="6"/>
        <w:tblW w:w="7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238"/>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87" w:type="dxa"/>
            <w:vMerge w:val="restart"/>
            <w:vAlign w:val="center"/>
          </w:tcPr>
          <w:p>
            <w:pPr>
              <w:adjustRightInd w:val="0"/>
              <w:snapToGrid w:val="0"/>
              <w:jc w:val="center"/>
              <w:rPr>
                <w:rFonts w:hAnsi="宋体"/>
                <w:bCs/>
                <w:sz w:val="18"/>
                <w:szCs w:val="18"/>
              </w:rPr>
            </w:pPr>
            <w:r>
              <w:rPr>
                <w:rFonts w:hint="eastAsia" w:hAnsi="宋体"/>
                <w:bCs/>
                <w:sz w:val="18"/>
                <w:szCs w:val="18"/>
              </w:rPr>
              <w:t>序号</w:t>
            </w:r>
          </w:p>
        </w:tc>
        <w:tc>
          <w:tcPr>
            <w:tcW w:w="3238" w:type="dxa"/>
            <w:vMerge w:val="restart"/>
            <w:vAlign w:val="center"/>
          </w:tcPr>
          <w:p>
            <w:pPr>
              <w:adjustRightInd w:val="0"/>
              <w:snapToGrid w:val="0"/>
              <w:jc w:val="center"/>
              <w:rPr>
                <w:rFonts w:hAnsi="宋体"/>
                <w:bCs/>
                <w:sz w:val="18"/>
                <w:szCs w:val="18"/>
              </w:rPr>
            </w:pPr>
            <w:r>
              <w:rPr>
                <w:rFonts w:hint="eastAsia" w:hAnsi="宋体"/>
                <w:bCs/>
                <w:sz w:val="18"/>
                <w:szCs w:val="18"/>
              </w:rPr>
              <w:t>检验项目</w:t>
            </w:r>
          </w:p>
        </w:tc>
        <w:tc>
          <w:tcPr>
            <w:tcW w:w="2857" w:type="dxa"/>
            <w:vMerge w:val="restart"/>
          </w:tcPr>
          <w:p>
            <w:pPr>
              <w:snapToGrid w:val="0"/>
              <w:spacing w:line="440" w:lineRule="exact"/>
              <w:jc w:val="center"/>
              <w:rPr>
                <w:rFonts w:hAnsi="宋体"/>
                <w:bCs/>
                <w:sz w:val="18"/>
                <w:szCs w:val="18"/>
              </w:rPr>
            </w:pPr>
            <w:r>
              <w:rPr>
                <w:rFonts w:hint="eastAsia" w:hAnsi="宋体"/>
                <w:bCs/>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7" w:type="dxa"/>
            <w:vMerge w:val="continue"/>
            <w:vAlign w:val="center"/>
          </w:tcPr>
          <w:p>
            <w:pPr>
              <w:adjustRightInd w:val="0"/>
              <w:snapToGrid w:val="0"/>
              <w:jc w:val="center"/>
              <w:rPr>
                <w:sz w:val="18"/>
                <w:szCs w:val="18"/>
              </w:rPr>
            </w:pPr>
          </w:p>
        </w:tc>
        <w:tc>
          <w:tcPr>
            <w:tcW w:w="3238" w:type="dxa"/>
            <w:vMerge w:val="continue"/>
            <w:vAlign w:val="center"/>
          </w:tcPr>
          <w:p>
            <w:pPr>
              <w:adjustRightInd w:val="0"/>
              <w:snapToGrid w:val="0"/>
              <w:jc w:val="center"/>
              <w:rPr>
                <w:sz w:val="18"/>
                <w:szCs w:val="18"/>
              </w:rPr>
            </w:pPr>
          </w:p>
        </w:tc>
        <w:tc>
          <w:tcPr>
            <w:tcW w:w="2857" w:type="dxa"/>
            <w:vMerge w:val="continue"/>
            <w:vAlign w:val="center"/>
          </w:tcPr>
          <w:p>
            <w:pPr>
              <w:snapToGrid w:val="0"/>
              <w:spacing w:line="440" w:lineRule="exact"/>
              <w:jc w:val="center"/>
              <w:rPr>
                <w:rFonts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snapToGrid w:val="0"/>
              <w:spacing w:line="440" w:lineRule="exact"/>
              <w:jc w:val="center"/>
              <w:rPr>
                <w:rFonts w:hAnsi="宋体"/>
                <w:bCs/>
                <w:sz w:val="18"/>
                <w:szCs w:val="18"/>
              </w:rPr>
            </w:pPr>
            <w:r>
              <w:rPr>
                <w:rFonts w:hint="eastAsia" w:hAnsi="宋体"/>
                <w:bCs/>
                <w:sz w:val="18"/>
                <w:szCs w:val="18"/>
              </w:rPr>
              <w:t>1</w:t>
            </w:r>
          </w:p>
        </w:tc>
        <w:tc>
          <w:tcPr>
            <w:tcW w:w="3238" w:type="dxa"/>
            <w:vAlign w:val="center"/>
          </w:tcPr>
          <w:p>
            <w:pPr>
              <w:jc w:val="center"/>
              <w:rPr>
                <w:sz w:val="18"/>
                <w:szCs w:val="18"/>
              </w:rPr>
            </w:pPr>
            <w:r>
              <w:rPr>
                <w:rFonts w:hAnsi="宋体"/>
                <w:sz w:val="18"/>
                <w:szCs w:val="18"/>
              </w:rPr>
              <w:t>灰分</w:t>
            </w:r>
            <w:r>
              <w:rPr>
                <w:sz w:val="18"/>
                <w:szCs w:val="18"/>
              </w:rPr>
              <w:t>A</w:t>
            </w:r>
            <w:r>
              <w:rPr>
                <w:sz w:val="18"/>
                <w:szCs w:val="18"/>
                <w:vertAlign w:val="subscript"/>
              </w:rPr>
              <w:t>d</w:t>
            </w:r>
            <w:r>
              <w:rPr>
                <w:rFonts w:hAnsi="宋体"/>
                <w:sz w:val="18"/>
                <w:szCs w:val="18"/>
              </w:rPr>
              <w:t>，</w:t>
            </w:r>
            <w:r>
              <w:rPr>
                <w:sz w:val="18"/>
                <w:szCs w:val="18"/>
              </w:rPr>
              <w:t>%</w:t>
            </w:r>
          </w:p>
        </w:tc>
        <w:tc>
          <w:tcPr>
            <w:tcW w:w="2857" w:type="dxa"/>
            <w:vAlign w:val="center"/>
          </w:tcPr>
          <w:p>
            <w:pPr>
              <w:snapToGrid w:val="0"/>
              <w:spacing w:line="440" w:lineRule="exact"/>
              <w:jc w:val="center"/>
              <w:rPr>
                <w:bCs/>
                <w:color w:val="000000"/>
                <w:sz w:val="18"/>
                <w:szCs w:val="18"/>
              </w:rPr>
            </w:pPr>
            <w:r>
              <w:rPr>
                <w:bCs/>
                <w:color w:val="000000"/>
                <w:sz w:val="18"/>
                <w:szCs w:val="18"/>
              </w:rPr>
              <w:t>GB/T 212</w:t>
            </w:r>
            <w:r>
              <w:rPr>
                <w:rFonts w:hint="eastAsia"/>
                <w:bCs/>
                <w:color w:val="00000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snapToGrid w:val="0"/>
              <w:spacing w:line="440" w:lineRule="exact"/>
              <w:jc w:val="center"/>
              <w:rPr>
                <w:rFonts w:hAnsi="宋体"/>
                <w:bCs/>
                <w:sz w:val="18"/>
                <w:szCs w:val="18"/>
              </w:rPr>
            </w:pPr>
            <w:r>
              <w:rPr>
                <w:rFonts w:hint="eastAsia" w:hAnsi="宋体"/>
                <w:bCs/>
                <w:sz w:val="18"/>
                <w:szCs w:val="18"/>
              </w:rPr>
              <w:t>2</w:t>
            </w:r>
          </w:p>
        </w:tc>
        <w:tc>
          <w:tcPr>
            <w:tcW w:w="3238" w:type="dxa"/>
            <w:vAlign w:val="center"/>
          </w:tcPr>
          <w:p>
            <w:pPr>
              <w:jc w:val="center"/>
              <w:rPr>
                <w:sz w:val="18"/>
                <w:szCs w:val="18"/>
              </w:rPr>
            </w:pPr>
            <w:r>
              <w:rPr>
                <w:rFonts w:hAnsi="宋体"/>
                <w:sz w:val="18"/>
                <w:szCs w:val="18"/>
              </w:rPr>
              <w:t>全硫</w:t>
            </w:r>
            <w:r>
              <w:rPr>
                <w:sz w:val="18"/>
                <w:szCs w:val="18"/>
              </w:rPr>
              <w:t xml:space="preserve"> S</w:t>
            </w:r>
            <w:r>
              <w:rPr>
                <w:sz w:val="18"/>
                <w:szCs w:val="18"/>
                <w:vertAlign w:val="subscript"/>
              </w:rPr>
              <w:t>t,d</w:t>
            </w:r>
            <w:r>
              <w:rPr>
                <w:rFonts w:hAnsi="宋体"/>
                <w:sz w:val="18"/>
                <w:szCs w:val="18"/>
              </w:rPr>
              <w:t>，</w:t>
            </w:r>
            <w:r>
              <w:rPr>
                <w:sz w:val="18"/>
                <w:szCs w:val="18"/>
              </w:rPr>
              <w:t>%</w:t>
            </w:r>
          </w:p>
        </w:tc>
        <w:tc>
          <w:tcPr>
            <w:tcW w:w="2857" w:type="dxa"/>
            <w:vAlign w:val="center"/>
          </w:tcPr>
          <w:p>
            <w:pPr>
              <w:snapToGrid w:val="0"/>
              <w:spacing w:line="440" w:lineRule="exact"/>
              <w:jc w:val="center"/>
              <w:rPr>
                <w:bCs/>
                <w:color w:val="000000"/>
                <w:sz w:val="18"/>
                <w:szCs w:val="18"/>
              </w:rPr>
            </w:pPr>
            <w:r>
              <w:rPr>
                <w:bCs/>
                <w:color w:val="000000"/>
                <w:sz w:val="18"/>
                <w:szCs w:val="18"/>
              </w:rPr>
              <w:t>GB/T 214</w:t>
            </w:r>
            <w:r>
              <w:rPr>
                <w:rFonts w:hint="eastAsia"/>
                <w:bCs/>
                <w:color w:val="000000"/>
                <w:sz w:val="18"/>
                <w:szCs w:val="18"/>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snapToGrid w:val="0"/>
              <w:spacing w:line="440" w:lineRule="exact"/>
              <w:jc w:val="center"/>
              <w:rPr>
                <w:rFonts w:hAnsi="宋体"/>
                <w:bCs/>
                <w:sz w:val="18"/>
                <w:szCs w:val="18"/>
              </w:rPr>
            </w:pPr>
            <w:r>
              <w:rPr>
                <w:rFonts w:hint="eastAsia" w:hAnsi="宋体"/>
                <w:bCs/>
                <w:sz w:val="18"/>
                <w:szCs w:val="18"/>
              </w:rPr>
              <w:t>3</w:t>
            </w:r>
          </w:p>
        </w:tc>
        <w:tc>
          <w:tcPr>
            <w:tcW w:w="3238" w:type="dxa"/>
            <w:vAlign w:val="center"/>
          </w:tcPr>
          <w:p>
            <w:pPr>
              <w:jc w:val="center"/>
              <w:rPr>
                <w:sz w:val="18"/>
                <w:szCs w:val="18"/>
              </w:rPr>
            </w:pPr>
            <w:r>
              <w:rPr>
                <w:rFonts w:hAnsi="宋体"/>
                <w:sz w:val="18"/>
                <w:szCs w:val="18"/>
              </w:rPr>
              <w:t>发热量</w:t>
            </w:r>
            <w:r>
              <w:rPr>
                <w:sz w:val="18"/>
                <w:szCs w:val="18"/>
              </w:rPr>
              <w:t xml:space="preserve"> Q</w:t>
            </w:r>
            <w:r>
              <w:rPr>
                <w:sz w:val="18"/>
                <w:szCs w:val="18"/>
                <w:vertAlign w:val="subscript"/>
              </w:rPr>
              <w:t>gr,d</w:t>
            </w:r>
            <w:r>
              <w:rPr>
                <w:rFonts w:hAnsi="宋体"/>
                <w:sz w:val="18"/>
                <w:szCs w:val="18"/>
              </w:rPr>
              <w:t>，</w:t>
            </w:r>
            <w:r>
              <w:rPr>
                <w:sz w:val="18"/>
                <w:szCs w:val="18"/>
              </w:rPr>
              <w:t>MJ/kg</w:t>
            </w:r>
          </w:p>
        </w:tc>
        <w:tc>
          <w:tcPr>
            <w:tcW w:w="2857" w:type="dxa"/>
            <w:vAlign w:val="center"/>
          </w:tcPr>
          <w:p>
            <w:pPr>
              <w:snapToGrid w:val="0"/>
              <w:spacing w:line="440" w:lineRule="exact"/>
              <w:jc w:val="center"/>
              <w:rPr>
                <w:bCs/>
                <w:color w:val="000000"/>
                <w:sz w:val="18"/>
                <w:szCs w:val="18"/>
              </w:rPr>
            </w:pPr>
            <w:r>
              <w:rPr>
                <w:bCs/>
                <w:color w:val="000000"/>
                <w:sz w:val="18"/>
                <w:szCs w:val="18"/>
              </w:rPr>
              <w:t>GB/T 213</w:t>
            </w:r>
            <w:r>
              <w:rPr>
                <w:rFonts w:hint="eastAsia"/>
                <w:bCs/>
                <w:color w:val="00000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snapToGrid w:val="0"/>
              <w:spacing w:line="440" w:lineRule="exact"/>
              <w:jc w:val="center"/>
              <w:rPr>
                <w:rFonts w:hAnsi="宋体"/>
                <w:bCs/>
                <w:sz w:val="18"/>
                <w:szCs w:val="18"/>
              </w:rPr>
            </w:pPr>
            <w:r>
              <w:rPr>
                <w:rFonts w:hint="eastAsia" w:hAnsi="宋体"/>
                <w:bCs/>
                <w:sz w:val="18"/>
                <w:szCs w:val="18"/>
              </w:rPr>
              <w:t>4</w:t>
            </w:r>
          </w:p>
        </w:tc>
        <w:tc>
          <w:tcPr>
            <w:tcW w:w="3238" w:type="dxa"/>
            <w:vAlign w:val="center"/>
          </w:tcPr>
          <w:p>
            <w:pPr>
              <w:jc w:val="center"/>
              <w:rPr>
                <w:sz w:val="18"/>
                <w:szCs w:val="18"/>
              </w:rPr>
            </w:pPr>
            <w:r>
              <w:rPr>
                <w:rFonts w:hint="eastAsia" w:hAnsi="宋体"/>
                <w:sz w:val="18"/>
                <w:szCs w:val="18"/>
              </w:rPr>
              <w:t>煤中</w:t>
            </w:r>
            <w:r>
              <w:rPr>
                <w:rFonts w:hAnsi="宋体"/>
                <w:sz w:val="18"/>
                <w:szCs w:val="18"/>
              </w:rPr>
              <w:t>磷</w:t>
            </w:r>
            <w:r>
              <w:rPr>
                <w:rFonts w:hint="eastAsia" w:hAnsi="宋体"/>
                <w:sz w:val="18"/>
                <w:szCs w:val="18"/>
              </w:rPr>
              <w:t>含量</w:t>
            </w:r>
            <w:r>
              <w:rPr>
                <w:rFonts w:hAnsi="宋体"/>
                <w:sz w:val="18"/>
                <w:szCs w:val="18"/>
              </w:rPr>
              <w:t>（</w:t>
            </w:r>
            <w:r>
              <w:rPr>
                <w:sz w:val="18"/>
                <w:szCs w:val="18"/>
              </w:rPr>
              <w:t>P</w:t>
            </w:r>
            <w:r>
              <w:rPr>
                <w:sz w:val="18"/>
                <w:szCs w:val="18"/>
                <w:vertAlign w:val="subscript"/>
              </w:rPr>
              <w:t>d</w:t>
            </w:r>
            <w:r>
              <w:rPr>
                <w:rFonts w:hAnsi="宋体"/>
                <w:sz w:val="18"/>
                <w:szCs w:val="18"/>
              </w:rPr>
              <w:t>），</w:t>
            </w:r>
            <w:r>
              <w:rPr>
                <w:sz w:val="18"/>
                <w:szCs w:val="18"/>
              </w:rPr>
              <w:t>%</w:t>
            </w:r>
          </w:p>
        </w:tc>
        <w:tc>
          <w:tcPr>
            <w:tcW w:w="2857" w:type="dxa"/>
            <w:vAlign w:val="center"/>
          </w:tcPr>
          <w:p>
            <w:pPr>
              <w:snapToGrid w:val="0"/>
              <w:spacing w:line="440" w:lineRule="exact"/>
              <w:jc w:val="center"/>
              <w:rPr>
                <w:bCs/>
                <w:color w:val="000000"/>
                <w:sz w:val="18"/>
                <w:szCs w:val="18"/>
              </w:rPr>
            </w:pPr>
            <w:r>
              <w:rPr>
                <w:bCs/>
                <w:color w:val="000000"/>
                <w:sz w:val="18"/>
                <w:szCs w:val="18"/>
              </w:rPr>
              <w:t>GB/T 216</w:t>
            </w:r>
            <w:r>
              <w:rPr>
                <w:rFonts w:hint="eastAsia"/>
                <w:bCs/>
                <w:color w:val="000000"/>
                <w:sz w:val="18"/>
                <w:szCs w:val="18"/>
              </w:rPr>
              <w:t>-2003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snapToGrid w:val="0"/>
              <w:spacing w:line="440" w:lineRule="exact"/>
              <w:jc w:val="center"/>
              <w:rPr>
                <w:rFonts w:hAnsi="宋体"/>
                <w:bCs/>
                <w:sz w:val="18"/>
                <w:szCs w:val="18"/>
              </w:rPr>
            </w:pPr>
            <w:r>
              <w:rPr>
                <w:rFonts w:hint="eastAsia" w:hAnsi="宋体"/>
                <w:bCs/>
                <w:sz w:val="18"/>
                <w:szCs w:val="18"/>
              </w:rPr>
              <w:t>5</w:t>
            </w:r>
          </w:p>
        </w:tc>
        <w:tc>
          <w:tcPr>
            <w:tcW w:w="3238" w:type="dxa"/>
            <w:vAlign w:val="center"/>
          </w:tcPr>
          <w:p>
            <w:pPr>
              <w:jc w:val="center"/>
              <w:rPr>
                <w:sz w:val="18"/>
                <w:szCs w:val="18"/>
              </w:rPr>
            </w:pPr>
            <w:r>
              <w:rPr>
                <w:rFonts w:hint="eastAsia" w:hAnsi="宋体"/>
                <w:sz w:val="18"/>
                <w:szCs w:val="18"/>
              </w:rPr>
              <w:t>煤中</w:t>
            </w:r>
            <w:r>
              <w:rPr>
                <w:rFonts w:hAnsi="宋体"/>
                <w:sz w:val="18"/>
                <w:szCs w:val="18"/>
              </w:rPr>
              <w:t>氯</w:t>
            </w:r>
            <w:r>
              <w:rPr>
                <w:rFonts w:hint="eastAsia" w:hAnsi="宋体"/>
                <w:sz w:val="18"/>
                <w:szCs w:val="18"/>
              </w:rPr>
              <w:t>含量</w:t>
            </w:r>
            <w:r>
              <w:rPr>
                <w:rFonts w:hAnsi="宋体"/>
                <w:sz w:val="18"/>
                <w:szCs w:val="18"/>
              </w:rPr>
              <w:t>（</w:t>
            </w:r>
            <w:r>
              <w:rPr>
                <w:sz w:val="18"/>
                <w:szCs w:val="18"/>
              </w:rPr>
              <w:t>Cl</w:t>
            </w:r>
            <w:r>
              <w:rPr>
                <w:sz w:val="18"/>
                <w:szCs w:val="18"/>
                <w:vertAlign w:val="subscript"/>
              </w:rPr>
              <w:t>d</w:t>
            </w:r>
            <w:r>
              <w:rPr>
                <w:rFonts w:hAnsi="宋体"/>
                <w:sz w:val="18"/>
                <w:szCs w:val="18"/>
              </w:rPr>
              <w:t>），</w:t>
            </w:r>
            <w:r>
              <w:rPr>
                <w:sz w:val="18"/>
                <w:szCs w:val="18"/>
              </w:rPr>
              <w:t>%</w:t>
            </w:r>
          </w:p>
        </w:tc>
        <w:tc>
          <w:tcPr>
            <w:tcW w:w="2857" w:type="dxa"/>
            <w:vAlign w:val="center"/>
          </w:tcPr>
          <w:p>
            <w:pPr>
              <w:snapToGrid w:val="0"/>
              <w:spacing w:line="440" w:lineRule="exact"/>
              <w:jc w:val="center"/>
              <w:rPr>
                <w:bCs/>
                <w:color w:val="000000"/>
                <w:sz w:val="18"/>
                <w:szCs w:val="18"/>
              </w:rPr>
            </w:pPr>
            <w:r>
              <w:rPr>
                <w:bCs/>
                <w:color w:val="000000"/>
                <w:sz w:val="18"/>
                <w:szCs w:val="18"/>
              </w:rPr>
              <w:t>GB/T3558</w:t>
            </w:r>
            <w:r>
              <w:rPr>
                <w:rFonts w:hint="eastAsia"/>
                <w:bCs/>
                <w:color w:val="000000"/>
                <w:sz w:val="18"/>
                <w:szCs w:val="18"/>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snapToGrid w:val="0"/>
              <w:spacing w:line="440" w:lineRule="exact"/>
              <w:jc w:val="center"/>
              <w:rPr>
                <w:rFonts w:hAnsi="宋体"/>
                <w:bCs/>
                <w:sz w:val="18"/>
                <w:szCs w:val="18"/>
              </w:rPr>
            </w:pPr>
            <w:r>
              <w:rPr>
                <w:rFonts w:hint="eastAsia" w:hAnsi="宋体"/>
                <w:bCs/>
                <w:sz w:val="18"/>
                <w:szCs w:val="18"/>
              </w:rPr>
              <w:t>6</w:t>
            </w:r>
          </w:p>
        </w:tc>
        <w:tc>
          <w:tcPr>
            <w:tcW w:w="3238" w:type="dxa"/>
            <w:vAlign w:val="center"/>
          </w:tcPr>
          <w:p>
            <w:pPr>
              <w:jc w:val="center"/>
              <w:rPr>
                <w:sz w:val="18"/>
                <w:szCs w:val="18"/>
              </w:rPr>
            </w:pPr>
            <w:r>
              <w:rPr>
                <w:rFonts w:hint="eastAsia" w:hAnsi="宋体"/>
                <w:sz w:val="18"/>
                <w:szCs w:val="18"/>
              </w:rPr>
              <w:t>煤中</w:t>
            </w:r>
            <w:r>
              <w:rPr>
                <w:rFonts w:hAnsi="宋体"/>
                <w:sz w:val="18"/>
                <w:szCs w:val="18"/>
              </w:rPr>
              <w:t>汞</w:t>
            </w:r>
            <w:r>
              <w:rPr>
                <w:rFonts w:hint="eastAsia" w:hAnsi="宋体"/>
                <w:sz w:val="18"/>
                <w:szCs w:val="18"/>
              </w:rPr>
              <w:t>含量</w:t>
            </w:r>
            <w:r>
              <w:rPr>
                <w:rFonts w:hAnsi="宋体"/>
                <w:sz w:val="18"/>
                <w:szCs w:val="18"/>
              </w:rPr>
              <w:t>（</w:t>
            </w:r>
            <w:r>
              <w:rPr>
                <w:sz w:val="18"/>
                <w:szCs w:val="18"/>
              </w:rPr>
              <w:t>Hg</w:t>
            </w:r>
            <w:r>
              <w:rPr>
                <w:sz w:val="18"/>
                <w:szCs w:val="18"/>
                <w:vertAlign w:val="subscript"/>
              </w:rPr>
              <w:t>d</w:t>
            </w:r>
            <w:r>
              <w:rPr>
                <w:rFonts w:hAnsi="宋体"/>
                <w:sz w:val="18"/>
                <w:szCs w:val="18"/>
              </w:rPr>
              <w:t>），</w:t>
            </w:r>
            <w:r>
              <w:rPr>
                <w:sz w:val="18"/>
                <w:szCs w:val="18"/>
              </w:rPr>
              <w:t>μg/g</w:t>
            </w:r>
          </w:p>
        </w:tc>
        <w:tc>
          <w:tcPr>
            <w:tcW w:w="2857" w:type="dxa"/>
            <w:vAlign w:val="center"/>
          </w:tcPr>
          <w:p>
            <w:pPr>
              <w:snapToGrid w:val="0"/>
              <w:spacing w:line="440" w:lineRule="exact"/>
              <w:jc w:val="center"/>
              <w:rPr>
                <w:bCs/>
                <w:color w:val="000000"/>
                <w:sz w:val="18"/>
                <w:szCs w:val="18"/>
              </w:rPr>
            </w:pPr>
            <w:r>
              <w:rPr>
                <w:bCs/>
                <w:color w:val="000000"/>
                <w:sz w:val="18"/>
                <w:szCs w:val="18"/>
              </w:rPr>
              <w:t>GB/T 16659</w:t>
            </w:r>
            <w:r>
              <w:rPr>
                <w:rFonts w:hint="eastAsia"/>
                <w:bCs/>
                <w:color w:val="000000"/>
                <w:sz w:val="18"/>
                <w:szCs w:val="18"/>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snapToGrid w:val="0"/>
              <w:spacing w:line="440" w:lineRule="exact"/>
              <w:jc w:val="center"/>
              <w:rPr>
                <w:rFonts w:hAnsi="宋体"/>
                <w:bCs/>
                <w:sz w:val="18"/>
                <w:szCs w:val="18"/>
              </w:rPr>
            </w:pPr>
            <w:r>
              <w:rPr>
                <w:rFonts w:hint="eastAsia" w:hAnsi="宋体"/>
                <w:bCs/>
                <w:sz w:val="18"/>
                <w:szCs w:val="18"/>
              </w:rPr>
              <w:t>7</w:t>
            </w:r>
          </w:p>
        </w:tc>
        <w:tc>
          <w:tcPr>
            <w:tcW w:w="3238" w:type="dxa"/>
            <w:vAlign w:val="center"/>
          </w:tcPr>
          <w:p>
            <w:pPr>
              <w:jc w:val="center"/>
              <w:rPr>
                <w:sz w:val="18"/>
                <w:szCs w:val="18"/>
              </w:rPr>
            </w:pPr>
            <w:r>
              <w:rPr>
                <w:rFonts w:hint="eastAsia" w:hAnsi="宋体"/>
                <w:sz w:val="18"/>
                <w:szCs w:val="18"/>
              </w:rPr>
              <w:t>煤中</w:t>
            </w:r>
            <w:r>
              <w:rPr>
                <w:rFonts w:hAnsi="宋体"/>
                <w:sz w:val="18"/>
                <w:szCs w:val="18"/>
              </w:rPr>
              <w:t>砷</w:t>
            </w:r>
            <w:r>
              <w:rPr>
                <w:rFonts w:hint="eastAsia" w:hAnsi="宋体"/>
                <w:sz w:val="18"/>
                <w:szCs w:val="18"/>
              </w:rPr>
              <w:t>含量</w:t>
            </w:r>
            <w:r>
              <w:rPr>
                <w:rFonts w:hAnsi="宋体"/>
                <w:sz w:val="18"/>
                <w:szCs w:val="18"/>
              </w:rPr>
              <w:t>（</w:t>
            </w:r>
            <w:r>
              <w:rPr>
                <w:sz w:val="18"/>
                <w:szCs w:val="18"/>
              </w:rPr>
              <w:t>As</w:t>
            </w:r>
            <w:r>
              <w:rPr>
                <w:sz w:val="18"/>
                <w:szCs w:val="18"/>
                <w:vertAlign w:val="subscript"/>
              </w:rPr>
              <w:t>d</w:t>
            </w:r>
            <w:r>
              <w:rPr>
                <w:rFonts w:hAnsi="宋体"/>
                <w:sz w:val="18"/>
                <w:szCs w:val="18"/>
              </w:rPr>
              <w:t>），</w:t>
            </w:r>
            <w:r>
              <w:rPr>
                <w:sz w:val="18"/>
                <w:szCs w:val="18"/>
              </w:rPr>
              <w:t>μg/g</w:t>
            </w:r>
          </w:p>
        </w:tc>
        <w:tc>
          <w:tcPr>
            <w:tcW w:w="2857" w:type="dxa"/>
            <w:vAlign w:val="center"/>
          </w:tcPr>
          <w:p>
            <w:pPr>
              <w:snapToGrid w:val="0"/>
              <w:spacing w:line="440" w:lineRule="exact"/>
              <w:jc w:val="center"/>
              <w:rPr>
                <w:bCs/>
                <w:color w:val="000000"/>
                <w:sz w:val="18"/>
                <w:szCs w:val="18"/>
              </w:rPr>
            </w:pPr>
            <w:r>
              <w:rPr>
                <w:bCs/>
                <w:color w:val="000000"/>
                <w:sz w:val="18"/>
                <w:szCs w:val="18"/>
              </w:rPr>
              <w:t>GB/T 3058</w:t>
            </w:r>
            <w:r>
              <w:rPr>
                <w:rFonts w:hint="eastAsia"/>
                <w:bCs/>
                <w:color w:val="000000"/>
                <w:sz w:val="18"/>
                <w:szCs w:val="18"/>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pPr>
              <w:snapToGrid w:val="0"/>
              <w:spacing w:line="440" w:lineRule="exact"/>
              <w:jc w:val="center"/>
              <w:rPr>
                <w:rFonts w:hAnsi="宋体"/>
                <w:bCs/>
                <w:sz w:val="18"/>
                <w:szCs w:val="18"/>
              </w:rPr>
            </w:pPr>
            <w:r>
              <w:rPr>
                <w:rFonts w:hint="eastAsia" w:hAnsi="宋体"/>
                <w:bCs/>
                <w:sz w:val="18"/>
                <w:szCs w:val="18"/>
              </w:rPr>
              <w:t>8</w:t>
            </w:r>
          </w:p>
        </w:tc>
        <w:tc>
          <w:tcPr>
            <w:tcW w:w="3238" w:type="dxa"/>
            <w:vAlign w:val="center"/>
          </w:tcPr>
          <w:p>
            <w:pPr>
              <w:jc w:val="center"/>
              <w:rPr>
                <w:sz w:val="18"/>
                <w:szCs w:val="18"/>
              </w:rPr>
            </w:pPr>
            <w:r>
              <w:rPr>
                <w:rFonts w:hint="eastAsia" w:hAnsi="宋体"/>
                <w:sz w:val="18"/>
                <w:szCs w:val="18"/>
              </w:rPr>
              <w:t>煤中</w:t>
            </w:r>
            <w:r>
              <w:rPr>
                <w:rFonts w:hAnsi="宋体"/>
                <w:sz w:val="18"/>
                <w:szCs w:val="18"/>
              </w:rPr>
              <w:t>氟</w:t>
            </w:r>
            <w:r>
              <w:rPr>
                <w:rFonts w:hint="eastAsia" w:hAnsi="宋体"/>
                <w:sz w:val="18"/>
                <w:szCs w:val="18"/>
              </w:rPr>
              <w:t>含量</w:t>
            </w:r>
            <w:r>
              <w:rPr>
                <w:rFonts w:hAnsi="宋体"/>
                <w:sz w:val="18"/>
                <w:szCs w:val="18"/>
              </w:rPr>
              <w:t>（</w:t>
            </w:r>
            <w:r>
              <w:rPr>
                <w:sz w:val="18"/>
                <w:szCs w:val="18"/>
              </w:rPr>
              <w:t>F</w:t>
            </w:r>
            <w:r>
              <w:rPr>
                <w:sz w:val="18"/>
                <w:szCs w:val="18"/>
                <w:vertAlign w:val="subscript"/>
              </w:rPr>
              <w:t>d</w:t>
            </w:r>
            <w:r>
              <w:rPr>
                <w:rFonts w:hAnsi="宋体"/>
                <w:sz w:val="18"/>
                <w:szCs w:val="18"/>
              </w:rPr>
              <w:t>），</w:t>
            </w:r>
            <w:r>
              <w:rPr>
                <w:sz w:val="18"/>
                <w:szCs w:val="18"/>
              </w:rPr>
              <w:t>μg/g</w:t>
            </w:r>
          </w:p>
        </w:tc>
        <w:tc>
          <w:tcPr>
            <w:tcW w:w="2857" w:type="dxa"/>
            <w:vAlign w:val="center"/>
          </w:tcPr>
          <w:p>
            <w:pPr>
              <w:snapToGrid w:val="0"/>
              <w:spacing w:line="440" w:lineRule="exact"/>
              <w:jc w:val="center"/>
              <w:rPr>
                <w:bCs/>
                <w:color w:val="000000"/>
                <w:sz w:val="18"/>
                <w:szCs w:val="18"/>
              </w:rPr>
            </w:pPr>
            <w:r>
              <w:rPr>
                <w:bCs/>
                <w:color w:val="000000"/>
                <w:sz w:val="18"/>
                <w:szCs w:val="18"/>
              </w:rPr>
              <w:t>GB/T 4633</w:t>
            </w:r>
            <w:r>
              <w:rPr>
                <w:rFonts w:hint="eastAsia"/>
                <w:bCs/>
                <w:color w:val="000000"/>
                <w:sz w:val="18"/>
                <w:szCs w:val="18"/>
              </w:rPr>
              <w:t>-2014</w:t>
            </w:r>
          </w:p>
        </w:tc>
      </w:tr>
    </w:tbl>
    <w:p>
      <w:pPr>
        <w:adjustRightInd w:val="0"/>
        <w:snapToGrid w:val="0"/>
        <w:spacing w:line="360" w:lineRule="auto"/>
        <w:ind w:firstLine="420" w:firstLineChars="200"/>
        <w:rPr>
          <w:rFonts w:ascii="宋体" w:hAnsi="宋体"/>
          <w:bCs/>
          <w:szCs w:val="21"/>
        </w:rPr>
      </w:pPr>
      <w:r>
        <w:rPr>
          <w:rFonts w:hint="eastAsia" w:ascii="宋体" w:hAnsi="宋体"/>
          <w:szCs w:val="21"/>
        </w:rPr>
        <w:t>现行有效的</w:t>
      </w:r>
      <w:r>
        <w:rPr>
          <w:rFonts w:hint="eastAsia" w:ascii="宋体" w:hAnsi="宋体" w:cs="宋体"/>
          <w:bCs/>
          <w:kern w:val="0"/>
          <w:szCs w:val="21"/>
        </w:rPr>
        <w:t>企业标准、团体标准、地方标准</w:t>
      </w:r>
      <w:r>
        <w:rPr>
          <w:rFonts w:hint="eastAsia" w:ascii="宋体" w:hAnsi="宋体"/>
          <w:szCs w:val="21"/>
        </w:rPr>
        <w:t>及产品明示质量要求</w:t>
      </w:r>
    </w:p>
    <w:p>
      <w:pPr>
        <w:adjustRightInd w:val="0"/>
        <w:snapToGrid w:val="0"/>
        <w:spacing w:line="360" w:lineRule="auto"/>
        <w:ind w:firstLine="420"/>
        <w:rPr>
          <w:rFonts w:ascii="黑体" w:hAnsi="黑体" w:eastAsia="黑体"/>
          <w:b/>
          <w:color w:val="000000"/>
          <w:szCs w:val="21"/>
        </w:rPr>
      </w:pPr>
    </w:p>
    <w:p>
      <w:pPr>
        <w:adjustRightInd w:val="0"/>
        <w:snapToGrid w:val="0"/>
        <w:spacing w:line="360" w:lineRule="auto"/>
        <w:ind w:firstLine="420"/>
        <w:rPr>
          <w:rFonts w:ascii="黑体" w:hAnsi="黑体" w:eastAsia="黑体"/>
          <w:b/>
          <w:color w:val="000000"/>
          <w:szCs w:val="21"/>
        </w:rPr>
      </w:pPr>
      <w:r>
        <w:rPr>
          <w:rFonts w:hint="eastAsia" w:ascii="黑体" w:hAnsi="黑体" w:eastAsia="黑体"/>
          <w:b/>
          <w:color w:val="000000"/>
          <w:szCs w:val="21"/>
        </w:rPr>
        <w:t>3 判定规则</w:t>
      </w:r>
    </w:p>
    <w:p>
      <w:pPr>
        <w:adjustRightInd w:val="0"/>
        <w:snapToGrid w:val="0"/>
        <w:spacing w:line="360" w:lineRule="auto"/>
        <w:ind w:firstLine="420"/>
        <w:rPr>
          <w:rFonts w:hAnsi="宋体"/>
          <w:b/>
          <w:color w:val="000000"/>
          <w:szCs w:val="21"/>
        </w:rPr>
      </w:pPr>
      <w:r>
        <w:rPr>
          <w:rFonts w:hint="eastAsia" w:hAnsi="宋体"/>
          <w:b/>
          <w:color w:val="000000"/>
          <w:szCs w:val="21"/>
        </w:rPr>
        <w:t>3.1依据标准</w:t>
      </w:r>
    </w:p>
    <w:p>
      <w:pPr>
        <w:adjustRightInd w:val="0"/>
        <w:snapToGrid w:val="0"/>
        <w:spacing w:line="360" w:lineRule="auto"/>
        <w:ind w:firstLine="420"/>
        <w:rPr>
          <w:rFonts w:hAnsi="宋体"/>
          <w:szCs w:val="21"/>
        </w:rPr>
      </w:pPr>
      <w:r>
        <w:rPr>
          <w:rFonts w:hint="eastAsia" w:hAnsi="宋体"/>
          <w:szCs w:val="21"/>
        </w:rPr>
        <w:t>凡是注日期的文件，其随后所有的修改单（不包括勘误的内容）或修订版不适用于本规范。凡是不注日期的文件，其最新版本适用于本细则。</w:t>
      </w:r>
    </w:p>
    <w:p>
      <w:pPr>
        <w:adjustRightInd w:val="0"/>
        <w:snapToGrid w:val="0"/>
        <w:spacing w:line="360" w:lineRule="auto"/>
        <w:ind w:firstLine="420"/>
        <w:rPr>
          <w:rFonts w:hAnsi="宋体"/>
          <w:szCs w:val="21"/>
        </w:rPr>
      </w:pPr>
      <w:r>
        <w:rPr>
          <w:rFonts w:hint="eastAsia" w:hAnsi="宋体"/>
          <w:szCs w:val="21"/>
        </w:rPr>
        <w:t>GB/T 483-2007      煤炭分析试验方法一般规定</w:t>
      </w:r>
    </w:p>
    <w:p>
      <w:pPr>
        <w:adjustRightInd w:val="0"/>
        <w:snapToGrid w:val="0"/>
        <w:spacing w:line="360" w:lineRule="auto"/>
        <w:ind w:firstLine="420"/>
        <w:rPr>
          <w:rFonts w:hAnsi="宋体"/>
          <w:szCs w:val="21"/>
        </w:rPr>
      </w:pPr>
      <w:r>
        <w:rPr>
          <w:rFonts w:hint="eastAsia" w:hAnsi="宋体"/>
          <w:szCs w:val="21"/>
        </w:rPr>
        <w:t>DB65/T 032-2019    城市用煤</w:t>
      </w:r>
    </w:p>
    <w:p>
      <w:pPr>
        <w:spacing w:line="360" w:lineRule="auto"/>
        <w:ind w:firstLine="422" w:firstLineChars="200"/>
        <w:rPr>
          <w:b/>
          <w:szCs w:val="21"/>
        </w:rPr>
      </w:pPr>
      <w:r>
        <w:rPr>
          <w:b/>
          <w:bCs/>
          <w:color w:val="000000"/>
          <w:szCs w:val="21"/>
        </w:rPr>
        <w:t>3.2</w:t>
      </w:r>
      <w:r>
        <w:rPr>
          <w:rFonts w:hAnsi="宋体"/>
          <w:b/>
          <w:szCs w:val="21"/>
        </w:rPr>
        <w:t>判定原则</w:t>
      </w:r>
    </w:p>
    <w:p>
      <w:pPr>
        <w:adjustRightInd w:val="0"/>
        <w:snapToGrid w:val="0"/>
        <w:spacing w:line="360" w:lineRule="auto"/>
        <w:ind w:firstLine="420"/>
        <w:rPr>
          <w:rFonts w:hAnsi="宋体"/>
          <w:szCs w:val="21"/>
        </w:rPr>
      </w:pPr>
      <w:r>
        <w:rPr>
          <w:rFonts w:hint="eastAsia" w:hAnsi="宋体"/>
          <w:szCs w:val="21"/>
        </w:rPr>
        <w:t>检验结果的判定按GB/T</w:t>
      </w:r>
      <w:r>
        <w:rPr>
          <w:rFonts w:hAnsi="宋体"/>
          <w:szCs w:val="21"/>
        </w:rPr>
        <w:t xml:space="preserve"> </w:t>
      </w:r>
      <w:r>
        <w:rPr>
          <w:rFonts w:hint="eastAsia" w:hAnsi="宋体"/>
          <w:szCs w:val="21"/>
        </w:rPr>
        <w:t>8170中修约值比较法进行，其中任何一项或一项以上指标不符合DB65/T032-2019《城市用煤》标准，则判本次检验不通过。</w:t>
      </w:r>
    </w:p>
    <w:p>
      <w:pPr>
        <w:adjustRightInd w:val="0"/>
        <w:snapToGrid w:val="0"/>
        <w:spacing w:line="360" w:lineRule="auto"/>
        <w:ind w:firstLine="420"/>
        <w:rPr>
          <w:rFonts w:hAnsi="宋体"/>
          <w:szCs w:val="21"/>
        </w:rPr>
      </w:pPr>
      <w:r>
        <w:rPr>
          <w:rFonts w:hAnsi="宋体"/>
          <w:szCs w:val="21"/>
        </w:rPr>
        <mc:AlternateContent>
          <mc:Choice Requires="wps">
            <w:drawing>
              <wp:anchor distT="0" distB="0" distL="114300" distR="114300" simplePos="0" relativeHeight="251661312" behindDoc="0" locked="0" layoutInCell="1" allowOverlap="1">
                <wp:simplePos x="0" y="0"/>
                <wp:positionH relativeFrom="column">
                  <wp:posOffset>1875790</wp:posOffset>
                </wp:positionH>
                <wp:positionV relativeFrom="paragraph">
                  <wp:posOffset>635</wp:posOffset>
                </wp:positionV>
                <wp:extent cx="1674495" cy="0"/>
                <wp:effectExtent l="0" t="0" r="20955" b="19050"/>
                <wp:wrapNone/>
                <wp:docPr id="4" name="直接连接符 4"/>
                <wp:cNvGraphicFramePr/>
                <a:graphic xmlns:a="http://schemas.openxmlformats.org/drawingml/2006/main">
                  <a:graphicData uri="http://schemas.microsoft.com/office/word/2010/wordprocessingShape">
                    <wps:wsp>
                      <wps:cNvCnPr/>
                      <wps:spPr>
                        <a:xfrm>
                          <a:off x="0" y="0"/>
                          <a:ext cx="1674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7.7pt;margin-top:0.05pt;height:0pt;width:131.85pt;z-index:251661312;mso-width-relative:page;mso-height-relative:page;" filled="f" stroked="t" coordsize="21600,21600" o:gfxdata="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Qmmzy1AAAAAUBAAAPAAAAAAAAAAEAIAAAACIAAABkcnMvZG93bnJldi54bWxQSwECFAAUAAAA&#10;CACHTuJA6J3OhvIBAADUAwAADgAAAAAAAAABACAAAAAjAQAAZHJzL2Uyb0RvYy54bWxQSwUGAAAA&#10;AAYABgBZAQAAhwUAAAAA&#10;">
                <v:fill on="f" focussize="0,0"/>
                <v:stroke weight="1pt" color="#000000 [3200]" joinstyle="round"/>
                <v:imagedata o:title=""/>
                <o:lock v:ext="edit" aspectratio="f"/>
              </v:line>
            </w:pict>
          </mc:Fallback>
        </mc:AlternateContent>
      </w:r>
    </w:p>
    <w:p>
      <w:pPr>
        <w:snapToGrid w:val="0"/>
        <w:spacing w:line="360" w:lineRule="auto"/>
        <w:rPr>
          <w:color w:val="FF0000"/>
          <w:szCs w:val="21"/>
        </w:rPr>
      </w:pPr>
    </w:p>
    <w:sectPr>
      <w:headerReference r:id="rId3" w:type="default"/>
      <w:footerReference r:id="rId4" w:type="default"/>
      <w:footerReference r:id="rId5" w:type="even"/>
      <w:pgSz w:w="11906" w:h="16838"/>
      <w:pgMar w:top="1985" w:right="1361" w:bottom="1361"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
      <w:suff w:val="nothing"/>
      <w:lvlText w:val="%1.%2　"/>
      <w:lvlJc w:val="left"/>
      <w:pPr>
        <w:ind w:left="1575"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70B5338C"/>
    <w:multiLevelType w:val="singleLevel"/>
    <w:tmpl w:val="70B5338C"/>
    <w:lvl w:ilvl="0" w:tentative="0">
      <w:start w:val="20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GVhZjU5ZThiMmQ5Yjk2YzgyNTk5ZDBjOTgwM2MifQ=="/>
  </w:docVars>
  <w:rsids>
    <w:rsidRoot w:val="00172A27"/>
    <w:rsid w:val="000278E3"/>
    <w:rsid w:val="00027DDB"/>
    <w:rsid w:val="00051A44"/>
    <w:rsid w:val="00081CBD"/>
    <w:rsid w:val="00082859"/>
    <w:rsid w:val="00084B86"/>
    <w:rsid w:val="00095C6F"/>
    <w:rsid w:val="000976DE"/>
    <w:rsid w:val="000A6615"/>
    <w:rsid w:val="000D2A26"/>
    <w:rsid w:val="000D47D0"/>
    <w:rsid w:val="000D6592"/>
    <w:rsid w:val="000E1B99"/>
    <w:rsid w:val="000E5A86"/>
    <w:rsid w:val="000F49FD"/>
    <w:rsid w:val="00102EBA"/>
    <w:rsid w:val="00104F8A"/>
    <w:rsid w:val="00130B39"/>
    <w:rsid w:val="00151F47"/>
    <w:rsid w:val="00156EA4"/>
    <w:rsid w:val="0016030D"/>
    <w:rsid w:val="00162446"/>
    <w:rsid w:val="00171181"/>
    <w:rsid w:val="00172A27"/>
    <w:rsid w:val="001809DD"/>
    <w:rsid w:val="001849D7"/>
    <w:rsid w:val="001A1114"/>
    <w:rsid w:val="00200876"/>
    <w:rsid w:val="002119E7"/>
    <w:rsid w:val="00211D01"/>
    <w:rsid w:val="00220802"/>
    <w:rsid w:val="002270A3"/>
    <w:rsid w:val="00230BB3"/>
    <w:rsid w:val="00232530"/>
    <w:rsid w:val="00253624"/>
    <w:rsid w:val="00270EC9"/>
    <w:rsid w:val="002779E3"/>
    <w:rsid w:val="002A60CB"/>
    <w:rsid w:val="002C5C77"/>
    <w:rsid w:val="002D2C9A"/>
    <w:rsid w:val="002D7634"/>
    <w:rsid w:val="002D7F8A"/>
    <w:rsid w:val="002E0D1D"/>
    <w:rsid w:val="002F3438"/>
    <w:rsid w:val="00312319"/>
    <w:rsid w:val="00315664"/>
    <w:rsid w:val="003203A3"/>
    <w:rsid w:val="00394F59"/>
    <w:rsid w:val="003A7051"/>
    <w:rsid w:val="003B03C4"/>
    <w:rsid w:val="003C388C"/>
    <w:rsid w:val="003D0C12"/>
    <w:rsid w:val="003D76C7"/>
    <w:rsid w:val="003E61BF"/>
    <w:rsid w:val="00407DEB"/>
    <w:rsid w:val="0042267C"/>
    <w:rsid w:val="00427B3F"/>
    <w:rsid w:val="00440056"/>
    <w:rsid w:val="00445E86"/>
    <w:rsid w:val="00453FA9"/>
    <w:rsid w:val="00473EF8"/>
    <w:rsid w:val="00474E04"/>
    <w:rsid w:val="004760EF"/>
    <w:rsid w:val="00491A55"/>
    <w:rsid w:val="004968FF"/>
    <w:rsid w:val="004B1BD1"/>
    <w:rsid w:val="004C39F9"/>
    <w:rsid w:val="004D0C5A"/>
    <w:rsid w:val="004E1396"/>
    <w:rsid w:val="00524855"/>
    <w:rsid w:val="0053524C"/>
    <w:rsid w:val="00537B0E"/>
    <w:rsid w:val="00563EBC"/>
    <w:rsid w:val="005649C6"/>
    <w:rsid w:val="005745DD"/>
    <w:rsid w:val="005A3B78"/>
    <w:rsid w:val="005C0E37"/>
    <w:rsid w:val="005D02E3"/>
    <w:rsid w:val="0062152E"/>
    <w:rsid w:val="0063444D"/>
    <w:rsid w:val="0066527B"/>
    <w:rsid w:val="00676724"/>
    <w:rsid w:val="006902B5"/>
    <w:rsid w:val="006A02E9"/>
    <w:rsid w:val="006A4DBE"/>
    <w:rsid w:val="006B5068"/>
    <w:rsid w:val="006C59C6"/>
    <w:rsid w:val="006C5CC9"/>
    <w:rsid w:val="006E0592"/>
    <w:rsid w:val="006E1171"/>
    <w:rsid w:val="006F0971"/>
    <w:rsid w:val="006F324D"/>
    <w:rsid w:val="0070202A"/>
    <w:rsid w:val="00707E1D"/>
    <w:rsid w:val="00711473"/>
    <w:rsid w:val="00712ED5"/>
    <w:rsid w:val="007139C2"/>
    <w:rsid w:val="007165C2"/>
    <w:rsid w:val="0072334C"/>
    <w:rsid w:val="0072798A"/>
    <w:rsid w:val="00740358"/>
    <w:rsid w:val="00744C53"/>
    <w:rsid w:val="00774F50"/>
    <w:rsid w:val="007B3B26"/>
    <w:rsid w:val="007C03E8"/>
    <w:rsid w:val="007E1D28"/>
    <w:rsid w:val="0080678C"/>
    <w:rsid w:val="00843961"/>
    <w:rsid w:val="00857A09"/>
    <w:rsid w:val="00873941"/>
    <w:rsid w:val="008935AA"/>
    <w:rsid w:val="00895BEA"/>
    <w:rsid w:val="008A0484"/>
    <w:rsid w:val="008A3497"/>
    <w:rsid w:val="008E5008"/>
    <w:rsid w:val="008F200D"/>
    <w:rsid w:val="00917A54"/>
    <w:rsid w:val="00921388"/>
    <w:rsid w:val="00921AE9"/>
    <w:rsid w:val="0096066A"/>
    <w:rsid w:val="00974ED1"/>
    <w:rsid w:val="009A33E1"/>
    <w:rsid w:val="009F36EF"/>
    <w:rsid w:val="009F4CC3"/>
    <w:rsid w:val="00A05FD9"/>
    <w:rsid w:val="00A352FA"/>
    <w:rsid w:val="00A43553"/>
    <w:rsid w:val="00A6625A"/>
    <w:rsid w:val="00A908EE"/>
    <w:rsid w:val="00AA71C8"/>
    <w:rsid w:val="00AC5391"/>
    <w:rsid w:val="00AC7600"/>
    <w:rsid w:val="00AE6114"/>
    <w:rsid w:val="00AF3289"/>
    <w:rsid w:val="00B17ACE"/>
    <w:rsid w:val="00B42B5B"/>
    <w:rsid w:val="00B57C1F"/>
    <w:rsid w:val="00BA7746"/>
    <w:rsid w:val="00BD0337"/>
    <w:rsid w:val="00BD1041"/>
    <w:rsid w:val="00BE54EF"/>
    <w:rsid w:val="00BE615A"/>
    <w:rsid w:val="00BF2B8C"/>
    <w:rsid w:val="00C164F9"/>
    <w:rsid w:val="00C26074"/>
    <w:rsid w:val="00C31148"/>
    <w:rsid w:val="00C45B13"/>
    <w:rsid w:val="00C51EA8"/>
    <w:rsid w:val="00C535FD"/>
    <w:rsid w:val="00C614C4"/>
    <w:rsid w:val="00C66894"/>
    <w:rsid w:val="00C71495"/>
    <w:rsid w:val="00C81E22"/>
    <w:rsid w:val="00C83B0A"/>
    <w:rsid w:val="00C9023B"/>
    <w:rsid w:val="00CA44F5"/>
    <w:rsid w:val="00CC4512"/>
    <w:rsid w:val="00CE1E0C"/>
    <w:rsid w:val="00CE277E"/>
    <w:rsid w:val="00CF26A1"/>
    <w:rsid w:val="00D24440"/>
    <w:rsid w:val="00D27400"/>
    <w:rsid w:val="00D56867"/>
    <w:rsid w:val="00D77DF9"/>
    <w:rsid w:val="00D86B6C"/>
    <w:rsid w:val="00D963BB"/>
    <w:rsid w:val="00DF6310"/>
    <w:rsid w:val="00E02A7F"/>
    <w:rsid w:val="00E0523D"/>
    <w:rsid w:val="00E07880"/>
    <w:rsid w:val="00E346CA"/>
    <w:rsid w:val="00E47864"/>
    <w:rsid w:val="00E76DD5"/>
    <w:rsid w:val="00E82621"/>
    <w:rsid w:val="00E86DDF"/>
    <w:rsid w:val="00EC5C7A"/>
    <w:rsid w:val="00ED533F"/>
    <w:rsid w:val="00EE0BBC"/>
    <w:rsid w:val="00F0723C"/>
    <w:rsid w:val="00F26D57"/>
    <w:rsid w:val="00F77C9A"/>
    <w:rsid w:val="00F922C3"/>
    <w:rsid w:val="00F92326"/>
    <w:rsid w:val="00F97253"/>
    <w:rsid w:val="00FB576C"/>
    <w:rsid w:val="00FC2552"/>
    <w:rsid w:val="00FD2AA6"/>
    <w:rsid w:val="00FE49BE"/>
    <w:rsid w:val="00FE7E8A"/>
    <w:rsid w:val="02214557"/>
    <w:rsid w:val="05592E00"/>
    <w:rsid w:val="081359B7"/>
    <w:rsid w:val="0C096217"/>
    <w:rsid w:val="0CD7113C"/>
    <w:rsid w:val="0FD8021F"/>
    <w:rsid w:val="10A31E96"/>
    <w:rsid w:val="13353FF5"/>
    <w:rsid w:val="156548F4"/>
    <w:rsid w:val="159F0A93"/>
    <w:rsid w:val="16015CA5"/>
    <w:rsid w:val="1B17226F"/>
    <w:rsid w:val="1F501BB8"/>
    <w:rsid w:val="1F8074C0"/>
    <w:rsid w:val="200D0C04"/>
    <w:rsid w:val="21E04EA4"/>
    <w:rsid w:val="241214D1"/>
    <w:rsid w:val="253F2BB2"/>
    <w:rsid w:val="2AA6150A"/>
    <w:rsid w:val="2CD53B17"/>
    <w:rsid w:val="2CF658F1"/>
    <w:rsid w:val="2DA631D5"/>
    <w:rsid w:val="2EED4B0F"/>
    <w:rsid w:val="30E17AE3"/>
    <w:rsid w:val="34E541B2"/>
    <w:rsid w:val="352A17E9"/>
    <w:rsid w:val="35F63D45"/>
    <w:rsid w:val="376E0A6D"/>
    <w:rsid w:val="3C240824"/>
    <w:rsid w:val="3D7D0D39"/>
    <w:rsid w:val="3F154693"/>
    <w:rsid w:val="41D8233F"/>
    <w:rsid w:val="422E534B"/>
    <w:rsid w:val="43CC547F"/>
    <w:rsid w:val="453C1B7B"/>
    <w:rsid w:val="460E0A98"/>
    <w:rsid w:val="475F2FFC"/>
    <w:rsid w:val="48F13107"/>
    <w:rsid w:val="49732FE5"/>
    <w:rsid w:val="4B870F6E"/>
    <w:rsid w:val="4BB4072D"/>
    <w:rsid w:val="4C6B337F"/>
    <w:rsid w:val="4C8A664B"/>
    <w:rsid w:val="512E43EF"/>
    <w:rsid w:val="52282C74"/>
    <w:rsid w:val="55BB2AD2"/>
    <w:rsid w:val="56273566"/>
    <w:rsid w:val="569751A4"/>
    <w:rsid w:val="58B312C5"/>
    <w:rsid w:val="5904466A"/>
    <w:rsid w:val="5AE00619"/>
    <w:rsid w:val="5B3E7DF5"/>
    <w:rsid w:val="5F9333D6"/>
    <w:rsid w:val="627D42BF"/>
    <w:rsid w:val="639F4F94"/>
    <w:rsid w:val="651A323A"/>
    <w:rsid w:val="65311262"/>
    <w:rsid w:val="654A04FC"/>
    <w:rsid w:val="673B4835"/>
    <w:rsid w:val="68CD297C"/>
    <w:rsid w:val="68D858AF"/>
    <w:rsid w:val="690D1A40"/>
    <w:rsid w:val="6E337C21"/>
    <w:rsid w:val="6EBD4B1B"/>
    <w:rsid w:val="6F81115B"/>
    <w:rsid w:val="70AD10CF"/>
    <w:rsid w:val="70ED6486"/>
    <w:rsid w:val="714619A5"/>
    <w:rsid w:val="74D93A6B"/>
    <w:rsid w:val="79450781"/>
    <w:rsid w:val="7A0933C2"/>
    <w:rsid w:val="7CFA6CDC"/>
    <w:rsid w:val="7F297FCF"/>
    <w:rsid w:val="7FA5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列出段落1"/>
    <w:basedOn w:val="1"/>
    <w:qFormat/>
    <w:uiPriority w:val="34"/>
    <w:pPr>
      <w:ind w:firstLine="420" w:firstLineChars="200"/>
    </w:pPr>
    <w:rPr>
      <w:rFonts w:ascii="Calibri" w:hAnsi="Calibri"/>
      <w:szCs w:val="22"/>
    </w:rPr>
  </w:style>
  <w:style w:type="paragraph" w:customStyle="1" w:styleId="12">
    <w:name w:val="一级条标题"/>
    <w:next w:val="1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3">
    <w:name w:val="正文表标题"/>
    <w:next w:val="1"/>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character" w:customStyle="1" w:styleId="14">
    <w:name w:val="页眉 字符"/>
    <w:link w:val="5"/>
    <w:semiHidden/>
    <w:qFormat/>
    <w:uiPriority w:val="99"/>
    <w:rPr>
      <w:kern w:val="2"/>
      <w:sz w:val="18"/>
      <w:szCs w:val="18"/>
    </w:rPr>
  </w:style>
  <w:style w:type="character" w:customStyle="1" w:styleId="15">
    <w:name w:val="页脚 字符"/>
    <w:link w:val="4"/>
    <w:qFormat/>
    <w:uiPriority w:val="99"/>
    <w:rPr>
      <w:kern w:val="2"/>
      <w:sz w:val="18"/>
      <w:szCs w:val="18"/>
    </w:rPr>
  </w:style>
  <w:style w:type="character" w:customStyle="1" w:styleId="16">
    <w:name w:val="批注框文本 字符"/>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692</Words>
  <Characters>949</Characters>
  <Lines>10</Lines>
  <Paragraphs>2</Paragraphs>
  <TotalTime>25</TotalTime>
  <ScaleCrop>false</ScaleCrop>
  <LinksUpToDate>false</LinksUpToDate>
  <CharactersWithSpaces>1044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2020-04-01T03:26:00Z</dcterms:created>
  <dc:creator>Legend User</dc:creator>
  <cp:lastModifiedBy>zjy</cp:lastModifiedBy>
  <cp:lastPrinted>2019-12-05T07:53:00Z</cp:lastPrinted>
  <dcterms:modified xsi:type="dcterms:W3CDTF">2023-06-08T10:50:14Z</dcterms:modified>
  <dc:title>××产品质量监督抽查实施细则</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70C1AF6E5F1945698E3A715EDAC70683_13</vt:lpwstr>
  </property>
</Properties>
</file>