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25" w:rightChars="12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adjustRightInd w:val="0"/>
        <w:snapToGrid w:val="0"/>
        <w:spacing w:line="560" w:lineRule="exact"/>
        <w:ind w:right="25" w:rightChars="12"/>
        <w:jc w:val="center"/>
        <w:rPr>
          <w:rFonts w:hint="default" w:ascii="Times New Roman" w:hAnsi="Times New Roman" w:eastAsia="方正黑体_GBK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shd w:val="clear" w:color="auto" w:fill="FFFFFF"/>
        </w:rPr>
        <w:t>用人单位须提供书面材料清单</w:t>
      </w:r>
    </w:p>
    <w:bookmarkEnd w:id="0"/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党政机关、事业单位、社会团体须提供以下资料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须上传的资料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单位组织机构代码证；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年度社会保险费缴费凭证（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年度会计决算报表或审计报告原件（能够反映支付职工工资和构成工资总额的表页）。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（二）审核时须携带的资料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年度劳动保障书面审查表；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如单位有建立劳动关系的人员，审核时携带: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与其依法订立的劳动合同文本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建立劳动关系人员二十人以上的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，携带各类型劳动合同文本各三份；二十人以下的，全部携带）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电子劳动合同签订总数截图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年度建立劳动关系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人员工资支付表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三、六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、十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月份）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）有劳务派遣用工的，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携带劳务派遣协议及派遣员工花名册。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劳动保障书面审查表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劳动用工备案登记表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》和《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劳动用工备案登记花名册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》各一式三份，其中一份审核后交到所在社区进行劳动用工备案，如无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建立劳动关系的人员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劳动用工备案登记花名册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》不用携带。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单位职工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休息休假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的情况说明及印证资料和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女职工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享受产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的情况说明及印证资料。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二、各类企业、民办非企业、有雇工的个体经济组织须提供以下资料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须上传的资料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用人单位营业执照副本；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用人单位全体职工花名册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依据《劳动合同法实施条例》第八条内容制定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用人单位20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年度社会保险费缴费凭证原件（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用人单位20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年度会计决算报表或审计报告原件。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（二）审核时须携带的资料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1.用人单位制定的人力资源社会保障管理规章制度；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用人单位20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三、六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的会计原始凭证，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其中要包含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能反应给职工支付工资和构成工资总额的表页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3.用人单位与劳动者依法订立的劳动合同文本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（二十人以上的单位，携带各类型劳动合同文本各三份；二十人以下的单位，全部携带）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电子劳动合同签订总数截图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有劳务派遣用工的，携带劳务派遣协议及派遣员工花名册。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年度劳动保障书面审查表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劳动保障书面审查表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劳动用工备案登记表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》和《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劳动用工备案登记花名册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》各一式三份，其中一份审核后交到所在社区进行劳动用工备案。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3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（一）用人单位可在昌吉回族自治州人民政府网上点击“公开 ”→“政府工作部门中人力资源和社会保障局”→“文件”栏查询本通知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和操作流程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）用人单位在上传资料时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将往年上传的资料删除。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）用人单位在填写单位基本信息时，请认真对照上年度劳动保障书面审查表和劳动用工备案登记表，看基本信息是否填写对、是否有漏项。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w w:val="7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（四）新疆人社公共服务平台电子劳动合同管理中心网址：</w:t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instrText xml:space="preserve"> HYPERLINK "https://222.82.215.217:10641/pc/frfw.html；" </w:instrText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t>https://222.82.215.217:10641/pc/frfw.html；</w:t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《电子劳动合同签订操作手册》网址：</w:t>
      </w:r>
      <w:r>
        <w:rPr>
          <w:rFonts w:hint="default" w:ascii="Times New Roman" w:hAnsi="Times New Roman" w:eastAsia="方正仿宋_GBK" w:cs="Times New Roman"/>
          <w:w w:val="82"/>
          <w:sz w:val="32"/>
          <w:szCs w:val="32"/>
          <w:lang w:val="en-US" w:eastAsia="zh-CN"/>
        </w:rPr>
        <w:t>https://www.yuque.com/weyds/gms9ad/tgwe2zh75g5raxqc?singleDoc#。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5" w:rightChars="12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FBD0E"/>
    <w:multiLevelType w:val="singleLevel"/>
    <w:tmpl w:val="CFDFBD0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31750289"/>
    <w:multiLevelType w:val="multilevel"/>
    <w:tmpl w:val="3175028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159C"/>
    <w:rsid w:val="4CA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20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2024-02-27T02:31:00Z</dcterms:created>
  <dc:creator>Administrator</dc:creator>
  <cp:lastModifiedBy>Administrator</cp:lastModifiedBy>
  <dcterms:modified xsi:type="dcterms:W3CDTF">2024-02-27T02:31:49Z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14F667EC76694CC8A8BB0398A06ED39B</vt:lpwstr>
  </property>
</Properties>
</file>