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年农业经营主体能力提升（农业社会化服务）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项目任务清单</w:t>
      </w:r>
    </w:p>
    <w:tbl>
      <w:tblPr>
        <w:tblStyle w:val="4"/>
        <w:tblW w:w="810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00"/>
        <w:gridCol w:w="2109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u w:val="none"/>
                <w:lang w:val="en-US" w:eastAsia="zh-CN" w:bidi="ar"/>
              </w:rPr>
              <w:t>县市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农业生产托管任务面积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u w:val="none"/>
                <w:lang w:val="en-US" w:eastAsia="zh-CN" w:bidi="ar"/>
              </w:rPr>
              <w:t>（万亩）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全州合计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8"/>
                <w:u w:val="none"/>
                <w:lang w:val="en-US" w:eastAsia="zh-CN" w:bidi="ar"/>
              </w:rPr>
              <w:t>玛纳斯县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8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8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8"/>
                <w:u w:val="none"/>
                <w:lang w:val="en-US" w:eastAsia="zh-CN" w:bidi="ar"/>
              </w:rPr>
              <w:t>木垒县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8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8"/>
                <w:u w:val="none"/>
                <w:lang w:val="en-US" w:eastAsia="zh-CN" w:bidi="ar"/>
              </w:rPr>
              <w:t>阜康市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8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8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备注：包括玛纳斯县支持供销系统开展农业社会化服务面积1.93万亩。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8A23"/>
    <w:multiLevelType w:val="singleLevel"/>
    <w:tmpl w:val="58108A23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A271D"/>
    <w:rsid w:val="3FC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line="240" w:lineRule="atLeast"/>
    </w:pPr>
    <w:rPr>
      <w:rFonts w:ascii="宋体" w:hAnsi="Courier New" w:eastAsia="宋体" w:cs="Times New Roman"/>
      <w:sz w:val="24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2025-07-29T10:48:00Z</dcterms:created>
  <dc:creator>blue</dc:creator>
  <cp:lastModifiedBy>blue</cp:lastModifiedBy>
  <dcterms:modified xsi:type="dcterms:W3CDTF">2025-07-29T10:48:31Z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