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关于开展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  <w:t>2024年自治州级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农业产业化重点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龙头企业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  <w:t>申报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工作的通知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_GB2312"/>
          <w:sz w:val="32"/>
          <w:szCs w:val="32"/>
        </w:rPr>
        <w:t>各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县（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市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农业农村局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、昌吉国家农业高新技术产业示范区农业科技创新局</w:t>
      </w:r>
      <w:r>
        <w:rPr>
          <w:rFonts w:hint="eastAsia" w:eastAsia="方正仿宋_GBK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为深入贯彻落实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农村工作会议精神，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推进农业产业化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提升壮大龙头企业队伍和实力，促进农业农村经济高质量发展。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自治州拟于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自治州</w:t>
      </w:r>
      <w:r>
        <w:rPr>
          <w:rFonts w:hint="eastAsia" w:ascii="仿宋_GB2312" w:hAnsi="仿宋_GB2312" w:eastAsia="仿宋_GB2312" w:cs="仿宋_GB2312"/>
          <w:sz w:val="32"/>
          <w:szCs w:val="32"/>
        </w:rPr>
        <w:t>级农业产业化重点龙头企业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有关事宜通知如下。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申报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《自治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农业产业化重点龙头企业认定和运行监测管理办法》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（昌州农字〔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2020〕142号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对2023年认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定的县级龙头企业，招商引资落户到本地的企业，其他符合自治州级</w:t>
      </w:r>
      <w:r>
        <w:rPr>
          <w:rFonts w:ascii="Times New Roman" w:hAnsi="Times New Roman" w:eastAsia="仿宋_GB2312" w:cs="Times New Roman"/>
          <w:sz w:val="32"/>
          <w:szCs w:val="32"/>
        </w:rPr>
        <w:t>农业产业化重点龙头企业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管理办法的企业，加大宣传力度，充分调动企业申报积极性，做到应报尽报。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申报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程序和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印证资料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企业向当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农业农村局申请并提供以下资料：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自治州级</w:t>
      </w:r>
      <w:r>
        <w:rPr>
          <w:rFonts w:ascii="Times New Roman" w:hAnsi="Times New Roman" w:eastAsia="仿宋_GB2312" w:cs="Times New Roman"/>
          <w:sz w:val="32"/>
          <w:szCs w:val="32"/>
        </w:rPr>
        <w:t>农业产业化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龙头企业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经济运行情况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调查表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情况文字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说明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00字以内）。包括企业经济运行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原料基地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建设、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企农利益联结方式、带动农民就业增收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为农户提供农业生产经营服务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情况，以及加强质量安全管理、节约资源保护环境、参与公益事业等情况。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会计师事务所出具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年度企业资产和效益情况。会计报表须由会计师事务所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盖骑缝章或在每页盖章。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开户银行出具的企业资信证明。企业开户行查询人民银行征信系统后，说明20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－20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年企业有无银行资信方面的问题。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县（市）、农高区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部门出具企业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－20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年纳税情况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证明，说明企业是否存在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涉税违法问题。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各县（市）、农高区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农业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或其他法定监管部门出具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－20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年产品质量安全情况证明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，说明企业</w:t>
      </w:r>
      <w:r>
        <w:rPr>
          <w:rFonts w:ascii="Times New Roman" w:hAnsi="Times New Roman" w:eastAsia="仿宋_GB2312" w:cs="Times New Roman"/>
          <w:sz w:val="32"/>
          <w:szCs w:val="32"/>
        </w:rPr>
        <w:t>是否存在质量安全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方面的</w:t>
      </w:r>
      <w:r>
        <w:rPr>
          <w:rFonts w:ascii="Times New Roman" w:hAnsi="Times New Roman" w:eastAsia="仿宋_GB2312" w:cs="Times New Roman"/>
          <w:sz w:val="32"/>
          <w:szCs w:val="32"/>
        </w:rPr>
        <w:t>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各县（市）、农高区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农业农村局（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农业科技创新局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出具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－20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年带动农户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数量、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情况，以及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利益联结方式等情况。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企业应享受优惠政策落实情况。说明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－20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年企业享受到的财政、税收、信贷、出口等方面的政策扶持情况。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更名的企业还需提供更名后的企业营业执照复印件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企业主营业务和资产等是否发生变动的说明。上报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申报资料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使用的企业名称及企业公章，应与更名后的企业营业执照一致。企业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提供资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若为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复印件、扫描件等复制件，应在复制件加盖企业公章。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三、有关要求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各县（市、农高区）农业农村局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农业科技创新局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认真组织辖区符合条件的企业积极申报，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如实提供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资料并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，产业集群、产业强镇、农产品加工园区等产业融合项目参与企业要做到应报尽报。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各县（市、农高区）农业农村局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农业科技创新局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将申报材料纸质版和电子版一并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  融    2351979、13565324228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电子邮箱：cjznyj@163.com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附件：自治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州级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农业产业化重点龙头企业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州级农业产业重点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龙头企业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经济运行情况表</w:t>
      </w:r>
    </w:p>
    <w:p>
      <w:pPr>
        <w:keepNext w:val="0"/>
        <w:keepLines w:val="0"/>
        <w:pageBreakBefore w:val="0"/>
        <w:tabs>
          <w:tab w:val="left" w:pos="1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tabs>
          <w:tab w:val="left" w:pos="1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1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昌吉州农业农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村局 </w:t>
      </w:r>
    </w:p>
    <w:p>
      <w:pPr>
        <w:keepNext w:val="0"/>
        <w:keepLines w:val="0"/>
        <w:pageBreakBefore w:val="0"/>
        <w:tabs>
          <w:tab w:val="left" w:pos="1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spacing w:val="-17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spacing w:val="-17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spacing w:val="-17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spacing w:val="-17"/>
          <w:kern w:val="0"/>
          <w:sz w:val="32"/>
          <w:szCs w:val="32"/>
          <w:lang w:val="en-US" w:eastAsia="zh-CN"/>
        </w:rPr>
      </w:pPr>
    </w:p>
    <w:p/>
    <w:p/>
    <w:p/>
    <w:p/>
    <w:p>
      <w:p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439" w:charSpace="0"/>
        </w:sectPr>
      </w:pPr>
    </w:p>
    <w:p>
      <w:pPr>
        <w:tabs>
          <w:tab w:val="left" w:pos="1645"/>
        </w:tabs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2024拟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州级农业化重点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龙头企业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经济运行情况表</w:t>
      </w:r>
    </w:p>
    <w:p>
      <w:pPr>
        <w:tabs>
          <w:tab w:val="left" w:pos="1645"/>
        </w:tabs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</w:p>
    <w:p>
      <w:pPr>
        <w:tabs>
          <w:tab w:val="left" w:pos="1645"/>
        </w:tabs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企业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基本情况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及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资信情况</w:t>
      </w:r>
    </w:p>
    <w:tbl>
      <w:tblPr>
        <w:tblStyle w:val="3"/>
        <w:tblW w:w="12329" w:type="dxa"/>
        <w:jc w:val="center"/>
        <w:tblInd w:w="5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1664"/>
        <w:gridCol w:w="1095"/>
        <w:gridCol w:w="1220"/>
        <w:gridCol w:w="1345"/>
        <w:gridCol w:w="975"/>
        <w:gridCol w:w="1035"/>
        <w:gridCol w:w="1128"/>
        <w:gridCol w:w="873"/>
        <w:gridCol w:w="88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企业类型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（国有、民营）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开户行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信用等级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地址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（传真）</w:t>
            </w:r>
          </w:p>
        </w:tc>
        <w:tc>
          <w:tcPr>
            <w:tcW w:w="1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期末贷款余额（万元）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资产负债率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 xml:space="preserve"> </w:t>
      </w:r>
    </w:p>
    <w:p>
      <w:pPr>
        <w:tabs>
          <w:tab w:val="left" w:pos="1645"/>
        </w:tabs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经济规模及效益情况表（一）</w:t>
      </w:r>
    </w:p>
    <w:tbl>
      <w:tblPr>
        <w:tblStyle w:val="3"/>
        <w:tblW w:w="12563" w:type="dxa"/>
        <w:jc w:val="center"/>
        <w:tblInd w:w="14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825"/>
        <w:gridCol w:w="885"/>
        <w:gridCol w:w="765"/>
        <w:gridCol w:w="1275"/>
        <w:gridCol w:w="1290"/>
        <w:gridCol w:w="1320"/>
        <w:gridCol w:w="1290"/>
        <w:gridCol w:w="630"/>
        <w:gridCol w:w="720"/>
        <w:gridCol w:w="630"/>
        <w:gridCol w:w="645"/>
        <w:gridCol w:w="683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资产总额（万元）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其中：固定资产（万元）</w:t>
            </w:r>
          </w:p>
        </w:tc>
        <w:tc>
          <w:tcPr>
            <w:tcW w:w="5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销售收入或交易额（万元）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成本利润率（%）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销售利润率（%）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税后利润（万元）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年线上销售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年线下销售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年线上销售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年线下销售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 xml:space="preserve"> </w:t>
      </w:r>
    </w:p>
    <w:p>
      <w:pPr>
        <w:tabs>
          <w:tab w:val="left" w:pos="1645"/>
        </w:tabs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经济规模及效益情况表（二）</w:t>
      </w:r>
    </w:p>
    <w:tbl>
      <w:tblPr>
        <w:tblStyle w:val="3"/>
        <w:tblW w:w="12578" w:type="dxa"/>
        <w:jc w:val="center"/>
        <w:tblInd w:w="7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863"/>
        <w:gridCol w:w="1301"/>
        <w:gridCol w:w="1286"/>
        <w:gridCol w:w="1089"/>
        <w:gridCol w:w="1092"/>
        <w:gridCol w:w="1008"/>
        <w:gridCol w:w="1135"/>
        <w:gridCol w:w="877"/>
        <w:gridCol w:w="969"/>
        <w:gridCol w:w="953"/>
        <w:gridCol w:w="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上缴税金总额（万元）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其中：上缴增值税（万元）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其中：上缴所得税（万元）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增值税减免额（万元）</w:t>
            </w: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所得税减免额（万元）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其他税费减免额（万元）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>
      <w:pPr>
        <w:tabs>
          <w:tab w:val="left" w:pos="1645"/>
        </w:tabs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>
      <w:pPr>
        <w:tabs>
          <w:tab w:val="left" w:pos="1645"/>
        </w:tabs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经济规模及效益情况表（三）</w:t>
      </w:r>
    </w:p>
    <w:tbl>
      <w:tblPr>
        <w:tblStyle w:val="3"/>
        <w:tblW w:w="1267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549"/>
        <w:gridCol w:w="1426"/>
        <w:gridCol w:w="1429"/>
        <w:gridCol w:w="1236"/>
        <w:gridCol w:w="1809"/>
        <w:gridCol w:w="1875"/>
        <w:gridCol w:w="1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获得财政扶持资金总额（万元）</w:t>
            </w: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企业职工人数（人）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其中:季节性用工（人）</w:t>
            </w:r>
          </w:p>
        </w:tc>
        <w:tc>
          <w:tcPr>
            <w:tcW w:w="3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企业工资福利总额  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>
      <w:pPr>
        <w:tabs>
          <w:tab w:val="left" w:pos="1645"/>
        </w:tabs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主营产品营销及出口情况表</w:t>
      </w:r>
    </w:p>
    <w:tbl>
      <w:tblPr>
        <w:tblStyle w:val="3"/>
        <w:tblW w:w="1181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1592"/>
        <w:gridCol w:w="1592"/>
        <w:gridCol w:w="1270"/>
        <w:gridCol w:w="1103"/>
        <w:gridCol w:w="1607"/>
        <w:gridCol w:w="1669"/>
        <w:gridCol w:w="1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主营产品名称         </w:t>
            </w:r>
          </w:p>
        </w:tc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主营产品销售收入或交易额（万元）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主营产品产销率（%）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主营产品出口额（万美元）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出口国家（地区）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>
      <w:pPr>
        <w:tabs>
          <w:tab w:val="left" w:pos="1645"/>
        </w:tabs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带动基地情况表</w:t>
      </w:r>
    </w:p>
    <w:tbl>
      <w:tblPr>
        <w:tblStyle w:val="3"/>
        <w:tblW w:w="11925" w:type="dxa"/>
        <w:jc w:val="center"/>
        <w:tblInd w:w="1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690"/>
        <w:gridCol w:w="765"/>
        <w:gridCol w:w="765"/>
        <w:gridCol w:w="735"/>
        <w:gridCol w:w="780"/>
        <w:gridCol w:w="690"/>
        <w:gridCol w:w="705"/>
        <w:gridCol w:w="660"/>
        <w:gridCol w:w="628"/>
        <w:gridCol w:w="737"/>
        <w:gridCol w:w="810"/>
        <w:gridCol w:w="780"/>
        <w:gridCol w:w="825"/>
        <w:gridCol w:w="780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自建基地面积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(亩)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自建基地牲畜饲养量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（头）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自建基地禽类饲养量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（只）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自建基地水产养殖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订单基地面积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订单基地牲畜饲养量（头）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订单基地禽类饲养量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（只）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订单基地水产养殖面积（亩）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>
      <w:pPr>
        <w:tabs>
          <w:tab w:val="left" w:pos="1645"/>
        </w:tabs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带动农户情况表</w:t>
      </w:r>
    </w:p>
    <w:tbl>
      <w:tblPr>
        <w:tblStyle w:val="3"/>
        <w:tblW w:w="11826" w:type="dxa"/>
        <w:jc w:val="center"/>
        <w:tblInd w:w="15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973"/>
        <w:gridCol w:w="1771"/>
        <w:gridCol w:w="2891"/>
        <w:gridCol w:w="1151"/>
        <w:gridCol w:w="984"/>
        <w:gridCol w:w="1526"/>
        <w:gridCol w:w="1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合同联结带动农户数（户）</w:t>
            </w:r>
          </w:p>
        </w:tc>
        <w:tc>
          <w:tcPr>
            <w:tcW w:w="4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按合同价收购农产品比按市场价多向农户支付的金额 （万元）</w:t>
            </w:r>
          </w:p>
        </w:tc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合作联结带动农户数（户）</w:t>
            </w: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通过合作方式向农户返还的利润 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247" w:right="1247" w:bottom="1247" w:left="1247" w:header="851" w:footer="992" w:gutter="0"/>
          <w:pgNumType w:fmt="numberInDash"/>
          <w:cols w:space="720" w:num="1"/>
          <w:docGrid w:type="linesAndChars" w:linePitch="313" w:charSpace="0"/>
        </w:sectPr>
      </w:pPr>
    </w:p>
    <w:p>
      <w:pPr>
        <w:tabs>
          <w:tab w:val="left" w:pos="1645"/>
        </w:tabs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填</w:t>
      </w:r>
      <w:r>
        <w:rPr>
          <w:rFonts w:hint="eastAsia" w:ascii="方正小标宋简体" w:hAnsi="宋体" w:eastAsia="方正小标宋简体"/>
          <w:sz w:val="32"/>
          <w:szCs w:val="32"/>
        </w:rPr>
        <w:t>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企业应根据财务会计报表填写本表中涉及的资产、收入、利润等数据，所有数据应为统计当期的数据，保留小数点后二位。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1．企业名称。应与企业营业执照及企业公章一致。申请更名的企业，填写更名后的企业名称。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2．所有权性质。根据企业最大股东性质，填写民营、国有、集体、港澳台资、外资中的一个。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3．企业类型。根据企业主营业务情况，填写生产加工型、市场流通型中的一个。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4．信用等级。指银行或有关机构为企业评定的信用等级，没有评定的不填写。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5．销售收入或交易额。指企业总销售收入，是企业从事农产品生产、加工、流通的收入与其他业务收入之和。农产品专业批发市场填写交易额，是农产品交易额与其他产品交易额之和。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6．获得财政扶持资金总额。指企业获得政府补助、奖励、贷款贴息等各类扶持资金的总额。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7．企业职工人数。指企业正式职工、长期聘用的临时工、季节性用工的人数之和。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8．主营产品名称。指企业生产、加工、流通农产品的具体名称，如生猪、鸡蛋、蔬菜、冷鲜肉、果汁、酒精、中成药、方便面、饲料、液态奶、奶粉、种子、对虾等。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9．主营产品销售收入或交易额。指企业生产、加工、流通农产品的收入，不含农业服务业、非农业务等其他业务收入。农产品专业批发市场填写农产品交易额，不含其他产品交易额。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10．主营产品产销率。填写当年主营产品销售量与生产加工量（或购进量）之比。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11．主营产品类别。填写以下类别：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(1)</w:t>
      </w:r>
      <w:r>
        <w:rPr>
          <w:rFonts w:hint="eastAsia" w:ascii="仿宋_GB2312" w:eastAsia="仿宋_GB2312"/>
          <w:sz w:val="28"/>
          <w:szCs w:val="28"/>
        </w:rPr>
        <w:t>粮食类（含饲料）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(2)</w:t>
      </w:r>
      <w:r>
        <w:rPr>
          <w:rFonts w:hint="eastAsia" w:ascii="仿宋_GB2312" w:eastAsia="仿宋_GB2312"/>
          <w:sz w:val="28"/>
          <w:szCs w:val="28"/>
        </w:rPr>
        <w:t>油料类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(3)</w:t>
      </w:r>
      <w:r>
        <w:rPr>
          <w:rFonts w:hint="eastAsia" w:ascii="仿宋_GB2312" w:eastAsia="仿宋_GB2312"/>
          <w:sz w:val="28"/>
          <w:szCs w:val="28"/>
        </w:rPr>
        <w:t>糖料类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(4)</w:t>
      </w:r>
      <w:r>
        <w:rPr>
          <w:rFonts w:hint="eastAsia" w:ascii="仿宋_GB2312" w:eastAsia="仿宋_GB2312"/>
          <w:sz w:val="28"/>
          <w:szCs w:val="28"/>
        </w:rPr>
        <w:t>水果类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(5)</w:t>
      </w:r>
      <w:r>
        <w:rPr>
          <w:rFonts w:hint="eastAsia" w:ascii="仿宋_GB2312" w:eastAsia="仿宋_GB2312"/>
          <w:sz w:val="28"/>
          <w:szCs w:val="28"/>
        </w:rPr>
        <w:t>蔬菜类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(6)</w:t>
      </w:r>
      <w:r>
        <w:rPr>
          <w:rFonts w:hint="eastAsia" w:ascii="仿宋_GB2312" w:eastAsia="仿宋_GB2312"/>
          <w:sz w:val="28"/>
          <w:szCs w:val="28"/>
        </w:rPr>
        <w:t>棉麻丝类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(7)</w:t>
      </w:r>
      <w:r>
        <w:rPr>
          <w:rFonts w:hint="eastAsia" w:ascii="仿宋_GB2312" w:eastAsia="仿宋_GB2312"/>
          <w:sz w:val="28"/>
          <w:szCs w:val="28"/>
        </w:rPr>
        <w:t>中药材类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(8)</w:t>
      </w:r>
      <w:r>
        <w:rPr>
          <w:rFonts w:hint="eastAsia" w:ascii="仿宋_GB2312" w:eastAsia="仿宋_GB2312"/>
          <w:sz w:val="28"/>
          <w:szCs w:val="28"/>
        </w:rPr>
        <w:t>茶叶类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(9)</w:t>
      </w:r>
      <w:r>
        <w:rPr>
          <w:rFonts w:hint="eastAsia" w:ascii="仿宋_GB2312" w:eastAsia="仿宋_GB2312"/>
          <w:sz w:val="28"/>
          <w:szCs w:val="28"/>
        </w:rPr>
        <w:t>花卉类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(10)</w:t>
      </w:r>
      <w:r>
        <w:rPr>
          <w:rFonts w:hint="eastAsia" w:ascii="仿宋_GB2312" w:eastAsia="仿宋_GB2312"/>
          <w:sz w:val="28"/>
          <w:szCs w:val="28"/>
        </w:rPr>
        <w:t>肉类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(11)</w:t>
      </w:r>
      <w:r>
        <w:rPr>
          <w:rFonts w:hint="eastAsia" w:ascii="仿宋_GB2312" w:eastAsia="仿宋_GB2312"/>
          <w:sz w:val="28"/>
          <w:szCs w:val="28"/>
        </w:rPr>
        <w:t>蛋类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(12)</w:t>
      </w:r>
      <w:r>
        <w:rPr>
          <w:rFonts w:hint="eastAsia" w:ascii="仿宋_GB2312" w:eastAsia="仿宋_GB2312"/>
          <w:sz w:val="28"/>
          <w:szCs w:val="28"/>
        </w:rPr>
        <w:t>奶类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(13)</w:t>
      </w:r>
      <w:r>
        <w:rPr>
          <w:rFonts w:hint="eastAsia" w:ascii="仿宋_GB2312" w:eastAsia="仿宋_GB2312"/>
          <w:sz w:val="28"/>
          <w:szCs w:val="28"/>
        </w:rPr>
        <w:t>皮毛类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(14)</w:t>
      </w:r>
      <w:r>
        <w:rPr>
          <w:rFonts w:hint="eastAsia" w:ascii="仿宋_GB2312" w:eastAsia="仿宋_GB2312"/>
          <w:sz w:val="28"/>
          <w:szCs w:val="28"/>
        </w:rPr>
        <w:t>水产类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(15)</w:t>
      </w:r>
      <w:r>
        <w:rPr>
          <w:rFonts w:hint="eastAsia" w:ascii="仿宋_GB2312" w:eastAsia="仿宋_GB2312"/>
          <w:sz w:val="28"/>
          <w:szCs w:val="28"/>
        </w:rPr>
        <w:t>林业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(16)</w:t>
      </w:r>
      <w:r>
        <w:rPr>
          <w:rFonts w:hint="eastAsia" w:ascii="仿宋_GB2312" w:eastAsia="仿宋_GB2312"/>
          <w:sz w:val="28"/>
          <w:szCs w:val="28"/>
        </w:rPr>
        <w:t>其他。企业根据主营产品销售额，对应以上类别，填写销售额排名前三位的主营产品类别和有关数据。属于其他类产品，应写明具体名称。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12．自建基地。指企业直接投资建设和管理的农产品原料生产基地。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13．订单基地。指企业通过与农户、中介服务组织、乡村组织、经纪人等签订订单合同的方式，建立的农产品原料生产基地。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28"/>
        </w:rPr>
        <w:t>获得“三品一标”认证的数量。指获得无公害农产品、绿色食品、有机食品或农产品地理标志认证的数量。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．主要原料。如果最终产品是经过加工的农产品（如酸奶、果汁、虾酱等），应填写加工量在前三位的原料产品名称（如牛乳、苹果、虾等）。如果最终产品是不经过加工的农产品（如活鸡、生猪、鱼等），直接填写生产量在前三位的农产品名称（如鸡、猪、鱼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247" w:right="1247" w:bottom="1247" w:left="1247" w:header="851" w:footer="992" w:gutter="0"/>
          <w:pgNumType w:fmt="numberInDash"/>
          <w:cols w:space="0" w:num="1"/>
          <w:rtlGutter w:val="0"/>
          <w:docGrid w:type="linesAndChars" w:linePitch="319" w:charSpace="800"/>
        </w:sect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．合同、合作、股份合作联结带动农户数。合同联结方式指企业与农户签订合同，直接向农户收购农产品。合作联结方式指企业通过农民专业合作社向农户收购农产品，由合作社根据社员贡献大小进行二次返利。股份合作联结方式指农民专业合作社、农户参股龙头企业，由企业按股份比例给予分红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。</w:t>
      </w:r>
    </w:p>
    <w:p/>
    <w:sectPr>
      <w:pgSz w:w="11906" w:h="16838"/>
      <w:pgMar w:top="1247" w:right="1247" w:bottom="1247" w:left="1247" w:header="851" w:footer="992" w:gutter="0"/>
      <w:pgNumType w:fmt="numberInDash"/>
      <w:cols w:space="0" w:num="1"/>
      <w:rtlGutter w:val="0"/>
      <w:docGrid w:type="linesAndChars" w:linePitch="319" w:charSpace="8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4"/>
      <w:numFmt w:val="decimal"/>
      <w:pStyle w:val="5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7"/>
  <w:drawingGridVerticalSpacing w:val="15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67453"/>
    <w:rsid w:val="07775822"/>
    <w:rsid w:val="0D367453"/>
    <w:rsid w:val="1B3C139B"/>
    <w:rsid w:val="1E7053C9"/>
    <w:rsid w:val="3C1025F3"/>
    <w:rsid w:val="43C93E90"/>
    <w:rsid w:val="4A6702A6"/>
    <w:rsid w:val="5AFD7326"/>
    <w:rsid w:val="734B18BE"/>
    <w:rsid w:val="790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ascii="Tahoma" w:hAnsi="Tahoma" w:eastAsia="宋体"/>
      <w:kern w:val="2"/>
      <w:sz w:val="24"/>
      <w:lang w:val="en-US" w:eastAsia="zh-CN" w:bidi="ar-SA"/>
    </w:rPr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5">
    <w:name w:val="Char"/>
    <w:basedOn w:val="1"/>
    <w:link w:val="4"/>
    <w:qFormat/>
    <w:uiPriority w:val="0"/>
    <w:pPr>
      <w:numPr>
        <w:ilvl w:val="0"/>
        <w:numId w:val="1"/>
      </w:numPr>
      <w:tabs>
        <w:tab w:val="left" w:pos="420"/>
      </w:tabs>
    </w:pPr>
    <w:rPr>
      <w:rFonts w:ascii="Tahoma" w:hAnsi="Tahoma" w:eastAsia="宋体"/>
      <w:kern w:val="2"/>
      <w:sz w:val="24"/>
      <w:lang w:val="en-US" w:eastAsia="zh-CN" w:bidi="ar-SA"/>
    </w:rPr>
  </w:style>
  <w:style w:type="character" w:customStyle="1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2024-04-18T11:09:00Z</dcterms:created>
  <dc:creator>blue</dc:creator>
  <cp:lastModifiedBy>blue</cp:lastModifiedBy>
  <cp:lastPrinted>2024-05-07T02:17:20Z</cp:lastPrinted>
  <dcterms:modified xsi:type="dcterms:W3CDTF">2024-05-07T02:53:30Z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