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highlight w:val="none"/>
          <w:u w:val="none"/>
        </w:rPr>
      </w:pPr>
      <w:r>
        <w:rPr>
          <w:rFonts w:hint="default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highlight w:val="none"/>
          <w:u w:val="none"/>
          <w:lang w:eastAsia="zh-CN"/>
        </w:rPr>
        <w:t>昌吉州支持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highlight w:val="none"/>
          <w:u w:val="none"/>
        </w:rPr>
        <w:t>养老</w:t>
      </w:r>
      <w:r>
        <w:rPr>
          <w:rFonts w:hint="default" w:ascii="方正小标宋_GBK" w:hAnsi="方正小标宋_GBK" w:eastAsia="方正小标宋_GBK" w:cs="方正小标宋_GBK"/>
          <w:color w:val="auto"/>
          <w:spacing w:val="0"/>
          <w:w w:val="100"/>
          <w:sz w:val="44"/>
          <w:szCs w:val="44"/>
          <w:highlight w:val="none"/>
          <w:u w:val="none"/>
        </w:rPr>
        <w:t>服务发展若干措施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征求意见稿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u w:val="none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构建昌吉州“3+3+3”（三级网络+三类形态+三方协同）完整养老服务体系，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促进我州养老机构、居家和社区养老服务设施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可持续运营，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提升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基本养老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服务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供给能力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 w:bidi="ar"/>
        </w:rPr>
        <w:t>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服务水平，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坚持投资于物和投资于人相结合，进一步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鼓励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社会力量积极参与养老服务，根据国家卫生健康委等五部门印发《关于开展医养结合促进行动的通知》《新疆维吾尔自治区人民政府印发&lt;关于进一步支持养老服务发展十条措施&gt;的通知》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《新疆维吾尔自治区民办养老机构资助办法》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文件精神，现提出以下措施：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一、明确支持范围，确保可持续发展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（一）加强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普惠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养老服务保障。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支持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由政府建设，委托社会力量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运营且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面向社会收住老年人的公建民营养老机构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，可按规定享受运营补贴，扩大普惠养老服务供给，健全普惠可及的养老服务体系。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（二）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助推民办运营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能力建设。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促进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社会主体兴办、登记为民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办非企业单位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或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企业法人的</w:t>
      </w:r>
      <w:r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highlight w:val="none"/>
          <w:u w:val="none"/>
        </w:rPr>
        <w:t>养老机构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良性运营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，可按规定享受一次性建设补贴和运营补贴，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提升服务能力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激发养老服务市场内生动力。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（三）支持医养结合融合发展。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推动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同时具备医疗卫生资质、进行养老机构备案的医疗卫生机构或养老机构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发展，可按规定享受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医养结合机构运营补助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，实现资源共享、服务衔接，满足失能老年人照护刚性需求。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（四）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强化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居家和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社区养老服务网络。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统筹支持街道（乡镇）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区域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养老服务中心、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社区日间照料中心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居家和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社区养老服务设施的可持续运营，可按规定保障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基本公共运行费用，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夯实居家社区养老服务基础。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二、落实建设补助，推动机构发展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95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（五）落实养老机构一次性建设补贴。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核定床位100张（含）以上的，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由自治区财政给予每张床位5000元的一次性建设补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。核定床位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以下，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30张（含）以上的，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且同时符合《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新疆维吾尔自治区民办养老机构资助办法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规定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条件，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由自治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95"/>
          <w:sz w:val="32"/>
          <w:szCs w:val="32"/>
          <w:highlight w:val="none"/>
          <w:u w:val="none"/>
        </w:rPr>
        <w:t>州财政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每张床位3000元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一次性建设补贴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。自建养老机构按50%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30%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20%的比例，分3年拨付；租赁房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95"/>
          <w:sz w:val="32"/>
          <w:szCs w:val="32"/>
          <w:highlight w:val="none"/>
          <w:u w:val="none"/>
        </w:rPr>
        <w:t>屋且租期在5年以上的养老机构，按每年20%的比例，分5年拨付。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  <w:lang w:eastAsia="zh-CN"/>
        </w:rPr>
        <w:t>一次性建设补贴原则上同一地址、同一设施只享受一次。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</w:rPr>
        <w:t>原场所更名或转租他人兴办的，不再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  <w:lang w:eastAsia="zh-CN"/>
        </w:rPr>
        <w:t>重复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</w:rPr>
        <w:t>补贴；原址扩建、改建或择址另建的，原床位数不再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  <w:lang w:eastAsia="zh-CN"/>
        </w:rPr>
        <w:t>重复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</w:rPr>
        <w:t>补贴。已享受中央预算内投资的普惠养老城企联动专项行动项目补助的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u w:val="none"/>
        </w:rPr>
        <w:t>不再享受一次性建设补贴。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强化运营支持，提升服务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质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（六）落实养老机构运营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补贴。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核定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床位30张（含）以上的公建民营、民办养老机构，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且同时符合《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新疆维吾尔自治区民办养老机构资助办法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》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规定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条件，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给予基础补贴、浮动补贴。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u w:val="none"/>
        </w:rPr>
        <w:t>基础补贴。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对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入住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老年人按照中度、重度和完全失能老年人能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力等级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给予基础补贴，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分别按照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每人每月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80元、100元、120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元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进行差异化补贴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u w:val="none"/>
        </w:rPr>
        <w:t>浮动补贴。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认定为普惠支持型养老机构且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评定为一级至五级的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在基础补贴上给予浮动补贴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，分别按照每人每月10元、20元、30元、40元、50元给予补贴。基础补贴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资金由自治区财政和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养老机构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地（州或县市）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财政各承担50%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浮动补贴资金由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自治州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突出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医养结合机构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运营补助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医养结合机构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核定养老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床位10张（含）以上，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年均入住率达到30%以上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，开业满六个月（含）以上且继续经营，认定为医疗保障定点医疗机构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的，给予一次性补贴10万元；未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的给予一次性补贴5万元，取得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医疗保障定点医疗机构资格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后，给予一次性补差5万元。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资金由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自治州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四、激励人才建设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，稳定服务队伍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八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建立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养老机构从业人员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补贴。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养老机构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中从事医疗、康复、护理的养老护理人员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入职补贴、在职补贴。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入职补贴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中专学历补贴3000元；专科学历补贴5000元；本科及以上学历补贴8000元。按20%、30%、50%比例分3年拨付。符合条件者每人只享受一次入职补贴，补贴经费发放期间离职的，未拨付部分不再发放；已获入职补贴后取得更高学历的，未拨付年限按更高学历补贴标准拨付，已拨付年限不予补差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在职补贴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州域内从事养老护理工作满3年的，给予3000元在职补贴。持养老护理员职业技能等级初级、中级和高级及以上证书的，在补贴基础上分别增加1000元、2000元和4000元的补贴资金。首次申领后，每满3年，符合条件者可再次申领，补贴涉及的职业技能等级，以当期核定的最高等级为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入职补贴、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u w:val="none"/>
          <w:lang w:eastAsia="zh-CN"/>
        </w:rPr>
        <w:t>在职补贴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highlight w:val="none"/>
          <w:u w:val="none"/>
        </w:rPr>
        <w:t>资金由自治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11"/>
          <w:sz w:val="32"/>
          <w:szCs w:val="32"/>
          <w:u w:val="none"/>
          <w:lang w:eastAsia="zh-CN"/>
        </w:rPr>
        <w:t>州财政承担。</w:t>
      </w:r>
      <w:r>
        <w:rPr>
          <w:rFonts w:hint="default" w:ascii="Times New Roman" w:hAnsi="Times New Roman" w:eastAsia="仿宋_GB2312" w:cs="仿宋_GB2312"/>
          <w:color w:val="auto"/>
          <w:spacing w:val="-11"/>
          <w:sz w:val="32"/>
          <w:szCs w:val="32"/>
          <w:lang w:eastAsia="zh-CN"/>
        </w:rPr>
        <w:t>补贴</w:t>
      </w:r>
      <w:r>
        <w:rPr>
          <w:rFonts w:hint="eastAsia" w:ascii="Times New Roman" w:hAnsi="Times New Roman" w:eastAsia="仿宋_GB2312" w:cs="仿宋_GB2312"/>
          <w:color w:val="auto"/>
          <w:spacing w:val="-11"/>
          <w:sz w:val="32"/>
          <w:szCs w:val="32"/>
          <w:lang w:eastAsia="zh-CN"/>
        </w:rPr>
        <w:t>资金</w:t>
      </w:r>
      <w:r>
        <w:rPr>
          <w:rFonts w:hint="default" w:ascii="Times New Roman" w:hAnsi="Times New Roman" w:eastAsia="仿宋_GB2312" w:cs="仿宋_GB2312"/>
          <w:color w:val="auto"/>
          <w:spacing w:val="-11"/>
          <w:sz w:val="32"/>
          <w:szCs w:val="32"/>
          <w:lang w:eastAsia="zh-CN"/>
        </w:rPr>
        <w:t>发放至养老护理人员</w:t>
      </w:r>
      <w:r>
        <w:rPr>
          <w:rFonts w:hint="eastAsia" w:ascii="Times New Roman" w:hAnsi="Times New Roman" w:eastAsia="仿宋_GB2312" w:cs="仿宋_GB2312"/>
          <w:color w:val="auto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五、强化政策落实，助力减负纾困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（</w:t>
      </w:r>
      <w:r>
        <w:rPr>
          <w:rFonts w:hint="default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九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）执行居民生活类价格。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对依法备案的养老机构，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用电、用水、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用暖、燃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气按居民生活类价格执行。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（十）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保障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居家和社区养老服务设施基本公共运行费用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坚持养老服务设施公益属性，对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街道（乡镇）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、社区统一管理、单独建设的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街道（乡镇）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区域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养老服务中心、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社区日间照料中心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等养老服务设施，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每月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正常运行20日以上，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产生的水、电、暖、燃气等基本公共运行费用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由各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县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市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）纳入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财政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预算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highlight w:val="none"/>
          <w:u w:val="none"/>
        </w:rPr>
      </w:pPr>
      <w:r>
        <w:rPr>
          <w:rFonts w:hint="default" w:ascii="方正黑体_GBK" w:hAnsi="方正黑体_GBK" w:eastAsia="方正黑体_GBK" w:cs="方正黑体_GBK"/>
          <w:color w:val="auto"/>
          <w:spacing w:val="0"/>
          <w:sz w:val="32"/>
          <w:szCs w:val="32"/>
          <w:highlight w:val="none"/>
          <w:u w:val="none"/>
        </w:rPr>
        <w:t>六、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  <w:highlight w:val="none"/>
          <w:u w:val="none"/>
        </w:rPr>
        <w:t>健全保障机制，确保措施落地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（十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一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建立补贴与养老机构安全责任履行因素挂钩机制。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申请资助年度内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</w:rPr>
        <w:t>养老机构（设施）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无火灾、食物中毒、人员走失、经司法程序认定养老机构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highlight w:val="none"/>
        </w:rPr>
        <w:t>（设施）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应承担责任的人身伤害等严重责任事故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eastAsia="zh-CN"/>
        </w:rPr>
        <w:t>且无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重大服务纠纷的可以享受资金补贴。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Times New Roman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（十</w:t>
      </w:r>
      <w:r>
        <w:rPr>
          <w:rFonts w:hint="default" w:ascii="楷体_GB2312" w:hAnsi="Times New Roman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</w:t>
      </w:r>
      <w:r>
        <w:rPr>
          <w:rFonts w:hint="eastAsia" w:ascii="楷体_GB2312" w:hAnsi="Times New Roman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加强资金使用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监</w:t>
      </w:r>
      <w:r>
        <w:rPr>
          <w:rFonts w:hint="eastAsia" w:ascii="楷体_GB2312" w:hAnsi="Times New Roman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管。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资助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资金可用于养老机构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（设施）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基础设施建设和改造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设施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设备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更新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和维保及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其他有益于改善入住老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人生活质量的项目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资助资金要专款专用，养老机构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（设施）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建立专账并实行单独核算，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</w:rPr>
        <w:t>任何单位、个人不得截留、转移和挪用。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（十</w:t>
      </w:r>
      <w:r>
        <w:rPr>
          <w:rFonts w:hint="default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楷体_GB2312" w:hAnsi="Times New Roman" w:eastAsia="楷体_GB2312" w:cs="楷体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加大财政保障力度。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各级财政部门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按现行预算管理制度做好经费保障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</w:rPr>
        <w:t>。每年1月1日至12月31日为一个补贴年度。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为确保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支持发展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养老机构（设施）各项措施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扎实推进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，民政、财政</w:t>
      </w:r>
      <w:r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eastAsia="zh-CN"/>
        </w:rPr>
        <w:t>、卫健、人社、医保部门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要建立联合工作机制，负责政策的统一解释、统筹协调与督导推进，通过定期会商、信息共享、联合检查等方式，及时研判并破解政策实施过程中的堵点、难点问题，推动支持政策落地见效。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本措施2027年1月1日起施行，有效期3年。如国家和自治州有关政策调整的，从其规定。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05924"/>
    <w:rsid w:val="4F1B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next w:val="1"/>
    <w:qFormat/>
    <w:uiPriority w:val="0"/>
    <w:pPr>
      <w:spacing w:before="100" w:beforeAutospacing="1"/>
      <w:ind w:firstLine="420" w:firstLineChars="200"/>
    </w:pPr>
    <w:rPr>
      <w:rFonts w:eastAsia="华文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2026-06-12T08:25:00Z</dcterms:created>
  <dc:creator>Administrator</dc:creator>
  <cp:lastModifiedBy>Administrator</cp:lastModifiedBy>
  <dcterms:modified xsi:type="dcterms:W3CDTF">2026-06-12T08:30:04Z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