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420"/>
        <w:jc w:val="center"/>
        <w:rPr>
          <w:rFonts w:hint="default" w:ascii="Calibri" w:hAnsi="Calibri" w:cs="Calibri"/>
          <w:i w:val="0"/>
          <w:iCs w:val="0"/>
          <w:caps w:val="0"/>
          <w:color w:val="333333"/>
          <w:spacing w:val="0"/>
          <w:sz w:val="21"/>
          <w:szCs w:val="21"/>
        </w:rPr>
      </w:pPr>
      <w:bookmarkStart w:id="0" w:name="_GoBack"/>
      <w:r>
        <w:rPr>
          <w:rFonts w:hint="eastAsia" w:ascii="方正小标宋_GBK" w:hAnsi="方正小标宋_GBK" w:eastAsia="方正小标宋_GBK" w:cs="方正小标宋_GBK"/>
          <w:i w:val="0"/>
          <w:iCs w:val="0"/>
          <w:caps w:val="0"/>
          <w:color w:val="333333"/>
          <w:spacing w:val="0"/>
          <w:sz w:val="44"/>
          <w:szCs w:val="44"/>
          <w:shd w:val="clear" w:fill="FFFFFF"/>
        </w:rPr>
        <w:t>自治区基本养老服务清单</w:t>
      </w:r>
    </w:p>
    <w:bookmarkEnd w:id="0"/>
    <w:tbl>
      <w:tblPr>
        <w:tblStyle w:val="4"/>
        <w:tblW w:w="8862" w:type="dxa"/>
        <w:tblInd w:w="0" w:type="dxa"/>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76"/>
        <w:gridCol w:w="756"/>
        <w:gridCol w:w="1140"/>
        <w:gridCol w:w="1590"/>
        <w:gridCol w:w="1545"/>
        <w:gridCol w:w="2955"/>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37" w:hRule="atLeast"/>
        </w:trPr>
        <w:tc>
          <w:tcPr>
            <w:tcW w:w="87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jc w:val="both"/>
              <w:rPr>
                <w:rFonts w:hint="default" w:ascii="Calibri" w:hAnsi="Calibri" w:cs="Calibri"/>
                <w:sz w:val="21"/>
                <w:szCs w:val="21"/>
              </w:rPr>
            </w:pPr>
            <w:r>
              <w:rPr>
                <w:rFonts w:hint="eastAsia" w:ascii="黑体" w:hAnsi="宋体" w:eastAsia="黑体" w:cs="黑体"/>
                <w:i w:val="0"/>
                <w:iCs w:val="0"/>
                <w:caps w:val="0"/>
                <w:color w:val="333333"/>
                <w:spacing w:val="0"/>
                <w:sz w:val="24"/>
                <w:szCs w:val="24"/>
              </w:rPr>
              <w:t>对象</w:t>
            </w:r>
          </w:p>
        </w:tc>
        <w:tc>
          <w:tcPr>
            <w:tcW w:w="1896"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jc w:val="center"/>
              <w:rPr>
                <w:rFonts w:hint="default" w:ascii="Calibri" w:hAnsi="Calibri" w:cs="Calibri"/>
                <w:sz w:val="21"/>
                <w:szCs w:val="21"/>
              </w:rPr>
            </w:pPr>
            <w:r>
              <w:rPr>
                <w:rFonts w:hint="eastAsia" w:ascii="黑体" w:hAnsi="宋体" w:eastAsia="黑体" w:cs="黑体"/>
                <w:i w:val="0"/>
                <w:iCs w:val="0"/>
                <w:caps w:val="0"/>
                <w:color w:val="333333"/>
                <w:spacing w:val="0"/>
                <w:sz w:val="24"/>
                <w:szCs w:val="24"/>
              </w:rPr>
              <w:t>服务项目</w:t>
            </w:r>
          </w:p>
        </w:tc>
        <w:tc>
          <w:tcPr>
            <w:tcW w:w="159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jc w:val="center"/>
              <w:rPr>
                <w:rFonts w:hint="default" w:ascii="Calibri" w:hAnsi="Calibri" w:cs="Calibri"/>
                <w:sz w:val="21"/>
                <w:szCs w:val="21"/>
              </w:rPr>
            </w:pPr>
            <w:r>
              <w:rPr>
                <w:rFonts w:hint="eastAsia" w:ascii="黑体" w:hAnsi="宋体" w:eastAsia="黑体" w:cs="黑体"/>
                <w:i w:val="0"/>
                <w:iCs w:val="0"/>
                <w:caps w:val="0"/>
                <w:color w:val="333333"/>
                <w:spacing w:val="0"/>
                <w:sz w:val="24"/>
                <w:szCs w:val="24"/>
              </w:rPr>
              <w:t>服务内容</w:t>
            </w:r>
          </w:p>
        </w:tc>
        <w:tc>
          <w:tcPr>
            <w:tcW w:w="154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jc w:val="center"/>
              <w:rPr>
                <w:rFonts w:hint="default" w:ascii="Calibri" w:hAnsi="Calibri" w:cs="Calibri"/>
                <w:sz w:val="21"/>
                <w:szCs w:val="21"/>
              </w:rPr>
            </w:pPr>
            <w:r>
              <w:rPr>
                <w:rFonts w:hint="eastAsia" w:ascii="黑体" w:hAnsi="宋体" w:eastAsia="黑体" w:cs="黑体"/>
                <w:i w:val="0"/>
                <w:iCs w:val="0"/>
                <w:caps w:val="0"/>
                <w:color w:val="333333"/>
                <w:spacing w:val="0"/>
                <w:sz w:val="24"/>
                <w:szCs w:val="24"/>
              </w:rPr>
              <w:t>服务类型</w:t>
            </w:r>
          </w:p>
        </w:tc>
        <w:tc>
          <w:tcPr>
            <w:tcW w:w="295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jc w:val="center"/>
              <w:rPr>
                <w:rFonts w:hint="default" w:ascii="Calibri" w:hAnsi="Calibri" w:cs="Calibri"/>
                <w:sz w:val="21"/>
                <w:szCs w:val="21"/>
              </w:rPr>
            </w:pPr>
            <w:r>
              <w:rPr>
                <w:rFonts w:hint="eastAsia" w:ascii="黑体" w:hAnsi="宋体" w:eastAsia="黑体" w:cs="黑体"/>
                <w:i w:val="0"/>
                <w:iCs w:val="0"/>
                <w:caps w:val="0"/>
                <w:color w:val="333333"/>
                <w:spacing w:val="0"/>
                <w:sz w:val="24"/>
                <w:szCs w:val="24"/>
              </w:rPr>
              <w:t>服务标准</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624" w:hRule="atLeast"/>
        </w:trPr>
        <w:tc>
          <w:tcPr>
            <w:tcW w:w="876"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达到待遇享受年龄的老年人</w:t>
            </w:r>
          </w:p>
        </w:tc>
        <w:tc>
          <w:tcPr>
            <w:tcW w:w="7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24"/>
                <w:szCs w:val="24"/>
              </w:rPr>
              <w:t>1</w:t>
            </w:r>
          </w:p>
        </w:tc>
        <w:tc>
          <w:tcPr>
            <w:tcW w:w="11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职工基本养老保险</w:t>
            </w:r>
          </w:p>
        </w:tc>
        <w:tc>
          <w:tcPr>
            <w:tcW w:w="159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为符合条件的参保老年人按时足额发放基本养老金。</w:t>
            </w:r>
          </w:p>
        </w:tc>
        <w:tc>
          <w:tcPr>
            <w:tcW w:w="154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物质帮助</w:t>
            </w:r>
          </w:p>
        </w:tc>
        <w:tc>
          <w:tcPr>
            <w:tcW w:w="295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由社保经办机构按照基本养老金计发办法为符合条件办理退休人员核定待遇并按时足额发放。</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810" w:hRule="atLeast"/>
        </w:trPr>
        <w:tc>
          <w:tcPr>
            <w:tcW w:w="87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7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24"/>
                <w:szCs w:val="24"/>
              </w:rPr>
              <w:t>2</w:t>
            </w:r>
          </w:p>
        </w:tc>
        <w:tc>
          <w:tcPr>
            <w:tcW w:w="11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城乡居民基本养老保险</w:t>
            </w:r>
          </w:p>
        </w:tc>
        <w:tc>
          <w:tcPr>
            <w:tcW w:w="159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为符合条件的参保老年人发放基础养老金和个人账户养老金。</w:t>
            </w:r>
          </w:p>
        </w:tc>
        <w:tc>
          <w:tcPr>
            <w:tcW w:w="154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物质帮助</w:t>
            </w:r>
          </w:p>
        </w:tc>
        <w:tc>
          <w:tcPr>
            <w:tcW w:w="295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由社保经办机构按照国家、自治区和各地确定的标准为符合待遇领取条件的参保老年人按月足额发放。</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781" w:hRule="atLeast"/>
        </w:trPr>
        <w:tc>
          <w:tcPr>
            <w:tcW w:w="8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24"/>
                <w:szCs w:val="24"/>
              </w:rPr>
              <w:t>60</w:t>
            </w:r>
            <w:r>
              <w:rPr>
                <w:rFonts w:hint="eastAsia" w:ascii="仿宋_GB2312" w:hAnsi="Times New Roman" w:eastAsia="仿宋_GB2312" w:cs="仿宋_GB2312"/>
                <w:i w:val="0"/>
                <w:iCs w:val="0"/>
                <w:caps w:val="0"/>
                <w:color w:val="333333"/>
                <w:spacing w:val="0"/>
                <w:sz w:val="24"/>
                <w:szCs w:val="24"/>
              </w:rPr>
              <w:t>周岁及以上老年人</w:t>
            </w:r>
          </w:p>
        </w:tc>
        <w:tc>
          <w:tcPr>
            <w:tcW w:w="7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24"/>
                <w:szCs w:val="24"/>
              </w:rPr>
              <w:t>3</w:t>
            </w:r>
          </w:p>
        </w:tc>
        <w:tc>
          <w:tcPr>
            <w:tcW w:w="11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待</w:t>
            </w:r>
          </w:p>
        </w:tc>
        <w:tc>
          <w:tcPr>
            <w:tcW w:w="159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为</w:t>
            </w:r>
            <w:r>
              <w:rPr>
                <w:rFonts w:hint="default" w:ascii="Times New Roman" w:hAnsi="Times New Roman" w:eastAsia="微软雅黑" w:cs="Times New Roman"/>
                <w:i w:val="0"/>
                <w:iCs w:val="0"/>
                <w:caps w:val="0"/>
                <w:color w:val="333333"/>
                <w:spacing w:val="0"/>
                <w:sz w:val="24"/>
                <w:szCs w:val="24"/>
              </w:rPr>
              <w:t>60</w:t>
            </w:r>
            <w:r>
              <w:rPr>
                <w:rFonts w:hint="eastAsia" w:ascii="仿宋_GB2312" w:hAnsi="Times New Roman" w:eastAsia="仿宋_GB2312" w:cs="仿宋_GB2312"/>
                <w:i w:val="0"/>
                <w:iCs w:val="0"/>
                <w:caps w:val="0"/>
                <w:color w:val="333333"/>
                <w:spacing w:val="0"/>
                <w:sz w:val="24"/>
                <w:szCs w:val="24"/>
              </w:rPr>
              <w:t>周岁及以上老年人提供乘车、挂号等优惠待遇。</w:t>
            </w:r>
          </w:p>
        </w:tc>
        <w:tc>
          <w:tcPr>
            <w:tcW w:w="154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物质帮助</w:t>
            </w:r>
          </w:p>
        </w:tc>
        <w:tc>
          <w:tcPr>
            <w:tcW w:w="295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依据《新疆维吾尔自治区老年人权益保障条例》规定，</w:t>
            </w:r>
            <w:r>
              <w:rPr>
                <w:rFonts w:hint="default" w:ascii="Times New Roman" w:hAnsi="Times New Roman" w:eastAsia="微软雅黑" w:cs="Times New Roman"/>
                <w:i w:val="0"/>
                <w:iCs w:val="0"/>
                <w:caps w:val="0"/>
                <w:color w:val="333333"/>
                <w:spacing w:val="0"/>
                <w:sz w:val="24"/>
                <w:szCs w:val="24"/>
              </w:rPr>
              <w:t>65</w:t>
            </w:r>
            <w:r>
              <w:rPr>
                <w:rFonts w:hint="eastAsia" w:ascii="仿宋_GB2312" w:hAnsi="Times New Roman" w:eastAsia="仿宋_GB2312" w:cs="仿宋_GB2312"/>
                <w:i w:val="0"/>
                <w:iCs w:val="0"/>
                <w:caps w:val="0"/>
                <w:color w:val="333333"/>
                <w:spacing w:val="0"/>
                <w:sz w:val="24"/>
                <w:szCs w:val="24"/>
              </w:rPr>
              <w:t>周岁以上的老年人持老年优待证、敬老卡、居民身份证等证件可免费乘坐市内公交、地铁等公共交通工具；公立医疗机构免收普通门诊挂号费；免费使用收费的公共厕所；依据法律法规和有关规定可以享受的其他优惠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依据《新疆维吾尔自治区老年人权益保障条例》《自治区旅游景区门票及相关服务价格管理办法》等相关规定，实行政府指导价的景区、参观点等，对</w:t>
            </w:r>
            <w:r>
              <w:rPr>
                <w:rFonts w:hint="default" w:ascii="Times New Roman" w:hAnsi="Times New Roman" w:eastAsia="微软雅黑" w:cs="Times New Roman"/>
                <w:i w:val="0"/>
                <w:iCs w:val="0"/>
                <w:caps w:val="0"/>
                <w:color w:val="333333"/>
                <w:spacing w:val="0"/>
                <w:sz w:val="24"/>
                <w:szCs w:val="24"/>
              </w:rPr>
              <w:t>65</w:t>
            </w:r>
            <w:r>
              <w:rPr>
                <w:rFonts w:hint="eastAsia" w:ascii="仿宋_GB2312" w:hAnsi="Times New Roman" w:eastAsia="仿宋_GB2312" w:cs="仿宋_GB2312"/>
                <w:i w:val="0"/>
                <w:iCs w:val="0"/>
                <w:caps w:val="0"/>
                <w:color w:val="333333"/>
                <w:spacing w:val="0"/>
                <w:sz w:val="24"/>
                <w:szCs w:val="24"/>
              </w:rPr>
              <w:t>周岁（含</w:t>
            </w:r>
            <w:r>
              <w:rPr>
                <w:rFonts w:hint="default" w:ascii="Times New Roman" w:hAnsi="Times New Roman" w:eastAsia="微软雅黑" w:cs="Times New Roman"/>
                <w:i w:val="0"/>
                <w:iCs w:val="0"/>
                <w:caps w:val="0"/>
                <w:color w:val="333333"/>
                <w:spacing w:val="0"/>
                <w:sz w:val="24"/>
                <w:szCs w:val="24"/>
              </w:rPr>
              <w:t>65</w:t>
            </w:r>
            <w:r>
              <w:rPr>
                <w:rFonts w:hint="eastAsia" w:ascii="仿宋_GB2312" w:hAnsi="Times New Roman" w:eastAsia="仿宋_GB2312" w:cs="仿宋_GB2312"/>
                <w:i w:val="0"/>
                <w:iCs w:val="0"/>
                <w:caps w:val="0"/>
                <w:color w:val="333333"/>
                <w:spacing w:val="0"/>
                <w:sz w:val="24"/>
                <w:szCs w:val="24"/>
              </w:rPr>
              <w:t>周岁）以上老年人实行免门票；</w:t>
            </w:r>
            <w:r>
              <w:rPr>
                <w:rFonts w:hint="default" w:ascii="Times New Roman" w:hAnsi="Times New Roman" w:eastAsia="微软雅黑" w:cs="Times New Roman"/>
                <w:i w:val="0"/>
                <w:iCs w:val="0"/>
                <w:caps w:val="0"/>
                <w:color w:val="333333"/>
                <w:spacing w:val="0"/>
                <w:sz w:val="24"/>
                <w:szCs w:val="24"/>
              </w:rPr>
              <w:t>60</w:t>
            </w:r>
            <w:r>
              <w:rPr>
                <w:rFonts w:hint="eastAsia" w:ascii="仿宋_GB2312" w:hAnsi="Times New Roman" w:eastAsia="仿宋_GB2312" w:cs="仿宋_GB2312"/>
                <w:i w:val="0"/>
                <w:iCs w:val="0"/>
                <w:caps w:val="0"/>
                <w:color w:val="333333"/>
                <w:spacing w:val="0"/>
                <w:sz w:val="24"/>
                <w:szCs w:val="24"/>
              </w:rPr>
              <w:t>周岁（含</w:t>
            </w:r>
            <w:r>
              <w:rPr>
                <w:rFonts w:hint="default" w:ascii="Times New Roman" w:hAnsi="Times New Roman" w:eastAsia="微软雅黑" w:cs="Times New Roman"/>
                <w:i w:val="0"/>
                <w:iCs w:val="0"/>
                <w:caps w:val="0"/>
                <w:color w:val="333333"/>
                <w:spacing w:val="0"/>
                <w:sz w:val="24"/>
                <w:szCs w:val="24"/>
              </w:rPr>
              <w:t>60</w:t>
            </w:r>
            <w:r>
              <w:rPr>
                <w:rFonts w:hint="eastAsia" w:ascii="仿宋_GB2312" w:hAnsi="Times New Roman" w:eastAsia="仿宋_GB2312" w:cs="仿宋_GB2312"/>
                <w:i w:val="0"/>
                <w:iCs w:val="0"/>
                <w:caps w:val="0"/>
                <w:color w:val="333333"/>
                <w:spacing w:val="0"/>
                <w:sz w:val="24"/>
                <w:szCs w:val="24"/>
              </w:rPr>
              <w:t>周岁）至</w:t>
            </w:r>
            <w:r>
              <w:rPr>
                <w:rFonts w:hint="default" w:ascii="Times New Roman" w:hAnsi="Times New Roman" w:eastAsia="微软雅黑" w:cs="Times New Roman"/>
                <w:i w:val="0"/>
                <w:iCs w:val="0"/>
                <w:caps w:val="0"/>
                <w:color w:val="333333"/>
                <w:spacing w:val="0"/>
                <w:sz w:val="24"/>
                <w:szCs w:val="24"/>
              </w:rPr>
              <w:t>65</w:t>
            </w:r>
            <w:r>
              <w:rPr>
                <w:rFonts w:hint="eastAsia" w:ascii="仿宋_GB2312" w:hAnsi="Times New Roman" w:eastAsia="仿宋_GB2312" w:cs="仿宋_GB2312"/>
                <w:i w:val="0"/>
                <w:iCs w:val="0"/>
                <w:caps w:val="0"/>
                <w:color w:val="333333"/>
                <w:spacing w:val="0"/>
                <w:sz w:val="24"/>
                <w:szCs w:val="24"/>
              </w:rPr>
              <w:t>周岁（不含</w:t>
            </w:r>
            <w:r>
              <w:rPr>
                <w:rFonts w:hint="default" w:ascii="Times New Roman" w:hAnsi="Times New Roman" w:eastAsia="微软雅黑" w:cs="Times New Roman"/>
                <w:i w:val="0"/>
                <w:iCs w:val="0"/>
                <w:caps w:val="0"/>
                <w:color w:val="333333"/>
                <w:spacing w:val="0"/>
                <w:sz w:val="24"/>
                <w:szCs w:val="24"/>
              </w:rPr>
              <w:t>65</w:t>
            </w:r>
            <w:r>
              <w:rPr>
                <w:rFonts w:hint="eastAsia" w:ascii="仿宋_GB2312" w:hAnsi="Times New Roman" w:eastAsia="仿宋_GB2312" w:cs="仿宋_GB2312"/>
                <w:i w:val="0"/>
                <w:iCs w:val="0"/>
                <w:caps w:val="0"/>
                <w:color w:val="333333"/>
                <w:spacing w:val="0"/>
                <w:sz w:val="24"/>
                <w:szCs w:val="24"/>
              </w:rPr>
              <w:t>周岁）的老年人在国际老年人节、全国老年人节和自治区老年人节日期间实行免门票，其他时段进入动物园、植物园，以及参观展览馆、纪念馆、文化馆、博物馆、陈列馆和纪念性陵园等实行免门票，其他景区实行半票；</w:t>
            </w:r>
            <w:r>
              <w:rPr>
                <w:rFonts w:hint="default" w:ascii="Times New Roman" w:hAnsi="Times New Roman" w:eastAsia="微软雅黑" w:cs="Times New Roman"/>
                <w:i w:val="0"/>
                <w:iCs w:val="0"/>
                <w:caps w:val="0"/>
                <w:color w:val="333333"/>
                <w:spacing w:val="0"/>
                <w:sz w:val="24"/>
                <w:szCs w:val="24"/>
              </w:rPr>
              <w:t>80</w:t>
            </w:r>
            <w:r>
              <w:rPr>
                <w:rFonts w:hint="eastAsia" w:ascii="仿宋_GB2312" w:hAnsi="Times New Roman" w:eastAsia="仿宋_GB2312" w:cs="仿宋_GB2312"/>
                <w:i w:val="0"/>
                <w:iCs w:val="0"/>
                <w:caps w:val="0"/>
                <w:color w:val="333333"/>
                <w:spacing w:val="0"/>
                <w:sz w:val="24"/>
                <w:szCs w:val="24"/>
              </w:rPr>
              <w:t>周岁以上的老年人可以带一名陪护人员免费进入实行政府指导价的旅游景区。</w:t>
            </w:r>
          </w:p>
        </w:tc>
      </w:tr>
    </w:tbl>
    <w:tbl>
      <w:tblPr>
        <w:tblStyle w:val="4"/>
        <w:tblpPr w:leftFromText="180" w:rightFromText="180" w:vertAnchor="text" w:horzAnchor="page" w:tblpX="1595" w:tblpY="32"/>
        <w:tblOverlap w:val="never"/>
        <w:tblW w:w="8877" w:type="dxa"/>
        <w:tblInd w:w="0" w:type="dxa"/>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76"/>
        <w:gridCol w:w="756"/>
        <w:gridCol w:w="1125"/>
        <w:gridCol w:w="1590"/>
        <w:gridCol w:w="1545"/>
        <w:gridCol w:w="2985"/>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631" w:hRule="atLeast"/>
        </w:trPr>
        <w:tc>
          <w:tcPr>
            <w:tcW w:w="876"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24"/>
                <w:szCs w:val="24"/>
              </w:rPr>
              <w:t>60</w:t>
            </w:r>
            <w:r>
              <w:rPr>
                <w:rFonts w:hint="eastAsia" w:ascii="仿宋_GB2312" w:hAnsi="Times New Roman" w:eastAsia="仿宋_GB2312" w:cs="仿宋_GB2312"/>
                <w:i w:val="0"/>
                <w:iCs w:val="0"/>
                <w:caps w:val="0"/>
                <w:color w:val="333333"/>
                <w:spacing w:val="0"/>
                <w:sz w:val="24"/>
                <w:szCs w:val="24"/>
              </w:rPr>
              <w:t>周岁及以上老年人</w:t>
            </w:r>
          </w:p>
        </w:tc>
        <w:tc>
          <w:tcPr>
            <w:tcW w:w="7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24"/>
                <w:szCs w:val="24"/>
              </w:rPr>
              <w:t>4</w:t>
            </w:r>
          </w:p>
        </w:tc>
        <w:tc>
          <w:tcPr>
            <w:tcW w:w="112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老年人能力综合评估</w:t>
            </w:r>
          </w:p>
        </w:tc>
        <w:tc>
          <w:tcPr>
            <w:tcW w:w="159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为</w:t>
            </w:r>
            <w:r>
              <w:rPr>
                <w:rFonts w:hint="default" w:ascii="Times New Roman" w:hAnsi="Times New Roman" w:eastAsia="微软雅黑" w:cs="Times New Roman"/>
                <w:i w:val="0"/>
                <w:iCs w:val="0"/>
                <w:caps w:val="0"/>
                <w:color w:val="333333"/>
                <w:spacing w:val="0"/>
                <w:sz w:val="24"/>
                <w:szCs w:val="24"/>
              </w:rPr>
              <w:t>65</w:t>
            </w:r>
            <w:r>
              <w:rPr>
                <w:rFonts w:hint="eastAsia" w:ascii="仿宋_GB2312" w:hAnsi="Times New Roman" w:eastAsia="仿宋_GB2312" w:cs="仿宋_GB2312"/>
                <w:i w:val="0"/>
                <w:iCs w:val="0"/>
                <w:caps w:val="0"/>
                <w:color w:val="333333"/>
                <w:spacing w:val="0"/>
                <w:sz w:val="24"/>
                <w:szCs w:val="24"/>
              </w:rPr>
              <w:t>周岁及以上老年人提供能力综合评估，做好老年人能力综合评估与健康状况评估的衔接。</w:t>
            </w:r>
          </w:p>
        </w:tc>
        <w:tc>
          <w:tcPr>
            <w:tcW w:w="154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照护服务</w:t>
            </w:r>
          </w:p>
        </w:tc>
        <w:tc>
          <w:tcPr>
            <w:tcW w:w="29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试点城市参加长期护理保险的老年人，由医保部门参照《长期护理失能等级评估标准（试行）》组织开展长期护理保险失能等级评估。其他老年人按照《老年人能力评估规范》（</w:t>
            </w:r>
            <w:r>
              <w:rPr>
                <w:rFonts w:hint="default" w:ascii="Times New Roman" w:hAnsi="Times New Roman" w:eastAsia="微软雅黑" w:cs="Times New Roman"/>
                <w:i w:val="0"/>
                <w:iCs w:val="0"/>
                <w:caps w:val="0"/>
                <w:color w:val="333333"/>
                <w:spacing w:val="0"/>
                <w:sz w:val="24"/>
                <w:szCs w:val="24"/>
              </w:rPr>
              <w:t>GB/T 42195—2022</w:t>
            </w:r>
            <w:r>
              <w:rPr>
                <w:rFonts w:hint="eastAsia" w:ascii="仿宋_GB2312" w:hAnsi="Times New Roman" w:eastAsia="仿宋_GB2312" w:cs="仿宋_GB2312"/>
                <w:i w:val="0"/>
                <w:iCs w:val="0"/>
                <w:caps w:val="0"/>
                <w:color w:val="333333"/>
                <w:spacing w:val="0"/>
                <w:sz w:val="24"/>
                <w:szCs w:val="24"/>
              </w:rPr>
              <w:t>），结合卫生健康部门老年人健康状况评估结果，由属地民政部门安排老年人能力综合评估。</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157" w:hRule="atLeast"/>
        </w:trPr>
        <w:tc>
          <w:tcPr>
            <w:tcW w:w="87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7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24"/>
                <w:szCs w:val="24"/>
              </w:rPr>
              <w:t>5</w:t>
            </w:r>
          </w:p>
        </w:tc>
        <w:tc>
          <w:tcPr>
            <w:tcW w:w="112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老年人健康管理</w:t>
            </w:r>
          </w:p>
        </w:tc>
        <w:tc>
          <w:tcPr>
            <w:tcW w:w="159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为</w:t>
            </w:r>
            <w:r>
              <w:rPr>
                <w:rFonts w:hint="default" w:ascii="Times New Roman" w:hAnsi="Times New Roman" w:eastAsia="微软雅黑" w:cs="Times New Roman"/>
                <w:i w:val="0"/>
                <w:iCs w:val="0"/>
                <w:caps w:val="0"/>
                <w:color w:val="333333"/>
                <w:spacing w:val="0"/>
                <w:sz w:val="24"/>
                <w:szCs w:val="24"/>
              </w:rPr>
              <w:t>65</w:t>
            </w:r>
            <w:r>
              <w:rPr>
                <w:rFonts w:hint="eastAsia" w:ascii="仿宋_GB2312" w:hAnsi="Times New Roman" w:eastAsia="仿宋_GB2312" w:cs="仿宋_GB2312"/>
                <w:i w:val="0"/>
                <w:iCs w:val="0"/>
                <w:caps w:val="0"/>
                <w:color w:val="333333"/>
                <w:spacing w:val="0"/>
                <w:sz w:val="24"/>
                <w:szCs w:val="24"/>
              </w:rPr>
              <w:t>周岁及以上常住居民每年提供</w:t>
            </w:r>
            <w:r>
              <w:rPr>
                <w:rFonts w:hint="default" w:ascii="Times New Roman" w:hAnsi="Times New Roman" w:eastAsia="微软雅黑" w:cs="Times New Roman"/>
                <w:i w:val="0"/>
                <w:iCs w:val="0"/>
                <w:caps w:val="0"/>
                <w:color w:val="333333"/>
                <w:spacing w:val="0"/>
                <w:sz w:val="24"/>
                <w:szCs w:val="24"/>
              </w:rPr>
              <w:t>1</w:t>
            </w:r>
            <w:r>
              <w:rPr>
                <w:rFonts w:hint="eastAsia" w:ascii="仿宋_GB2312" w:hAnsi="Times New Roman" w:eastAsia="仿宋_GB2312" w:cs="仿宋_GB2312"/>
                <w:i w:val="0"/>
                <w:iCs w:val="0"/>
                <w:caps w:val="0"/>
                <w:color w:val="333333"/>
                <w:spacing w:val="0"/>
                <w:sz w:val="24"/>
                <w:szCs w:val="24"/>
              </w:rPr>
              <w:t>次健康管理服务，包括生活方式和健康状况评估、体格检查、辅助检查和健康指导。</w:t>
            </w:r>
          </w:p>
        </w:tc>
        <w:tc>
          <w:tcPr>
            <w:tcW w:w="154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照护服务</w:t>
            </w:r>
          </w:p>
        </w:tc>
        <w:tc>
          <w:tcPr>
            <w:tcW w:w="29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按照《国家基本公共卫生服务规范（第三版）》及相应技术方案执行，通过政府购买服务等方式，为符合条件的老年人提供健康管理服务。</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177" w:hRule="atLeast"/>
        </w:trPr>
        <w:tc>
          <w:tcPr>
            <w:tcW w:w="8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24"/>
                <w:szCs w:val="24"/>
              </w:rPr>
              <w:t>80</w:t>
            </w:r>
            <w:r>
              <w:rPr>
                <w:rFonts w:hint="eastAsia" w:ascii="仿宋_GB2312" w:hAnsi="Times New Roman" w:eastAsia="仿宋_GB2312" w:cs="仿宋_GB2312"/>
                <w:i w:val="0"/>
                <w:iCs w:val="0"/>
                <w:caps w:val="0"/>
                <w:color w:val="333333"/>
                <w:spacing w:val="0"/>
                <w:sz w:val="24"/>
                <w:szCs w:val="24"/>
              </w:rPr>
              <w:t>周岁及以上老年人</w:t>
            </w:r>
          </w:p>
        </w:tc>
        <w:tc>
          <w:tcPr>
            <w:tcW w:w="7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525" w:lineRule="atLeast"/>
              <w:ind w:left="0" w:right="0" w:firstLine="420"/>
              <w:jc w:val="center"/>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24"/>
                <w:szCs w:val="24"/>
              </w:rPr>
              <w:t>6</w:t>
            </w:r>
          </w:p>
        </w:tc>
        <w:tc>
          <w:tcPr>
            <w:tcW w:w="112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高龄津贴</w:t>
            </w:r>
          </w:p>
        </w:tc>
        <w:tc>
          <w:tcPr>
            <w:tcW w:w="159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为</w:t>
            </w:r>
            <w:r>
              <w:rPr>
                <w:rFonts w:hint="default" w:ascii="Times New Roman" w:hAnsi="Times New Roman" w:eastAsia="微软雅黑" w:cs="Times New Roman"/>
                <w:i w:val="0"/>
                <w:iCs w:val="0"/>
                <w:caps w:val="0"/>
                <w:color w:val="333333"/>
                <w:spacing w:val="0"/>
                <w:sz w:val="24"/>
                <w:szCs w:val="24"/>
              </w:rPr>
              <w:t>80</w:t>
            </w:r>
            <w:r>
              <w:rPr>
                <w:rFonts w:hint="eastAsia" w:ascii="仿宋_GB2312" w:hAnsi="Times New Roman" w:eastAsia="仿宋_GB2312" w:cs="仿宋_GB2312"/>
                <w:i w:val="0"/>
                <w:iCs w:val="0"/>
                <w:caps w:val="0"/>
                <w:color w:val="333333"/>
                <w:spacing w:val="0"/>
                <w:sz w:val="24"/>
                <w:szCs w:val="24"/>
              </w:rPr>
              <w:t>周岁及以上老年人发放高龄津贴。</w:t>
            </w:r>
          </w:p>
        </w:tc>
        <w:tc>
          <w:tcPr>
            <w:tcW w:w="154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物质帮助</w:t>
            </w:r>
          </w:p>
        </w:tc>
        <w:tc>
          <w:tcPr>
            <w:tcW w:w="29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按照《</w:t>
            </w:r>
            <w:r>
              <w:rPr>
                <w:rFonts w:hint="default" w:ascii="Times New Roman" w:hAnsi="Times New Roman" w:eastAsia="微软雅黑" w:cs="Times New Roman"/>
                <w:i w:val="0"/>
                <w:iCs w:val="0"/>
                <w:caps w:val="0"/>
                <w:color w:val="333333"/>
                <w:spacing w:val="0"/>
                <w:sz w:val="24"/>
                <w:szCs w:val="24"/>
              </w:rPr>
              <w:t>80</w:t>
            </w:r>
            <w:r>
              <w:rPr>
                <w:rFonts w:hint="eastAsia" w:ascii="仿宋_GB2312" w:hAnsi="Times New Roman" w:eastAsia="仿宋_GB2312" w:cs="仿宋_GB2312"/>
                <w:i w:val="0"/>
                <w:iCs w:val="0"/>
                <w:caps w:val="0"/>
                <w:color w:val="333333"/>
                <w:spacing w:val="0"/>
                <w:sz w:val="24"/>
                <w:szCs w:val="24"/>
              </w:rPr>
              <w:t>周岁以上老年人基本生活津贴制度》执行。具体标准由各地州市、县市区结合当地经济社会发展水平和财政承受能力，按照量力而行和动态管理原则确定，原则上不低于自治区指导标准，提高部分由当地财政承担，按规定发放至个人。</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607" w:hRule="atLeast"/>
        </w:trPr>
        <w:tc>
          <w:tcPr>
            <w:tcW w:w="876"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经济困难的老年人</w:t>
            </w:r>
          </w:p>
        </w:tc>
        <w:tc>
          <w:tcPr>
            <w:tcW w:w="7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525" w:lineRule="atLeast"/>
              <w:ind w:left="0" w:right="0" w:firstLine="420"/>
              <w:jc w:val="center"/>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24"/>
                <w:szCs w:val="24"/>
              </w:rPr>
              <w:t>7</w:t>
            </w:r>
          </w:p>
        </w:tc>
        <w:tc>
          <w:tcPr>
            <w:tcW w:w="112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养老服务补贴</w:t>
            </w:r>
          </w:p>
        </w:tc>
        <w:tc>
          <w:tcPr>
            <w:tcW w:w="159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为经济困难的老年人提供养老服务补贴。</w:t>
            </w:r>
          </w:p>
        </w:tc>
        <w:tc>
          <w:tcPr>
            <w:tcW w:w="154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物质帮助</w:t>
            </w:r>
          </w:p>
        </w:tc>
        <w:tc>
          <w:tcPr>
            <w:tcW w:w="29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具体补贴标准由各地州市、县市区民政部门商财政部门确定，原则上以政府购买服务为主。</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955" w:hRule="atLeast"/>
        </w:trPr>
        <w:tc>
          <w:tcPr>
            <w:tcW w:w="87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75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525" w:lineRule="atLeast"/>
              <w:ind w:left="0" w:right="0" w:firstLine="420"/>
              <w:jc w:val="center"/>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24"/>
                <w:szCs w:val="24"/>
              </w:rPr>
              <w:t>8</w:t>
            </w:r>
          </w:p>
        </w:tc>
        <w:tc>
          <w:tcPr>
            <w:tcW w:w="112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家庭适老化改造</w:t>
            </w:r>
          </w:p>
        </w:tc>
        <w:tc>
          <w:tcPr>
            <w:tcW w:w="159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按照相关标准，分年度逐步为经济困难的老年人家庭提供无障碍改造服务。</w:t>
            </w:r>
          </w:p>
        </w:tc>
        <w:tc>
          <w:tcPr>
            <w:tcW w:w="154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照护服务</w:t>
            </w:r>
          </w:p>
        </w:tc>
        <w:tc>
          <w:tcPr>
            <w:tcW w:w="29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采取政府补贴等方式，逐步实施家庭适老化改造。具体项目和补助标准由各地立足经济社会发展水平和城乡发展实际确定。</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tbl>
      <w:tblPr>
        <w:tblStyle w:val="4"/>
        <w:tblW w:w="8847" w:type="dxa"/>
        <w:tblInd w:w="0" w:type="dxa"/>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76"/>
        <w:gridCol w:w="876"/>
        <w:gridCol w:w="1020"/>
        <w:gridCol w:w="1560"/>
        <w:gridCol w:w="1530"/>
        <w:gridCol w:w="2985"/>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37" w:hRule="atLeast"/>
        </w:trPr>
        <w:tc>
          <w:tcPr>
            <w:tcW w:w="87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both"/>
              <w:rPr>
                <w:rFonts w:hint="default" w:ascii="Calibri" w:hAnsi="Calibri" w:cs="Calibri"/>
                <w:sz w:val="21"/>
                <w:szCs w:val="21"/>
              </w:rPr>
            </w:pPr>
            <w:r>
              <w:rPr>
                <w:rFonts w:hint="eastAsia" w:ascii="黑体" w:hAnsi="宋体" w:eastAsia="黑体" w:cs="黑体"/>
                <w:i w:val="0"/>
                <w:iCs w:val="0"/>
                <w:caps w:val="0"/>
                <w:color w:val="333333"/>
                <w:spacing w:val="0"/>
                <w:sz w:val="24"/>
                <w:szCs w:val="24"/>
              </w:rPr>
              <w:t>对象</w:t>
            </w:r>
          </w:p>
        </w:tc>
        <w:tc>
          <w:tcPr>
            <w:tcW w:w="1896"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Calibri" w:hAnsi="Calibri" w:cs="Calibri"/>
                <w:sz w:val="21"/>
                <w:szCs w:val="21"/>
              </w:rPr>
            </w:pPr>
            <w:r>
              <w:rPr>
                <w:rFonts w:hint="eastAsia" w:ascii="黑体" w:hAnsi="宋体" w:eastAsia="黑体" w:cs="黑体"/>
                <w:i w:val="0"/>
                <w:iCs w:val="0"/>
                <w:caps w:val="0"/>
                <w:color w:val="333333"/>
                <w:spacing w:val="0"/>
                <w:sz w:val="24"/>
                <w:szCs w:val="24"/>
              </w:rPr>
              <w:t>服务项目</w:t>
            </w:r>
          </w:p>
        </w:tc>
        <w:tc>
          <w:tcPr>
            <w:tcW w:w="156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Calibri" w:hAnsi="Calibri" w:cs="Calibri"/>
                <w:sz w:val="21"/>
                <w:szCs w:val="21"/>
              </w:rPr>
            </w:pPr>
            <w:r>
              <w:rPr>
                <w:rFonts w:hint="eastAsia" w:ascii="黑体" w:hAnsi="宋体" w:eastAsia="黑体" w:cs="黑体"/>
                <w:i w:val="0"/>
                <w:iCs w:val="0"/>
                <w:caps w:val="0"/>
                <w:color w:val="333333"/>
                <w:spacing w:val="0"/>
                <w:sz w:val="24"/>
                <w:szCs w:val="24"/>
              </w:rPr>
              <w:t>服务内容</w:t>
            </w:r>
          </w:p>
        </w:tc>
        <w:tc>
          <w:tcPr>
            <w:tcW w:w="153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Calibri" w:hAnsi="Calibri" w:cs="Calibri"/>
                <w:sz w:val="21"/>
                <w:szCs w:val="21"/>
              </w:rPr>
            </w:pPr>
            <w:r>
              <w:rPr>
                <w:rFonts w:hint="eastAsia" w:ascii="黑体" w:hAnsi="宋体" w:eastAsia="黑体" w:cs="黑体"/>
                <w:i w:val="0"/>
                <w:iCs w:val="0"/>
                <w:caps w:val="0"/>
                <w:color w:val="333333"/>
                <w:spacing w:val="0"/>
                <w:sz w:val="24"/>
                <w:szCs w:val="24"/>
              </w:rPr>
              <w:t>服务类型</w:t>
            </w:r>
          </w:p>
        </w:tc>
        <w:tc>
          <w:tcPr>
            <w:tcW w:w="29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Calibri" w:hAnsi="Calibri" w:cs="Calibri"/>
                <w:sz w:val="21"/>
                <w:szCs w:val="21"/>
              </w:rPr>
            </w:pPr>
            <w:r>
              <w:rPr>
                <w:rFonts w:hint="eastAsia" w:ascii="黑体" w:hAnsi="宋体" w:eastAsia="黑体" w:cs="黑体"/>
                <w:i w:val="0"/>
                <w:iCs w:val="0"/>
                <w:caps w:val="0"/>
                <w:color w:val="333333"/>
                <w:spacing w:val="0"/>
                <w:sz w:val="24"/>
                <w:szCs w:val="24"/>
              </w:rPr>
              <w:t>服务标准</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274" w:hRule="atLeast"/>
        </w:trPr>
        <w:tc>
          <w:tcPr>
            <w:tcW w:w="876"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经认定生活不能自理的老年人</w:t>
            </w:r>
          </w:p>
        </w:tc>
        <w:tc>
          <w:tcPr>
            <w:tcW w:w="8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525" w:lineRule="atLeast"/>
              <w:ind w:left="0" w:right="0" w:firstLine="420"/>
              <w:jc w:val="center"/>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24"/>
                <w:szCs w:val="24"/>
              </w:rPr>
              <w:t>9</w:t>
            </w:r>
          </w:p>
        </w:tc>
        <w:tc>
          <w:tcPr>
            <w:tcW w:w="10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护理补贴</w:t>
            </w:r>
          </w:p>
        </w:tc>
        <w:tc>
          <w:tcPr>
            <w:tcW w:w="15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为经认定生活不能自理的经济困难老年人提供护理补贴。</w:t>
            </w:r>
          </w:p>
        </w:tc>
        <w:tc>
          <w:tcPr>
            <w:tcW w:w="153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物质帮助</w:t>
            </w:r>
          </w:p>
        </w:tc>
        <w:tc>
          <w:tcPr>
            <w:tcW w:w="29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具体补贴标准由各地州市、县市区民政部门商财政部门确定，原则上以政府购买服务为主。</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825" w:hRule="atLeast"/>
        </w:trPr>
        <w:tc>
          <w:tcPr>
            <w:tcW w:w="87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3" w:beforeAutospacing="0" w:after="313" w:afterAutospacing="0" w:line="300" w:lineRule="atLeast"/>
              <w:ind w:left="0" w:right="0" w:firstLine="420"/>
              <w:jc w:val="center"/>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24"/>
                <w:szCs w:val="24"/>
              </w:rPr>
              <w:t>10</w:t>
            </w:r>
          </w:p>
        </w:tc>
        <w:tc>
          <w:tcPr>
            <w:tcW w:w="10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家庭养老支持服务</w:t>
            </w:r>
          </w:p>
        </w:tc>
        <w:tc>
          <w:tcPr>
            <w:tcW w:w="15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符合条件的失能老年人家庭成员参加照护培训等相关职业技能培训的，按规定给予职业培训补贴。</w:t>
            </w:r>
          </w:p>
        </w:tc>
        <w:tc>
          <w:tcPr>
            <w:tcW w:w="153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照护服务</w:t>
            </w:r>
          </w:p>
        </w:tc>
        <w:tc>
          <w:tcPr>
            <w:tcW w:w="29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职业技能培训补贴按照各地州市人社部门发布的</w:t>
            </w:r>
            <w:r>
              <w:rPr>
                <w:rFonts w:hint="default" w:ascii="Times New Roman" w:hAnsi="Times New Roman" w:eastAsia="微软雅黑" w:cs="Times New Roman"/>
                <w:i w:val="0"/>
                <w:iCs w:val="0"/>
                <w:caps w:val="0"/>
                <w:color w:val="333333"/>
                <w:spacing w:val="0"/>
                <w:sz w:val="24"/>
                <w:szCs w:val="24"/>
              </w:rPr>
              <w:t>“</w:t>
            </w:r>
            <w:r>
              <w:rPr>
                <w:rFonts w:hint="eastAsia" w:ascii="仿宋_GB2312" w:hAnsi="Times New Roman" w:eastAsia="仿宋_GB2312" w:cs="仿宋_GB2312"/>
                <w:i w:val="0"/>
                <w:iCs w:val="0"/>
                <w:caps w:val="0"/>
                <w:color w:val="333333"/>
                <w:spacing w:val="0"/>
                <w:sz w:val="24"/>
                <w:szCs w:val="24"/>
              </w:rPr>
              <w:t>职业技能培训补贴性项目目录</w:t>
            </w:r>
            <w:r>
              <w:rPr>
                <w:rFonts w:hint="default" w:ascii="Times New Roman" w:hAnsi="Times New Roman" w:eastAsia="微软雅黑" w:cs="Times New Roman"/>
                <w:i w:val="0"/>
                <w:iCs w:val="0"/>
                <w:caps w:val="0"/>
                <w:color w:val="333333"/>
                <w:spacing w:val="0"/>
                <w:sz w:val="24"/>
                <w:szCs w:val="24"/>
              </w:rPr>
              <w:t>”</w:t>
            </w:r>
            <w:r>
              <w:rPr>
                <w:rFonts w:hint="eastAsia" w:ascii="仿宋_GB2312" w:hAnsi="Times New Roman" w:eastAsia="仿宋_GB2312" w:cs="仿宋_GB2312"/>
                <w:i w:val="0"/>
                <w:iCs w:val="0"/>
                <w:caps w:val="0"/>
                <w:color w:val="333333"/>
                <w:spacing w:val="0"/>
                <w:sz w:val="24"/>
                <w:szCs w:val="24"/>
              </w:rPr>
              <w:t>标准执行。</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327" w:hRule="atLeast"/>
        </w:trPr>
        <w:tc>
          <w:tcPr>
            <w:tcW w:w="8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纳入最低生活保障范围的老年人</w:t>
            </w:r>
          </w:p>
        </w:tc>
        <w:tc>
          <w:tcPr>
            <w:tcW w:w="8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13" w:beforeAutospacing="0" w:after="313" w:afterAutospacing="0" w:line="300" w:lineRule="atLeast"/>
              <w:ind w:left="0" w:right="0" w:firstLine="420"/>
              <w:jc w:val="center"/>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24"/>
                <w:szCs w:val="24"/>
              </w:rPr>
              <w:t>11</w:t>
            </w:r>
          </w:p>
        </w:tc>
        <w:tc>
          <w:tcPr>
            <w:tcW w:w="10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最低社会保障</w:t>
            </w:r>
          </w:p>
        </w:tc>
        <w:tc>
          <w:tcPr>
            <w:tcW w:w="15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对获得最低生活保障金后生活仍有困难的老年人，采取必要措施给予生活保障。</w:t>
            </w:r>
          </w:p>
        </w:tc>
        <w:tc>
          <w:tcPr>
            <w:tcW w:w="153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物质帮助</w:t>
            </w:r>
          </w:p>
        </w:tc>
        <w:tc>
          <w:tcPr>
            <w:tcW w:w="29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按照各地城乡最低生活保障标准执行。</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681" w:hRule="atLeast"/>
        </w:trPr>
        <w:tc>
          <w:tcPr>
            <w:tcW w:w="876"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人</w:t>
            </w:r>
          </w:p>
        </w:tc>
        <w:tc>
          <w:tcPr>
            <w:tcW w:w="8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24"/>
                <w:szCs w:val="24"/>
              </w:rPr>
              <w:t>12</w:t>
            </w:r>
          </w:p>
        </w:tc>
        <w:tc>
          <w:tcPr>
            <w:tcW w:w="10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分散供养</w:t>
            </w:r>
          </w:p>
        </w:tc>
        <w:tc>
          <w:tcPr>
            <w:tcW w:w="15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对选择在家供养的特困老年人，由县级政府民政部门依照有关规定给予分散供养，提供基本生活条件、疾病治疗、办理丧葬事宜等，对生活不能自理的给予照料。</w:t>
            </w:r>
          </w:p>
        </w:tc>
        <w:tc>
          <w:tcPr>
            <w:tcW w:w="153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照护服务</w:t>
            </w:r>
          </w:p>
        </w:tc>
        <w:tc>
          <w:tcPr>
            <w:tcW w:w="29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按照各地城乡分散供养特困人员基本生活标准执行。</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017" w:hRule="atLeast"/>
        </w:trPr>
        <w:tc>
          <w:tcPr>
            <w:tcW w:w="87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24"/>
                <w:szCs w:val="24"/>
              </w:rPr>
              <w:t>13</w:t>
            </w:r>
          </w:p>
        </w:tc>
        <w:tc>
          <w:tcPr>
            <w:tcW w:w="10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集中供养</w:t>
            </w:r>
          </w:p>
        </w:tc>
        <w:tc>
          <w:tcPr>
            <w:tcW w:w="15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对需要集中供养的特困老年人，由县级政府民政部门按照便于管理的原则，就近安排到相应的供养服务机构，提供基本生活条件、疾病治疗、办</w:t>
            </w:r>
            <w:r>
              <w:rPr>
                <w:rFonts w:hint="eastAsia" w:ascii="仿宋_GB2312" w:hAnsi="Times New Roman" w:eastAsia="仿宋_GB2312" w:cs="仿宋_GB2312"/>
                <w:i w:val="0"/>
                <w:iCs w:val="0"/>
                <w:caps w:val="0"/>
                <w:color w:val="333333"/>
                <w:spacing w:val="-6"/>
                <w:sz w:val="24"/>
                <w:szCs w:val="24"/>
              </w:rPr>
              <w:t>理丧葬事宜等，对生活不能自理的给予照料</w:t>
            </w:r>
            <w:r>
              <w:rPr>
                <w:rFonts w:hint="eastAsia" w:ascii="仿宋_GB2312" w:hAnsi="Times New Roman" w:eastAsia="仿宋_GB2312" w:cs="仿宋_GB2312"/>
                <w:i w:val="0"/>
                <w:iCs w:val="0"/>
                <w:caps w:val="0"/>
                <w:color w:val="333333"/>
                <w:spacing w:val="0"/>
                <w:sz w:val="24"/>
                <w:szCs w:val="24"/>
              </w:rPr>
              <w:t>。</w:t>
            </w:r>
          </w:p>
        </w:tc>
        <w:tc>
          <w:tcPr>
            <w:tcW w:w="153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照护服务</w:t>
            </w:r>
          </w:p>
        </w:tc>
        <w:tc>
          <w:tcPr>
            <w:tcW w:w="29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按照各地城乡集中供养特困人员基本生活和护理标准执行。</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tbl>
      <w:tblPr>
        <w:tblStyle w:val="4"/>
        <w:tblW w:w="8862" w:type="dxa"/>
        <w:tblInd w:w="0" w:type="dxa"/>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76"/>
        <w:gridCol w:w="876"/>
        <w:gridCol w:w="1020"/>
        <w:gridCol w:w="1545"/>
        <w:gridCol w:w="1545"/>
        <w:gridCol w:w="3000"/>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37" w:hRule="atLeast"/>
        </w:trPr>
        <w:tc>
          <w:tcPr>
            <w:tcW w:w="87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both"/>
              <w:rPr>
                <w:rFonts w:hint="default" w:ascii="Calibri" w:hAnsi="Calibri" w:cs="Calibri"/>
                <w:sz w:val="21"/>
                <w:szCs w:val="21"/>
              </w:rPr>
            </w:pPr>
            <w:r>
              <w:rPr>
                <w:rFonts w:hint="eastAsia" w:ascii="黑体" w:hAnsi="宋体" w:eastAsia="黑体" w:cs="黑体"/>
                <w:i w:val="0"/>
                <w:iCs w:val="0"/>
                <w:caps w:val="0"/>
                <w:color w:val="333333"/>
                <w:spacing w:val="0"/>
                <w:sz w:val="24"/>
                <w:szCs w:val="24"/>
              </w:rPr>
              <w:t>对象</w:t>
            </w:r>
          </w:p>
        </w:tc>
        <w:tc>
          <w:tcPr>
            <w:tcW w:w="1896"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Calibri" w:hAnsi="Calibri" w:cs="Calibri"/>
                <w:sz w:val="21"/>
                <w:szCs w:val="21"/>
              </w:rPr>
            </w:pPr>
            <w:r>
              <w:rPr>
                <w:rFonts w:hint="eastAsia" w:ascii="黑体" w:hAnsi="宋体" w:eastAsia="黑体" w:cs="黑体"/>
                <w:i w:val="0"/>
                <w:iCs w:val="0"/>
                <w:caps w:val="0"/>
                <w:color w:val="333333"/>
                <w:spacing w:val="0"/>
                <w:sz w:val="24"/>
                <w:szCs w:val="24"/>
              </w:rPr>
              <w:t>服务项目</w:t>
            </w:r>
          </w:p>
        </w:tc>
        <w:tc>
          <w:tcPr>
            <w:tcW w:w="154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Calibri" w:hAnsi="Calibri" w:cs="Calibri"/>
                <w:sz w:val="21"/>
                <w:szCs w:val="21"/>
              </w:rPr>
            </w:pPr>
            <w:r>
              <w:rPr>
                <w:rFonts w:hint="eastAsia" w:ascii="黑体" w:hAnsi="宋体" w:eastAsia="黑体" w:cs="黑体"/>
                <w:i w:val="0"/>
                <w:iCs w:val="0"/>
                <w:caps w:val="0"/>
                <w:color w:val="333333"/>
                <w:spacing w:val="0"/>
                <w:sz w:val="24"/>
                <w:szCs w:val="24"/>
              </w:rPr>
              <w:t>服务内容</w:t>
            </w:r>
          </w:p>
        </w:tc>
        <w:tc>
          <w:tcPr>
            <w:tcW w:w="154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Calibri" w:hAnsi="Calibri" w:cs="Calibri"/>
                <w:sz w:val="21"/>
                <w:szCs w:val="21"/>
              </w:rPr>
            </w:pPr>
            <w:r>
              <w:rPr>
                <w:rFonts w:hint="eastAsia" w:ascii="黑体" w:hAnsi="宋体" w:eastAsia="黑体" w:cs="黑体"/>
                <w:i w:val="0"/>
                <w:iCs w:val="0"/>
                <w:caps w:val="0"/>
                <w:color w:val="333333"/>
                <w:spacing w:val="0"/>
                <w:sz w:val="24"/>
                <w:szCs w:val="24"/>
              </w:rPr>
              <w:t>服务类型</w:t>
            </w:r>
          </w:p>
        </w:tc>
        <w:tc>
          <w:tcPr>
            <w:tcW w:w="300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Calibri" w:hAnsi="Calibri" w:cs="Calibri"/>
                <w:sz w:val="21"/>
                <w:szCs w:val="21"/>
              </w:rPr>
            </w:pPr>
            <w:r>
              <w:rPr>
                <w:rFonts w:hint="eastAsia" w:ascii="黑体" w:hAnsi="宋体" w:eastAsia="黑体" w:cs="黑体"/>
                <w:i w:val="0"/>
                <w:iCs w:val="0"/>
                <w:caps w:val="0"/>
                <w:color w:val="333333"/>
                <w:spacing w:val="0"/>
                <w:sz w:val="24"/>
                <w:szCs w:val="24"/>
              </w:rPr>
              <w:t>服务标准</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222" w:hRule="atLeast"/>
        </w:trPr>
        <w:tc>
          <w:tcPr>
            <w:tcW w:w="8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特殊困难老年人</w:t>
            </w:r>
          </w:p>
        </w:tc>
        <w:tc>
          <w:tcPr>
            <w:tcW w:w="8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24"/>
                <w:szCs w:val="24"/>
              </w:rPr>
              <w:t>14</w:t>
            </w:r>
          </w:p>
        </w:tc>
        <w:tc>
          <w:tcPr>
            <w:tcW w:w="10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探访服务</w:t>
            </w:r>
          </w:p>
        </w:tc>
        <w:tc>
          <w:tcPr>
            <w:tcW w:w="154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面向独居、空巢、留守、失能、重残、计划生育特殊家庭等老年人提供探访关爱服务。</w:t>
            </w:r>
          </w:p>
        </w:tc>
        <w:tc>
          <w:tcPr>
            <w:tcW w:w="154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关爱服务</w:t>
            </w:r>
          </w:p>
        </w:tc>
        <w:tc>
          <w:tcPr>
            <w:tcW w:w="300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按照《民政部</w:t>
            </w:r>
            <w:r>
              <w:rPr>
                <w:rFonts w:hint="default" w:ascii="Times New Roman" w:hAnsi="Times New Roman" w:eastAsia="微软雅黑" w:cs="Times New Roman"/>
                <w:i w:val="0"/>
                <w:iCs w:val="0"/>
                <w:caps w:val="0"/>
                <w:color w:val="333333"/>
                <w:spacing w:val="0"/>
                <w:sz w:val="24"/>
                <w:szCs w:val="24"/>
              </w:rPr>
              <w:t> </w:t>
            </w:r>
            <w:r>
              <w:rPr>
                <w:rFonts w:hint="eastAsia" w:ascii="仿宋_GB2312" w:hAnsi="Times New Roman" w:eastAsia="仿宋_GB2312" w:cs="仿宋_GB2312"/>
                <w:i w:val="0"/>
                <w:iCs w:val="0"/>
                <w:caps w:val="0"/>
                <w:color w:val="333333"/>
                <w:spacing w:val="0"/>
                <w:sz w:val="24"/>
                <w:szCs w:val="24"/>
              </w:rPr>
              <w:t>中央政法委</w:t>
            </w:r>
            <w:r>
              <w:rPr>
                <w:rFonts w:hint="default" w:ascii="Times New Roman" w:hAnsi="Times New Roman" w:eastAsia="微软雅黑" w:cs="Times New Roman"/>
                <w:i w:val="0"/>
                <w:iCs w:val="0"/>
                <w:caps w:val="0"/>
                <w:color w:val="333333"/>
                <w:spacing w:val="0"/>
                <w:sz w:val="24"/>
                <w:szCs w:val="24"/>
              </w:rPr>
              <w:t> </w:t>
            </w:r>
            <w:r>
              <w:rPr>
                <w:rFonts w:hint="eastAsia" w:ascii="仿宋_GB2312" w:hAnsi="Times New Roman" w:eastAsia="仿宋_GB2312" w:cs="仿宋_GB2312"/>
                <w:i w:val="0"/>
                <w:iCs w:val="0"/>
                <w:caps w:val="0"/>
                <w:color w:val="333333"/>
                <w:spacing w:val="0"/>
                <w:sz w:val="24"/>
                <w:szCs w:val="24"/>
              </w:rPr>
              <w:t>中央文明办</w:t>
            </w:r>
            <w:r>
              <w:rPr>
                <w:rFonts w:hint="default" w:ascii="Times New Roman" w:hAnsi="Times New Roman" w:eastAsia="微软雅黑" w:cs="Times New Roman"/>
                <w:i w:val="0"/>
                <w:iCs w:val="0"/>
                <w:caps w:val="0"/>
                <w:color w:val="333333"/>
                <w:spacing w:val="0"/>
                <w:sz w:val="24"/>
                <w:szCs w:val="24"/>
              </w:rPr>
              <w:t> </w:t>
            </w:r>
            <w:r>
              <w:rPr>
                <w:rFonts w:hint="eastAsia" w:ascii="仿宋_GB2312" w:hAnsi="Times New Roman" w:eastAsia="仿宋_GB2312" w:cs="仿宋_GB2312"/>
                <w:i w:val="0"/>
                <w:iCs w:val="0"/>
                <w:caps w:val="0"/>
                <w:color w:val="333333"/>
                <w:spacing w:val="0"/>
                <w:sz w:val="24"/>
                <w:szCs w:val="24"/>
              </w:rPr>
              <w:t>教育部</w:t>
            </w:r>
            <w:r>
              <w:rPr>
                <w:rFonts w:hint="default" w:ascii="Times New Roman" w:hAnsi="Times New Roman" w:eastAsia="微软雅黑" w:cs="Times New Roman"/>
                <w:i w:val="0"/>
                <w:iCs w:val="0"/>
                <w:caps w:val="0"/>
                <w:color w:val="333333"/>
                <w:spacing w:val="0"/>
                <w:sz w:val="24"/>
                <w:szCs w:val="24"/>
              </w:rPr>
              <w:t> </w:t>
            </w:r>
            <w:r>
              <w:rPr>
                <w:rFonts w:hint="eastAsia" w:ascii="仿宋_GB2312" w:hAnsi="Times New Roman" w:eastAsia="仿宋_GB2312" w:cs="仿宋_GB2312"/>
                <w:i w:val="0"/>
                <w:iCs w:val="0"/>
                <w:caps w:val="0"/>
                <w:color w:val="333333"/>
                <w:spacing w:val="0"/>
                <w:sz w:val="24"/>
                <w:szCs w:val="24"/>
              </w:rPr>
              <w:t>财政部</w:t>
            </w:r>
            <w:r>
              <w:rPr>
                <w:rFonts w:hint="default" w:ascii="Times New Roman" w:hAnsi="Times New Roman" w:eastAsia="微软雅黑" w:cs="Times New Roman"/>
                <w:i w:val="0"/>
                <w:iCs w:val="0"/>
                <w:caps w:val="0"/>
                <w:color w:val="333333"/>
                <w:spacing w:val="0"/>
                <w:sz w:val="24"/>
                <w:szCs w:val="24"/>
              </w:rPr>
              <w:t> </w:t>
            </w:r>
            <w:r>
              <w:rPr>
                <w:rFonts w:hint="eastAsia" w:ascii="仿宋_GB2312" w:hAnsi="Times New Roman" w:eastAsia="仿宋_GB2312" w:cs="仿宋_GB2312"/>
                <w:i w:val="0"/>
                <w:iCs w:val="0"/>
                <w:caps w:val="0"/>
                <w:color w:val="333333"/>
                <w:spacing w:val="0"/>
                <w:sz w:val="24"/>
                <w:szCs w:val="24"/>
              </w:rPr>
              <w:t>住房城乡建设部</w:t>
            </w:r>
            <w:r>
              <w:rPr>
                <w:rFonts w:hint="default" w:ascii="Times New Roman" w:hAnsi="Times New Roman" w:eastAsia="微软雅黑" w:cs="Times New Roman"/>
                <w:i w:val="0"/>
                <w:iCs w:val="0"/>
                <w:caps w:val="0"/>
                <w:color w:val="333333"/>
                <w:spacing w:val="0"/>
                <w:sz w:val="24"/>
                <w:szCs w:val="24"/>
              </w:rPr>
              <w:t> </w:t>
            </w:r>
            <w:r>
              <w:rPr>
                <w:rFonts w:hint="eastAsia" w:ascii="仿宋_GB2312" w:hAnsi="Times New Roman" w:eastAsia="仿宋_GB2312" w:cs="仿宋_GB2312"/>
                <w:i w:val="0"/>
                <w:iCs w:val="0"/>
                <w:caps w:val="0"/>
                <w:color w:val="333333"/>
                <w:spacing w:val="0"/>
                <w:sz w:val="24"/>
                <w:szCs w:val="24"/>
              </w:rPr>
              <w:t>农业农村部</w:t>
            </w:r>
            <w:r>
              <w:rPr>
                <w:rFonts w:hint="default" w:ascii="Times New Roman" w:hAnsi="Times New Roman" w:eastAsia="微软雅黑" w:cs="Times New Roman"/>
                <w:i w:val="0"/>
                <w:iCs w:val="0"/>
                <w:caps w:val="0"/>
                <w:color w:val="333333"/>
                <w:spacing w:val="0"/>
                <w:sz w:val="24"/>
                <w:szCs w:val="24"/>
              </w:rPr>
              <w:t> </w:t>
            </w:r>
            <w:r>
              <w:rPr>
                <w:rFonts w:hint="eastAsia" w:ascii="仿宋_GB2312" w:hAnsi="Times New Roman" w:eastAsia="仿宋_GB2312" w:cs="仿宋_GB2312"/>
                <w:i w:val="0"/>
                <w:iCs w:val="0"/>
                <w:caps w:val="0"/>
                <w:color w:val="333333"/>
                <w:spacing w:val="0"/>
                <w:sz w:val="24"/>
                <w:szCs w:val="24"/>
              </w:rPr>
              <w:t>国家卫生健康委</w:t>
            </w:r>
            <w:r>
              <w:rPr>
                <w:rFonts w:hint="default" w:ascii="Times New Roman" w:hAnsi="Times New Roman" w:eastAsia="微软雅黑" w:cs="Times New Roman"/>
                <w:i w:val="0"/>
                <w:iCs w:val="0"/>
                <w:caps w:val="0"/>
                <w:color w:val="333333"/>
                <w:spacing w:val="0"/>
                <w:sz w:val="24"/>
                <w:szCs w:val="24"/>
              </w:rPr>
              <w:t> </w:t>
            </w:r>
            <w:r>
              <w:rPr>
                <w:rFonts w:hint="eastAsia" w:ascii="仿宋_GB2312" w:hAnsi="Times New Roman" w:eastAsia="仿宋_GB2312" w:cs="仿宋_GB2312"/>
                <w:i w:val="0"/>
                <w:iCs w:val="0"/>
                <w:caps w:val="0"/>
                <w:color w:val="333333"/>
                <w:spacing w:val="0"/>
                <w:sz w:val="24"/>
                <w:szCs w:val="24"/>
              </w:rPr>
              <w:t>中国残联</w:t>
            </w:r>
            <w:r>
              <w:rPr>
                <w:rFonts w:hint="default" w:ascii="Times New Roman" w:hAnsi="Times New Roman" w:eastAsia="微软雅黑" w:cs="Times New Roman"/>
                <w:i w:val="0"/>
                <w:iCs w:val="0"/>
                <w:caps w:val="0"/>
                <w:color w:val="333333"/>
                <w:spacing w:val="0"/>
                <w:sz w:val="24"/>
                <w:szCs w:val="24"/>
              </w:rPr>
              <w:t> </w:t>
            </w:r>
            <w:r>
              <w:rPr>
                <w:rFonts w:hint="eastAsia" w:ascii="仿宋_GB2312" w:hAnsi="Times New Roman" w:eastAsia="仿宋_GB2312" w:cs="仿宋_GB2312"/>
                <w:i w:val="0"/>
                <w:iCs w:val="0"/>
                <w:caps w:val="0"/>
                <w:color w:val="333333"/>
                <w:spacing w:val="0"/>
                <w:sz w:val="24"/>
                <w:szCs w:val="24"/>
              </w:rPr>
              <w:t>全国老龄办关于开展特殊困难老年人探访关爱服务的指导意见》执行。</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820" w:hRule="atLeast"/>
        </w:trPr>
        <w:tc>
          <w:tcPr>
            <w:tcW w:w="8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对国家和社会作出特殊贡献的老年人</w:t>
            </w:r>
          </w:p>
        </w:tc>
        <w:tc>
          <w:tcPr>
            <w:tcW w:w="8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24"/>
                <w:szCs w:val="24"/>
              </w:rPr>
              <w:t>15</w:t>
            </w:r>
          </w:p>
        </w:tc>
        <w:tc>
          <w:tcPr>
            <w:tcW w:w="10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集中供养</w:t>
            </w:r>
          </w:p>
        </w:tc>
        <w:tc>
          <w:tcPr>
            <w:tcW w:w="154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老年烈士遗属、因公牺牲军人遗属、病故军人遗属和进入老年的残疾军人、复员军人、退伍军人，无法定赡养人、扶养人或者法定赡养人、扶养人无赡养、扶养能力且享受国家定期抚恤补助待遇的，提供集中供养、医疗等保障。</w:t>
            </w:r>
          </w:p>
        </w:tc>
        <w:tc>
          <w:tcPr>
            <w:tcW w:w="154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照护服务</w:t>
            </w:r>
          </w:p>
        </w:tc>
        <w:tc>
          <w:tcPr>
            <w:tcW w:w="30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按照《军人抚恤优待条例》《光荣院管理办法》等相关规定执行。</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215" w:hRule="atLeast"/>
        </w:trPr>
        <w:tc>
          <w:tcPr>
            <w:tcW w:w="8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计划生育特殊家庭老年人</w:t>
            </w:r>
          </w:p>
        </w:tc>
        <w:tc>
          <w:tcPr>
            <w:tcW w:w="8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24"/>
                <w:szCs w:val="24"/>
              </w:rPr>
              <w:t>16</w:t>
            </w:r>
          </w:p>
        </w:tc>
        <w:tc>
          <w:tcPr>
            <w:tcW w:w="10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优先享受机构养老</w:t>
            </w:r>
          </w:p>
        </w:tc>
        <w:tc>
          <w:tcPr>
            <w:tcW w:w="154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同等条件下优先入住政府投资兴办的养老机构。</w:t>
            </w:r>
          </w:p>
        </w:tc>
        <w:tc>
          <w:tcPr>
            <w:tcW w:w="154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照护服务</w:t>
            </w:r>
          </w:p>
        </w:tc>
        <w:tc>
          <w:tcPr>
            <w:tcW w:w="30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按照《新疆维吾尔自治区养老机构管理实施细则》执行。</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526" w:hRule="atLeast"/>
        </w:trPr>
        <w:tc>
          <w:tcPr>
            <w:tcW w:w="8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经认定符合条件的残疾老年人</w:t>
            </w:r>
          </w:p>
        </w:tc>
        <w:tc>
          <w:tcPr>
            <w:tcW w:w="8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24"/>
                <w:szCs w:val="24"/>
              </w:rPr>
              <w:t>17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rPr>
              <w:t> </w:t>
            </w:r>
          </w:p>
        </w:tc>
        <w:tc>
          <w:tcPr>
            <w:tcW w:w="10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困难残疾人生活补贴和重度残疾人护理补贴</w:t>
            </w:r>
          </w:p>
        </w:tc>
        <w:tc>
          <w:tcPr>
            <w:tcW w:w="154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为最低生活保障家庭中的残疾老年人提供生活补贴，为残疾等级被评定为一级、二级且需要长期照护的重度残疾老年人提供护理补贴。</w:t>
            </w:r>
          </w:p>
        </w:tc>
        <w:tc>
          <w:tcPr>
            <w:tcW w:w="154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物质帮助</w:t>
            </w:r>
          </w:p>
        </w:tc>
        <w:tc>
          <w:tcPr>
            <w:tcW w:w="30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具有新疆户籍，持有《中华人民共和国残疾人证》的残疾老年人，分别按照不低于</w:t>
            </w:r>
            <w:r>
              <w:rPr>
                <w:rFonts w:hint="default" w:ascii="Times New Roman" w:hAnsi="Times New Roman" w:eastAsia="微软雅黑" w:cs="Times New Roman"/>
                <w:i w:val="0"/>
                <w:iCs w:val="0"/>
                <w:caps w:val="0"/>
                <w:color w:val="333333"/>
                <w:spacing w:val="0"/>
                <w:sz w:val="24"/>
                <w:szCs w:val="24"/>
              </w:rPr>
              <w:t>110</w:t>
            </w:r>
            <w:r>
              <w:rPr>
                <w:rFonts w:hint="eastAsia" w:ascii="仿宋_GB2312" w:hAnsi="Times New Roman" w:eastAsia="仿宋_GB2312" w:cs="仿宋_GB2312"/>
                <w:i w:val="0"/>
                <w:iCs w:val="0"/>
                <w:caps w:val="0"/>
                <w:color w:val="333333"/>
                <w:spacing w:val="0"/>
                <w:sz w:val="24"/>
                <w:szCs w:val="24"/>
              </w:rPr>
              <w:t>元</w:t>
            </w:r>
            <w:r>
              <w:rPr>
                <w:rFonts w:hint="default" w:ascii="Times New Roman" w:hAnsi="Times New Roman" w:eastAsia="微软雅黑" w:cs="Times New Roman"/>
                <w:i w:val="0"/>
                <w:iCs w:val="0"/>
                <w:caps w:val="0"/>
                <w:color w:val="333333"/>
                <w:spacing w:val="0"/>
                <w:sz w:val="24"/>
                <w:szCs w:val="24"/>
              </w:rPr>
              <w:t>/</w:t>
            </w:r>
            <w:r>
              <w:rPr>
                <w:rFonts w:hint="eastAsia" w:ascii="仿宋_GB2312" w:hAnsi="Times New Roman" w:eastAsia="仿宋_GB2312" w:cs="仿宋_GB2312"/>
                <w:i w:val="0"/>
                <w:iCs w:val="0"/>
                <w:caps w:val="0"/>
                <w:color w:val="333333"/>
                <w:spacing w:val="0"/>
                <w:sz w:val="24"/>
                <w:szCs w:val="24"/>
              </w:rPr>
              <w:t>人</w:t>
            </w:r>
            <w:r>
              <w:rPr>
                <w:rFonts w:hint="default" w:ascii="Times New Roman" w:hAnsi="Times New Roman" w:eastAsia="微软雅黑" w:cs="Times New Roman"/>
                <w:i w:val="0"/>
                <w:iCs w:val="0"/>
                <w:caps w:val="0"/>
                <w:color w:val="333333"/>
                <w:spacing w:val="0"/>
                <w:sz w:val="24"/>
                <w:szCs w:val="24"/>
              </w:rPr>
              <w:t>/</w:t>
            </w:r>
            <w:r>
              <w:rPr>
                <w:rFonts w:hint="eastAsia" w:ascii="仿宋_GB2312" w:hAnsi="Times New Roman" w:eastAsia="仿宋_GB2312" w:cs="仿宋_GB2312"/>
                <w:i w:val="0"/>
                <w:iCs w:val="0"/>
                <w:caps w:val="0"/>
                <w:color w:val="333333"/>
                <w:spacing w:val="0"/>
                <w:sz w:val="24"/>
                <w:szCs w:val="24"/>
              </w:rPr>
              <w:t>月标准发放困难残疾人生活补贴、重度残疾人护理补贴。</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tbl>
      <w:tblPr>
        <w:tblStyle w:val="4"/>
        <w:tblW w:w="8862" w:type="dxa"/>
        <w:tblInd w:w="0" w:type="dxa"/>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76"/>
        <w:gridCol w:w="876"/>
        <w:gridCol w:w="1035"/>
        <w:gridCol w:w="1500"/>
        <w:gridCol w:w="1545"/>
        <w:gridCol w:w="3030"/>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37" w:hRule="atLeast"/>
        </w:trPr>
        <w:tc>
          <w:tcPr>
            <w:tcW w:w="87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both"/>
              <w:rPr>
                <w:rFonts w:hint="default" w:ascii="Calibri" w:hAnsi="Calibri" w:cs="Calibri"/>
                <w:sz w:val="21"/>
                <w:szCs w:val="21"/>
              </w:rPr>
            </w:pPr>
            <w:r>
              <w:rPr>
                <w:rFonts w:hint="eastAsia" w:ascii="黑体" w:hAnsi="宋体" w:eastAsia="黑体" w:cs="黑体"/>
                <w:i w:val="0"/>
                <w:iCs w:val="0"/>
                <w:caps w:val="0"/>
                <w:color w:val="333333"/>
                <w:spacing w:val="0"/>
                <w:sz w:val="24"/>
                <w:szCs w:val="24"/>
              </w:rPr>
              <w:t>对象</w:t>
            </w:r>
          </w:p>
        </w:tc>
        <w:tc>
          <w:tcPr>
            <w:tcW w:w="1911"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Calibri" w:hAnsi="Calibri" w:cs="Calibri"/>
                <w:sz w:val="21"/>
                <w:szCs w:val="21"/>
              </w:rPr>
            </w:pPr>
            <w:r>
              <w:rPr>
                <w:rFonts w:hint="eastAsia" w:ascii="黑体" w:hAnsi="宋体" w:eastAsia="黑体" w:cs="黑体"/>
                <w:i w:val="0"/>
                <w:iCs w:val="0"/>
                <w:caps w:val="0"/>
                <w:color w:val="333333"/>
                <w:spacing w:val="0"/>
                <w:sz w:val="24"/>
                <w:szCs w:val="24"/>
              </w:rPr>
              <w:t>服务项目</w:t>
            </w:r>
          </w:p>
        </w:tc>
        <w:tc>
          <w:tcPr>
            <w:tcW w:w="150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Calibri" w:hAnsi="Calibri" w:cs="Calibri"/>
                <w:sz w:val="21"/>
                <w:szCs w:val="21"/>
              </w:rPr>
            </w:pPr>
            <w:r>
              <w:rPr>
                <w:rFonts w:hint="eastAsia" w:ascii="黑体" w:hAnsi="宋体" w:eastAsia="黑体" w:cs="黑体"/>
                <w:i w:val="0"/>
                <w:iCs w:val="0"/>
                <w:caps w:val="0"/>
                <w:color w:val="333333"/>
                <w:spacing w:val="0"/>
                <w:sz w:val="24"/>
                <w:szCs w:val="24"/>
              </w:rPr>
              <w:t>服务内容</w:t>
            </w:r>
          </w:p>
        </w:tc>
        <w:tc>
          <w:tcPr>
            <w:tcW w:w="154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Calibri" w:hAnsi="Calibri" w:cs="Calibri"/>
                <w:sz w:val="21"/>
                <w:szCs w:val="21"/>
              </w:rPr>
            </w:pPr>
            <w:r>
              <w:rPr>
                <w:rFonts w:hint="eastAsia" w:ascii="黑体" w:hAnsi="宋体" w:eastAsia="黑体" w:cs="黑体"/>
                <w:i w:val="0"/>
                <w:iCs w:val="0"/>
                <w:caps w:val="0"/>
                <w:color w:val="333333"/>
                <w:spacing w:val="0"/>
                <w:sz w:val="24"/>
                <w:szCs w:val="24"/>
              </w:rPr>
              <w:t>服务类型</w:t>
            </w:r>
          </w:p>
        </w:tc>
        <w:tc>
          <w:tcPr>
            <w:tcW w:w="303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Calibri" w:hAnsi="Calibri" w:cs="Calibri"/>
                <w:sz w:val="21"/>
                <w:szCs w:val="21"/>
              </w:rPr>
            </w:pPr>
            <w:r>
              <w:rPr>
                <w:rFonts w:hint="eastAsia" w:ascii="黑体" w:hAnsi="宋体" w:eastAsia="黑体" w:cs="黑体"/>
                <w:i w:val="0"/>
                <w:iCs w:val="0"/>
                <w:caps w:val="0"/>
                <w:color w:val="333333"/>
                <w:spacing w:val="0"/>
                <w:sz w:val="24"/>
                <w:szCs w:val="24"/>
              </w:rPr>
              <w:t>服务标准</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046" w:hRule="atLeast"/>
        </w:trPr>
        <w:tc>
          <w:tcPr>
            <w:tcW w:w="8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生活无着的流浪、乞讨老年人</w:t>
            </w:r>
          </w:p>
        </w:tc>
        <w:tc>
          <w:tcPr>
            <w:tcW w:w="8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24"/>
                <w:szCs w:val="24"/>
              </w:rPr>
              <w:t>18</w:t>
            </w:r>
          </w:p>
        </w:tc>
        <w:tc>
          <w:tcPr>
            <w:tcW w:w="10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社会救助</w:t>
            </w:r>
          </w:p>
        </w:tc>
        <w:tc>
          <w:tcPr>
            <w:tcW w:w="15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依照有关规定给予救助。</w:t>
            </w:r>
          </w:p>
        </w:tc>
        <w:tc>
          <w:tcPr>
            <w:tcW w:w="154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物质帮助</w:t>
            </w:r>
          </w:p>
        </w:tc>
        <w:tc>
          <w:tcPr>
            <w:tcW w:w="303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Calibri" w:hAnsi="Calibri" w:cs="Calibri"/>
                <w:sz w:val="21"/>
                <w:szCs w:val="21"/>
              </w:rPr>
            </w:pPr>
            <w:r>
              <w:rPr>
                <w:rFonts w:hint="eastAsia" w:ascii="仿宋_GB2312" w:hAnsi="Times New Roman" w:eastAsia="仿宋_GB2312" w:cs="仿宋_GB2312"/>
                <w:i w:val="0"/>
                <w:iCs w:val="0"/>
                <w:caps w:val="0"/>
                <w:color w:val="333333"/>
                <w:spacing w:val="0"/>
                <w:sz w:val="24"/>
                <w:szCs w:val="24"/>
              </w:rPr>
              <w:t>按照《城市生活无着的流浪乞讨人员救助管理办法》执行。</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rPr>
          <w:rFonts w:hint="eastAsia" w:ascii="微软雅黑" w:hAnsi="微软雅黑" w:eastAsia="微软雅黑" w:cs="微软雅黑"/>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rPr>
          <w:rFonts w:hint="eastAsia" w:ascii="微软雅黑" w:hAnsi="微软雅黑" w:eastAsia="微软雅黑" w:cs="微软雅黑"/>
        </w:rPr>
      </w:pPr>
    </w:p>
    <w:p/>
    <w:sectPr>
      <w:pgSz w:w="11906" w:h="16838"/>
      <w:pgMar w:top="1440" w:right="1587" w:bottom="1440" w:left="1587" w:header="851" w:footer="709"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86270"/>
    <w:multiLevelType w:val="multilevel"/>
    <w:tmpl w:val="3A28627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MmZjY2FiMDBhMjIzZDdjMDc5YzM2NGE3MGQyODYifQ=="/>
  </w:docVars>
  <w:rsids>
    <w:rsidRoot w:val="6DD514AF"/>
    <w:rsid w:val="1E8A4524"/>
    <w:rsid w:val="20032DC2"/>
    <w:rsid w:val="2C2C4CC5"/>
    <w:rsid w:val="2DE62BB2"/>
    <w:rsid w:val="39EC11A5"/>
    <w:rsid w:val="3D96035A"/>
    <w:rsid w:val="518E3910"/>
    <w:rsid w:val="602B3353"/>
    <w:rsid w:val="6DD51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方正小标宋_GBK"/>
      <w:color w:val="000000" w:themeColor="text1"/>
      <w:kern w:val="2"/>
      <w:sz w:val="40"/>
      <w:szCs w:val="40"/>
      <w:lang w:val="en-US" w:eastAsia="zh-CN" w:bidi="ar-SA"/>
      <w14:textFill>
        <w14:solidFill>
          <w14:schemeClr w14:val="tx1"/>
        </w14:solidFill>
      </w14:textFill>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2023-11-16T04:51:00Z</dcterms:created>
  <dc:creator>ylk03</dc:creator>
  <cp:lastModifiedBy>bgs05</cp:lastModifiedBy>
  <dcterms:modified xsi:type="dcterms:W3CDTF">2023-11-16T04:57:55Z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47DB857B6D5A4358A5E10C408534261B_11</vt:lpwstr>
  </property>
</Properties>
</file>