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</w:rPr>
        <w:t>关于《昌吉州落实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  <w:lang w:val="en-US" w:eastAsia="zh-CN"/>
        </w:rPr>
        <w:t>&lt;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</w:rPr>
        <w:t>自治区“十四五”城乡社区服务体系建设规划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  <w:lang w:val="en-US" w:eastAsia="zh-CN"/>
        </w:rPr>
        <w:t>&gt;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sz w:val="44"/>
          <w:szCs w:val="44"/>
        </w:rPr>
        <w:t>实施方案(征求意见稿)》的说明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我州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城乡社区服务体系建设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丰富服务主体和服务业态，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更好落实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国务院办公厅《“十四五”城乡社区服务体系建设规划》、自治区人民政府办公厅《关于印发新疆维吾尔自治区“十四五”城乡社区服务体系建设规划的通知》（新政办发〔2022〕34号）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（以下简称《通知》）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特别是按照《通知》关于“各地州市依照本规划，结合当地实际研究制定本地区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城乡社区服务体系建设方案”的要求，以及自治区民政厅2月14日——15日在克拉玛依召开的全疆社会工作站建设推进会议上关于“各地州要认真落实自治区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《通知》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加快制定本地区实施方案”的要求，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研究起草本《方案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《方案》分为3部分，分别是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、重点任务、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工作目标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此部分内容与自治区规划要求保持一致。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到2025年末，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城乡社区综合服务设施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覆盖率、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新建社区商业和综合服务设施面积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比例、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社区综合服务设施（社区党群服务中心）面积、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城市社区政务通用自助服务覆盖率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城市社区日间照料机构覆盖率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等城乡社区服务设施全部达标，城乡社区工作者、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社会工作专业人才素质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水平进一步提升。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（二）重点任务。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社区服务格局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服务供给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服务效能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服务数字化建设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服务人才队伍建设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5个方面明确了1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任务。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一是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完善城乡社区服务格局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明确了党对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城乡社区服务体系建设的全面领导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，要进一步健全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村（社区）党组织引领、基层群众性自治组织主导、村（居）民为主体，群团组织、社区社会组织、社会工作者、志愿者和驻区单位共同参与、协同开展城乡社区服务的体制机制。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二是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增加城乡社区服务供给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从为民服务、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安民服务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设施服务、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便民服务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4个方面阐述了安全、教育、文化、医疗、养老、救助、民族团结等具体工作举措。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三是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提升城乡社区服务效能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明确了以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乡社区综合服务设施布局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为目标，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推进城乡社区综合服务设施标准化规范化建设，确保社区商业和综合服务设施面积达标。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以县（市）为单元统筹用好各项支持城乡社区政策，以及面向城乡社区的服务资金、资源、项目等。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</w:rPr>
        <w:t>加快城乡社区服务数字化建设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主要说明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数字化政务服务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在城乡社区建设中的重要作用和具体落实措施，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充分发挥新疆一体化政务服务平台作用，推动“互联网＋政务服务”向乡镇（街道）、村（社区）延伸覆盖。开发养老、家政、卫生、托育等网上服务项目应用，推动社区物业设备设施、安防等智能化改造升级。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五是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加强城乡社区服务人才队伍建设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建立健全村（社区）党组织书记后备人才库，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提升社区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工作者专业化水平，全面推动乡镇（街道）社会工作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站建设。加强城乡社区服务人才培训管理，健全完善分级培训制度，用好现有培训基地和在线培训平台。到2025年，城乡社区工作者培训覆盖率达到100％。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（三）保障措施。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从强化组织领导、强化政策支持、强化制度支撑、强化监督考核四个方面对如何保障《方案》有效落实提出工作要求。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30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30" w:lineRule="atLeast"/>
        <w:ind w:right="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76C0"/>
    <w:rsid w:val="3CB776C0"/>
    <w:rsid w:val="653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2023-09-21T17:53:00Z</dcterms:created>
  <dc:creator>bgs05</dc:creator>
  <cp:lastModifiedBy>bgs05</cp:lastModifiedBy>
  <dcterms:modified xsi:type="dcterms:W3CDTF">2023-09-21T18:11:08Z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