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8"/>
        <w:ind w:left="0" w:leftChars="0" w:firstLine="0" w:firstLineChars="0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昌吉回族自治州林业草原保护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利用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“十五五”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规划</w:t>
      </w:r>
    </w:p>
    <w:p>
      <w:pPr>
        <w:pStyle w:val="23"/>
        <w:tabs>
          <w:tab w:val="right" w:leader="dot" w:pos="8845"/>
        </w:tabs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default" w:ascii="黑体" w:hAnsi="黑体" w:eastAsia="黑体" w:cs="黑体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  <w:t>（征求意见稿）</w:t>
      </w:r>
      <w:bookmarkStart w:id="165" w:name="_GoBack"/>
      <w:bookmarkEnd w:id="165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ind w:left="0" w:leftChars="0" w:firstLine="0" w:firstLineChars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  <w:t>昌吉回族自治州林业和草原局</w:t>
      </w:r>
    </w:p>
    <w:p>
      <w:pPr>
        <w:pStyle w:val="2"/>
        <w:jc w:val="center"/>
        <w:outlineLvl w:val="0"/>
        <w:rPr>
          <w:rFonts w:hint="default" w:ascii="黑体" w:hAnsi="黑体" w:eastAsia="黑体" w:cs="黑体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  <w:t>二〇二六年五月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/>
          <w:lang w:val="en-US" w:eastAsia="zh-CN"/>
        </w:rPr>
      </w:pPr>
    </w:p>
    <w:p>
      <w:pPr>
        <w:pStyle w:val="8"/>
        <w:rPr>
          <w:rFonts w:hint="eastAsia"/>
          <w:lang w:val="en-US" w:eastAsia="zh-CN"/>
        </w:rPr>
      </w:pP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70463"/>
        <w:docPartObj>
          <w:docPartGallery w:val="Table of Contents"/>
          <w:docPartUnique/>
        </w:docPartObj>
      </w:sdtPr>
      <w:sdtEndPr>
        <w:rPr>
          <w:rFonts w:ascii="Times New Roman" w:hAnsi="Times New Roman" w:eastAsia="宋体" w:cs="Times New Roman"/>
          <w:kern w:val="2"/>
          <w:sz w:val="20"/>
          <w:szCs w:val="20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bookmarkStart w:id="0" w:name="_Toc22745_WPSOffice_Type2"/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_Toc25058_WPSOffice_Level1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6964f239-9d27-45cd-b1b0-6b7f92a0f38c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第一章  总体要求</w:t>
              </w:r>
            </w:sdtContent>
          </w:sdt>
          <w:r>
            <w:rPr>
              <w:b/>
              <w:bCs/>
            </w:rPr>
            <w:tab/>
          </w:r>
          <w:bookmarkStart w:id="1" w:name="_Toc25058_WPSOffice_Level1Page"/>
          <w:r>
            <w:rPr>
              <w:b/>
              <w:bCs/>
            </w:rPr>
            <w:t>1</w:t>
          </w:r>
          <w:bookmarkEnd w:id="1"/>
          <w:r>
            <w:rPr>
              <w:b/>
              <w:bCs/>
            </w:rP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_Toc22745_WPSOffice_Level2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2319"/>
              <w:placeholder>
                <w:docPart w:val="{0c50cd8d-9de6-4148-9bee-1cdc1321525c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一、指导思想</w:t>
              </w:r>
            </w:sdtContent>
          </w:sdt>
          <w:r>
            <w:tab/>
          </w:r>
          <w:bookmarkStart w:id="2" w:name="_Toc22745_WPSOffice_Level2Page"/>
          <w:r>
            <w:t>1</w:t>
          </w:r>
          <w:bookmarkEnd w:id="2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_Toc6727_WPSOffice_Level2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5640"/>
              <w:placeholder>
                <w:docPart w:val="{72392ced-dd52-4361-9313-5a3597d00d5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二、基本原则</w:t>
              </w:r>
            </w:sdtContent>
          </w:sdt>
          <w:r>
            <w:tab/>
          </w:r>
          <w:bookmarkStart w:id="3" w:name="_Toc6727_WPSOffice_Level2Page"/>
          <w:r>
            <w:t>1</w:t>
          </w:r>
          <w:bookmarkEnd w:id="3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_Toc23965_WPSOffice_Level2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2929"/>
              <w:placeholder>
                <w:docPart w:val="{50d66df8-d62c-45bc-ad7e-96c12d78e411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三、发展目标</w:t>
              </w:r>
            </w:sdtContent>
          </w:sdt>
          <w:r>
            <w:tab/>
          </w:r>
          <w:bookmarkStart w:id="4" w:name="_Toc23965_WPSOffice_Level2Page"/>
          <w:r>
            <w:t>3</w:t>
          </w:r>
          <w:bookmarkEnd w:id="4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_Toc30574_WPSOffice_Level2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2031"/>
              <w:placeholder>
                <w:docPart w:val="{ce991aca-982e-46d2-ba77-7f1484de108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四、发展方向及重点</w:t>
              </w:r>
            </w:sdtContent>
          </w:sdt>
          <w:r>
            <w:tab/>
          </w:r>
          <w:bookmarkStart w:id="5" w:name="_Toc30574_WPSOffice_Level2Page"/>
          <w:r>
            <w:t>3</w:t>
          </w:r>
          <w:bookmarkEnd w:id="5"/>
          <w:r>
            <w:fldChar w:fldCharType="end"/>
          </w:r>
        </w:p>
        <w:p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_Toc22745_WPSOffice_Level1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60484"/>
              <w:placeholder>
                <w:docPart w:val="{f72506a3-686b-41e8-bbb2-3784e3a1a738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第二章  生态修复治理</w:t>
              </w:r>
            </w:sdtContent>
          </w:sdt>
          <w:r>
            <w:rPr>
              <w:b/>
              <w:bCs/>
            </w:rPr>
            <w:tab/>
          </w:r>
          <w:bookmarkStart w:id="6" w:name="_Toc22745_WPSOffice_Level1Page"/>
          <w:r>
            <w:rPr>
              <w:b/>
              <w:bCs/>
            </w:rPr>
            <w:t>11</w:t>
          </w:r>
          <w:bookmarkEnd w:id="6"/>
          <w:r>
            <w:rPr>
              <w:b/>
              <w:bCs/>
            </w:rP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_Toc20081_WPSOffice_Level2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5444"/>
              <w:placeholder>
                <w:docPart w:val="{f953271e-1dee-4f76-9f32-ec758cf812f7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一、全力推进生态修复</w:t>
              </w:r>
            </w:sdtContent>
          </w:sdt>
          <w:r>
            <w:tab/>
          </w:r>
          <w:bookmarkStart w:id="7" w:name="_Toc20081_WPSOffice_Level2Page"/>
          <w:r>
            <w:t>12</w:t>
          </w:r>
          <w:bookmarkEnd w:id="7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_Toc11318_WPSOffice_Level2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8280"/>
              <w:placeholder>
                <w:docPart w:val="{b5786734-d622-4748-9efc-bd13c12b71fd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二、科学开展国土绿化</w:t>
              </w:r>
            </w:sdtContent>
          </w:sdt>
          <w:r>
            <w:tab/>
          </w:r>
          <w:bookmarkStart w:id="8" w:name="_Toc11318_WPSOffice_Level2Page"/>
          <w:r>
            <w:t>13</w:t>
          </w:r>
          <w:bookmarkEnd w:id="8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_Toc14831_WPSOffice_Level2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5744"/>
              <w:placeholder>
                <w:docPart w:val="{fb1f7d64-6cbc-411d-a3cb-49a580323cf3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三、统筹推进防沙治沙</w:t>
              </w:r>
            </w:sdtContent>
          </w:sdt>
          <w:r>
            <w:tab/>
          </w:r>
          <w:bookmarkStart w:id="9" w:name="_Toc14831_WPSOffice_Level2Page"/>
          <w:r>
            <w:t>14</w:t>
          </w:r>
          <w:bookmarkEnd w:id="9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_Toc27992_WPSOffice_Level2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0446"/>
              <w:placeholder>
                <w:docPart w:val="{8049c080-42d8-4b97-bf41-99042162ad67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四、加强湿地生态修复</w:t>
              </w:r>
            </w:sdtContent>
          </w:sdt>
          <w:r>
            <w:tab/>
          </w:r>
          <w:bookmarkStart w:id="10" w:name="_Toc27992_WPSOffice_Level2Page"/>
          <w:r>
            <w:t>15</w:t>
          </w:r>
          <w:bookmarkEnd w:id="10"/>
          <w:r>
            <w:fldChar w:fldCharType="end"/>
          </w:r>
        </w:p>
        <w:p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_Toc6727_WPSOffice_Level1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67492"/>
              <w:placeholder>
                <w:docPart w:val="{d4111ec6-0fe6-4165-8062-3b5c8fc039d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第三章</w:t>
              </w:r>
              <w:r>
                <w:rPr>
                  <w:rFonts w:hint="eastAsia" w:ascii="楷体_GB2312" w:hAnsi="楷体_GB2312" w:eastAsia="楷体_GB2312" w:cs="楷体_GB2312"/>
                  <w:b/>
                  <w:bCs/>
                </w:rPr>
                <w:t xml:space="preserve">  </w:t>
              </w:r>
              <w:r>
                <w:rPr>
                  <w:rFonts w:hint="eastAsia" w:ascii="黑体" w:hAnsi="黑体" w:eastAsia="黑体" w:cs="黑体"/>
                  <w:b/>
                  <w:bCs/>
                </w:rPr>
                <w:t>林草资源保护</w:t>
              </w:r>
            </w:sdtContent>
          </w:sdt>
          <w:r>
            <w:rPr>
              <w:b/>
              <w:bCs/>
            </w:rPr>
            <w:tab/>
          </w:r>
          <w:bookmarkStart w:id="11" w:name="_Toc6727_WPSOffice_Level1Page"/>
          <w:r>
            <w:rPr>
              <w:b/>
              <w:bCs/>
            </w:rPr>
            <w:t>16</w:t>
          </w:r>
          <w:bookmarkEnd w:id="11"/>
          <w:r>
            <w:rPr>
              <w:b/>
              <w:bCs/>
            </w:rP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_Toc2125_WPSOffice_Level2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5998"/>
              <w:placeholder>
                <w:docPart w:val="{094289e9-a3f9-4a75-8198-4b993be47a25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一、天然林保护</w:t>
              </w:r>
            </w:sdtContent>
          </w:sdt>
          <w:r>
            <w:tab/>
          </w:r>
          <w:bookmarkStart w:id="12" w:name="_Toc2125_WPSOffice_Level2Page"/>
          <w:r>
            <w:t>16</w:t>
          </w:r>
          <w:bookmarkEnd w:id="12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_Toc30485_WPSOffice_Level2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4786"/>
              <w:placeholder>
                <w:docPart w:val="{29e4a678-f89e-4708-a23a-87927d54db1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二、草原生态保护</w:t>
              </w:r>
            </w:sdtContent>
          </w:sdt>
          <w:r>
            <w:tab/>
          </w:r>
          <w:bookmarkStart w:id="13" w:name="_Toc30485_WPSOffice_Level2Page"/>
          <w:r>
            <w:t>17</w:t>
          </w:r>
          <w:bookmarkEnd w:id="13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_Toc3643_WPSOffice_Level2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5409"/>
              <w:placeholder>
                <w:docPart w:val="{97039dc4-8f0e-4954-aef6-e95212214a4f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三、自然保护地体系建设</w:t>
              </w:r>
            </w:sdtContent>
          </w:sdt>
          <w:r>
            <w:tab/>
          </w:r>
          <w:bookmarkStart w:id="14" w:name="_Toc3643_WPSOffice_Level2Page"/>
          <w:r>
            <w:t>18</w:t>
          </w:r>
          <w:bookmarkEnd w:id="14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_Toc30461_WPSOffice_Level2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3087"/>
              <w:placeholder>
                <w:docPart w:val="{93c35efe-dbee-491a-b757-17f776c97cf1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四、野生动植物保护</w:t>
              </w:r>
            </w:sdtContent>
          </w:sdt>
          <w:r>
            <w:tab/>
          </w:r>
          <w:bookmarkStart w:id="15" w:name="_Toc30461_WPSOffice_Level2Page"/>
          <w:r>
            <w:t>19</w:t>
          </w:r>
          <w:bookmarkEnd w:id="15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_Toc26632_WPSOffice_Level2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6889"/>
              <w:placeholder>
                <w:docPart w:val="{5dd5ba82-d0a5-42c2-bb05-c4ecdd400206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五、古树名木保护</w:t>
              </w:r>
            </w:sdtContent>
          </w:sdt>
          <w:r>
            <w:tab/>
          </w:r>
          <w:bookmarkStart w:id="16" w:name="_Toc26632_WPSOffice_Level2Page"/>
          <w:r>
            <w:t>21</w:t>
          </w:r>
          <w:bookmarkEnd w:id="16"/>
          <w:r>
            <w:fldChar w:fldCharType="end"/>
          </w:r>
        </w:p>
        <w:p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_Toc23965_WPSOffice_Level1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67886"/>
              <w:placeholder>
                <w:docPart w:val="{291f0754-5411-43c6-844c-0c39ef8e7a66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第四章</w:t>
              </w:r>
              <w:r>
                <w:rPr>
                  <w:rFonts w:hint="eastAsia" w:ascii="楷体_GB2312" w:hAnsi="楷体_GB2312" w:eastAsia="楷体_GB2312" w:cs="楷体_GB2312"/>
                  <w:b/>
                  <w:bCs/>
                </w:rPr>
                <w:t xml:space="preserve">  </w:t>
              </w:r>
              <w:r>
                <w:rPr>
                  <w:rFonts w:hint="eastAsia" w:ascii="黑体" w:hAnsi="黑体" w:eastAsia="黑体" w:cs="黑体"/>
                  <w:b/>
                  <w:bCs/>
                </w:rPr>
                <w:t>产业提质增效</w:t>
              </w:r>
            </w:sdtContent>
          </w:sdt>
          <w:r>
            <w:rPr>
              <w:b/>
              <w:bCs/>
            </w:rPr>
            <w:tab/>
          </w:r>
          <w:bookmarkStart w:id="17" w:name="_Toc23965_WPSOffice_Level1Page"/>
          <w:r>
            <w:rPr>
              <w:b/>
              <w:bCs/>
            </w:rPr>
            <w:t>21</w:t>
          </w:r>
          <w:bookmarkEnd w:id="17"/>
          <w:r>
            <w:rPr>
              <w:b/>
              <w:bCs/>
            </w:rP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_Toc12577_WPSOffice_Level2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9352"/>
              <w:placeholder>
                <w:docPart w:val="{7a19ab8c-bab8-47e1-9dd6-ae1b610a3865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一、推动林果产业转型升级</w:t>
              </w:r>
            </w:sdtContent>
          </w:sdt>
          <w:r>
            <w:tab/>
          </w:r>
          <w:bookmarkStart w:id="18" w:name="_Toc12577_WPSOffice_Level2Page"/>
          <w:r>
            <w:t>21</w:t>
          </w:r>
          <w:bookmarkEnd w:id="18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_Toc26262_WPSOffice_Level2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80652"/>
              <w:placeholder>
                <w:docPart w:val="{9a004329-d19f-4acb-a8f8-e38ac107b829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二、推进葡萄酒产业融合发展</w:t>
              </w:r>
            </w:sdtContent>
          </w:sdt>
          <w:r>
            <w:tab/>
          </w:r>
          <w:bookmarkStart w:id="19" w:name="_Toc26262_WPSOffice_Level2Page"/>
          <w:r>
            <w:t>23</w:t>
          </w:r>
          <w:bookmarkEnd w:id="19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_Toc9126_WPSOffice_Level2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8196"/>
              <w:placeholder>
                <w:docPart w:val="{39bd7e8e-b26d-411e-8665-f7b601d94457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三、做优做强种苗花卉产业</w:t>
              </w:r>
            </w:sdtContent>
          </w:sdt>
          <w:r>
            <w:tab/>
          </w:r>
          <w:bookmarkStart w:id="20" w:name="_Toc9126_WPSOffice_Level2Page"/>
          <w:r>
            <w:t>24</w:t>
          </w:r>
          <w:bookmarkEnd w:id="20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_Toc25880_WPSOffice_Level2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81365"/>
              <w:placeholder>
                <w:docPart w:val="{33f90e7b-1177-43bf-8c05-03facf75312f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四、培育壮大林下特色经济</w:t>
              </w:r>
            </w:sdtContent>
          </w:sdt>
          <w:r>
            <w:tab/>
          </w:r>
          <w:bookmarkStart w:id="21" w:name="_Toc25880_WPSOffice_Level2Page"/>
          <w:r>
            <w:t>26</w:t>
          </w:r>
          <w:bookmarkEnd w:id="21"/>
          <w:r>
            <w:fldChar w:fldCharType="end"/>
          </w:r>
        </w:p>
        <w:p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_Toc30574_WPSOffice_Level1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68138"/>
              <w:placeholder>
                <w:docPart w:val="{c1d94d9c-9206-4897-b417-a5d62b724407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第五章  健全安全防控体系</w:t>
              </w:r>
            </w:sdtContent>
          </w:sdt>
          <w:r>
            <w:rPr>
              <w:b/>
              <w:bCs/>
            </w:rPr>
            <w:tab/>
          </w:r>
          <w:bookmarkStart w:id="22" w:name="_Toc30574_WPSOffice_Level1Page"/>
          <w:r>
            <w:rPr>
              <w:b/>
              <w:bCs/>
            </w:rPr>
            <w:t>27</w:t>
          </w:r>
          <w:bookmarkEnd w:id="22"/>
          <w:r>
            <w:rPr>
              <w:b/>
              <w:bCs/>
            </w:rP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_Toc17421_WPSOffice_Level2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3247"/>
              <w:placeholder>
                <w:docPart w:val="{eae17708-28b7-4b68-b441-e300c4b3beda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一、提高森林草原防灭火能力</w:t>
              </w:r>
            </w:sdtContent>
          </w:sdt>
          <w:r>
            <w:tab/>
          </w:r>
          <w:bookmarkStart w:id="23" w:name="_Toc17421_WPSOffice_Level2Page"/>
          <w:r>
            <w:t>27</w:t>
          </w:r>
          <w:bookmarkEnd w:id="23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_Toc21949_WPSOffice_Level2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4132"/>
              <w:placeholder>
                <w:docPart w:val="{0e0a739b-cfc6-41ea-98a0-be74d93dddbb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二、加强林草有害生物防控</w:t>
              </w:r>
            </w:sdtContent>
          </w:sdt>
          <w:r>
            <w:tab/>
          </w:r>
          <w:bookmarkStart w:id="24" w:name="_Toc21949_WPSOffice_Level2Page"/>
          <w:r>
            <w:t>28</w:t>
          </w:r>
          <w:bookmarkEnd w:id="24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_Toc2995_WPSOffice_Level2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1911"/>
              <w:placeholder>
                <w:docPart w:val="{e1b6f3f9-c018-4721-a473-0cc5b79477ed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三、加强野生动物疫源疫病防控</w:t>
              </w:r>
            </w:sdtContent>
          </w:sdt>
          <w:r>
            <w:tab/>
          </w:r>
          <w:bookmarkStart w:id="25" w:name="_Toc2995_WPSOffice_Level2Page"/>
          <w:r>
            <w:t>31</w:t>
          </w:r>
          <w:bookmarkEnd w:id="25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_Toc1199_WPSOffice_Level2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7516"/>
              <w:placeholder>
                <w:docPart w:val="{5820cb0a-eb88-4219-9623-249803d2bcdf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四、主动防范野生动物致害</w:t>
              </w:r>
            </w:sdtContent>
          </w:sdt>
          <w:r>
            <w:tab/>
          </w:r>
          <w:bookmarkStart w:id="26" w:name="_Toc1199_WPSOffice_Level2Page"/>
          <w:r>
            <w:t>31</w:t>
          </w:r>
          <w:bookmarkEnd w:id="26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_Toc30034_WPSOffice_Level2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3827"/>
              <w:placeholder>
                <w:docPart w:val="{db52614b-0dae-47b3-8851-0bfee1ad80a2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五、抓好行业领域安全生产</w:t>
              </w:r>
            </w:sdtContent>
          </w:sdt>
          <w:r>
            <w:tab/>
          </w:r>
          <w:bookmarkStart w:id="27" w:name="_Toc30034_WPSOffice_Level2Page"/>
          <w:r>
            <w:t>32</w:t>
          </w:r>
          <w:bookmarkEnd w:id="27"/>
          <w:r>
            <w:fldChar w:fldCharType="end"/>
          </w:r>
        </w:p>
        <w:p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_Toc20081_WPSOffice_Level1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79273"/>
              <w:placeholder>
                <w:docPart w:val="{6726babf-287e-4fed-b8b9-5db7c95e68cf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第六章</w:t>
              </w:r>
              <w:r>
                <w:rPr>
                  <w:rFonts w:hint="eastAsia" w:ascii="楷体_GB2312" w:hAnsi="楷体_GB2312" w:eastAsia="楷体_GB2312" w:cs="楷体_GB2312"/>
                  <w:b/>
                  <w:bCs/>
                </w:rPr>
                <w:t xml:space="preserve">  </w:t>
              </w:r>
              <w:r>
                <w:rPr>
                  <w:rFonts w:hint="eastAsia" w:ascii="黑体" w:hAnsi="黑体" w:eastAsia="黑体" w:cs="黑体"/>
                  <w:b/>
                  <w:bCs/>
                </w:rPr>
                <w:t>提升林草治理效能</w:t>
              </w:r>
            </w:sdtContent>
          </w:sdt>
          <w:r>
            <w:rPr>
              <w:b/>
              <w:bCs/>
            </w:rPr>
            <w:tab/>
          </w:r>
          <w:bookmarkStart w:id="28" w:name="_Toc20081_WPSOffice_Level1Page"/>
          <w:r>
            <w:rPr>
              <w:b/>
              <w:bCs/>
            </w:rPr>
            <w:t>33</w:t>
          </w:r>
          <w:bookmarkEnd w:id="28"/>
          <w:r>
            <w:rPr>
              <w:b/>
              <w:bCs/>
            </w:rP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_Toc19473_WPSOffice_Level2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598"/>
              <w:placeholder>
                <w:docPart w:val="{7f61eba3-b368-48a3-8b19-fcb7dda251a6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一、加强执法队伍和能力建设</w:t>
              </w:r>
            </w:sdtContent>
          </w:sdt>
          <w:r>
            <w:tab/>
          </w:r>
          <w:bookmarkStart w:id="29" w:name="_Toc19473_WPSOffice_Level2Page"/>
          <w:r>
            <w:t>33</w:t>
          </w:r>
          <w:bookmarkEnd w:id="29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_Toc23437_WPSOffice_Level2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9621"/>
              <w:placeholder>
                <w:docPart w:val="{75ec1ee1-320e-40a2-8fc3-950f384b5f5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二、数智赋能林草事业发展</w:t>
              </w:r>
            </w:sdtContent>
          </w:sdt>
          <w:r>
            <w:tab/>
          </w:r>
          <w:bookmarkStart w:id="30" w:name="_Toc23437_WPSOffice_Level2Page"/>
          <w:r>
            <w:t>34</w:t>
          </w:r>
          <w:bookmarkEnd w:id="30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_Toc2272_WPSOffice_Level2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6135"/>
              <w:placeholder>
                <w:docPart w:val="{0af2cfe3-480e-4d51-bc34-863b7d01467f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三、依法规范草原承包经营</w:t>
              </w:r>
            </w:sdtContent>
          </w:sdt>
          <w:r>
            <w:tab/>
          </w:r>
          <w:bookmarkStart w:id="31" w:name="_Toc2272_WPSOffice_Level2Page"/>
          <w:r>
            <w:t>35</w:t>
          </w:r>
          <w:bookmarkEnd w:id="31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_Toc26823_WPSOffice_Level2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9590"/>
              <w:placeholder>
                <w:docPart w:val="{65b732b4-3865-4358-a4fa-7e9316b7438b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四、强化农田及道路防护林管护</w:t>
              </w:r>
            </w:sdtContent>
          </w:sdt>
          <w:r>
            <w:tab/>
          </w:r>
          <w:bookmarkStart w:id="32" w:name="_Toc26823_WPSOffice_Level2Page"/>
          <w:r>
            <w:t>35</w:t>
          </w:r>
          <w:bookmarkEnd w:id="32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_Toc24544_WPSOffice_Level2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0776"/>
              <w:placeholder>
                <w:docPart w:val="{ba526138-e64e-4be3-8a11-7a59c9187fcd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五、加强种苗保障能力建设</w:t>
              </w:r>
            </w:sdtContent>
          </w:sdt>
          <w:r>
            <w:tab/>
          </w:r>
          <w:bookmarkStart w:id="33" w:name="_Toc24544_WPSOffice_Level2Page"/>
          <w:r>
            <w:t>36</w:t>
          </w:r>
          <w:bookmarkEnd w:id="33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_Toc2779_WPSOffice_Level2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5620"/>
              <w:placeholder>
                <w:docPart w:val="{4febff86-c993-452b-9a06-f9387e7dc9d9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六、加强项目谋划储备建设</w:t>
              </w:r>
            </w:sdtContent>
          </w:sdt>
          <w:r>
            <w:tab/>
          </w:r>
          <w:bookmarkStart w:id="34" w:name="_Toc2779_WPSOffice_Level2Page"/>
          <w:r>
            <w:t>36</w:t>
          </w:r>
          <w:bookmarkEnd w:id="34"/>
          <w:r>
            <w:fldChar w:fldCharType="end"/>
          </w:r>
        </w:p>
        <w:p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_Toc11318_WPSOffice_Level1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70329"/>
              <w:placeholder>
                <w:docPart w:val="{6c61532c-83a2-44bf-8952-b43f6a4caffa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第七章</w:t>
              </w:r>
              <w:r>
                <w:rPr>
                  <w:rFonts w:hint="eastAsia" w:ascii="楷体_GB2312" w:hAnsi="楷体_GB2312" w:eastAsia="楷体_GB2312" w:cs="楷体_GB2312"/>
                  <w:b/>
                  <w:bCs/>
                </w:rPr>
                <w:t xml:space="preserve">  </w:t>
              </w:r>
              <w:r>
                <w:rPr>
                  <w:rFonts w:hint="eastAsia" w:ascii="黑体" w:hAnsi="黑体" w:eastAsia="黑体" w:cs="黑体"/>
                  <w:b/>
                  <w:bCs/>
                </w:rPr>
                <w:t>强化人才培养和科技创新</w:t>
              </w:r>
            </w:sdtContent>
          </w:sdt>
          <w:r>
            <w:rPr>
              <w:b/>
              <w:bCs/>
            </w:rPr>
            <w:tab/>
          </w:r>
          <w:bookmarkStart w:id="35" w:name="_Toc11318_WPSOffice_Level1Page"/>
          <w:r>
            <w:rPr>
              <w:b/>
              <w:bCs/>
            </w:rPr>
            <w:t>37</w:t>
          </w:r>
          <w:bookmarkEnd w:id="35"/>
          <w:r>
            <w:rPr>
              <w:b/>
              <w:bCs/>
            </w:rP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_Toc6915_WPSOffice_Level2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7679"/>
              <w:placeholder>
                <w:docPart w:val="{9ff706e4-39f6-44d7-8345-a43bbaf7060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一、加强人才队伍建设</w:t>
              </w:r>
            </w:sdtContent>
          </w:sdt>
          <w:r>
            <w:tab/>
          </w:r>
          <w:bookmarkStart w:id="36" w:name="_Toc6915_WPSOffice_Level2Page"/>
          <w:r>
            <w:t>37</w:t>
          </w:r>
          <w:bookmarkEnd w:id="36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_Toc12657_WPSOffice_Level2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4895"/>
              <w:placeholder>
                <w:docPart w:val="{d573d522-36d6-412b-b996-9f700f7721e6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二、完善科技服务体系</w:t>
              </w:r>
            </w:sdtContent>
          </w:sdt>
          <w:r>
            <w:tab/>
          </w:r>
          <w:bookmarkStart w:id="37" w:name="_Toc12657_WPSOffice_Level2Page"/>
          <w:r>
            <w:t>38</w:t>
          </w:r>
          <w:bookmarkEnd w:id="37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_Toc27366_WPSOffice_Level2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5202"/>
              <w:placeholder>
                <w:docPart w:val="{999fab69-8f78-4ab0-b40c-05cde83edce6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三、提升科技创新能力</w:t>
              </w:r>
            </w:sdtContent>
          </w:sdt>
          <w:r>
            <w:tab/>
          </w:r>
          <w:bookmarkStart w:id="38" w:name="_Toc27366_WPSOffice_Level2Page"/>
          <w:r>
            <w:t>39</w:t>
          </w:r>
          <w:bookmarkEnd w:id="38"/>
          <w:r>
            <w:fldChar w:fldCharType="end"/>
          </w:r>
        </w:p>
        <w:p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_Toc14831_WPSOffice_Level1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79987"/>
              <w:placeholder>
                <w:docPart w:val="{4836fd30-fe14-41a8-bccf-9c040ac8a247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第八章  深化林草领域改革</w:t>
              </w:r>
            </w:sdtContent>
          </w:sdt>
          <w:r>
            <w:rPr>
              <w:b/>
              <w:bCs/>
            </w:rPr>
            <w:tab/>
          </w:r>
          <w:bookmarkStart w:id="39" w:name="_Toc14831_WPSOffice_Level1Page"/>
          <w:r>
            <w:rPr>
              <w:b/>
              <w:bCs/>
            </w:rPr>
            <w:t>40</w:t>
          </w:r>
          <w:bookmarkEnd w:id="39"/>
          <w:r>
            <w:rPr>
              <w:b/>
              <w:bCs/>
            </w:rP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_Toc5113_WPSOffice_Level2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4662"/>
              <w:placeholder>
                <w:docPart w:val="{0936a433-6503-4891-ba2d-b6d9dfb59a5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一、强化林长制运行机制</w:t>
              </w:r>
            </w:sdtContent>
          </w:sdt>
          <w:r>
            <w:tab/>
          </w:r>
          <w:bookmarkStart w:id="40" w:name="_Toc5113_WPSOffice_Level2Page"/>
          <w:r>
            <w:t>40</w:t>
          </w:r>
          <w:bookmarkEnd w:id="40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_Toc30042_WPSOffice_Level2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5337"/>
              <w:placeholder>
                <w:docPart w:val="{d1099e6a-1196-4327-94ba-6abd9944557f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二、深化集体林权制度改革</w:t>
              </w:r>
            </w:sdtContent>
          </w:sdt>
          <w:r>
            <w:tab/>
          </w:r>
          <w:bookmarkStart w:id="41" w:name="_Toc30042_WPSOffice_Level2Page"/>
          <w:r>
            <w:t>41</w:t>
          </w:r>
          <w:bookmarkEnd w:id="41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_Toc25756_WPSOffice_Level2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63160"/>
              <w:placeholder>
                <w:docPart w:val="{1f07e840-96f9-4f6c-b2fd-368051c5a069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三、持续巩固国有林场改革成果</w:t>
              </w:r>
            </w:sdtContent>
          </w:sdt>
          <w:r>
            <w:tab/>
          </w:r>
          <w:bookmarkStart w:id="42" w:name="_Toc25756_WPSOffice_Level2Page"/>
          <w:r>
            <w:t>42</w:t>
          </w:r>
          <w:bookmarkEnd w:id="42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_Toc8468_WPSOffice_Level2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2087"/>
              <w:placeholder>
                <w:docPart w:val="{49684f4e-26d2-4b66-a40e-41247c8e4e4e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四、深化“放管服”改革</w:t>
              </w:r>
            </w:sdtContent>
          </w:sdt>
          <w:r>
            <w:tab/>
          </w:r>
          <w:bookmarkStart w:id="43" w:name="_Toc8468_WPSOffice_Level2Page"/>
          <w:r>
            <w:t>42</w:t>
          </w:r>
          <w:bookmarkEnd w:id="43"/>
          <w:r>
            <w:fldChar w:fldCharType="end"/>
          </w:r>
        </w:p>
        <w:p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_Toc27992_WPSOffice_Level1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69765"/>
              <w:placeholder>
                <w:docPart w:val="{6269e7bf-065f-4058-b6f7-dd8f99269ebf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第九章  保障措施</w:t>
              </w:r>
            </w:sdtContent>
          </w:sdt>
          <w:r>
            <w:rPr>
              <w:b/>
              <w:bCs/>
            </w:rPr>
            <w:tab/>
          </w:r>
          <w:bookmarkStart w:id="44" w:name="_Toc27992_WPSOffice_Level1Page"/>
          <w:r>
            <w:rPr>
              <w:b/>
              <w:bCs/>
            </w:rPr>
            <w:t>43</w:t>
          </w:r>
          <w:bookmarkEnd w:id="44"/>
          <w:r>
            <w:rPr>
              <w:b/>
              <w:bCs/>
            </w:rP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_Toc16293_WPSOffice_Level2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80328"/>
              <w:placeholder>
                <w:docPart w:val="{7f7ff729-ff67-4d59-9d9b-19fbf2ad5ab8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一、加强组织领导</w:t>
              </w:r>
            </w:sdtContent>
          </w:sdt>
          <w:r>
            <w:tab/>
          </w:r>
          <w:bookmarkStart w:id="45" w:name="_Toc16293_WPSOffice_Level2Page"/>
          <w:r>
            <w:t>44</w:t>
          </w:r>
          <w:bookmarkEnd w:id="45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_Toc20469_WPSOffice_Level2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2687"/>
              <w:placeholder>
                <w:docPart w:val="{dd63c868-f08f-4934-982d-00b6fa0656c5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二、强化资金保障</w:t>
              </w:r>
            </w:sdtContent>
          </w:sdt>
          <w:r>
            <w:tab/>
          </w:r>
          <w:bookmarkStart w:id="46" w:name="_Toc20469_WPSOffice_Level2Page"/>
          <w:r>
            <w:t>44</w:t>
          </w:r>
          <w:bookmarkEnd w:id="46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_Toc25386_WPSOffice_Level2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9645"/>
              <w:placeholder>
                <w:docPart w:val="{08785d9b-196b-4170-ae77-5610755c635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三、健全协同机制</w:t>
              </w:r>
            </w:sdtContent>
          </w:sdt>
          <w:r>
            <w:tab/>
          </w:r>
          <w:bookmarkStart w:id="47" w:name="_Toc25386_WPSOffice_Level2Page"/>
          <w:r>
            <w:t>44</w:t>
          </w:r>
          <w:bookmarkEnd w:id="47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_Toc1168_WPSOffice_Level2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52377"/>
              <w:placeholder>
                <w:docPart w:val="{ab62a44d-2263-4224-8e0c-2c74dbdc62da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四、加大宣传引导</w:t>
              </w:r>
            </w:sdtContent>
          </w:sdt>
          <w:r>
            <w:tab/>
          </w:r>
          <w:bookmarkStart w:id="48" w:name="_Toc1168_WPSOffice_Level2Page"/>
          <w:r>
            <w:t>45</w:t>
          </w:r>
          <w:bookmarkEnd w:id="48"/>
          <w:r>
            <w:fldChar w:fldCharType="end"/>
          </w:r>
          <w:bookmarkEnd w:id="0"/>
        </w:p>
      </w:sdtContent>
    </w:sdt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49" w:name="_Toc29089_WPSOffice_Level1"/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bookmarkStart w:id="50" w:name="_Toc25058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第一章  总体要求</w:t>
      </w:r>
      <w:bookmarkEnd w:id="49"/>
      <w:bookmarkEnd w:id="5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51" w:name="_Toc9582_WPSOffice_Level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jc w:val="left"/>
        <w:textAlignment w:val="auto"/>
        <w:outlineLvl w:val="1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52" w:name="_Toc22745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一、指导思想</w:t>
      </w:r>
      <w:bookmarkEnd w:id="51"/>
      <w:bookmarkEnd w:id="5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“十五五”时期，自治州林草工作坚持以习近平新时代中国特色社会主义思想为指导，全面贯彻党的二十大和二十届四中全会精神，深入践行习近平生态文明思想，统筹推进山水林田湖草沙一体化保护和系统治理，认真落实区州党委、人民政府工作部署，按照“南护天山、北固沙漠、中优绿洲”生态建设布局，聚焦“一核攻坚、两带守护、三区协同、四产联动”重点任务，全力打好“三北”工程攻坚战，科学开展国土绿化，持续提升荒漠化综合治理成效；锚定绿富同兴目标，畅通生态产品价值转化渠道，拓展壮大绿色产业；统筹发展和安全，严抓林草防火和有害生物防控，提升资源监管法治化、智慧化水平，落实兵地协同、跨区联动机制，守牢资源保护安全底线，持续提升林草治理体系和治理能力现代化水平，为建设美丽昌吉提供坚实生态保障，为到2035年基本实现自治州林草事业现代化奠定坚实基础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bookmarkStart w:id="53" w:name="_Toc23268_WPSOffice_Level2"/>
      <w:bookmarkStart w:id="54" w:name="_Toc6727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基本原则</w:t>
      </w:r>
      <w:bookmarkEnd w:id="53"/>
      <w:bookmarkEnd w:id="54"/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——坚持生态优先、绿色发展。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秉持“尊重自然、顺应自然、保护自然”准则，将林草资源保护置于战略优先地位，深度践行“绿水青山就是金山银山”理念。聚焦严格守护自然生态系统与优质生态产品供给核心任务，构建以产业生态化、生态产业化为主体的生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建设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体系，充分释放林草资源多功能价值，探索以生态优先、绿色发展为导向的高质量发展新路径。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——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坚持统筹谋划、协同治理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树立系统思维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理念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，注重顶层设计，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强化整体推进，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统筹重大战略、重大工程、重大改革和重大制度，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立足国土空间规划和“三北”工程任务，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实现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区域治理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与国家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自治区战略有效衔接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聚焦全局性、普遍性生态突出问题，推进林草治山、保水、固沙、护田、净湖等系统修复和综合治理，</w:t>
      </w:r>
      <w:bookmarkStart w:id="55" w:name="_Toc17696_WPSOffice_Level2"/>
      <w:bookmarkStart w:id="56" w:name="_Toc1121_WPSOffice_Level2"/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注重质量效益，</w:t>
      </w:r>
      <w:bookmarkEnd w:id="55"/>
      <w:bookmarkEnd w:id="56"/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实现重点突破与科学经营同步提升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——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坚持因地制宜、突出特色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立足昌吉南高北低地貌特征，紧扣天山山地、绿洲平原、沙漠盆地不同区域禀赋，聚焦防沙治沙、绿洲防护核心任务，坚持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以地定绿、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定绿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，宜林则林、宜草则草、宜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荒则荒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，科学推进山水林田湖草沙一体化治理。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探索生态保护与产业发展新路径，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培育壮大林草特色产业，构建区位优势凸显、特色标识鲜明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林草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保护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发展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新体系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——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坚持创新驱动、科技引领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紧跟科技发展趋势，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紧扣防沙治沙、生态修复、种质保育和产业发展，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加强前瞻布局，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深化与科研院所合作，开展技术攻关，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提升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林草发展新质生产力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。推动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AI、物联网与林草管护深度融合，强化科技转化和人才培育，推进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新技术、新成果转化应用，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以数字赋能生态治理、科技支撑产业升级，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以科技创新驱动林草事业持续进步。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——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坚持依法治林、严格保护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全面落实林草相关法律法规，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坚持用现代法律制度保障林草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事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业，不断完善林草执法体系和队伍建设，强化森林草原资源监督执法，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规范林草地征占用等审批管理，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严厉打击涉林涉草及破坏野生动植物资源安全的违法行为。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全面落实林长制，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深入开展林草法治宣传教育，提升群众爱林护绿的责任意识，不断巩固森林草原生态建设成果。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——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坚</w:t>
      </w:r>
      <w:bookmarkStart w:id="57" w:name="_Toc18765_WPSOffice_Level2"/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持政府主导、社会参与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bookmarkStart w:id="58" w:name="_Toc28975"/>
      <w:bookmarkStart w:id="59" w:name="_Toc8088"/>
      <w:bookmarkStart w:id="60" w:name="_Toc12988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压实各级政府生态建设主体责任，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</w:t>
      </w:r>
      <w:bookmarkEnd w:id="57"/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化政府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统筹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的主导功能，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强部门协同联动，形成工作合力，不断加大政策支持、资金投入等力度。健全多元投入机制，鼓励企业、社会组织和公众参与林草保护修复、生态产业发展，创新落实全民义务植树机制，推广生态公益岗、认养管护等模式，构建政府牵头、多方协同、全民共治的林草发展新格局。</w:t>
      </w:r>
      <w:bookmarkEnd w:id="58"/>
      <w:bookmarkEnd w:id="59"/>
      <w:bookmarkEnd w:id="6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bookmarkStart w:id="61" w:name="_Toc23965_WPSOffice_Level2"/>
      <w:bookmarkStart w:id="62" w:name="_Toc29057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发展目标</w:t>
      </w:r>
      <w:bookmarkEnd w:id="61"/>
      <w:bookmarkEnd w:id="6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FF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到2030年，全州林草植被覆盖度与生态质量显著提升，森林、草原、湿地、荒漠等关键生态系统功能持续优化，重点野生动植物及其栖息地得到系统性、原真性保护，沙化土地综合治理成效巩固拓展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生态系统碳汇能力、抗逆能力与稳定性显著增强，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古尔班通古特沙漠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生态安全屏障更加稳固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，荒漠化和沙化土地面积持续实现“双缩减”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森林面积和蓄积量持续实现“双增长”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。国有林场改革、集体林权制度改革纵深推进，生态产业化与产业生态化深度融合，绿富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同兴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的发展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路径更加宽广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。林草执法监管体系更加完备，智慧监管、精准治理能力全面跃升，林草治理体系和治理能力现代化水平显著提高，全州林草事业高质量发展迈上新台阶，为区域可持续发展筑牢坚实生态根基。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bookmarkStart w:id="63" w:name="_Toc30574_WPSOffice_Level2"/>
      <w:bookmarkStart w:id="64" w:name="_Toc8221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发展方向及重点</w:t>
      </w:r>
      <w:bookmarkEnd w:id="63"/>
      <w:bookmarkEnd w:id="64"/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优化空间布局，构建“南护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天山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、北固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沙漠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、中优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绿洲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”生态安全格局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坚持因地制宜、分类施策，以空间管控为抓手，筑牢全域生态安全屏障。</w: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南部山区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聚焦水源涵养与生物多样性保护核心任务，严格落实天然林草资源保护制度，实施天然林保护修复、草原生态补奖等工程，通过科学封育、补植补造等措施，提升林草植被盖度，维护山区生态系统完整性与稳定性，保障全州水源供给安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北部沙漠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前沿以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三北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”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六期工程建设为契机，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以公益林管护、沙化土地封禁、禁牧休牧制度落实为保障，因地制宜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开展古尔班通古特沙漠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综合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治理，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完善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防风固沙生态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屏障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巩固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“锁边”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成果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中部绿洲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以提质增效为导向，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以退化林修复和森林抚育为重点，稳步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提升生态功能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；以发展壮大特色林果等林草产业为抓手，实现生态保护与富民增收良性互动；以全民义务植树为载体，以城镇、村庄居民点、工业园区、道路、农田林网为重点，深入推进身边增绿行动，着力提升生产生活区人居环境质量，建设天蓝地绿水清的美丽昌吉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聚焦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“一核攻坚、两带守护、三区协同、四产联动”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重点任务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，统筹推进荒漠化综合防治、生态保护修复、治理能力提升、产业提质增效，实现生态效益、经济效益、社会效益协同共赢。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一核攻坚：古尔班通古特沙漠南缘综合治理核心区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以古尔班通古特沙漠南缘风沙危害最严重、治理需求最迫切的区域为攻坚战场，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通过工程固沙、生物治沙、封禁保护等措施，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沙漠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南缘形成东西长541公里、南北宽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20-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50公里的集中治理带，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实现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锁边固沙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目标，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打造荒漠化综合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治理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示范样板。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聚焦沙漠前沿流动沙丘，实施锁边固沙攻坚工程，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准噶尔盆地绿洲保护综合治理等项目，构建锁边防护体系，有效遏制沙漠南侵态势；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通过补植补播、封育保护等措施，提升荒漠植被盖度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，加大公益林管护和野生植物保护执法力度，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推进荒漠植被系统性修复；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强化科技赋能治沙，组建科技攻关团队，重点攻克干旱区节水造林、沙生植物良种选育等关键技术，建设智慧治沙监测平台，实现治理区域动态监测全覆盖，提升治沙精准度；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建立“政策引导、市场驱动、科技支撑、群众参与、兵地协同”五位一体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机制，推广“治沙+产业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”等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模式，构建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协同高效的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沙化土地治理体系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outlineLvl w:val="2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（二）</w:t>
      </w:r>
      <w:r>
        <w:rPr>
          <w:rFonts w:hint="default" w:ascii="仿宋_GB2312" w:hAnsi="仿宋_GB2312" w:eastAsia="仿宋_GB2312" w:cs="仿宋_GB2312"/>
          <w:b/>
          <w:bCs/>
          <w:color w:val="auto"/>
          <w:spacing w:val="-11"/>
          <w:kern w:val="2"/>
          <w:sz w:val="32"/>
          <w:szCs w:val="32"/>
          <w:highlight w:val="none"/>
          <w:lang w:val="en-US" w:eastAsia="zh-CN" w:bidi="ar-SA"/>
        </w:rPr>
        <w:t>两带守护：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11"/>
          <w:kern w:val="2"/>
          <w:sz w:val="32"/>
          <w:szCs w:val="32"/>
          <w:highlight w:val="none"/>
          <w:lang w:val="en-US" w:eastAsia="zh-CN" w:bidi="ar-SA"/>
        </w:rPr>
        <w:t>中部</w:t>
      </w:r>
      <w:r>
        <w:rPr>
          <w:rFonts w:hint="default" w:ascii="仿宋_GB2312" w:hAnsi="仿宋_GB2312" w:eastAsia="仿宋_GB2312" w:cs="仿宋_GB2312"/>
          <w:b/>
          <w:bCs/>
          <w:color w:val="auto"/>
          <w:spacing w:val="-11"/>
          <w:kern w:val="2"/>
          <w:sz w:val="32"/>
          <w:szCs w:val="32"/>
          <w:highlight w:val="none"/>
          <w:lang w:val="en-US" w:eastAsia="zh-CN" w:bidi="ar-SA"/>
        </w:rPr>
        <w:t>绿洲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11"/>
          <w:kern w:val="2"/>
          <w:sz w:val="32"/>
          <w:szCs w:val="32"/>
          <w:highlight w:val="none"/>
          <w:lang w:val="en-US" w:eastAsia="zh-CN" w:bidi="ar-SA"/>
        </w:rPr>
        <w:t>生态</w:t>
      </w:r>
      <w:r>
        <w:rPr>
          <w:rFonts w:hint="default" w:ascii="仿宋_GB2312" w:hAnsi="仿宋_GB2312" w:eastAsia="仿宋_GB2312" w:cs="仿宋_GB2312"/>
          <w:b/>
          <w:bCs/>
          <w:color w:val="auto"/>
          <w:spacing w:val="-11"/>
          <w:kern w:val="2"/>
          <w:sz w:val="32"/>
          <w:szCs w:val="32"/>
          <w:highlight w:val="none"/>
          <w:lang w:val="en-US" w:eastAsia="zh-CN" w:bidi="ar-SA"/>
        </w:rPr>
        <w:t>防护带与天山北坡生态保育带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保护绿洲生态安全为基础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，构建南北双向生态守护带，形成“北阻沙漠、南保水源”的生态安全格局，保障绿洲核心区生产生活安全，为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昌吉州经济社会发展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提供坚实生态支撑。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1.中部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绿洲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生态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防护带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以“筑牢沙漠治理防线、保障绿洲生态安全”为目标，构建“点线面结合”的严密防护网络。范围涵盖</w:t>
      </w:r>
      <w:bookmarkStart w:id="65" w:name="OLE_LINK8"/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全州各县市</w:t>
      </w:r>
      <w:bookmarkEnd w:id="65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中部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绿洲、农田外围、交通干线两侧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等区域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一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筑牢绿洲边缘锁边固沙防线，在绿洲外围沙化风险较高区域，营造“乔灌草”复合型立体防护结构，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增加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绿洲边缘植被盖度，构建“内保绿洲、外阻风沙”的第一道防护缓冲带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推进农田、道路防护林体系提质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工程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，聚焦绿洲防护林缺株断带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、过熟老化等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短板，实施防护林更新改造，通过疏伐复壮、补植补播等措施，改善林分结构，提升绿洲核心区抗风蚀、保水土、稳粮田的基础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功能；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健全防护林管护长效机制，落实管护责任，建立“日常巡护+动态监测+应急处置”管护体系，确保防护林健康稳定生长，持续发挥生态防护作用。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天山北坡生态保育带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以天山北坡山地森林、草原生态系统为核心，着眼“涵养水源、保育生态”目标，为沙漠治理和绿洲防护提供稳定的生态支撑。区域范围涵盖全州各县市南部山区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及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前山丘陵地区。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森林保育与修复，严格落实天然林保护制度，以森林质量精准提升为主攻方向，科学开展天然林系统修复，通过抚育、低质低效林改造、综合生态修复、封山育林等近自然措施，对人为活动破坏明显、退化集中区域进行生态修复治理，增加森林生态系统的稳定性和抗逆性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深化草原生态治理，提升植被覆盖质量。严格执行草原禁牧、休牧、轮牧制度，划定禁牧区、草畜平衡区，实现草原休养生息，实施退化草原综合治理，通过草原改良、草原围栏等举措，改善草原群落结构，提升草原综合植被盖度，维护草原生态系统完整性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强化森林草原协同管护，建立“森林+草原”一体化管护机制，常态化开展执法整治行动，严厉查处乱砍滥伐、非法开垦、违规放牧等破坏森林草原资源行为，确保森林草原资源得到严格保护。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（三）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三区协同：三类区域生态功能协同发展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以“生态优先、绿色发展”为导向，统筹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保护与建设、发展与安全，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通过差异化治理举措，实现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工业园区、生产生活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、生态敏感区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”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三类区域生态功能互补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联动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、治理效能叠加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提升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FF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准东园区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“保护与发展协同区”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统筹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资源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开发与生态防护，构建与产业布局相协调的复合型生态防护体系，为园区可持续发展筑牢绿色屏障。区域范围包括准东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开发区各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工业园区、工矿企业及基础设施沿线。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构建复合型工业防护林体系，结合园区产业布局和地形地貌，在企业厂区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、生活办公区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周边、道路两侧营造“乔灌草”立体防护林带，优先选用耐旱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耐贫瘠、抗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盐碱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能力强的乡土树种，提升园区滞尘、降噪、固碳能力；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明确管护主体，落实管护责任，充分发挥企业在园区绿化中的主体作用，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推进园区精细化管护，定期开展林木抚育、灌溉、病虫害防治等工作，确保防护林带持续发挥生态防护效能；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鼓励企业配套建设中水回用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设施，完善和加强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节水灌溉系统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建设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，实现工业用水循环利用与绿化灌溉需求对接，提升园区生态绿色发展水平。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B0F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生产生活区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生态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与景观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协同区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坚持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“以人为本、生态宜居”理念，衔接中部绿洲人居环境提质要求，统筹生产配套与生活居住空间绿化建设，将生态效益转化为民生福祉，打造绿色生活场景。范围包括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城镇建成区、农村居民点、旅游景点、道路沿线等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公共活动场所及周边区域。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打造高品质绿化景观节点，围绕居住区、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办公区、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文化广场等公共空间，因地制宜建设绿化景观，搭配观赏性与生态性兼具的植被品种，提升生活片区绿化覆盖率，营造推窗见绿、出门入园的人居环境；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完善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生产、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生活片区绿化灌溉管网等配套设施，推行节水型绿化养护模式，选用节水耐旱植物品种，降低绿化养护成本；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构建共建共治共享机制，将居住区绿化纳入网格化管护范畴，明确管理主体，引导居民参与绿化养护，形成“共建共治共享”的绿色生活氛围。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3.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生态敏感区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保护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与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修复协同区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以“严格保护、系统修复、动态管控”为原则，严格保护生态敏感资源、修复脆弱生态系统、维护生物多样性。区域范围涵盖全州各类自然保护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地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等生态敏感区域。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强化刚性保护管控，严格衔接全州各类自然保护地总体规划布局，明确核心保护区、一般控制区管控边界，严格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执行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各类建设项目准入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审批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，建立自然保护地“负面清单”管理制度，从源头遏制生态破坏行为；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健全精准管护体系，深度融合“智慧林草”平台功能，运用卫星遥感、无人机巡护、视频监控等技术，实现自然保护地数据实时上传、动态监测；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增强执法保障，严厉打击非法开垦、盗猎盗采、违规放牧等破坏生态资源行为，加强科普宣传，提升公众生态保护意识，构建“严格保护、系统修复、精准管控、全民参与”的长效治理格局。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outlineLvl w:val="2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（四）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四产联动：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生态保护与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产业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联动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融合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发展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立足各区域资源禀赋与生态治理需求，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推进林草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四大特色产业协同发展，实现“生态增绿、产业增收、治理增效”的良性循环，为全域生态治理提供坚实经济支撑。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全域特色林果产业提质增效发展区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依托特色林果资源，推动林果产业“稳规模、提品质、增效益”，加快产业由传统生产向全产业链升级，推进“人工智能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林果产业链”应用场景落地，推动特色林果向标准化、特色化、绿色化转型，全面提升林果产业综合竞争力和可持续发展能力。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科学布局标准化种植基地，按区域禀赋优化产业分区，全面推行生态种植技术，集成滴灌节水、测土配方施肥、有机肥替代、病虫害绿色防控等措施，商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果率提升至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75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%以上；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延伸全产业链条，培育龙头企业，发挥链主企业、骨干企业示范带动作用，提高林果生产组织化程度，实现林果种植生产、加工销售一体化，提升林果原料就地加工转化率，破解“重种植、轻加工、附加值低”难题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加强林果提质增效专家技术服务，整合分散种植户资源，提供种苗供应、技术指导、统一采收、订单销售一体化服务，引导农户以土地经营权入股、劳务参与等方式融入产业发展，为产业高质量发展提供支撑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保障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天山北麓葡萄酒产业融合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发展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锚定玛纳斯县、呼图壁县、昌吉市天山北麓酿酒葡萄黄金种植带优势，依托得天独厚的光热条件与生态基底，打造“标准化种植、精细化加工、特色化文旅”三位一体葡萄酒产业集群。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推动基地标准化与机械化改造，推广智能灌溉等新技术，开展品种提纯复壮与适应性培育，推广生态种植及病虫害绿色防控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技术，提升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酿酒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葡萄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品质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，建设高标准酿酒葡萄示范园；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加快“天山北麓”公共品牌注册与推广，培育具有地域文化特色的子品牌，拓展长三角、珠三角及援疆省市市场，建设线下营销中心和线上公共平台，研发小众酒种，丰富产品品类，提升产品核心竞争力；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深化文旅康养融合，打造“葡萄酒+文旅+科普”发展体系，建设融合型酒庄，串联周边生态景点推出跨区域旅游线路，形成集度假、康养于一体的明星酒庄。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3.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中部绿洲种苗产业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核心发展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以玛纳斯县、呼图壁县、昌吉市、吉木萨尔县为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重点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围绕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生态修复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、城乡绿化、特色林果发展等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种苗保障需求，打造集繁育、生产、销售于一体的苗木核心产区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，提升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种苗产业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发展质效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划定种苗核心产区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选育推广抗性强的乡土树种，打造荒漠林采种基地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优化调整重点林木良种基地树种结构，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保障性苗圃基础设施建设；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推进种苗标准化生产，规范播种、扦插、容器育苗等流程，推广节水灌溉、病虫害绿色防控、基质育苗等先进技术，培育优质林草种苗；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健全种苗产业服务体系，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在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呼图壁县建设新疆种苗花卉交易服务和出口加工集散中心，搭建线上线下交易平台，打造“昌吉种苗”区域公共品牌，提升市场竞争力；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强化种苗质量监管，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严格落实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种苗生产经营许可制度，规范种苗生产、经营、流通全环节管理，建立“全程溯源、严格检测”质量管控机制，维护种苗市场秩序。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4.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全域林下经济生态富民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发展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区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按照功能相容、空间复合利用原则，合理利用森林资源开展林下种植、养殖、采集加工以及森林景观利用等林下经济业态，打造“林下+”复合型产业模式，拓宽生态富民路径，筑牢生态产业融合发展根基。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培育多元林下经营业态，南部山地林区重点发展林下中药材种植、仿野生食用菌培育产业，中部绿洲林地推广“林药、林菌、林花、林菜”立体套种模式，北部荒漠边缘发展林下生态养殖与沙产业；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培育林下产品加工龙头企业，延伸林下经济产业链条，重点开发林下中药材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食用菌等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深加工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产品，打造区域公共品牌，拓宽产品市场；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动林下文旅融合发展，结合森林公园资源，打造“林下研学、林下康养、林下露营”等特色文旅产品，建设林下生态文旅示范点，串联周边产业推出“林果+林下+文旅”融合旅游线路，实现生态效益与经济效益双赢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技术支撑与规范管理，组建林下经济专家服务团队，推广生态种植养殖、病虫害绿色防控等技术，建立林下经济常态化监管机制，规范林下经营行为，严禁过度开发，确保林下生态系统稳定，实现林下经济可持续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66" w:name="_Toc9582_WPSOffice_Level1"/>
      <w:bookmarkStart w:id="67" w:name="_Toc22745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第二章  生态修复治理</w:t>
      </w:r>
      <w:bookmarkEnd w:id="66"/>
      <w:bookmarkEnd w:id="67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lef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深刻把握昌吉州作为自治区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“三北”六期工程协同推进区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、古尔班通古特沙漠综合治理主战场的定位，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按照“南护天山、北固沙漠、中优绿洲”生态建设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布局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以“三北”六期等重点林草工程项目为载体，持续深入推进生态修复治理。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68" w:name="_Toc20081_WPSOffice_Level2"/>
      <w:bookmarkStart w:id="69" w:name="_Toc13984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一、全力推进生态修复</w:t>
      </w:r>
      <w:bookmarkEnd w:id="68"/>
      <w:bookmarkEnd w:id="6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（一）林业修复。一是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实施沙漠南缘封沙育林攻坚行动。严格保护国家级公益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林区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和沙化土地封禁保护区，严控人为活动干扰，针对人为扰动明显的灌木林地，实施封沙育林措施，辅以科学补水、植被改良等手段，促进林木自然生长发育，稳步提高区域植被盖度。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实施绿洲外围造林修复提质行动。开展枯死树木清理、缺株断带补植和常态化抚育管护，以人工造林、退化林修复为重点，推进农田周边、道路沿线、村庄外围退化防护林修复；针对木垒县头道沙漠、二道沙漠等风沙危害突出区域，重点实施工程固沙和梭梭造林，筑牢绿洲外围锁边固沙防线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实施天山北坡天然林保护抚育提升行动。严格落实天然林保护制度，以阜康国有林区为重点，科学开展森林抚育和封山育林，增强森林生态系统稳定性。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草原修复。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根据草原退化评估和退化程度分级、草原立地条件、修复目标，通过草地补播、施肥、除毒害草、防病治虫灭鼠、围栏封育等措施，促进草原植被恢复，提升草原生态功能和生产功能。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北部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荒漠区草原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封育、休牧、禁牧等自然修复为主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人工修复为辅，降低人为干扰强度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促进草原休养生息，增强草原植被防风固沙功能；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南部山区草原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以补播改良、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灌溉施肥、围栏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封育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有害生物防控等人工干预措施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为主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，改善草原生态环境，提升草原生态屏障功能。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</w:pPr>
      <w:bookmarkStart w:id="70" w:name="_Toc24320_WPSOffice_Level2"/>
      <w:bookmarkStart w:id="71" w:name="_Toc11318_WPSOffice_Level2"/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  <w:t>二、科学开展国土绿化</w:t>
      </w:r>
      <w:bookmarkEnd w:id="70"/>
      <w:bookmarkEnd w:id="7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（一）提升科学绿化水平。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立足昌吉州干旱区气候特征、水资源承载现状，以国土“三调”数据为基础，融合林草湿荒普查成果，组织开展县级国土空间绿化范围划定工作，精准划定林草保护空间、林草补充空间。遵循“以水定绿、以地定绿、适地适绿”原则，坚持宜乔则乔、宜灌则灌、宜草则草、宜荒则荒，科学配置乔灌草混交模式与植被密度。全面落实《国土绿化项目作业设计管理规定》《新疆“三北”工程六期建设技术细则（试行）》，强化作业设计现地踏查与合理性评价，确保设计科学规范，符合实际。严格执行《国土绿化项目落地上图管理规定（试行）》，落实州、县分级负责责任制度，确保上图真实准确，年度上图率达到100%，提高项目精细化、信息化管理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开展全民义务植树。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坚持全州动员、全民动手、全社会共同参与，以“我为三北种棵树”活动为载体，以“3·12”植树节、春秋季造林黄金期为重要节点，运用好义务植树网络平台，推广“互联网+全民义务植树”，推进线上线下融合发展。科学划定义务植树基地，持续用力建好昌吉市三工滩、奇台县北沙窝等现有基地，积极挖掘造林空间，增设村庄空地、国省干道沿线、工业园区周边等植树点，构建全域覆盖的义务植树网络。进一步丰富和创新义务植树形式，积极推行抚育管护、志愿服务等多种尽责方式。</w:t>
      </w:r>
      <w:bookmarkStart w:id="72" w:name="_Toc26969_WPSOffice_Level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</w:pPr>
      <w:bookmarkStart w:id="73" w:name="_Toc14831_WPSOffice_Level2"/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  <w:t>三、统筹推进防沙治沙</w:t>
      </w:r>
      <w:bookmarkEnd w:id="72"/>
      <w:bookmarkEnd w:id="7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（一）沙化土地治理。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按照《自治州防沙治沙规划（2021-2030年）》治理布局，坚持预防为主、科学治理、合理利用。北部沙漠作为优先预防区，以强化封禁保护为主，重点保护北部荒漠公益林，严格落实围栏禁牧、封沙育林等措施，促进生态系统自然恢复，提高地表植被覆盖度；沙漠-绿洲过渡区域以巩固提升锁边林带为主，推广种植梭梭、柽柳等耐干旱、抗风沙树种，持续完善沙漠前沿阻沙带，提升林草保护带防护功能；中部绿洲和南部山区以生态防护林营造、退化林修复及草原植被保护建设为重点，通过人工造林、退化林修复、退化草原治理等措施，构筑绿洲外围防护林与内部林网相结合的立体防护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封禁保护区管理。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进一步规范和加强全州7个沙化土地封禁保护区管理，保护好现有荒漠植被和荒漠自然生态，促进沙化地区植被自然恢复。巩固完善基础设施建设，在封禁保护区周边增设界桩、围栏等标识设施，明确封禁边界，减少人为活动。依托智慧林草平台，将封禁保护区逐步纳入“天空地”一体化监测体系，利用高清摄像头、卫星遥感影像、气象监测设备，对保护区内植被生长、风沙动态等进行监控，及时发现并制止非法采挖、放牧等破坏行为。落实好封禁保护区生态效益补偿政策，促进保护区植被自然修复，稳固生态改善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FF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沙化土地监测。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依托行业科研院所及相关技术单位，充分利用北斗、无人机航拍、人工智能、大数据分析等新技术，完善监测设施设备，丰富沙化土地监测手段，扩大监测范围，提升监测能力，逐步构建覆盖全州的监测预警网络。针对流动沙丘、半固定沙丘等不同类型沙化土地，以及风沙危害严重区、潜在沙化区等，重点监测植被覆盖度变化，制定差异化的监测预警策略和措施，实现沙化治理科学布局、因害设防、精准施策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74" w:name="_Toc10837_WPSOffice_Level2"/>
      <w:bookmarkStart w:id="75" w:name="_Toc27992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四、加强湿地生态修复</w:t>
      </w:r>
      <w:bookmarkEnd w:id="74"/>
      <w:bookmarkEnd w:id="75"/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（一）湿地保护监管。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对湿地实行分级管理，按照生态区位、面积以及维护生态功能、生物多样性的重要程度，将湿地分为重要湿地和一般湿地，推进阜康天山天池等湿地申报自治区重要湿地。开展重要湿地基础设施建设，有序推进勘界立标和管理站（点）修缮改造，加强湿地监测数据集成分析和综合应用，提升湿地保护监管能力。推进湿地公园总体规划修编，完善湿地保护体系，推动湿地资源管理法治化、规范化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（二）退化湿地修复。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自然修复为主、人工修复为辅，聚焦玛纳斯河、呼图壁河等流域及候鸟迁徙关键栖息地，科学开展退化湿地恢复、外来入侵物种治理和植被恢复等工作，重点针对集中连片、生态功能严重退化的湿地，通过水资源优化调配、供水与基础设施建设、微地形改造、智慧湿地监测预警、珍稀动植物栖息地恢复等措施推进修复，持续提升湿地生态系统完整性、稳定性和碳汇能力，推动湿地保护与科普宣教、生态旅游协同发展，努力实现生态、经济与社会效益有机统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76" w:name="_Toc23268_WPSOffice_Level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77" w:name="_Toc6727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第三章</w:t>
      </w:r>
      <w:r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林草资源保护</w:t>
      </w:r>
      <w:bookmarkEnd w:id="76"/>
      <w:bookmarkEnd w:id="77"/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坚持生态优先、保护为主，更加注重保护与发展、质量与效益，健全资源保护制度，严守生态安全底线，全面提升林草生态系统稳定性，实现生态效益、经济效益与社会效益有机统一。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78" w:name="_Toc18425_WPSOffice_Level2"/>
      <w:bookmarkStart w:id="79" w:name="_Toc2125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一、天然林</w:t>
      </w:r>
      <w:bookmarkEnd w:id="78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保护</w:t>
      </w:r>
      <w:bookmarkEnd w:id="7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（一）健全管护体系。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按照国家和自治区关于天然林保护修复的部署要求，实行天然林保护与公益林管理并轨，实施一体化保护，统一规划布局、管理平台、基础数据、补偿政策、管护制度，构建完备、规范、高效的天然林保护制度体系。以林长制为载体，全面健全管护制度，完善管护体系，强化责任落实。严格按照“远山设卡、近山巡护”的原则，合理划分管护责任区。国有林实施专职管护模式，加强管护能力建设，推行严格的管理标准与流程；非国有林采取公共管护与自主管护相结合的方式，充分调动各方力量参与管护。积极探索建立共管共建机制，形成全社会共同守护天然林的良好格局。强化管护工作绩效评价，保障各项管护措施落到实处，全力守护天然林资源的安全与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（二）提升管护能力</w:t>
      </w:r>
      <w:bookmarkStart w:id="80" w:name="_Toc2871_WPSOffice_Level2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强管护站点基础建设，对现有管护站点进行升级改造，重点完成玛纳斯县六户地、昌吉市洪沟牧场、阜康市梧桐沟、奇台县满营湖等管护站加固除险和功能完善。围绕森林资源保护实际需要，新建管护站点。加强管护设施配备，推动智慧化管护，购置巡护无人机、高空云台，建设无人机机巢，购置安全防护装备，对现有巡护道路进行维修，通过完善应急设备和巡护硬件，提升日常巡查频次，稳步扩大巡护范围，提高管护效率和应急处理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81" w:name="_Toc30485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二、草原生态保护</w:t>
      </w:r>
      <w:bookmarkEnd w:id="80"/>
      <w:bookmarkEnd w:id="8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（一）落实基本草原保护制度。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实行草原用途管制和征占用总量控制，推进基本草原划定工作，严格落实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基本草原划定比例不低于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草原面积的70%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预留调整储备区，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确保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占补平衡。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加强基本草原保护，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构建统一规范的基本草原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成果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数据库，实现草原生态、经济和社会效益的协调统一，确保基本草原面积不减少、质量不下降、用途不改变，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探索基本草原后备补充机制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为生态文明建设和可持续发展奠定坚实基础。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（二）落实禁牧和草畜平衡制度。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巩固草原保护制度基础，精准划定禁牧区、草畜平衡区，科学核定载畜量，稳步降低放牧强度。健全草原管护体系，强化县乡管护主体责任，积极开展草原保护政策宣传，加大日常巡查和执法监管，分季节开展抽查检查。完善“谁保护、谁受益”激励机制，配合农业农村、财政等部门精准落实补奖政策，激发农牧民主动参与保护的积极性，推动草原生态保护和畜牧业高质量发展有机统一、协同推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（三）提升草原监测支撑能力</w:t>
      </w:r>
      <w:bookmarkStart w:id="82" w:name="_Toc29482_WPSOffice_Level2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针对昌吉州草原生态脆弱现状，推动草原监测纳入“天空地一体化”体系，升级国家级固定监测点，在山区放牧区、准噶尔盆地沙漠边缘脆弱带及重大工程区科学布设监测点，构建涵盖资源、植被、生态状况等多维度的指标体系。常态化开展草原监测和国家级固定监测点监测，强化监测成果对禁牧休牧、草畜平衡及工程监管的决策支撑，不断提升草原保护的科学化、精准化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83" w:name="_Toc3643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三、自然保护地体系建设</w:t>
      </w:r>
      <w:bookmarkEnd w:id="82"/>
      <w:bookmarkEnd w:id="83"/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bookmarkStart w:id="84" w:name="_Toc3936_WPSOffice_Level2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（一）加快推进自然保护地整合优化</w:t>
      </w:r>
      <w:bookmarkEnd w:id="84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全面落实国家《关于建立以国家公园为主体的自然保护地体系的指导意见》，推进以国家公园为主体、自然保护区为基础，各类自然保护地为补充的的自然保护地体系建设。按照批复的《自然保护地整合优化方案》布局，紧密衔接国土空间规划与生态保护红线管控要求，科学开展自然保护地总体规划编制工作。精准定位各类自然保护地边界范围，科学规范开展勘界立标等工作。进一步理顺管理机制，稳妥化解历史遗留与合规衔接问题，持续推动自然保护地体系规范化、高质量建设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bookmarkStart w:id="85" w:name="_Toc18517_WPSOffice_Level2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（二）助推国家公园申报创建</w:t>
      </w:r>
      <w:bookmarkEnd w:id="85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认真贯彻落实党中央、国务院关于国家公园创建系列安排部署，严格按照《国家公园设立指南（试行）》相关要求，配合自治区林草局开展卡拉麦里等国家公园创建工作。积极宣传引导广大群众支持参与森林、草原、湿地以及野生动植物资源保护，在进入保护区的主要路口、公路沿线等重要位置安装宣传标识标牌，进一步提高群众保护生态环境的意识，为全力推动国家公园创建营造浓厚的社会氛围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86" w:name="_Toc31610_WPSOffice_Level2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（三）提升自然保护区治理能力</w:t>
      </w:r>
      <w:bookmarkEnd w:id="86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严格落实新修订的《中华人民共和国自然保护区条例》，结合自然保护区工作实际，完善管理机构设置，建立健全管护制度，明确管护职责，规范管护行为，最大限度减少人为干扰。建设保护区围栏，建设气象、土壤、沙尘暴等自动监测系统，搭建生态网络感知系统大数据平台，完善无人机、摩托车、卫星电话等巡护装备。合理配备管护人员，提高管护人员的管理能力和专业技术水平，建立管理与专业技术人员分工协作、优势互补的专业团队。加强与科研院所及高校合作，争取多方支持，积极拓展自然保护区保护内容和科研领域。通过管理保护和宣传教育，将自然保护区建成集保护示范、科普宣传和生态旅游为一体的生态保护展示窗口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87" w:name="_Toc3821_WPSOffice_Level2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（四）增强自然公园生态服务功能</w:t>
      </w:r>
      <w:bookmarkEnd w:id="87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以州内现有的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自然公园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为载体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坚持因地制宜、分类施策，推动生态功能和景观品质同步提升，推进自然公园的精细化保护和科学利用。完善自然公园生态服务设施，建设野外观测基地、户外体验道路、自然营地、宣教场所和访客服务中心等服务设施。以昌吉州“智慧林草”平台为切入点，在天池风景名胜区、玛纳斯国家湿地公园等基础条件较好的区域，开展智慧自然公园试点建设，打造“科技+生态”的沉浸式体验场景，推动自然公园信息化建设，更好服务群众多样化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88" w:name="_Toc21436_WPSOffice_Level2"/>
      <w:bookmarkStart w:id="89" w:name="_Toc30461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四、野生动植物保护</w:t>
      </w:r>
      <w:bookmarkEnd w:id="88"/>
      <w:bookmarkEnd w:id="8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（一）濒危野生动物保护。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加强珍稀濒危物种保育，对雪豹、金雕、蒙古野驴等珍稀濒危和特有种群开展抢救性保护。建立完善野生动物救护体系，加大野生动物救护中心建设投入，国家重点野生动物种数保护率达到80%。加快珍稀濒危野生动物重要栖息地保护修复，通过封禁保育天然植被、建设饮水点、配备管护站点和监测监管设施等措施，扩大适宜栖息范围，促进濒危物种野生种群复壮和扩散。落实自治州《关于禁止猎捕陆生野生动物的通告》，广泛开展宣传动员，营造浓厚社会氛围，持续开展“清风”“网盾”等专项行动，严厉打击破坏野生动物违法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（二）候鸟迁飞通道保护。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落实国家《</w:t>
      </w:r>
      <w:bookmarkStart w:id="90" w:name="OLE_LINK4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候鸟迁飞通道保护修复中国行动计划</w:t>
      </w:r>
      <w:bookmarkEnd w:id="9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》部署要求，科学划定保护范围，推动建立非法猎捕和生境破坏快速反应查处机制。稳步推进西亚-东非候鸟迁飞通道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关键栖息地保护修复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。立足陆生野生动物疫源疫病监测站，完善野外巡护管护、远程高清监控、鸟类环志等保护监测设备，持续提升候鸟保护监测能力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扎实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鸟类保护三年行动计划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，切实履行野生动物保护监管职责。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（三）野生植物保护利用。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加强濒危植物核心生境保护与恢复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在玛纳斯县西南部、奇台县中部等植物物种密集分布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区加强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监管，严控非生态友好型开发和人类干扰活动。在玛纳斯县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木垒县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生态良好山区，细化保护措施，全面摸清濒危植物种类、种群结构，提升濒危物种繁衍与恢复能力。在昌吉市、呼图壁县南部、吉木萨尔县北部等植物物种退化区域，实施退化生态系统恢复等工程，提升植被覆盖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广泛开展生态保护科普宣传，提高群众对生物多样性保护重要性认识。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规范甘草、麻黄等重点物种采集，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科学开展雪莲等重点物种人工繁育，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严格执行采集证制度与限额管理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国家重点保护野生植物种数保护率80%以上。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91" w:name="_Toc26632_WPSOffice_Level2"/>
      <w:bookmarkStart w:id="92" w:name="_Toc8312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五、古树名木保护</w:t>
      </w:r>
      <w:bookmarkEnd w:id="91"/>
      <w:bookmarkEnd w:id="92"/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贯彻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落实《古树名木保护条例》，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强化属地管理责任，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落实管护责任单位和具体管护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任务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，加强古树名木挂牌保护，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强化日常巡查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，完善“一树一档”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及时对濒危、衰弱古树名木进行抢救复壮，提升古树名木生存环境条件，改善生长状况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。开展第三次古树名木资源普查，全面摸清全州古树名木资源分布、生长状况、保护管理等情况，为科学、精准、依法保护管理古树名木提供支撑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积极探索古树名木保护新机制，加强与保险经营机构联动，推行古树名木保险，提升古树名木科学管理水平和保护质效。依法严厉查处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损毁、破坏古树名木及其生长环境的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违法行为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93" w:name="_Toc29057_WPSOffice_Level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94" w:name="_Toc23965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第四章</w:t>
      </w:r>
      <w:r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产业提质增效</w:t>
      </w:r>
      <w:bookmarkEnd w:id="93"/>
      <w:bookmarkEnd w:id="94"/>
    </w:p>
    <w:p>
      <w:pPr>
        <w:pStyle w:val="2"/>
        <w:rPr>
          <w:rFonts w:hint="eastAsi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以生态产业化和产业生态化为路径，科技创新为核心驱动力，结构优化升级为主线，发展建强林果、葡萄酒、种苗花卉、林下经济协同发展的产业体系。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95" w:name="_Toc12577_WPSOffice_Level2"/>
      <w:bookmarkStart w:id="96" w:name="_Toc2014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一、推动林果产业转型升级</w:t>
      </w:r>
      <w:bookmarkEnd w:id="95"/>
      <w:bookmarkEnd w:id="9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依托特色林果资源，推动产业“稳规模、提品质、增效益”，积极延链补链强链，加快产业由传统生产向全产业链融合升级，推动特色林果业向标准化、绿色化、智能化转型，构建“产出高效、产品安全、资源节约、环境友好”的现代林果产业体系，全面提升产业综合竞争力与可持续发展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textAlignment w:val="auto"/>
        <w:rPr>
          <w:rFonts w:hint="eastAsia" w:ascii="Times New Roman" w:hAnsi="Times New Roman" w:cs="Times New Roma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（一）强化基地建设。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进高标准绿色生产基地建设和低产低效及老旧果园改造，以玛纳斯县、呼图壁县、昌吉市、奇台县、农高区为重点，重点推广香妃海棠、葡萄简约化栽培技术，推进沙棘等低产低效园提质改造，提升标准化水平，稳定果品产量，提高果品品质；以木垒县、奇台县、吉木萨尔县、阜康市为重点，集成应用良种嫁接、整形修剪、精准施肥等关键技术，推进低产低效果园改造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秋里蒙、小帅、甜阿尔波特等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传统品种进行种质资源保护，建立种质资源库。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加强特色优势品种的提纯复壮与优良性状挖掘。积极引进筛选适应性强、市场前景好的林果新优品种，发展樱桃、蓝梅等设施林果，丰富林果品类，提高优新特林果产品的供给能力。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（二）延伸产业链条。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推动林果产品产地初加工，扩大林果分级、清洗等初级加工生产覆盖面。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支持引进智能化分级分选、保鲜贮藏、精深加工等先进装备技术，提升精深加工水平。鼓励开展果皮、果渣、果核等副产物综合利用研发，推动其向生物饲料、有机肥料、生物基材料等领域延伸，构建循环经济产业链。推动林果文旅融合发展，打造一批集生态观光、农事体验、果蔬采摘、科普教育、民俗文化、休闲度假于一体的高标准生态果园。鼓励各县市依托特色林果资源，举办蟠桃会、海棠花节等乡村旅游推介活动，实现果园生态、休闲、文化与产品价值同步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（三）完善科技服务体系。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健全“产业专家团+县级技术员+乡土专家+示范户”四级林果科技服务体系，加强队伍建设，优化人员结构，形成上下联动、集成高效的科技支撑体系。深化与新疆林科院、新疆农业大学等院校的产学研用合作，推动产教融合、校企合作，完善以企业为主导、政府资助的人才引进机制，培养引进科研领军人才、高技能人才、经营管理人才与技术推广服务人才。创新技术服务模式，确保先进适用技术直达生产一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（四）创新营销体系。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构建“线下实体网络+线上数字平台+冷链物流支撑”的现代营销体系。在对口支援省市及长三角、珠三角重点城市设立展销中心与前置仓。大力发展电子商务、直播带货、社区团购，培育本土网红品牌。组织企业参加新疆林博会、亚欧博览会等展会，稳步扩大林果产品在内地大中城市的销售规模。加大对出口注册果园和具备出口资质企业的扶持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97" w:name="_Toc24075_WPSOffice_Level2"/>
      <w:bookmarkStart w:id="98" w:name="_Toc26262_WPSOffice_Level2"/>
      <w:bookmarkStart w:id="99" w:name="_Toc1946066603"/>
      <w:bookmarkStart w:id="100" w:name="_Toc10176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二、推进葡萄酒产业融合发展</w:t>
      </w:r>
      <w:bookmarkEnd w:id="97"/>
      <w:bookmarkEnd w:id="9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锚定“天山北麓葡萄酒黄金产区”核心定位，以建设百亿级产业集群为目标，推进“人工智能+葡萄酒产业链”融合应用，加快产业全链条数字化、智能化转型，推动酿酒葡萄产业向高端化、品牌化、融合化方向跨越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（一）打响区域公共品牌。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进“天山北麓葡萄酒”地理标志产品保护和区域公共品牌建设，培育具有地域文化特色的子品牌。以深圳、广州等为重点，推进天山北麓葡萄酒推广营销中心建设，建设线下营销中心和线上公共销售平台。联合农业农村、供销等部门，在援疆省份地级以上城市建立天山北麓葡萄酒旗舰店。支持企业开拓东南亚、欧洲等国际市场，实现葡萄酒出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（二）加强人才科技支撑。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深化与西北农林科技大学、中国农业大学、宁夏大学等院校及国内顶尖葡萄酒技术团队的战略合作，提升科技支撑葡萄酒产业发展能力。打造高标准酿酒葡萄基地示范园，引进推广智能化农机、水肥一体化、气象灾害防控等关键技术，建设数字化种植示范园。持续举办酿酒师、品酒师培训及职业技能大赛，培育本土技术骨干。开展“葡萄酒文化进高校、进社区”活动，培育消费市场和文化土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（三）推动产业融合发展。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加快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酒庄从生产酿造场所向“文化展示窗口、旅游消费场景、特色体验空间”转型。引导现有酒庄创建国家A级旅游景区、工业旅游示范基地。设计推出“酒庄微度假”“酿造研学游”“葡萄园婚礼”“星空营地”等特色文旅产品，打造集度假、康养、品鉴、酿造体验于一体的明星酒庄。将葡萄酒旅游深度融入昌吉州全域旅游规划，建设融合型酒庄，推出跨区域旅游线路，打造“品天山北麓美酒，游昌吉百里画廊”旅游名片。</w:t>
      </w:r>
    </w:p>
    <w:bookmarkEnd w:id="99"/>
    <w:bookmarkEnd w:id="10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101" w:name="_Toc9126_WPSOffice_Level2"/>
      <w:bookmarkStart w:id="102" w:name="_Toc5851_WPSOffice_Level2"/>
      <w:bookmarkStart w:id="103" w:name="_Toc18658"/>
      <w:bookmarkStart w:id="104" w:name="_Toc645839937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三、做优做强种苗花卉产业</w:t>
      </w:r>
      <w:bookmarkEnd w:id="101"/>
      <w:bookmarkEnd w:id="10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“立足新疆、面向西北、辐射中亚”为战略定位，坚持“调结构、去库存、促转型、增效益”发展路径，紧密衔接国家“三北”六期等重点生态工程建设，以服务国土绿化、城乡美化、林果业发展为目标，推进种苗花卉产业标准化、精品化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（一）提升种苗花卉供给质量。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引导苗木花卉企业、合作社从“大而全”向“专而精”转型，按照“优质乡土树种常态化、常规观赏树种精品化、特色造型树种差异化”发展思路，持续优化产品结构。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以玛纳斯县、呼图壁县、昌吉市为重点，发展城乡绿化、园林景观造型苗木和特色花卉；以阜康市为重点发展小苗快繁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以吉木萨尔县为重点发展抗逆性“生态+经济”型苗木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，沿北部荒漠打造荒漠林采种基地。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（二）增强科技创新能力。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加大新品种引种、选育与驯化力度，培育具有自主知识产权和市场竞争力的优良品种，引进苹果、葡萄、金西梅、大果榛子等特色林果与观赏植物新品种。鼓励企业加强轻基质育苗、节水灌溉等新技术、新装备、新材料的研发与应用推广。着力在苗木花卉出口包装、基质培养和鲜切花生产、食药用花卉精深加工等方面加强科技攻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（三）促进花卉产业全链条发展。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强化招商引资，引进有能力、会经营的花卉龙头企业，打造产加销一体的花卉产业基地，示范带动产业快速发展。有效盘活呼图壁县、昌吉市等闲置设施大棚资源，因地制宜发展玫瑰、百合、康乃馨等鲜切花，以及多肉、精品花灌木、观赏食用型等特色盆栽。利用现有苗木基地林下空间，发展药食同源等功能性花卉种植。持续举办郁金香文化旅游节、海棠花观赏季等品牌花事活动，融合文旅、科普、商贸等功能，讲好昌吉花卉故事，提升品牌影响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（四）拓展种苗花卉外向型经济。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立足区位优势，加强与乌兹别克斯坦等中亚国家对接，建立稳定的国际产销渠道。建立健全昌吉种苗花卉公共信息服务平台，提升信息技术服务产业发展的能力。指导苗木企业申办出口资质，培育出口主体，在呼图壁县建设新疆林草种苗花卉交易服务和出口加工集散中心，筛选出一批适宜当地立地条件、符合出口检疫要求的优质种苗花卉产品进行出口销售，增加国际市场占有率，持续扩大产业收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105" w:name="_Toc25880_WPSOffice_Level2"/>
      <w:bookmarkStart w:id="106" w:name="_Toc22803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四、培育壮大林下特色经济</w:t>
      </w:r>
      <w:bookmarkEnd w:id="105"/>
      <w:bookmarkEnd w:id="10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充分挖掘和发挥森林“四库”多元功能，系统拓展林下种植、养殖、采集加工及森林景观利用等多类型、复合型经济活动，推动林下经济向规模化、标准化、品牌化与融合化方向发展。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（一）科学规划布局。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依据不同林分生态特性与立地条件，因地制宜在北部荒漠区，结合退耕还林工程，以玛纳斯县、奇台县等为重点，大力发展以肉苁蓉等为主的特色林药种植；中部绿洲区，充分利用人工防护林资源，合理规划林下空间，发展以甘草、菌类等为主的林菌、林菜种植，以及林下鸡鸭养殖；南部天然林区，充分利用山区独特自然风光，开展森林旅游、康养等活动，以吉木萨尔县、奇台县、木垒县等为重点，加强羊肚菌等珍稀食用菌的推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（二）培育经营主体。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培育产业链条完整、品牌影响力突出、科技水平高的领军型龙头企业，发挥示范带动与市场开拓作用。建立健全覆盖良种供应、技术指导、质量标准、产品检测、市场信息、融资保险等环节的社会化服务体系。鼓励经营主体开展电商交易，拓宽销售渠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（三）深化融合发展。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适度开发森林康养基地、生态露营地、自然教育课堂等新业态，推广以林特产品采摘、森林美食体验、中医药养生为主题的特色旅游线路与产品，推动林下经济与文化旅游、健康养生、科普教育等产业深度融合。</w:t>
      </w:r>
    </w:p>
    <w:bookmarkEnd w:id="103"/>
    <w:bookmarkEnd w:id="104"/>
    <w:p>
      <w:pPr>
        <w:pStyle w:val="8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Autospacing="0" w:after="0" w:afterAutospacing="0" w:line="560" w:lineRule="exact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bookmarkStart w:id="107" w:name="_Toc8221_WPSOffice_Level1"/>
      <w:bookmarkStart w:id="108" w:name="_Toc30574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第五章  健全安全</w:t>
      </w:r>
      <w:bookmarkEnd w:id="107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防控体系</w:t>
      </w:r>
      <w:bookmarkEnd w:id="108"/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坚守“安全第一、预防为主、综合治理”的方针，切实提高全州森林草原防灭火、林草有害生物防控、野生动物疫源疫病防控和防范野生动物致害能力，构建“责任闭环、监管严密、保障有力”的林草安全生产体系，筑牢生态安全屏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09" w:name="_Toc12387_WPSOffice_Level2"/>
      <w:bookmarkStart w:id="110" w:name="_Toc17421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一、提高森林草原防灭火能力</w:t>
      </w:r>
      <w:bookmarkEnd w:id="109"/>
      <w:bookmarkEnd w:id="1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（一）健全预防管理体系。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按照“党政同责、一岗双责、失职追责”和“三管三必须”要求，落实行政首长负责制和“林长+护林员（草管员）”双责任体系，按照林草资源分布，科学划分火灾防治区，绘制火险要素一张图。深化州、县、乡、村四级网格化管理，明确护林（草）员巡护职责、区域、路线及频次，紧盯南部山区林区、北部荒漠草原及玛纳斯国家湿地公园、天山天池景区等高风险区域，强化防火关键期火源管控，严厉打击违规野外用火，守住“无重大火灾、无人员伤亡”底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（二）完善处置扑救体系。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按照“形式多样化、管理规范化、装备标准化、训练常态化、用兵科学化”要求，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推进森林草原消防队伍专业化建设，配备山地、沙漠型扑火装备，稳定专业及半专业化队伍，每年开展跨区域实战演练不少于1次。建成州、县、乡、站“3+1”林草安全指挥调度系统，落实重点火险期24小时值班调度制度，加强林草生产经营单位全员安全培训，深化并落实兵地联合扑火机制，完善应急预案，实现协同作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提升基础保障体系。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新建消防营房、维护更新防火检查站，储备防扑火机具；实施防火道路提质工程，维护现有防火道路、新建国有林区应急道路。推进“智慧防火”工程，新建瞭望塔、火情视频监控、无人机巡护系统，升级三级预警调度平台，持续加强基层硬件设施保障。建立与公安、应急等部门联动保障机制，定期开展专项行动，严厉打击林区草原违规野外用火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加强森林草原防灭火宣传教育。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及时发布禁火令，普及火灾报警（12119）、自救知识，持续深化防火宣传教育常态化、精准化、社会化建设，全面推进防火宣传六进工程，实现重点区域警示宣传设施覆盖率85%以上。健全分层分类宣教机制，紧盯高火险时段、重点区域、关键人群，实现宣传无死角、警示全覆盖。构建传统+新媒体融合宣教矩阵，形成人人懂防火、人人守防火、人人护林草的良好社会氛围，从源头遏制人为火灾隐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11" w:name="_Toc25788_WPSOffice_Level2"/>
      <w:bookmarkStart w:id="112" w:name="_Toc21949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二、加强林草有害生物防控</w:t>
      </w:r>
      <w:bookmarkEnd w:id="111"/>
      <w:bookmarkEnd w:id="11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（一）提升灾害监测预警能力。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林业方面：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推进林业有害生物中心测报点建设；做好森林鼠害、春尺蠖日常监测调查，做好松材线虫病、美国白蛾预防。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各县市重点做好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苹果小吉丁、白蜡窄吉丁、葡萄蛀果蛾、苹果枝枯病等监测。巩固林业有害生物专（兼）职测报员，每年开展1次重大林业有害生物专项调查。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草原方面：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发挥木垒县、玛纳斯县蝗虫鼠害预测预报站职责，做好“东西双线”县市草原有害生物预测预报；加强北部沙漠、南部山区等重点区域及中蒙边境鼠害、常发区蝗虫盛期监测。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各县市重点监测：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玛纳斯县、呼图壁县（叶甲、伪步甲）；木垒县、奇台县（毒害草）；昌吉市、呼图壁县、玛纳斯县（刺苍耳等毒害草）；关注旅游景区，及时发布预警、上报灾情。巩固草原有害生物兼职测报员及农牧民测报队伍，定期开展监测培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（二）提高林业植物检疫综合能力。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按照“三北”工程重点项目林草有害生物防控“护绿”行动部署要求，严格落实“产地—运输—落地”全链条植物检疫闭环管理，持续加大天然林区外调板材、木质包装及林产品检疫监管力度，紧盯白蜡窄吉丁、光肩星天牛等重点防控对象，常态化开展检疫查验、源头管控。从严从实防范松材线虫病、美国白蛾等重大危险性外来有害生物传入扩散，筑牢林草生态安全防线。巩固专职检疫员，加强检疫执法，开展技能培训，提升执法办案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（三）加强防控基础能力建设。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依据林草资源分布、有害生物种类、有害生物发生发展情况、生态区域重要性，以县级为单位配备适合当地的设施设备。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林业方面：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配齐林业植物检疫鉴定、有害生物培养、标本制作等设施设备；重点完善昌吉市、阜康市、吉木萨尔县3个国家级林业有害生物中心测报点的监测预警体系，配备监测无人机、测报系统等现代化监测设备；推进木垒县、呼图壁县等重点生态区域防治能力建设，配齐防治车辆、防治无人机等防治器械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草原方面：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完善全州草原有害生物监测站的基础设施，提升木垒县、玛纳斯县草原虫害监测能力；配备无人机、草原鼠虫害自动监控系统、防治器械，实现防控装备现代化、监测智能化、防治机械化。充分发挥装备效益，推动各级防治机构设施设备共用共享，实现林草有害生物防控基础能力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bookmarkStart w:id="113" w:name="_Toc2995_WPSOffice_Level2"/>
      <w:bookmarkStart w:id="114" w:name="_Toc7235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三、加强野生动物疫源疫病防控</w:t>
      </w:r>
      <w:bookmarkEnd w:id="113"/>
      <w:bookmarkEnd w:id="11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（一）夯实监测预警基础。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依托陆生野生动物疫源疫病监测站，以2023年资源调查数据为基础，在荒漠林区、迁徙通道、重点水域等重点区域，科学布设监测站点，推广红外相机、无人机、卫星追踪等智能化监测技术，重点关注高致病性禽流感、非洲猪瘟等疫病，实现重点区域监测全覆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（二）健全联防联控机制。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发挥基层管护站和疫源疫病监测站点前哨作用，强化湿地、荒漠林区、迁徙通道等重点区域跨区联防，健全林草、公安等多部门联席会议制度，建立信息通报、联合执法、风险会商机制，凝聚各方合力，构建部门协同、权责明晰、运转高效的联防联控新格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（三）提升应急处置能力。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健全林草系统疫源疫病应急物资保障体系，充实应急物资储备品类与规模，落实动态储备、定期盘点、及时补充的常态化管控机制。严格执行各级突发重大动物疫情应急预案，规范报告、隔离、样品送检、应急处置等环节，加强基层人员专业培训，增加应急演练频次，提升应急处置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bookmarkStart w:id="115" w:name="_Toc11688_WPSOffice_Level2"/>
      <w:bookmarkStart w:id="116" w:name="_Toc1199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四、主动防范野生动物致害</w:t>
      </w:r>
      <w:bookmarkEnd w:id="115"/>
      <w:bookmarkEnd w:id="11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（一）提升监测预警能力。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开展野猪、狼、野兔等致害野生动物调查，将致害防范纳入野生动物种群及栖息地监测重点，摸清种群数量、分布及致害情况。针对野猪、狼等致害频繁、造成损失较重的野生动物，制定监测预警方案，提升预防预警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（二）推动主动防控设施建设。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利用现代化技术手段，动态监测野猪、狼等致害风险突出物种种群、活动范围、迁徙路线及繁殖规律，科学制定种群调控方案。在重点区域，差异化配置隔离设施，布设智能预警设备并实时推送预警信息，构建“种群调控+物理阻隔+智能预警”三位一体的主动防控体系，建立多部门快速响应机制，开展安全驱离、应急处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（三）构建完善致害补偿机制。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优化野生动物致害保险参保方案，全面落实野生动物致害补偿制度，保障群众因害损失补偿权益。常态化开展保险政策宣传解读，提升群众政策知晓度。深化多部门协同联动，为受害群众提供便捷的理赔服务。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bookmarkStart w:id="117" w:name="_Toc30034_WPSOffice_Level2"/>
      <w:bookmarkStart w:id="118" w:name="_Toc28793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五、抓好行业领域安全生产</w:t>
      </w:r>
      <w:bookmarkEnd w:id="117"/>
      <w:bookmarkEnd w:id="11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（一）强化食用林产品质量安全。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开展地产食用林果产品及产地土壤抽样送检，筛查葡萄、桃等特色果树种植、制干、加工环节风险。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推广病虫害绿色防控技术，严格落实农资管控和农药使用管理制度，严禁使用国家明令禁止的农药。健全林果产品溯源体系，规范地理标志产品运营，加强普法宣传和技术培训，培育绿色优质品牌，保障林果食品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（二）规范林草病虫害防治用药用械安全。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构建用药与生态安全协同保障机制，优先推广生物及仿生制剂，严控化学农药使用量。规范药械仓储、运输、使用全流程管理，落实药剂分类分区存放、专人专管，完善库房消防、防潮等设施，执行危险品运输规范。健全药械维护及废弃容器回收处置机制，强化作业人员岗前培训，提升作业及应急处置能力，防范用药风险和环境污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（三）做好林草工程项目作业安全。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落实“三管三必须”要求，将安全生产嵌入项目设计、施工、管护等环节，作为项目监理、验收重要内容，确保责任到岗、措施到位。强化风险辨识评估和防护物资保障，推广无人机巡查、智能监控等智慧监管手段。常态化开展隐患排查清零，加强跨部门联防联控和应急演练，定期组织安全培训，提升作业人员应急处置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（四）保障林草领域信息安全。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构建林草信息安全防护体系，升级智慧林草平台，实施网络安全保障工程。强化林草资源数据安全管理，健全数据采集、存储、传输、应用全流程安全防护体系，完善信息安全管理制度，定期开展自查自纠，消除风险隐患。建立林草舆情处置机制，规范信息发布，强化正面宣传。常态化开展信息安全和保密培训，提升工作人员风险防范意识，形成“人防+技防+物防”三位一体防控格局。</w:t>
      </w:r>
    </w:p>
    <w:p>
      <w:pPr>
        <w:rPr>
          <w:u w:val="none"/>
        </w:rPr>
      </w:pPr>
    </w:p>
    <w:p>
      <w:pPr>
        <w:jc w:val="both"/>
        <w:rPr>
          <w:rFonts w:hint="eastAsia" w:ascii="黑体" w:hAnsi="黑体" w:eastAsia="黑体" w:cs="黑体"/>
          <w:sz w:val="28"/>
          <w:szCs w:val="28"/>
        </w:rPr>
      </w:pPr>
    </w:p>
    <w:p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Autospacing="0" w:after="0" w:afterAutospacing="0" w:line="560" w:lineRule="exact"/>
        <w:jc w:val="center"/>
        <w:textAlignment w:val="auto"/>
        <w:outlineLvl w:val="0"/>
        <w:rPr>
          <w:rFonts w:hint="eastAsia"/>
          <w:sz w:val="36"/>
          <w:szCs w:val="36"/>
          <w:highlight w:val="none"/>
          <w:lang w:val="en-US" w:eastAsia="zh-CN"/>
        </w:rPr>
      </w:pPr>
      <w:bookmarkStart w:id="119" w:name="_Toc13984_WPSOffice_Level1"/>
      <w:bookmarkStart w:id="120" w:name="_Toc20081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第六章</w:t>
      </w:r>
      <w:r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提升林草治理效能</w:t>
      </w:r>
      <w:bookmarkEnd w:id="119"/>
      <w:bookmarkEnd w:id="120"/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bookmarkStart w:id="121" w:name="_Toc9785_WPSOffice_Level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22" w:name="_Toc19473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一、加强执法队伍和能力建设</w:t>
      </w:r>
      <w:bookmarkEnd w:id="122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持续加强林草行政执法队伍专业化、规范化建设，健全常态化教育培训体系，严格执法人员资格准入与动态管理，分层分类开展法律法规解读、业务技能实操、典型案例剖析、应急处置演练及执法练兵活动，不断提升执法人员法治思维、证据意识、程序观念，打造作风过硬、业务精通的执法队伍。严格规范公正文明执法，统一执法标准，规范执法流程、裁量基准和法律文书，全面落实行政执法公示、执法全过程记录、重大执法决定法制审核“三项制度”，强化内部监督、层级监督和执纪问责，健全执法评议考核、过错责任追究机制，切实防范执法风险、提升执法公信力。严格执行《自治区林业和草原行政执法与刑事司法衔接工作办法》，加强林草行政执法与刑事司法衔接，强化与公安、检察等机关的协作配合，建立和完善涉林草犯罪案件的线索通报、案件移送、资源共享和信息发布等工作机制，严厉打击各类涉林草违法违规行为，全面提升执法效能。强化法治支撑保障，充分发挥法律顾问作用，建立“法律顾问+业务科室”联动机制，推动法律顾问全面参与行政决策、合法性审核、行政执法咨询及行刑衔接相关案件法律审核等工作，持续提高林草工作法治化水平，为林草事业高质量发展提供坚实法治保障。</w:t>
      </w:r>
    </w:p>
    <w:bookmarkEnd w:id="121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default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23" w:name="_Toc8400_WPSOffice_Level2"/>
      <w:bookmarkStart w:id="124" w:name="_Toc23437_WPSOffice_Level2"/>
      <w:bookmarkStart w:id="125" w:name="_Toc23094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二、数智赋能林草事业发展</w:t>
      </w:r>
      <w:bookmarkEnd w:id="123"/>
      <w:bookmarkEnd w:id="12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推进“人工智能＋林草”业务融合。在古尔班通古特沙漠区域内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推广千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亩级智能治沙示范基地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；在特色林果、种苗花卉核心区，推进人工智能技术在灌溉、施肥、病虫害预警防治等方面的应用，实现智能化管护水平大幅提升。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持续构建林草“天空地人”一体化监测系统。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在荒漠化重点监测区布设地面监测站点，在重点湿地区域布设红外监测设备，深度整合北斗卫星、无人机巡查、地面传感体系，协同护林员巡护，实现林草资源、火情、病虫害监测全覆盖，达成“动态监测、自动预警、多级联动”的防御监管体系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打造全覆盖智慧林草平台。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以昌吉州智慧林草平台为基础，融合大数据、云计算、物联网等技术，提升智慧林草平台感知、理解、学习、决策与执行能力，构建“感知全面、传输稳定、应用智能、安全可靠”的智慧林草体系，创建新疆地州级智慧林草示范标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26" w:name="_Toc2272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三、依法规范草原承包经营</w:t>
      </w:r>
      <w:bookmarkEnd w:id="12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统筹稳定承包关系与保障生态安全，依法履行草原监督管理职责，全面推进草原承包到期延包工作，保障农牧民合法权益，确保草原资源可持续利用。依据国家《关于做好第二轮土地承包到期后再延长30年试点工作的意见》，结合草原确权承包和农用地调查成果，协同自然资源、农业农村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门，以县市为主体，科学制定草原承包到期延包工作方案，稳步推进延包工作。全面加强草原承包经营管理，严格审核草原权属、面积等关键要素，确保数据准确、权属清晰，切实规范草原承包经营行为。健全纠纷调解机制，强化政策普法培训，确保延包任务按期完成，筑牢草原生态保护与民生权益保障基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27" w:name="_Toc26823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四、强化农田及道路防护林管护</w:t>
      </w:r>
      <w:bookmarkEnd w:id="127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制定《昌吉州农田、道路防护林管护措施》，强化属地管理，根据林木权属明确管护责任，结合防护林所处位置、功能发挥情况，实行分级管护。开展平原区人工防护林灌溉设施调查工作，科学推进防护林灌溉设施建设，抓好灌溉管线、渠系的修缮和维护。科学制定用水总量控制方案，明确各县市林业用水指标，加强用水指标管理，实行林业专水专用，汛期和春、秋季农闲期进行生态补水，6-8月高温时期保障防护林“续命水”。加强退化防护林带修复，及时清理枯死、濒死、老化、病虫害严重的树木。依托高标准农田建设、“三北”六期等项目，科学开展农田防护林补植和更新。坚持因害设防、适地适树，积极营造乔灌混交林，提高林带抗病虫害能力，不断提升防护林管护质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28" w:name="_Toc3215_WPSOffice_Level2"/>
      <w:bookmarkStart w:id="129" w:name="_Toc24544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五、</w:t>
      </w:r>
      <w:bookmarkEnd w:id="128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加强种苗保障能力建设</w:t>
      </w:r>
      <w:bookmarkEnd w:id="129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深化供给侧结构性改革，引导差异化发展，推进区域集聚经营，推行“以需定产、就近育苗”,提升种苗供给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能力，保障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生态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建设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、林果业发展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用苗需求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优化调整重点林木良种基地树种结构，强化白榆等生态修复树种良种供给能力。收集保存榆树、杨树、四翅滨藜等种质资源，为良种选育提供支撑。结合苗木供需结构性变化趋势，调减白蜡等产能过剩、市场需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缩减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的树种生产规模，扩大防沙治沙、生态修复、特色林果急需急用树种的培育产能，引进林木新品种，打造荒漠林采种基地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补齐乡土草种生产短板，构建“林+草”协同配套的种苗生产体系。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30" w:name="_Toc2779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六、加强项目谋划储备建设</w:t>
      </w:r>
      <w:bookmarkEnd w:id="125"/>
      <w:bookmarkEnd w:id="13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精准对接中央、自治区资金政策投向，以推进古尔班通古特沙漠综合治理、提升林草生态系统质量和稳定性为核心，以“三北”防护林工程、天然林保护等为重点，系统谋划储备林草领域项目。建立林草项目储备库，明确责任主体、前期工作节点、要素保障清单，实行动态更新、优进劣出的滚动管理模式。加强上下对接和跨部门协同，推动一批事关全局的战略性、牵引性、标志性林草重大项目纳入省级规划清单。健全项目全流程监管机制，明确监管责任，严格规范项目招投标管理，加强对招投标活动的全过程监督，强化对项目立项、建设、资金使用、竣工验收、后期管护等各环节的监督检查，规范项目建设程序，严防资金挤占、挪用、浪费，确保项目质量达标、发挥实效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131" w:name="_Toc24320_WPSOffice_Level1"/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0" w:firstLineChars="0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132" w:name="_Toc11318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第七章</w:t>
      </w:r>
      <w:r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强化人才培养和科技创新</w:t>
      </w:r>
      <w:bookmarkEnd w:id="131"/>
      <w:bookmarkEnd w:id="13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33" w:name="_Toc26969_WPSOffice_Level1"/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坚持科技是第一生产力、人才是第一资源、创新是第一动力，持续提升林草行业科技支撑能力，聚焦服务实践、强化转化、提升平台、育强队伍持续发力。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34" w:name="_Toc6915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加强人才队伍建设</w:t>
      </w:r>
      <w:bookmarkEnd w:id="13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强化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技术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人才培训。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聚焦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州县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科技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推广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人才、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基层乡土专家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人才、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技能型人才三支队伍建设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，创新人才培养方式，分层分类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开展技能培训，提高技术人才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专业技能，提升服务质效。采取“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线上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+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线下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培训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方式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，线上依托国家林草局网络学院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、专业技术人员继续教育平台等开展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精品课程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培训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；线下建设实训基地，开展实操训练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。“十五五”期间，培养林草专业技术人才，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培育林草乡土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人才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，形成“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前端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引领、中坚支撑、基层覆盖”的人才梯队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实施“林草英才计划”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推荐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林草领域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专业技术人才入选“天山英才”“庭州英才”“科技英才”等人才培养计划，积极争创“高层次人才工作室”，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在配备导师和科研助手、组建研究团队、转化科技成果等方面给予支持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为培养人选开展科研工作创造良好环境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有计划安排培养对象到高校、科研院所、企业开展交流学习和学术研讨，掌握前沿科技动态，参与重大科研课题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推荐培养对象主持或参与各级重大科技计划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重要建设项目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35" w:name="_Toc12657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二、完善科技服务体系</w:t>
      </w:r>
      <w:bookmarkEnd w:id="13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（一）强化调查研究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。采取“一线蹲点”“解剖麻雀”的方式开展林草科技调研，深挖产业需求，推进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“林农点单+专家送餐”林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科技服务，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精准针对不同县市、林果企业、种植大户开展差异化培训，全面提升林草技术水平。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实施科技服务。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联合自治区相关科研院所和林草技术服务单位，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组建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专家技术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服务团，在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林果、葡萄酒产业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重点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县市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，解决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标准化栽培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绿色有机生产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果实品质调控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等环节的技术难题；在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南部山区、北部荒漠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等草原地区，推广优良牧草种植、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鼠虫害防治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等技术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；在“三北”工程实施区域，开展生态修复、防沙治沙技术指导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优化推广机制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聚焦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关键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领域，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打造技术示范新模式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充分利用州域内的国家级种质资源库新疆分库、玛纳斯平原林场、自治区林木良种基地等特色优势，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形成“1+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+N”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林草科技推广示范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网络（1个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州本级林草科技推广示范中心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县（市）级技术推广机构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、N个特色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单位（基地）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汇聚行业优秀技术专家，针对荒漠化治理、野生植物保护、火灾防控、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林木良种繁育、特色产业发展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等领域，组建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科技推广示范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团队，集中力量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推广示范特色林果新品种、酿酒葡萄标准化栽培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、智能化防火预警系统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关键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核心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36" w:name="_Toc27366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三、提升科技创新能力</w:t>
      </w:r>
      <w:bookmarkEnd w:id="13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推进基础应用研究。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加强生态保护和修复领域基础研究、技术攻关，推动林草培育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防沙治沙、湿地修复等技术的基础研究，加大造林绿化科技攻关力度，持续推进困难立地造林种草、种质资源收集保存、林草育种、有害生物防控等技术研究，提升生态保护修复科技支撑保障能力。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强化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科技平台建设。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整合优势资源，形成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林草科技创新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强大合力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建立“需求清单-研发清单-转化清单”闭环管理模式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，聚焦防沙治沙、生态修复、病虫害防治，在无灌溉造林、生物防控技术等方面攻坚突破，形成一批可复制、可推广的科技成果。鼓励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科研院所、高等院校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与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企业开展合作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重点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开展天山北麓葡萄酒产业人才培养和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技术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培育，推进高等院校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龙头企业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合作建设“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新疆葡萄酒产业学院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”，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深化葡萄酒产学研融合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攻关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促进科技成果转化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推动林草科技创新与生态建设、林果等产业发展有机结合，加快林草科技成果转化应用，培育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成果转化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与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技术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推广示范单位，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搭建线上线下结合的成果转化交易平台，提升林草科技成果转化率。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bookmarkStart w:id="137" w:name="_Toc14831_WPSOffice_Level1"/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第八章  深化林草领域改革</w:t>
      </w:r>
      <w:bookmarkEnd w:id="133"/>
      <w:bookmarkEnd w:id="137"/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聚焦林草事业发展重点、难点，深入推进林长制运行，持续深化集体林权、国有林场、“放管服”等林草领域改革，着力破解体制机制障碍，以改革赋能增效，激发林草事业发展活力。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138" w:name="_Toc5113_WPSOffice_Level2"/>
      <w:bookmarkStart w:id="139" w:name="_Toc26872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一、强化林长制运行机制</w:t>
      </w:r>
      <w:bookmarkEnd w:id="138"/>
      <w:bookmarkEnd w:id="139"/>
      <w:bookmarkStart w:id="140" w:name="_Toc29057"/>
      <w:bookmarkStart w:id="141" w:name="_Toc83728220"/>
      <w:bookmarkStart w:id="142" w:name="_Toc3285"/>
      <w:bookmarkStart w:id="143" w:name="_Toc14497"/>
      <w:bookmarkStart w:id="144" w:name="_Toc15555"/>
      <w:bookmarkStart w:id="145" w:name="_Toc21155"/>
      <w:bookmarkStart w:id="146" w:name="_Toc23251"/>
      <w:bookmarkStart w:id="147" w:name="_Toc20071"/>
      <w:bookmarkStart w:id="148" w:name="_Toc8813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56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优化完善林长制责任体系为核心，强化制度执行力为关键，坚持问题导向与目标导向相结合，着力在“林”字上精准发力、在“长”字上履职尽责、在“制”字上探索创新，实现森林草原资源保存量、扩增量、提质量、增效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（一）健全四级责任体系。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巩固完善州、县市（园区）、乡镇（街道）、村（社区）四级林长体系，持续推动责任向基层延伸、向网格深化，实现责任区域全覆盖。不断完善林长制运行制度，促进各级林长履职能力提升。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（二）深化“林长+”协同机制。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持续拓展“林长+检察长”“林长+警长”等工作模式，深化部门协作配合，合力破解涉林草难点堵点问题。压实“一长一站一员”基层网格管理责任，加强巡林督导与问题督办，提升巡护质量与处置效率。加大林长制宣传力度，及时总结推广典型经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（三）加强基础能力建设。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持续推进乡镇林长办与林业站一体化建设，稳定和加强乡镇护林员等基层管护队伍，鼓励县市（园区）利用地方资金聘用护林员，完善聘用、管理、培训和保障机制，推动林长制与护林员等政策有机结合，筑牢源头管理根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149" w:name="_Toc30042_WPSOffice_Level2"/>
      <w:bookmarkStart w:id="150" w:name="_Toc5615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二、深化集体林权制度改革</w:t>
      </w:r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以巩固和完善农村基本经营制度为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主要目标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牢牢坚持集体林地所有权，明确农户承包权，放活林地经营权，着力构建“三权分置”的现代集体林权制度。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（一）夯实权能基础。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全面完成确权登记颁证工作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健全集体林权确权登记数据库，纳入自然资源统一确权登记信息管理平台。搭建昌吉州统一的农村产权流转交易平台，推动林地经营权依法依规、公开有序流转，鼓励农户通过出租、入股、合作等多种形式流转经营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（二）创新经营模式。</w:t>
      </w:r>
      <w:r>
        <w:rPr>
          <w:rFonts w:hint="eastAsia" w:ascii="仿宋_GB2312" w:hAnsi="仿宋_GB2312" w:eastAsia="仿宋_GB2312" w:cs="仿宋_GB2312"/>
          <w:sz w:val="32"/>
          <w:szCs w:val="32"/>
        </w:rPr>
        <w:t>引导和扶持林业适度规模经营，培育规范管理、效益良好的县级及以上新型经营主体。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落实林木采伐限额5年总量控制，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对林农采伐人工商品林蓄积不超过15立方米实行告知承诺审批。</w:t>
      </w:r>
      <w:r>
        <w:rPr>
          <w:rFonts w:hint="eastAsia" w:ascii="仿宋_GB2312" w:hAnsi="仿宋_GB2312" w:eastAsia="仿宋_GB2312" w:cs="仿宋_GB2312"/>
          <w:sz w:val="32"/>
          <w:szCs w:val="32"/>
        </w:rPr>
        <w:t>精准提升森林质量，持续增强森林生态系统的稳定性、碳汇能力和综合服务功能。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（三）强化金融支撑。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林权抵押登记备案、价值监测、资金使用监管以及风险预警与处置机制。优化林权收储担保机制，降低金融机构风险。引导和鼓励银行金融机构优化林权抵押贷款审批流程，适当延长贷款期限，执行优惠利率，开发适合林业生产周期的循环贷、按揭贷等信贷产品。支持保险机构创新林业保险产品，扩大保险覆盖面，构建“信贷+保险+担保”的林业金融风险共担机制，为集体林业高质量发展注入金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活力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151" w:name="_Toc32402_WPSOffice_Level2"/>
      <w:bookmarkStart w:id="152" w:name="_Toc25756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三、持续巩固国有林场改革成果</w:t>
      </w:r>
      <w:bookmarkEnd w:id="151"/>
      <w:bookmarkEnd w:id="15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巩固深化国有林场改革成果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推动国有林场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经营方式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从传统管护向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现代化、</w:t>
      </w:r>
      <w:r>
        <w:rPr>
          <w:rFonts w:hint="eastAsia" w:ascii="仿宋_GB2312" w:hAnsi="仿宋_GB2312" w:eastAsia="仿宋_GB2312" w:cs="仿宋_GB2312"/>
          <w:sz w:val="32"/>
          <w:szCs w:val="32"/>
        </w:rPr>
        <w:t>可持续化全面转型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推进建设现代化国有林场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（一）推进国有林场绿色转型与高质量发展。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实施“人工智能+”赋能行动，建设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现代化</w:t>
      </w:r>
      <w:r>
        <w:rPr>
          <w:rFonts w:hint="eastAsia" w:ascii="仿宋_GB2312" w:hAnsi="仿宋_GB2312" w:eastAsia="仿宋_GB2312" w:cs="仿宋_GB2312"/>
          <w:sz w:val="32"/>
          <w:szCs w:val="32"/>
        </w:rPr>
        <w:t>智慧管理平台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提升林场基础设施水平，重点开展森林防火应急通道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智能监测预警网络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，同步完善一线管护站点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建设，健全</w:t>
      </w:r>
      <w:r>
        <w:rPr>
          <w:rFonts w:hint="eastAsia" w:ascii="仿宋_GB2312" w:hAnsi="仿宋_GB2312" w:eastAsia="仿宋_GB2312" w:cs="仿宋_GB2312"/>
          <w:sz w:val="32"/>
          <w:szCs w:val="32"/>
        </w:rPr>
        <w:t>巡护装备及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基础</w:t>
      </w:r>
      <w:r>
        <w:rPr>
          <w:rFonts w:hint="eastAsia" w:ascii="仿宋_GB2312" w:hAnsi="仿宋_GB2312" w:eastAsia="仿宋_GB2312" w:cs="仿宋_GB2312"/>
          <w:sz w:val="32"/>
          <w:szCs w:val="32"/>
        </w:rPr>
        <w:t>配套设施。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鼓励国有林场因地制宜发展林下经济、种苗花卉、生态旅游、森林康养等绿色产业，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高等院校及</w:t>
      </w:r>
      <w:r>
        <w:rPr>
          <w:rFonts w:hint="eastAsia" w:ascii="仿宋_GB2312" w:hAnsi="仿宋_GB2312" w:eastAsia="仿宋_GB2312" w:cs="仿宋_GB2312"/>
          <w:sz w:val="32"/>
          <w:szCs w:val="32"/>
        </w:rPr>
        <w:t>科研单位建立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产学研”</w:t>
      </w:r>
      <w:r>
        <w:rPr>
          <w:rFonts w:hint="eastAsia" w:ascii="仿宋_GB2312" w:hAnsi="仿宋_GB2312" w:eastAsia="仿宋_GB2312" w:cs="仿宋_GB2312"/>
          <w:sz w:val="32"/>
          <w:szCs w:val="32"/>
        </w:rPr>
        <w:t>基地，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通过“三支一扶”、大学生志愿服务等引才计划，引导大学生到国有林场挂职锻炼、就业创业。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（二）加快健全国有林场现代化治理体系。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明确州级林草部门行业监管责任、县级人民政府属地保障责任、国有林场主体管护经营责任，细化所有者、经营者、监管者权责清单，形成“州级统筹督导、县级协调保障、林场落地执行”的协同治理机制。科学编制森林经营方案，建立国有林场森林资源“一张图”数据库，实行“一林一档”动态化管理，确保经营活动的科学性、系统性与连续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153" w:name="_Toc8468_WPSOffice_Level2"/>
      <w:bookmarkStart w:id="154" w:name="_Toc4291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四、深化“放管服”改革</w:t>
      </w:r>
      <w:bookmarkEnd w:id="153"/>
      <w:bookmarkEnd w:id="15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构建稳定、公平、透明、可预期的林草营商环境，激发林草领域市场活力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增强发展内生动力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提升治理能力现代化水平。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推进林草行政审批制度改革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动林草审批系统与自治区一体化政务服务平台深度融合，实现全流程在线办理、信息共享、结果可溯。做好行政许可、行政处罚等121项自治区级行政职权事项下放承接，并依法将97项林草行政许可、行政确认事项委托或下放至县级实施。建立州级对下放事权的监督指导与动态评估机制，防止管理脱节和监管真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（二）强化林草要素保障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规范审批流程、精简申报材料、压缩办理时限，推行并联审查、容缺受理、限时办结，全面提升林草地行政审批质效。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提升州县两级政务窗口标准化、规范化服务水平，推行首问负责、一次性告知等制度。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健全重大项目提前介入、靠前服务、跟踪督办机制，强化用地用林用草协同联动，精准保障重点项目、民生工程等领域林草地要素需求。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（三）落实审批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监管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责任。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全面落实“双随机、一公开”监管，依法依规确定抽查比例、频次、检查方式，及时公开抽查结果并纳入市场主体社会信用记录。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严把审核审批关口，强化现场核查实效，做到事前事中事后监管闭环，确保审批依法合规。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积极利用无人机、卫星遥感等现代信息技术，提升征占用林草地核实核查的工作质效。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720" w:firstLineChars="200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</w:rPr>
      </w:pPr>
      <w:bookmarkStart w:id="155" w:name="_Toc10837_WPSOffice_Level1"/>
      <w:bookmarkStart w:id="156" w:name="_Toc27992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第九章  </w:t>
      </w:r>
      <w:r>
        <w:rPr>
          <w:rFonts w:hint="eastAsia" w:ascii="黑体" w:hAnsi="黑体" w:eastAsia="黑体" w:cs="黑体"/>
          <w:sz w:val="36"/>
          <w:szCs w:val="36"/>
        </w:rPr>
        <w:t>保障措施</w:t>
      </w:r>
      <w:bookmarkEnd w:id="155"/>
      <w:bookmarkEnd w:id="156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57" w:name="_Toc26063_WPSOffice_Level2"/>
      <w:bookmarkStart w:id="158" w:name="_Toc16293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一、加强组织领导</w:t>
      </w:r>
      <w:bookmarkEnd w:id="157"/>
      <w:bookmarkEnd w:id="158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习近平新时代中国特色社会主义思想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为指引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深入学习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贯彻党的</w:t>
      </w:r>
      <w:r>
        <w:rPr>
          <w:rFonts w:hint="default" w:ascii="仿宋_GB2312" w:hAnsi="仿宋_GB2312" w:eastAsia="仿宋_GB2312" w:cs="仿宋_GB2312"/>
          <w:sz w:val="32"/>
          <w:szCs w:val="32"/>
        </w:rPr>
        <w:t>二十届四中全会精神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</w:rPr>
        <w:t>不折不扣贯彻落实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习近平</w:t>
      </w:r>
      <w:r>
        <w:rPr>
          <w:rFonts w:hint="default" w:ascii="仿宋_GB2312" w:hAnsi="仿宋_GB2312" w:eastAsia="仿宋_GB2312" w:cs="仿宋_GB2312"/>
          <w:sz w:val="32"/>
          <w:szCs w:val="32"/>
        </w:rPr>
        <w:t>总书记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关于林草工作的</w:t>
      </w:r>
      <w:r>
        <w:rPr>
          <w:rFonts w:hint="default" w:ascii="仿宋_GB2312" w:hAnsi="仿宋_GB2312" w:eastAsia="仿宋_GB2312" w:cs="仿宋_GB2312"/>
          <w:sz w:val="32"/>
          <w:szCs w:val="32"/>
        </w:rPr>
        <w:t>重要论述和重要指示批示精神，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切实</w:t>
      </w:r>
      <w:r>
        <w:rPr>
          <w:rFonts w:hint="default" w:ascii="仿宋_GB2312" w:hAnsi="仿宋_GB2312" w:eastAsia="仿宋_GB2312" w:cs="仿宋_GB2312"/>
          <w:sz w:val="32"/>
          <w:szCs w:val="32"/>
        </w:rPr>
        <w:t>加强党对林草工作的全面领导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健全党政同责、部门联动、属地落实的责任机制，形成一级抓一级，层层抓落实的责任链条。</w:t>
      </w:r>
      <w:r>
        <w:rPr>
          <w:rFonts w:hint="default" w:ascii="仿宋_GB2312" w:hAnsi="仿宋_GB2312" w:eastAsia="仿宋_GB2312" w:cs="仿宋_GB2312"/>
          <w:sz w:val="32"/>
          <w:szCs w:val="32"/>
        </w:rPr>
        <w:t>牢固树立“一盘棋”思想，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自觉</w:t>
      </w:r>
      <w:r>
        <w:rPr>
          <w:rFonts w:hint="default" w:ascii="仿宋_GB2312" w:hAnsi="仿宋_GB2312" w:eastAsia="仿宋_GB2312" w:cs="仿宋_GB2312"/>
          <w:sz w:val="32"/>
          <w:szCs w:val="32"/>
        </w:rPr>
        <w:t>将林草工作纳入经济社会发展全局统筹谋划、一体推进，构建协同高效、齐抓共管的林草工作新格局。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59" w:name="_Toc20469_WPSOffice_Level2"/>
      <w:bookmarkStart w:id="160" w:name="_Toc13313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二、强化资金保障</w:t>
      </w:r>
      <w:bookmarkEnd w:id="159"/>
      <w:bookmarkEnd w:id="16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紧盯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“三北”工程、公益林管护、退耕还林、林草防火等项目投资导向，积极谋划储备项目，对接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争取国家和自治区林草重点工程项目资金，以项目支撑林草事业高质量发展。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强化地方政府生态建设主体责任，按照“尽力而为、量力而行”的原则，做好林草重点项目地方配套资金预算保障，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确保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重点工作有序推进，重点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项目落地见效。积极引导金融资本、社会资本参与林草建设，推动形成多元化、多渠道的林草生态建设投融资格局。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61" w:name="_Toc20700_WPSOffice_Level2"/>
      <w:bookmarkStart w:id="162" w:name="_Toc25386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三、健全协同机制</w:t>
      </w:r>
      <w:bookmarkEnd w:id="161"/>
      <w:bookmarkEnd w:id="162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B0F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国土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绿化、草原保护利用、林地保护利用、森林经营等纳入林草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保护发展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规划，实行“多规合一”。建立跨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协同机制，加强与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发改、财政、农业农村、水利、自然资源、生态环境等部门合作。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建立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《规划》落实的州、县两级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责任清单，形成“横向到边、纵向到底”的责任体系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压实县市、乡镇、管护站点主体责任。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充分发挥林长制作用，将《规划》重点任务、重点项目纳入林长制管理，确保各项工作有序推进、全面完成。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63" w:name="_Toc21929_WPSOffice_Level2"/>
      <w:bookmarkStart w:id="164" w:name="_Toc1168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四、加大宣传引导</w:t>
      </w:r>
      <w:bookmarkEnd w:id="163"/>
      <w:bookmarkEnd w:id="16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围绕生态修复、国土绿化、资源保护、防沙治沙、生物多样性保护等重点任务，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加大林草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政策法规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宣传力度，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不断增强全社会生态保护意识，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形成依法治林治草的法治氛围。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宣传林草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成效、展示治理成果，讲好林草故事，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传播林草强音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，让公众直观感受林草事业发展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生态环境改善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的重要作用，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让尊重自然、爱护生态成为社会共同价值追求。大力弘扬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传承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“三北精神”、柯柯牙精神、胡杨精神，用榜样力量凝聚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林草系统干部思想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共识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鼓舞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创业斗志，砥砺担当作为。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导社会各界广泛参与植树造林、认种认养、湿地保护、野生动植物保护等实践活动，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着力营造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关心林草、支持林草、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投身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林草的良好社会氛围。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A5853"/>
    <w:rsid w:val="00545D28"/>
    <w:rsid w:val="00AF3F3B"/>
    <w:rsid w:val="02047C58"/>
    <w:rsid w:val="02A83150"/>
    <w:rsid w:val="02BA3E3B"/>
    <w:rsid w:val="044A55F7"/>
    <w:rsid w:val="0456085A"/>
    <w:rsid w:val="04937686"/>
    <w:rsid w:val="0544007E"/>
    <w:rsid w:val="05571A32"/>
    <w:rsid w:val="05967594"/>
    <w:rsid w:val="05C920E8"/>
    <w:rsid w:val="05E03336"/>
    <w:rsid w:val="06075EC7"/>
    <w:rsid w:val="06A931D4"/>
    <w:rsid w:val="06D96253"/>
    <w:rsid w:val="06DB46E8"/>
    <w:rsid w:val="087A7522"/>
    <w:rsid w:val="08867F42"/>
    <w:rsid w:val="08D8537C"/>
    <w:rsid w:val="09784C0D"/>
    <w:rsid w:val="09CE43B0"/>
    <w:rsid w:val="0AD36F5C"/>
    <w:rsid w:val="0AD95B90"/>
    <w:rsid w:val="0B7327FA"/>
    <w:rsid w:val="0BC5563A"/>
    <w:rsid w:val="0BDB4C54"/>
    <w:rsid w:val="0C2D5340"/>
    <w:rsid w:val="0C456AB8"/>
    <w:rsid w:val="0C8C1201"/>
    <w:rsid w:val="0CC079D8"/>
    <w:rsid w:val="0CE80593"/>
    <w:rsid w:val="0CF05014"/>
    <w:rsid w:val="0DB26749"/>
    <w:rsid w:val="0DBC1049"/>
    <w:rsid w:val="0DD15677"/>
    <w:rsid w:val="0DEA6000"/>
    <w:rsid w:val="0DEE2E4B"/>
    <w:rsid w:val="0DFD2C0B"/>
    <w:rsid w:val="0F41129D"/>
    <w:rsid w:val="0F802F40"/>
    <w:rsid w:val="0F9F6DEB"/>
    <w:rsid w:val="105C2A1A"/>
    <w:rsid w:val="10641545"/>
    <w:rsid w:val="10854E6D"/>
    <w:rsid w:val="10C45E91"/>
    <w:rsid w:val="125B4F4B"/>
    <w:rsid w:val="129B05F5"/>
    <w:rsid w:val="12B90310"/>
    <w:rsid w:val="12C95977"/>
    <w:rsid w:val="13C4247C"/>
    <w:rsid w:val="13CB4A5E"/>
    <w:rsid w:val="13CB7DF6"/>
    <w:rsid w:val="13DB0879"/>
    <w:rsid w:val="14095049"/>
    <w:rsid w:val="144C2D19"/>
    <w:rsid w:val="147606CD"/>
    <w:rsid w:val="151418F4"/>
    <w:rsid w:val="15253D09"/>
    <w:rsid w:val="1538162D"/>
    <w:rsid w:val="154D38C7"/>
    <w:rsid w:val="1716094A"/>
    <w:rsid w:val="17411A53"/>
    <w:rsid w:val="17566CE6"/>
    <w:rsid w:val="184A100B"/>
    <w:rsid w:val="193646DE"/>
    <w:rsid w:val="19407BC9"/>
    <w:rsid w:val="19F7303D"/>
    <w:rsid w:val="1A016037"/>
    <w:rsid w:val="1A204DC0"/>
    <w:rsid w:val="1A572279"/>
    <w:rsid w:val="1A8D2889"/>
    <w:rsid w:val="1ACF0E85"/>
    <w:rsid w:val="1AF3479B"/>
    <w:rsid w:val="1BF433B3"/>
    <w:rsid w:val="1CA705E0"/>
    <w:rsid w:val="1D176487"/>
    <w:rsid w:val="1DD532C6"/>
    <w:rsid w:val="1E093672"/>
    <w:rsid w:val="1E1C0F4F"/>
    <w:rsid w:val="1E733DCC"/>
    <w:rsid w:val="1EC702F6"/>
    <w:rsid w:val="1EEC76A8"/>
    <w:rsid w:val="1F285F12"/>
    <w:rsid w:val="205F64F2"/>
    <w:rsid w:val="20B6694E"/>
    <w:rsid w:val="21530474"/>
    <w:rsid w:val="216361B9"/>
    <w:rsid w:val="21A45038"/>
    <w:rsid w:val="22267E4B"/>
    <w:rsid w:val="222B4ECC"/>
    <w:rsid w:val="226A63C1"/>
    <w:rsid w:val="226E45B1"/>
    <w:rsid w:val="22901C0B"/>
    <w:rsid w:val="22B75591"/>
    <w:rsid w:val="23001181"/>
    <w:rsid w:val="230256BE"/>
    <w:rsid w:val="246259E6"/>
    <w:rsid w:val="24935BDC"/>
    <w:rsid w:val="24AD48D6"/>
    <w:rsid w:val="252E209E"/>
    <w:rsid w:val="2581484B"/>
    <w:rsid w:val="25824BBD"/>
    <w:rsid w:val="25834D97"/>
    <w:rsid w:val="26751D80"/>
    <w:rsid w:val="26D6181B"/>
    <w:rsid w:val="26EB7F6F"/>
    <w:rsid w:val="27037425"/>
    <w:rsid w:val="276E4FE6"/>
    <w:rsid w:val="27C844E4"/>
    <w:rsid w:val="28100ECD"/>
    <w:rsid w:val="281558DB"/>
    <w:rsid w:val="28CC255C"/>
    <w:rsid w:val="28E6569C"/>
    <w:rsid w:val="28F606D1"/>
    <w:rsid w:val="290053FA"/>
    <w:rsid w:val="29932E62"/>
    <w:rsid w:val="2A3B724D"/>
    <w:rsid w:val="2A9105EE"/>
    <w:rsid w:val="2A9908EF"/>
    <w:rsid w:val="2B005718"/>
    <w:rsid w:val="2B603781"/>
    <w:rsid w:val="2B7D09F6"/>
    <w:rsid w:val="2BBF78D5"/>
    <w:rsid w:val="2C6A3FD2"/>
    <w:rsid w:val="2CC26203"/>
    <w:rsid w:val="2CCD6FB4"/>
    <w:rsid w:val="2E0D0A73"/>
    <w:rsid w:val="2E0D17DB"/>
    <w:rsid w:val="2E134437"/>
    <w:rsid w:val="2E833763"/>
    <w:rsid w:val="2EAB1D90"/>
    <w:rsid w:val="2F151BC9"/>
    <w:rsid w:val="2F3C3E89"/>
    <w:rsid w:val="2F5B118D"/>
    <w:rsid w:val="2F865FAF"/>
    <w:rsid w:val="2FAC2B68"/>
    <w:rsid w:val="2FB90FE6"/>
    <w:rsid w:val="2FD16119"/>
    <w:rsid w:val="30185552"/>
    <w:rsid w:val="31EB1CEC"/>
    <w:rsid w:val="32441D43"/>
    <w:rsid w:val="334E0D8B"/>
    <w:rsid w:val="33562F96"/>
    <w:rsid w:val="33BA25E9"/>
    <w:rsid w:val="34656C8C"/>
    <w:rsid w:val="34E311D8"/>
    <w:rsid w:val="35013563"/>
    <w:rsid w:val="3567683E"/>
    <w:rsid w:val="35DA0B43"/>
    <w:rsid w:val="36797025"/>
    <w:rsid w:val="36832962"/>
    <w:rsid w:val="368A0CDD"/>
    <w:rsid w:val="37047939"/>
    <w:rsid w:val="372B4B15"/>
    <w:rsid w:val="37A5167B"/>
    <w:rsid w:val="37BF31CB"/>
    <w:rsid w:val="384D2649"/>
    <w:rsid w:val="38A47DDD"/>
    <w:rsid w:val="38DD7E0D"/>
    <w:rsid w:val="3B5634B1"/>
    <w:rsid w:val="3BB658BB"/>
    <w:rsid w:val="3C5307A4"/>
    <w:rsid w:val="3C613409"/>
    <w:rsid w:val="3C635FA0"/>
    <w:rsid w:val="3C641BE4"/>
    <w:rsid w:val="3D7038CC"/>
    <w:rsid w:val="3DFB2453"/>
    <w:rsid w:val="3E6E5016"/>
    <w:rsid w:val="3EA230BF"/>
    <w:rsid w:val="3EA51F64"/>
    <w:rsid w:val="3EC22395"/>
    <w:rsid w:val="3EEC7C3D"/>
    <w:rsid w:val="3F1F0DFA"/>
    <w:rsid w:val="3F343101"/>
    <w:rsid w:val="3F53041F"/>
    <w:rsid w:val="3FAE7469"/>
    <w:rsid w:val="3FFB53C0"/>
    <w:rsid w:val="4028051D"/>
    <w:rsid w:val="40314B79"/>
    <w:rsid w:val="409E66B3"/>
    <w:rsid w:val="40A12755"/>
    <w:rsid w:val="40BF38B7"/>
    <w:rsid w:val="40D65EBE"/>
    <w:rsid w:val="40EC7FDE"/>
    <w:rsid w:val="40F25BAD"/>
    <w:rsid w:val="41015D8B"/>
    <w:rsid w:val="41693711"/>
    <w:rsid w:val="41C16E43"/>
    <w:rsid w:val="41C53E0C"/>
    <w:rsid w:val="42482B18"/>
    <w:rsid w:val="42942A73"/>
    <w:rsid w:val="431007F5"/>
    <w:rsid w:val="43412B04"/>
    <w:rsid w:val="43575AE5"/>
    <w:rsid w:val="43576DE3"/>
    <w:rsid w:val="439D3B4C"/>
    <w:rsid w:val="43E068FF"/>
    <w:rsid w:val="43FA24A1"/>
    <w:rsid w:val="444916AD"/>
    <w:rsid w:val="44626FEB"/>
    <w:rsid w:val="44A913A8"/>
    <w:rsid w:val="44AB5518"/>
    <w:rsid w:val="44E16F8F"/>
    <w:rsid w:val="44EA3381"/>
    <w:rsid w:val="44F10875"/>
    <w:rsid w:val="45110442"/>
    <w:rsid w:val="45221ADC"/>
    <w:rsid w:val="46ED2DFF"/>
    <w:rsid w:val="472230B1"/>
    <w:rsid w:val="4725396C"/>
    <w:rsid w:val="47551022"/>
    <w:rsid w:val="47DB6E51"/>
    <w:rsid w:val="47E207A9"/>
    <w:rsid w:val="48000F0F"/>
    <w:rsid w:val="48331EE8"/>
    <w:rsid w:val="48997B23"/>
    <w:rsid w:val="48DB15A6"/>
    <w:rsid w:val="48EE0DA6"/>
    <w:rsid w:val="48FA2B53"/>
    <w:rsid w:val="49027743"/>
    <w:rsid w:val="491A1015"/>
    <w:rsid w:val="49AF255C"/>
    <w:rsid w:val="49E45155"/>
    <w:rsid w:val="4A3E0FFE"/>
    <w:rsid w:val="4A5C1AF0"/>
    <w:rsid w:val="4A767B37"/>
    <w:rsid w:val="4A95593D"/>
    <w:rsid w:val="4AB23D6D"/>
    <w:rsid w:val="4AB94D6F"/>
    <w:rsid w:val="4AF947FA"/>
    <w:rsid w:val="4B1E42BE"/>
    <w:rsid w:val="4B453A7D"/>
    <w:rsid w:val="4B6D73E7"/>
    <w:rsid w:val="4C2A7D12"/>
    <w:rsid w:val="4C44150A"/>
    <w:rsid w:val="4C5D5BA9"/>
    <w:rsid w:val="4CB2713F"/>
    <w:rsid w:val="4CBF6438"/>
    <w:rsid w:val="4CE158EA"/>
    <w:rsid w:val="4D0E0A3D"/>
    <w:rsid w:val="4D130645"/>
    <w:rsid w:val="4D141254"/>
    <w:rsid w:val="4D69014D"/>
    <w:rsid w:val="4E327548"/>
    <w:rsid w:val="4E43550C"/>
    <w:rsid w:val="4E442A10"/>
    <w:rsid w:val="4E4F099C"/>
    <w:rsid w:val="4E9F4582"/>
    <w:rsid w:val="4EC44AFE"/>
    <w:rsid w:val="4EEC5A1D"/>
    <w:rsid w:val="4F27133F"/>
    <w:rsid w:val="4F4D113A"/>
    <w:rsid w:val="4F4F4FD7"/>
    <w:rsid w:val="4F655FE1"/>
    <w:rsid w:val="4FF15D13"/>
    <w:rsid w:val="4FF52E89"/>
    <w:rsid w:val="50275219"/>
    <w:rsid w:val="50973529"/>
    <w:rsid w:val="51166D17"/>
    <w:rsid w:val="511737A7"/>
    <w:rsid w:val="515E6296"/>
    <w:rsid w:val="518525FA"/>
    <w:rsid w:val="51F57664"/>
    <w:rsid w:val="5218652F"/>
    <w:rsid w:val="52294AE3"/>
    <w:rsid w:val="5289386F"/>
    <w:rsid w:val="533F3776"/>
    <w:rsid w:val="534B71C4"/>
    <w:rsid w:val="539A09E6"/>
    <w:rsid w:val="541547CD"/>
    <w:rsid w:val="54E94A05"/>
    <w:rsid w:val="55082CD4"/>
    <w:rsid w:val="550F2E34"/>
    <w:rsid w:val="55205855"/>
    <w:rsid w:val="55A4393E"/>
    <w:rsid w:val="55C539B0"/>
    <w:rsid w:val="55CC01AE"/>
    <w:rsid w:val="56561342"/>
    <w:rsid w:val="565D4505"/>
    <w:rsid w:val="566C246E"/>
    <w:rsid w:val="569A7B32"/>
    <w:rsid w:val="56D54885"/>
    <w:rsid w:val="578F6612"/>
    <w:rsid w:val="57A5060B"/>
    <w:rsid w:val="58220400"/>
    <w:rsid w:val="58A41456"/>
    <w:rsid w:val="59416793"/>
    <w:rsid w:val="599D754C"/>
    <w:rsid w:val="59D01572"/>
    <w:rsid w:val="59D1530A"/>
    <w:rsid w:val="59DF3AB8"/>
    <w:rsid w:val="5A13262E"/>
    <w:rsid w:val="5A660D45"/>
    <w:rsid w:val="5A6F5D30"/>
    <w:rsid w:val="5AE33EF8"/>
    <w:rsid w:val="5BC84914"/>
    <w:rsid w:val="5BFB5516"/>
    <w:rsid w:val="5C0C4B1A"/>
    <w:rsid w:val="5C13269F"/>
    <w:rsid w:val="5C3718C4"/>
    <w:rsid w:val="5C5B049E"/>
    <w:rsid w:val="5C8656FB"/>
    <w:rsid w:val="5CC8128B"/>
    <w:rsid w:val="5CF165C0"/>
    <w:rsid w:val="5D0E6E62"/>
    <w:rsid w:val="5DF254FF"/>
    <w:rsid w:val="5E670559"/>
    <w:rsid w:val="5EB4083E"/>
    <w:rsid w:val="5F5B2D39"/>
    <w:rsid w:val="5F7E5A24"/>
    <w:rsid w:val="5F881AC9"/>
    <w:rsid w:val="5FBD5075"/>
    <w:rsid w:val="5FD45427"/>
    <w:rsid w:val="5FD761E8"/>
    <w:rsid w:val="5FEF76CC"/>
    <w:rsid w:val="5FFA2112"/>
    <w:rsid w:val="604C0D1F"/>
    <w:rsid w:val="609D5BF6"/>
    <w:rsid w:val="60A457E9"/>
    <w:rsid w:val="60E7521B"/>
    <w:rsid w:val="61574D5A"/>
    <w:rsid w:val="61607A0C"/>
    <w:rsid w:val="6199026B"/>
    <w:rsid w:val="61DC33D2"/>
    <w:rsid w:val="61FC1E0A"/>
    <w:rsid w:val="61FF0D85"/>
    <w:rsid w:val="62A23F31"/>
    <w:rsid w:val="63037B21"/>
    <w:rsid w:val="638B44A4"/>
    <w:rsid w:val="63C20957"/>
    <w:rsid w:val="64736762"/>
    <w:rsid w:val="64D3228C"/>
    <w:rsid w:val="65145DE9"/>
    <w:rsid w:val="658D3758"/>
    <w:rsid w:val="65D56209"/>
    <w:rsid w:val="661C71D5"/>
    <w:rsid w:val="663E1A8C"/>
    <w:rsid w:val="66517462"/>
    <w:rsid w:val="669D6A35"/>
    <w:rsid w:val="66EF129C"/>
    <w:rsid w:val="67320342"/>
    <w:rsid w:val="674B1D6F"/>
    <w:rsid w:val="67835254"/>
    <w:rsid w:val="67A277BD"/>
    <w:rsid w:val="67E17E5F"/>
    <w:rsid w:val="689252A5"/>
    <w:rsid w:val="68AA0D21"/>
    <w:rsid w:val="69310B13"/>
    <w:rsid w:val="69407E34"/>
    <w:rsid w:val="696C0844"/>
    <w:rsid w:val="69A152CA"/>
    <w:rsid w:val="6A0F4702"/>
    <w:rsid w:val="6A974D70"/>
    <w:rsid w:val="6AA92D84"/>
    <w:rsid w:val="6B3D5B45"/>
    <w:rsid w:val="6B752303"/>
    <w:rsid w:val="6BBB2A3A"/>
    <w:rsid w:val="6C4C476D"/>
    <w:rsid w:val="6C8F0A07"/>
    <w:rsid w:val="6CB13668"/>
    <w:rsid w:val="6D1D3D89"/>
    <w:rsid w:val="6D2A5B75"/>
    <w:rsid w:val="6DB40BCF"/>
    <w:rsid w:val="6DC12BB6"/>
    <w:rsid w:val="6E3D2C1E"/>
    <w:rsid w:val="6F1B18DC"/>
    <w:rsid w:val="6F1D4E14"/>
    <w:rsid w:val="6F4B198A"/>
    <w:rsid w:val="6F7525BC"/>
    <w:rsid w:val="6FC61D7D"/>
    <w:rsid w:val="6FF02A61"/>
    <w:rsid w:val="701F6EDF"/>
    <w:rsid w:val="707D374E"/>
    <w:rsid w:val="70A3513E"/>
    <w:rsid w:val="70D80406"/>
    <w:rsid w:val="71163FA5"/>
    <w:rsid w:val="720F218C"/>
    <w:rsid w:val="727B04AE"/>
    <w:rsid w:val="728C4B91"/>
    <w:rsid w:val="732876B9"/>
    <w:rsid w:val="737E5D36"/>
    <w:rsid w:val="742B1F45"/>
    <w:rsid w:val="75172A64"/>
    <w:rsid w:val="75AB31A3"/>
    <w:rsid w:val="75C22E85"/>
    <w:rsid w:val="75DC18DC"/>
    <w:rsid w:val="75E76E9C"/>
    <w:rsid w:val="75EA21B2"/>
    <w:rsid w:val="75EC259E"/>
    <w:rsid w:val="76464304"/>
    <w:rsid w:val="76647533"/>
    <w:rsid w:val="76A553FE"/>
    <w:rsid w:val="76F97D17"/>
    <w:rsid w:val="77030CF9"/>
    <w:rsid w:val="775561C6"/>
    <w:rsid w:val="77603879"/>
    <w:rsid w:val="776D7A97"/>
    <w:rsid w:val="776E6E10"/>
    <w:rsid w:val="77986F45"/>
    <w:rsid w:val="77CA5853"/>
    <w:rsid w:val="79023B15"/>
    <w:rsid w:val="7945474E"/>
    <w:rsid w:val="7A1E7AC1"/>
    <w:rsid w:val="7A24049E"/>
    <w:rsid w:val="7A4D2AC5"/>
    <w:rsid w:val="7B161217"/>
    <w:rsid w:val="7B46728F"/>
    <w:rsid w:val="7B5A0323"/>
    <w:rsid w:val="7C0E3B78"/>
    <w:rsid w:val="7D572F98"/>
    <w:rsid w:val="7D676311"/>
    <w:rsid w:val="7DB86C36"/>
    <w:rsid w:val="7DEA5814"/>
    <w:rsid w:val="7E5A13F4"/>
    <w:rsid w:val="7ED2718E"/>
    <w:rsid w:val="7F0F61E2"/>
    <w:rsid w:val="7F5C6C8C"/>
    <w:rsid w:val="DDBE80A6"/>
    <w:rsid w:val="EEB7F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2"/>
    <w:next w:val="2"/>
    <w:qFormat/>
    <w:uiPriority w:val="99"/>
    <w:pPr>
      <w:ind w:firstLine="10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91"/>
    <w:basedOn w:val="11"/>
    <w:qFormat/>
    <w:uiPriority w:val="0"/>
    <w:rPr>
      <w:rFonts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14">
    <w:name w:val="font61"/>
    <w:basedOn w:val="11"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  <w:style w:type="character" w:customStyle="1" w:styleId="15">
    <w:name w:val="font51"/>
    <w:basedOn w:val="11"/>
    <w:qFormat/>
    <w:uiPriority w:val="0"/>
    <w:rPr>
      <w:rFonts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16">
    <w:name w:val="font41"/>
    <w:basedOn w:val="11"/>
    <w:qFormat/>
    <w:uiPriority w:val="0"/>
    <w:rPr>
      <w:rFonts w:hint="default" w:ascii="Times New Roman" w:hAnsi="Times New Roman" w:cs="Times New Roman"/>
      <w:color w:val="000000"/>
      <w:sz w:val="26"/>
      <w:szCs w:val="26"/>
      <w:u w:val="none"/>
    </w:rPr>
  </w:style>
  <w:style w:type="character" w:customStyle="1" w:styleId="17">
    <w:name w:val="font81"/>
    <w:basedOn w:val="11"/>
    <w:qFormat/>
    <w:uiPriority w:val="0"/>
    <w:rPr>
      <w:rFonts w:hint="eastAsia" w:ascii="仿宋_GB2312" w:eastAsia="仿宋_GB2312" w:cs="仿宋_GB2312"/>
      <w:color w:val="000000"/>
      <w:sz w:val="26"/>
      <w:szCs w:val="26"/>
      <w:u w:val="none"/>
    </w:rPr>
  </w:style>
  <w:style w:type="character" w:customStyle="1" w:styleId="18">
    <w:name w:val="font11"/>
    <w:basedOn w:val="11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19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6"/>
      <w:szCs w:val="26"/>
      <w:u w:val="none"/>
    </w:rPr>
  </w:style>
  <w:style w:type="character" w:customStyle="1" w:styleId="20">
    <w:name w:val="font71"/>
    <w:basedOn w:val="11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21">
    <w:name w:val="font21"/>
    <w:basedOn w:val="11"/>
    <w:qFormat/>
    <w:uiPriority w:val="0"/>
    <w:rPr>
      <w:rFonts w:ascii="仿宋_GB2312" w:eastAsia="仿宋_GB2312" w:cs="仿宋_GB2312"/>
      <w:b/>
      <w:color w:val="000000"/>
      <w:sz w:val="28"/>
      <w:szCs w:val="28"/>
      <w:u w:val="none"/>
    </w:rPr>
  </w:style>
  <w:style w:type="paragraph" w:customStyle="1" w:styleId="22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3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24">
    <w:name w:val="font101"/>
    <w:basedOn w:val="11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6964f239-9d27-45cd-b1b0-6b7f92a0f3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964f239-9d27-45cd-b1b0-6b7f92a0f38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c50cd8d-9de6-4148-9bee-1cdc1321525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c50cd8d-9de6-4148-9bee-1cdc1321525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2392ced-dd52-4361-9313-5a3597d00d5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2392ced-dd52-4361-9313-5a3597d00d5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0d66df8-d62c-45bc-ad7e-96c12d78e41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0d66df8-d62c-45bc-ad7e-96c12d78e41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e991aca-982e-46d2-ba77-7f1484de108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e991aca-982e-46d2-ba77-7f1484de108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72506a3-686b-41e8-bbb2-3784e3a1a73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72506a3-686b-41e8-bbb2-3784e3a1a73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953271e-1dee-4f76-9f32-ec758cf812f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953271e-1dee-4f76-9f32-ec758cf812f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5786734-d622-4748-9efc-bd13c12b71f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5786734-d622-4748-9efc-bd13c12b71f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b1f7d64-6cbc-411d-a3cb-49a580323cf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b1f7d64-6cbc-411d-a3cb-49a580323cf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049c080-42d8-4b97-bf41-99042162ad6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049c080-42d8-4b97-bf41-99042162ad6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4111ec6-0fe6-4165-8062-3b5c8fc039d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4111ec6-0fe6-4165-8062-3b5c8fc039d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94289e9-a3f9-4a75-8198-4b993be47a2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94289e9-a3f9-4a75-8198-4b993be47a2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9e4a678-f89e-4708-a23a-87927d54db1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9e4a678-f89e-4708-a23a-87927d54db1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7039dc4-8f0e-4954-aef6-e95212214a4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7039dc4-8f0e-4954-aef6-e95212214a4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3c35efe-dbee-491a-b757-17f776c97cf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3c35efe-dbee-491a-b757-17f776c97cf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dd5ba82-d0a5-42c2-bb05-c4ecdd40020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dd5ba82-d0a5-42c2-bb05-c4ecdd40020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91f0754-5411-43c6-844c-0c39ef8e7a6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91f0754-5411-43c6-844c-0c39ef8e7a6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a19ab8c-bab8-47e1-9dd6-ae1b610a386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a19ab8c-bab8-47e1-9dd6-ae1b610a386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a004329-d19f-4acb-a8f8-e38ac107b82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004329-d19f-4acb-a8f8-e38ac107b82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9bd7e8e-b26d-411e-8665-f7b601d9445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9bd7e8e-b26d-411e-8665-f7b601d9445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3f90e7b-1177-43bf-8c05-03facf75312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3f90e7b-1177-43bf-8c05-03facf75312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1d94d9c-9206-4897-b417-a5d62b72440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1d94d9c-9206-4897-b417-a5d62b72440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ae17708-28b7-4b68-b441-e300c4b3bed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ae17708-28b7-4b68-b441-e300c4b3bed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e0a739b-cfc6-41ea-98a0-be74d93dddb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e0a739b-cfc6-41ea-98a0-be74d93dddb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1b6f3f9-c018-4721-a473-0cc5b79477e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1b6f3f9-c018-4721-a473-0cc5b79477e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820cb0a-eb88-4219-9623-249803d2bcd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820cb0a-eb88-4219-9623-249803d2bcd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b52614b-0dae-47b3-8851-0bfee1ad80a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b52614b-0dae-47b3-8851-0bfee1ad80a2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726babf-287e-4fed-b8b9-5db7c95e68c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726babf-287e-4fed-b8b9-5db7c95e68c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f61eba3-b368-48a3-8b19-fcb7dda251a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f61eba3-b368-48a3-8b19-fcb7dda251a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5ec1ee1-320e-40a2-8fc3-950f384b5f5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5ec1ee1-320e-40a2-8fc3-950f384b5f5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af2cfe3-480e-4d51-bc34-863b7d01467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af2cfe3-480e-4d51-bc34-863b7d01467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5b732b4-3865-4358-a4fa-7e9316b7438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5b732b4-3865-4358-a4fa-7e9316b7438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a526138-e64e-4be3-8a11-7a59c9187fc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a526138-e64e-4be3-8a11-7a59c9187fc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febff86-c993-452b-9a06-f9387e7dc9d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febff86-c993-452b-9a06-f9387e7dc9d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c61532c-83a2-44bf-8952-b43f6a4caff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c61532c-83a2-44bf-8952-b43f6a4caff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ff706e4-39f6-44d7-8345-a43bbaf7060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ff706e4-39f6-44d7-8345-a43bbaf7060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573d522-36d6-412b-b996-9f700f7721e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573d522-36d6-412b-b996-9f700f7721e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99fab69-8f78-4ab0-b40c-05cde83edce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99fab69-8f78-4ab0-b40c-05cde83edce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836fd30-fe14-41a8-bccf-9c040ac8a24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836fd30-fe14-41a8-bccf-9c040ac8a24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936a433-6503-4891-ba2d-b6d9dfb59a5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936a433-6503-4891-ba2d-b6d9dfb59a5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1099e6a-1196-4327-94ba-6abd9944557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1099e6a-1196-4327-94ba-6abd9944557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f07e840-96f9-4f6c-b2fd-368051c5a06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f07e840-96f9-4f6c-b2fd-368051c5a06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9684f4e-26d2-4b66-a40e-41247c8e4e4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9684f4e-26d2-4b66-a40e-41247c8e4e4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269e7bf-065f-4058-b6f7-dd8f99269eb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269e7bf-065f-4058-b6f7-dd8f99269eb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f7ff729-ff67-4d59-9d9b-19fbf2ad5ab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f7ff729-ff67-4d59-9d9b-19fbf2ad5ab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d63c868-f08f-4934-982d-00b6fa0656c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63c868-f08f-4934-982d-00b6fa0656c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8785d9b-196b-4170-ae77-5610755c635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8785d9b-196b-4170-ae77-5610755c635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b62a44d-2263-4224-8e0c-2c74dbdc62d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b62a44d-2263-4224-8e0c-2c74dbdc62d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48</Pages>
  <Words>59</Words>
  <Characters>59</Characters>
  <Lines>0</Lines>
  <Paragraphs>0</Paragraphs>
  <TotalTime>29</TotalTime>
  <ScaleCrop>false</ScaleCrop>
  <LinksUpToDate>false</LinksUpToDate>
  <CharactersWithSpaces>62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2026-03-13T16:46:00Z</dcterms:created>
  <dc:creator>Administrator</dc:creator>
  <cp:lastModifiedBy>Administrator</cp:lastModifiedBy>
  <cp:lastPrinted>2026-05-14T04:24:00Z</cp:lastPrinted>
  <dcterms:modified xsi:type="dcterms:W3CDTF">2026-08-26T12:18:50Z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AEA430DB12DD4D0F912F1728D6BA4CF5_13</vt:lpwstr>
  </property>
  <property fmtid="{D5CDD505-2E9C-101B-9397-08002B2CF9AE}" pid="4" name="KSOTemplateDocerSaveRecord">
    <vt:lpwstr>eyJoZGlkIjoiM2Q5NDlmNDc3N2ZkYzk3ZGJmOTUwNTM0Mzc5MTVlNDMiLCJ1c2VySWQiOiIzMjQ5NjUzODcifQ==</vt:lpwstr>
  </property>
</Properties>
</file>