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EE7F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pacing w:val="0"/>
          <w:sz w:val="44"/>
          <w:szCs w:val="44"/>
          <w:highlight w:val="none"/>
          <w:u w:val="none" w:color="auto"/>
        </w:rPr>
      </w:pPr>
      <w:bookmarkStart w:id="0" w:name="_GoBack"/>
      <w:bookmarkEnd w:id="0"/>
      <w:r>
        <w:rPr>
          <w:rFonts w:hint="eastAsia" w:ascii="方正小标宋_GBK" w:hAnsi="方正小标宋_GBK" w:eastAsia="方正小标宋_GBK" w:cs="方正小标宋_GBK"/>
          <w:spacing w:val="0"/>
          <w:sz w:val="44"/>
          <w:szCs w:val="44"/>
          <w:highlight w:val="none"/>
          <w:u w:val="none" w:color="auto"/>
        </w:rPr>
        <w:t>昌吉州</w:t>
      </w:r>
      <w:r>
        <w:rPr>
          <w:rFonts w:hint="eastAsia" w:ascii="方正小标宋_GBK" w:hAnsi="方正小标宋_GBK" w:eastAsia="方正小标宋_GBK" w:cs="方正小标宋_GBK"/>
          <w:spacing w:val="0"/>
          <w:sz w:val="44"/>
          <w:szCs w:val="44"/>
          <w:highlight w:val="none"/>
          <w:u w:val="none" w:color="auto"/>
          <w:lang w:val="en-US" w:eastAsia="zh-CN"/>
        </w:rPr>
        <w:t>科技</w:t>
      </w:r>
      <w:r>
        <w:rPr>
          <w:rFonts w:hint="eastAsia" w:ascii="方正小标宋_GBK" w:hAnsi="方正小标宋_GBK" w:eastAsia="方正小标宋_GBK" w:cs="方正小标宋_GBK"/>
          <w:spacing w:val="0"/>
          <w:sz w:val="44"/>
          <w:szCs w:val="44"/>
          <w:highlight w:val="none"/>
          <w:u w:val="none" w:color="auto"/>
        </w:rPr>
        <w:t>专项</w:t>
      </w:r>
      <w:r>
        <w:rPr>
          <w:rFonts w:hint="eastAsia" w:ascii="方正小标宋_GBK" w:hAnsi="方正小标宋_GBK" w:eastAsia="方正小标宋_GBK" w:cs="方正小标宋_GBK"/>
          <w:spacing w:val="0"/>
          <w:sz w:val="44"/>
          <w:szCs w:val="44"/>
          <w:highlight w:val="none"/>
          <w:u w:val="none" w:color="auto"/>
          <w:lang w:val="en-US" w:eastAsia="zh-CN"/>
        </w:rPr>
        <w:t>资金</w:t>
      </w:r>
      <w:r>
        <w:rPr>
          <w:rFonts w:hint="eastAsia" w:ascii="方正小标宋_GBK" w:hAnsi="方正小标宋_GBK" w:eastAsia="方正小标宋_GBK" w:cs="方正小标宋_GBK"/>
          <w:spacing w:val="0"/>
          <w:sz w:val="44"/>
          <w:szCs w:val="44"/>
          <w:highlight w:val="none"/>
          <w:u w:val="none" w:color="auto"/>
        </w:rPr>
        <w:t>管理办法</w:t>
      </w:r>
    </w:p>
    <w:p w14:paraId="2517133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楷体_GBK" w:hAnsi="方正楷体_GBK" w:eastAsia="方正楷体_GBK" w:cs="方正楷体_GBK"/>
          <w:b w:val="0"/>
          <w:spacing w:val="0"/>
          <w:kern w:val="2"/>
          <w:sz w:val="32"/>
          <w:szCs w:val="32"/>
          <w:highlight w:val="none"/>
          <w:u w:val="none" w:color="auto"/>
          <w:lang w:val="en-US" w:eastAsia="zh-CN" w:bidi="ar-SA"/>
        </w:rPr>
      </w:pPr>
      <w:r>
        <w:rPr>
          <w:rFonts w:hint="eastAsia" w:ascii="方正楷体_GBK" w:hAnsi="方正楷体_GBK" w:eastAsia="方正楷体_GBK" w:cs="方正楷体_GBK"/>
          <w:b w:val="0"/>
          <w:spacing w:val="0"/>
          <w:kern w:val="2"/>
          <w:sz w:val="32"/>
          <w:szCs w:val="32"/>
          <w:highlight w:val="none"/>
          <w:u w:val="none" w:color="auto"/>
          <w:lang w:val="en-US" w:eastAsia="zh-CN" w:bidi="ar-SA"/>
        </w:rPr>
        <w:t>（征求意见稿）</w:t>
      </w:r>
    </w:p>
    <w:p w14:paraId="03BA2F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pPr>
    </w:p>
    <w:p w14:paraId="6A6C028F">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jc w:val="center"/>
        <w:textAlignment w:val="auto"/>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t>第一章 总则</w:t>
      </w:r>
    </w:p>
    <w:p w14:paraId="593462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第一条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为深入实施创新驱动发展战略</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推动科技创新和产业创新深度融合，促进科技成果转化应用，提升全社会研发投入水平，支撑新疆区域科技创新中心核心区建设，打造全疆新质生产力策源地</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，设立财政科技专项资金</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（以下简称“专项资金”）</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。为</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规范和加强专项资金使用管理，提高使用效益，发挥</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引导带</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动作用，根据《中华人民共和国预算法》</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《中华人民共和国科学技术进步法》《新疆维吾尔自治区科技创新条例》等</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相关规定，结合我州实际，制定本办法。</w:t>
      </w:r>
    </w:p>
    <w:p w14:paraId="0CE1E2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color w:val="auto"/>
          <w:sz w:val="32"/>
          <w:highlight w:val="none"/>
          <w:u w:val="none" w:color="auto"/>
          <w:lang w:val="en-US" w:eastAsia="zh-CN"/>
        </w:rPr>
        <w:t>第二条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专项资金是指由州本级财政预算安排，用于支持</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产业发展</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关键核心技术攻关、科技成果转化</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及应用</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、创新平台建设及创新体系建设的财政资金。</w:t>
      </w:r>
    </w:p>
    <w:p w14:paraId="31B0EB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u w:val="none" w:color="auto"/>
          <w:lang w:val="en-US" w:eastAsia="zh-CN" w:bidi="ar-SA"/>
        </w:rPr>
      </w:pPr>
      <w:r>
        <w:rPr>
          <w:rFonts w:hint="eastAsia" w:ascii="Times New Roman" w:hAnsi="Times New Roman" w:eastAsia="方正楷体_GBK" w:cs="Times New Roman"/>
          <w:b/>
          <w:bCs/>
          <w:sz w:val="32"/>
          <w:highlight w:val="none"/>
          <w:u w:val="none" w:color="auto"/>
          <w:lang w:val="en-US" w:eastAsia="zh-CN"/>
        </w:rPr>
        <w:t xml:space="preserve">第三条  </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专项资金按项目安排，包括补助、奖补、奖励、购买服务、拨投结合、贷款贴息、保费补贴等形式，发挥财政资金撬动作用，引导建立科技创新多元化投入机制。</w:t>
      </w:r>
    </w:p>
    <w:p w14:paraId="1ACA7F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四</w:t>
      </w:r>
      <w:r>
        <w:rPr>
          <w:rFonts w:hint="default" w:ascii="Times New Roman" w:hAnsi="Times New Roman" w:eastAsia="方正楷体_GBK" w:cs="Times New Roman"/>
          <w:b/>
          <w:bCs/>
          <w:sz w:val="32"/>
          <w:highlight w:val="none"/>
          <w:u w:val="none" w:color="auto"/>
          <w:lang w:val="en-US" w:eastAsia="zh-CN"/>
        </w:rPr>
        <w:t>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专项资金的使用</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应当</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面向经济社会发展重大创新需求</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，符合财政预算管理的有关规定</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具体使用原则</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如下</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64CF0B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eastAsia" w:ascii="方正楷体_GBK" w:hAnsi="方正楷体_GBK" w:eastAsia="方正楷体_GBK" w:cs="方正楷体_GBK"/>
          <w:b w:val="0"/>
          <w:bCs w:val="0"/>
          <w:color w:val="auto"/>
          <w:spacing w:val="0"/>
          <w:kern w:val="2"/>
          <w:sz w:val="32"/>
          <w:szCs w:val="32"/>
          <w:highlight w:val="none"/>
          <w:u w:val="none" w:color="auto"/>
          <w:lang w:val="en-US" w:eastAsia="zh-CN" w:bidi="ar-SA"/>
        </w:rPr>
        <w:t>（一）聚焦重点，优化配置。</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围</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绕</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昌吉州重点产业发展需求</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聚焦前沿优势领域及重大技术创新，突出目标导向，强化前瞻性、战略性、系统性、带动性布</w:t>
      </w:r>
      <w:r>
        <w:rPr>
          <w:rFonts w:hint="default" w:ascii="Times New Roman" w:hAnsi="Times New Roman" w:eastAsia="方正仿宋_GBK" w:cs="Times New Roman"/>
          <w:b w:val="0"/>
          <w:bCs w:val="0"/>
          <w:color w:val="auto"/>
          <w:spacing w:val="-6"/>
          <w:kern w:val="2"/>
          <w:sz w:val="32"/>
          <w:szCs w:val="32"/>
          <w:highlight w:val="none"/>
          <w:u w:val="none" w:color="auto"/>
          <w:lang w:val="en-US" w:eastAsia="zh-CN" w:bidi="ar-SA"/>
        </w:rPr>
        <w:t>局，加强对产业科技创新全链条支持和全过程管理，优化资源配置。</w:t>
      </w:r>
    </w:p>
    <w:p w14:paraId="378113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（二）明晰权责，统筹投入。</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明</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确</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专项</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资金管理和行业主管部门的</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职权和职责</w:t>
      </w:r>
      <w:r>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鼓励和引导社会资本加大科技创新投入，推进“项目、平台、人才、政策”一体化布局。</w:t>
      </w:r>
    </w:p>
    <w:p w14:paraId="288F37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（三）强化管理，注重绩效。</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严格按照预算管理和财政资金使用规定，规范专项资金</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管理</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，实行单独核算、专款专用</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、即申即报、动态管理、全程监督</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，切实提高专项资金</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时效性、成效性</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373511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（四）优化范式，</w:t>
      </w:r>
      <w:r>
        <w:rPr>
          <w:rFonts w:hint="eastAsia" w:ascii="方正楷体_GBK" w:hAnsi="方正楷体_GBK" w:eastAsia="方正楷体_GBK" w:cs="方正楷体_GBK"/>
          <w:b w:val="0"/>
          <w:bCs w:val="0"/>
          <w:strike w:val="0"/>
          <w:dstrike w:val="0"/>
          <w:color w:val="auto"/>
          <w:spacing w:val="0"/>
          <w:kern w:val="2"/>
          <w:sz w:val="32"/>
          <w:szCs w:val="32"/>
          <w:highlight w:val="none"/>
          <w:u w:val="none" w:color="auto"/>
          <w:lang w:val="en-US" w:eastAsia="zh-CN" w:bidi="ar-SA"/>
        </w:rPr>
        <w:t>前端引领</w:t>
      </w: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对</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照</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“十五五”期间</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新形</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势新要求，</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借鉴先进研发组织模式，优化重大科技创新组织机制，建立更加适</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应</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科技</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领域特点与创新需求的组织实施方式，不断探索</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专项资金支持</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科</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研</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从事后补助到前端牵引</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，强化高效组织使用与动态调整管理。</w:t>
      </w:r>
    </w:p>
    <w:p w14:paraId="4D165EA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t>第二章 职责分工</w:t>
      </w:r>
    </w:p>
    <w:p w14:paraId="777894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五</w:t>
      </w:r>
      <w:r>
        <w:rPr>
          <w:rFonts w:hint="default" w:ascii="Times New Roman" w:hAnsi="Times New Roman" w:eastAsia="方正楷体_GBK" w:cs="Times New Roman"/>
          <w:b/>
          <w:bCs/>
          <w:sz w:val="32"/>
          <w:highlight w:val="none"/>
          <w:u w:val="none" w:color="auto"/>
          <w:lang w:val="en-US" w:eastAsia="zh-CN"/>
        </w:rPr>
        <w:t>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州科技局主要职责</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1DAF0E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（一）编制</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年度财政</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科研经费</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预算；</w:t>
      </w:r>
    </w:p>
    <w:p w14:paraId="6F2271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（二）研究制定科技计划体系设置</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与优化、项目全过程</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管理制度；</w:t>
      </w:r>
    </w:p>
    <w:p w14:paraId="75B05D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（三）</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每年第三季度研究制定、发布下一</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年度科技项目申报指南，</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于下一年度年初提出具体项目，</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确定专项资金使用方向和支持重点</w:t>
      </w:r>
      <w:r>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t>；</w:t>
      </w:r>
    </w:p>
    <w:p w14:paraId="0066B0C6">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color w:val="000000"/>
          <w:kern w:val="0"/>
          <w:sz w:val="31"/>
          <w:szCs w:val="31"/>
          <w:highlight w:val="none"/>
          <w:u w:val="none" w:color="auto"/>
          <w:lang w:val="en-US" w:eastAsia="zh-CN" w:bidi="ar"/>
        </w:rPr>
        <w:t>（四）组织开展项目申报受理、立项、过程管理、</w:t>
      </w:r>
      <w:r>
        <w:rPr>
          <w:rFonts w:hint="default" w:ascii="Times New Roman" w:hAnsi="Times New Roman" w:eastAsia="方正仿宋_GBK" w:cs="Times New Roman"/>
          <w:strike w:val="0"/>
          <w:dstrike w:val="0"/>
          <w:color w:val="000000"/>
          <w:kern w:val="0"/>
          <w:sz w:val="31"/>
          <w:szCs w:val="31"/>
          <w:highlight w:val="none"/>
          <w:u w:val="none" w:color="auto"/>
          <w:lang w:val="en-US" w:eastAsia="zh-CN" w:bidi="ar"/>
        </w:rPr>
        <w:t>资金执行监管、</w:t>
      </w:r>
      <w:r>
        <w:rPr>
          <w:rFonts w:hint="default" w:ascii="Times New Roman" w:hAnsi="Times New Roman" w:eastAsia="方正仿宋_GBK" w:cs="Times New Roman"/>
          <w:color w:val="000000"/>
          <w:kern w:val="0"/>
          <w:sz w:val="31"/>
          <w:szCs w:val="31"/>
          <w:highlight w:val="none"/>
          <w:u w:val="none" w:color="auto"/>
          <w:lang w:val="en-US" w:eastAsia="zh-CN" w:bidi="ar"/>
        </w:rPr>
        <w:t>验收，以及组织、指导、监督绩效监控和绩效评价等工作，</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对项目</w:t>
      </w:r>
      <w:r>
        <w:rPr>
          <w:rFonts w:hint="default" w:ascii="Times New Roman" w:hAnsi="Times New Roman" w:eastAsia="方正仿宋_GBK" w:cs="Times New Roman"/>
          <w:color w:val="000000"/>
          <w:kern w:val="0"/>
          <w:sz w:val="31"/>
          <w:szCs w:val="31"/>
          <w:highlight w:val="none"/>
          <w:u w:val="none" w:color="auto"/>
          <w:lang w:val="en-US" w:eastAsia="zh-CN" w:bidi="ar"/>
        </w:rPr>
        <w:t>承担单位</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实施科研诚信管理</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0B90143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（五）对因故需终止实施及被撤项的项目，核定剩余财政科技资金上缴州财政局。</w:t>
      </w:r>
    </w:p>
    <w:p w14:paraId="64617D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color w:val="auto"/>
          <w:sz w:val="32"/>
          <w:highlight w:val="none"/>
          <w:u w:val="none" w:color="auto"/>
          <w:lang w:val="en-US" w:eastAsia="zh-CN"/>
        </w:rPr>
        <w:t>第</w:t>
      </w:r>
      <w:r>
        <w:rPr>
          <w:rFonts w:hint="eastAsia" w:ascii="Times New Roman" w:hAnsi="Times New Roman" w:eastAsia="方正楷体_GBK" w:cs="Times New Roman"/>
          <w:b/>
          <w:bCs/>
          <w:color w:val="auto"/>
          <w:sz w:val="32"/>
          <w:highlight w:val="none"/>
          <w:u w:val="none" w:color="auto"/>
          <w:lang w:val="en-US" w:eastAsia="zh-CN"/>
        </w:rPr>
        <w:t>六</w:t>
      </w:r>
      <w:r>
        <w:rPr>
          <w:rFonts w:hint="default" w:ascii="Times New Roman" w:hAnsi="Times New Roman" w:eastAsia="方正楷体_GBK" w:cs="Times New Roman"/>
          <w:b/>
          <w:bCs/>
          <w:color w:val="auto"/>
          <w:sz w:val="32"/>
          <w:highlight w:val="none"/>
          <w:u w:val="none" w:color="auto"/>
          <w:lang w:val="en-US" w:eastAsia="zh-CN"/>
        </w:rPr>
        <w:t>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州直</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相关</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行业主管部门主要职责</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33733E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（一）</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配合州科技局</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编制年度财政科研经费预算；</w:t>
      </w:r>
    </w:p>
    <w:p w14:paraId="7B7E3F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（二）配合州科技局编制项目申报指南，</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负责调研、</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组织申报、审核和推荐本行业领域科技项目；</w:t>
      </w:r>
    </w:p>
    <w:p w14:paraId="35F5EF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（三）</w:t>
      </w:r>
      <w:r>
        <w:rPr>
          <w:rFonts w:hint="default" w:ascii="Times New Roman" w:hAnsi="Times New Roman" w:eastAsia="方正仿宋_GBK" w:cs="Times New Roman"/>
          <w:strike w:val="0"/>
          <w:dstrike w:val="0"/>
          <w:color w:val="000000"/>
          <w:kern w:val="0"/>
          <w:sz w:val="31"/>
          <w:szCs w:val="31"/>
          <w:highlight w:val="none"/>
          <w:u w:val="none" w:color="auto"/>
          <w:lang w:val="en-US" w:eastAsia="zh-CN" w:bidi="ar"/>
        </w:rPr>
        <w:t>项目立项后，履行监管责任，</w:t>
      </w:r>
      <w:r>
        <w:rPr>
          <w:rFonts w:hint="default" w:ascii="Times New Roman" w:hAnsi="Times New Roman" w:eastAsia="方正仿宋_GBK" w:cs="Times New Roman"/>
          <w:color w:val="000000"/>
          <w:kern w:val="0"/>
          <w:sz w:val="31"/>
          <w:szCs w:val="31"/>
          <w:highlight w:val="none"/>
          <w:u w:val="none" w:color="auto"/>
          <w:lang w:val="en-US" w:eastAsia="zh-CN" w:bidi="ar"/>
        </w:rPr>
        <w:t>负责项目的日常监督，</w:t>
      </w:r>
      <w:r>
        <w:rPr>
          <w:rFonts w:hint="eastAsia" w:ascii="Times New Roman" w:hAnsi="Times New Roman" w:eastAsia="方正仿宋_GBK" w:cs="Times New Roman"/>
          <w:color w:val="000000"/>
          <w:kern w:val="0"/>
          <w:sz w:val="31"/>
          <w:szCs w:val="31"/>
          <w:highlight w:val="none"/>
          <w:u w:val="none" w:color="auto"/>
          <w:lang w:val="en-US" w:eastAsia="zh-CN" w:bidi="ar"/>
        </w:rPr>
        <w:t>指导项目</w:t>
      </w:r>
      <w:r>
        <w:rPr>
          <w:rFonts w:hint="default" w:ascii="Times New Roman" w:hAnsi="Times New Roman" w:eastAsia="方正仿宋_GBK" w:cs="Times New Roman"/>
          <w:color w:val="000000"/>
          <w:kern w:val="0"/>
          <w:sz w:val="31"/>
          <w:szCs w:val="31"/>
          <w:highlight w:val="none"/>
          <w:u w:val="none" w:color="auto"/>
          <w:lang w:val="en-US" w:eastAsia="zh-CN" w:bidi="ar"/>
        </w:rPr>
        <w:t>承担单位规范使用财政资金</w:t>
      </w:r>
      <w:r>
        <w:rPr>
          <w:rFonts w:hint="eastAsia" w:ascii="Times New Roman" w:hAnsi="Times New Roman" w:eastAsia="方正仿宋_GBK" w:cs="Times New Roman"/>
          <w:color w:val="000000"/>
          <w:kern w:val="0"/>
          <w:sz w:val="31"/>
          <w:szCs w:val="31"/>
          <w:highlight w:val="none"/>
          <w:u w:val="none" w:color="auto"/>
          <w:lang w:val="en-US" w:eastAsia="zh-CN" w:bidi="ar"/>
        </w:rPr>
        <w:t>，</w:t>
      </w:r>
      <w:r>
        <w:rPr>
          <w:rFonts w:hint="default" w:ascii="Times New Roman" w:hAnsi="Times New Roman" w:eastAsia="方正仿宋_GBK" w:cs="Times New Roman"/>
          <w:color w:val="000000"/>
          <w:kern w:val="0"/>
          <w:sz w:val="31"/>
          <w:szCs w:val="31"/>
          <w:highlight w:val="none"/>
          <w:u w:val="none" w:color="auto"/>
          <w:lang w:val="en-US" w:eastAsia="zh-CN" w:bidi="ar"/>
        </w:rPr>
        <w:t>按时到位自筹资金</w:t>
      </w:r>
      <w:r>
        <w:rPr>
          <w:rFonts w:hint="eastAsia" w:ascii="Times New Roman" w:hAnsi="Times New Roman" w:eastAsia="方正仿宋_GBK" w:cs="Times New Roman"/>
          <w:color w:val="000000"/>
          <w:kern w:val="0"/>
          <w:sz w:val="31"/>
          <w:szCs w:val="31"/>
          <w:highlight w:val="none"/>
          <w:u w:val="none" w:color="auto"/>
          <w:lang w:val="en-US" w:eastAsia="zh-CN" w:bidi="ar"/>
        </w:rPr>
        <w:t>，</w:t>
      </w:r>
      <w:r>
        <w:rPr>
          <w:rFonts w:hint="default" w:ascii="Times New Roman" w:hAnsi="Times New Roman" w:eastAsia="方正仿宋_GBK" w:cs="Times New Roman"/>
          <w:color w:val="000000"/>
          <w:kern w:val="0"/>
          <w:sz w:val="31"/>
          <w:szCs w:val="31"/>
          <w:highlight w:val="none"/>
          <w:u w:val="none" w:color="auto"/>
          <w:lang w:val="en-US" w:eastAsia="zh-CN" w:bidi="ar"/>
        </w:rPr>
        <w:t>按要求报送项目执行情况</w:t>
      </w:r>
      <w:r>
        <w:rPr>
          <w:rFonts w:hint="eastAsia" w:ascii="Times New Roman" w:hAnsi="Times New Roman" w:eastAsia="方正仿宋_GBK" w:cs="Times New Roman"/>
          <w:color w:val="000000"/>
          <w:kern w:val="0"/>
          <w:sz w:val="31"/>
          <w:szCs w:val="31"/>
          <w:highlight w:val="none"/>
          <w:u w:val="none" w:color="auto"/>
          <w:lang w:val="en-US" w:eastAsia="zh-CN" w:bidi="ar"/>
        </w:rPr>
        <w:t>，</w:t>
      </w:r>
      <w:r>
        <w:rPr>
          <w:rFonts w:hint="default" w:ascii="Times New Roman" w:hAnsi="Times New Roman" w:eastAsia="方正仿宋_GBK" w:cs="Times New Roman"/>
          <w:strike w:val="0"/>
          <w:dstrike w:val="0"/>
          <w:color w:val="000000"/>
          <w:kern w:val="0"/>
          <w:sz w:val="31"/>
          <w:szCs w:val="31"/>
          <w:highlight w:val="none"/>
          <w:u w:val="none" w:color="auto"/>
          <w:lang w:val="en-US" w:eastAsia="zh-CN" w:bidi="ar"/>
        </w:rPr>
        <w:t>完成项目目标任务</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color w:val="000000"/>
          <w:kern w:val="0"/>
          <w:sz w:val="31"/>
          <w:szCs w:val="31"/>
          <w:highlight w:val="none"/>
          <w:u w:val="none" w:color="auto"/>
          <w:lang w:val="en-US" w:eastAsia="zh-CN" w:bidi="ar"/>
        </w:rPr>
        <w:t>根据项目执行情况提出项目调整、终止及撤销建议；</w:t>
      </w:r>
    </w:p>
    <w:p w14:paraId="121270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（四）协助或受州科技局委托开展项目检查、评估、验收和绩效评价以及其他与项目管理监督有关的工作等；</w:t>
      </w:r>
    </w:p>
    <w:p w14:paraId="2FA4F5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highlight w:val="none"/>
          <w:u w:val="none" w:color="auto"/>
          <w:lang w:val="en-US" w:eastAsia="zh-CN"/>
        </w:rPr>
      </w:pPr>
      <w:r>
        <w:rPr>
          <w:rFonts w:hint="default" w:ascii="Times New Roman" w:hAnsi="Times New Roman" w:eastAsia="方正仿宋_GBK" w:cs="Times New Roman"/>
          <w:sz w:val="32"/>
          <w:highlight w:val="none"/>
          <w:u w:val="none" w:color="auto"/>
          <w:lang w:val="en-US" w:eastAsia="zh-CN"/>
        </w:rPr>
        <w:t>（五）</w:t>
      </w:r>
      <w:r>
        <w:rPr>
          <w:rFonts w:hint="eastAsia" w:ascii="Times New Roman" w:hAnsi="Times New Roman" w:eastAsia="方正仿宋_GBK" w:cs="Times New Roman"/>
          <w:sz w:val="32"/>
          <w:highlight w:val="none"/>
          <w:u w:val="none" w:color="auto"/>
          <w:lang w:val="en-US" w:eastAsia="zh-CN"/>
        </w:rPr>
        <w:t>执行</w:t>
      </w:r>
      <w:r>
        <w:rPr>
          <w:rFonts w:hint="default" w:ascii="Times New Roman" w:hAnsi="Times New Roman" w:eastAsia="方正仿宋_GBK" w:cs="Times New Roman"/>
          <w:sz w:val="32"/>
          <w:highlight w:val="none"/>
          <w:u w:val="none" w:color="auto"/>
          <w:lang w:val="en-US" w:eastAsia="zh-CN"/>
        </w:rPr>
        <w:t>科研信用管理制度，督促项目</w:t>
      </w:r>
      <w:r>
        <w:rPr>
          <w:rFonts w:hint="eastAsia" w:ascii="Times New Roman" w:hAnsi="Times New Roman" w:eastAsia="方正仿宋_GBK" w:cs="Times New Roman"/>
          <w:sz w:val="32"/>
          <w:highlight w:val="none"/>
          <w:u w:val="none" w:color="auto"/>
          <w:lang w:val="en-US" w:eastAsia="zh-CN"/>
        </w:rPr>
        <w:t>承担</w:t>
      </w:r>
      <w:r>
        <w:rPr>
          <w:rFonts w:hint="default" w:ascii="Times New Roman" w:hAnsi="Times New Roman" w:eastAsia="方正仿宋_GBK" w:cs="Times New Roman"/>
          <w:sz w:val="32"/>
          <w:highlight w:val="none"/>
          <w:u w:val="none" w:color="auto"/>
          <w:lang w:val="en-US" w:eastAsia="zh-CN"/>
        </w:rPr>
        <w:t>单位恪守科学道德准则，遵守科研活动规范，践行科研诚信要求</w:t>
      </w:r>
      <w:r>
        <w:rPr>
          <w:rFonts w:hint="eastAsia" w:ascii="Times New Roman" w:hAnsi="Times New Roman" w:eastAsia="方正仿宋_GBK" w:cs="Times New Roman"/>
          <w:sz w:val="32"/>
          <w:highlight w:val="none"/>
          <w:u w:val="none" w:color="auto"/>
          <w:lang w:val="en-US" w:eastAsia="zh-CN"/>
        </w:rPr>
        <w:t>。</w:t>
      </w:r>
    </w:p>
    <w:p w14:paraId="54AFA2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七</w:t>
      </w:r>
      <w:r>
        <w:rPr>
          <w:rFonts w:hint="default" w:ascii="Times New Roman" w:hAnsi="Times New Roman" w:eastAsia="方正楷体_GBK" w:cs="Times New Roman"/>
          <w:b/>
          <w:bCs/>
          <w:sz w:val="32"/>
          <w:highlight w:val="none"/>
          <w:u w:val="none" w:color="auto"/>
          <w:lang w:val="en-US" w:eastAsia="zh-CN"/>
        </w:rPr>
        <w:t>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州财政局主要职责</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p>
    <w:p w14:paraId="419533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（一）</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负责</w:t>
      </w:r>
      <w:r>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t>审核并下达自治州</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科技专项资金</w:t>
      </w:r>
      <w:r>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t>；</w:t>
      </w:r>
    </w:p>
    <w:p w14:paraId="21B930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pP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（二）负责指导开展专项资金预算绩效管理工作，强化评价结果应用；</w:t>
      </w:r>
    </w:p>
    <w:p w14:paraId="02FE5D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pP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（三）会同科技部门对专项资金预算执行实施监督管理。</w:t>
      </w:r>
    </w:p>
    <w:p w14:paraId="305B7A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八</w:t>
      </w:r>
      <w:r>
        <w:rPr>
          <w:rFonts w:hint="default" w:ascii="Times New Roman" w:hAnsi="Times New Roman" w:eastAsia="方正楷体_GBK" w:cs="Times New Roman"/>
          <w:b/>
          <w:bCs/>
          <w:sz w:val="32"/>
          <w:highlight w:val="none"/>
          <w:u w:val="none" w:color="auto"/>
          <w:lang w:val="en-US" w:eastAsia="zh-CN"/>
        </w:rPr>
        <w:t>条</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w:t>
      </w:r>
      <w:r>
        <w:rPr>
          <w:rFonts w:hint="default" w:ascii="Times New Roman" w:hAnsi="Times New Roman" w:eastAsia="方正仿宋_GBK" w:cs="Times New Roman"/>
          <w:color w:val="000000"/>
          <w:kern w:val="0"/>
          <w:sz w:val="31"/>
          <w:szCs w:val="31"/>
          <w:highlight w:val="none"/>
          <w:u w:val="none" w:color="auto"/>
          <w:lang w:val="en-US" w:eastAsia="zh-CN" w:bidi="ar"/>
        </w:rPr>
        <w:t>项目（课题）承担单位主要职责</w:t>
      </w:r>
      <w:r>
        <w:rPr>
          <w:rFonts w:hint="eastAsia" w:ascii="Times New Roman" w:hAnsi="Times New Roman" w:eastAsia="方正仿宋_GBK" w:cs="Times New Roman"/>
          <w:color w:val="000000"/>
          <w:kern w:val="0"/>
          <w:sz w:val="31"/>
          <w:szCs w:val="31"/>
          <w:highlight w:val="none"/>
          <w:u w:val="none" w:color="auto"/>
          <w:lang w:val="en-US" w:eastAsia="zh-CN" w:bidi="ar"/>
        </w:rPr>
        <w:t>：</w:t>
      </w:r>
    </w:p>
    <w:p w14:paraId="235857EF">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仿宋_GBK" w:cs="Times New Roman"/>
          <w:color w:val="000000"/>
          <w:kern w:val="0"/>
          <w:sz w:val="31"/>
          <w:szCs w:val="31"/>
          <w:highlight w:val="none"/>
          <w:u w:val="none" w:color="auto"/>
          <w:lang w:val="en-US" w:eastAsia="zh-CN" w:bidi="ar"/>
        </w:rPr>
        <w:t>（一）按照签订的合同书</w:t>
      </w:r>
      <w:r>
        <w:rPr>
          <w:rFonts w:hint="default" w:ascii="Times New Roman" w:hAnsi="Times New Roman" w:eastAsia="方正仿宋_GBK" w:cs="Times New Roman"/>
          <w:color w:val="auto"/>
          <w:kern w:val="0"/>
          <w:sz w:val="31"/>
          <w:szCs w:val="31"/>
          <w:highlight w:val="none"/>
          <w:u w:val="none" w:color="auto"/>
          <w:lang w:val="en-US" w:eastAsia="zh-CN" w:bidi="ar"/>
        </w:rPr>
        <w:t>管理</w:t>
      </w:r>
      <w:r>
        <w:rPr>
          <w:rFonts w:hint="default" w:ascii="Times New Roman" w:hAnsi="Times New Roman" w:eastAsia="方正仿宋_GBK" w:cs="Times New Roman"/>
          <w:color w:val="000000"/>
          <w:kern w:val="0"/>
          <w:sz w:val="31"/>
          <w:szCs w:val="31"/>
          <w:highlight w:val="none"/>
          <w:u w:val="none" w:color="auto"/>
          <w:lang w:val="en-US" w:eastAsia="zh-CN" w:bidi="ar"/>
        </w:rPr>
        <w:t>项目（课题），履行合同书各项条款，落实人员、单位自筹资金及其他配套条件，完成项目（课题）目标任务，落实激励科研人员的政策措施，做好研发费用归集工作；</w:t>
      </w:r>
    </w:p>
    <w:p w14:paraId="09BDD6B3">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仿宋_GBK" w:cs="Times New Roman"/>
          <w:color w:val="000000"/>
          <w:kern w:val="0"/>
          <w:sz w:val="31"/>
          <w:szCs w:val="31"/>
          <w:highlight w:val="none"/>
          <w:u w:val="none" w:color="auto"/>
          <w:lang w:val="en-US" w:eastAsia="zh-CN" w:bidi="ar"/>
        </w:rPr>
        <w:t>（二）负责编制项目资金预算和决算，做好项目绩效管理工作，严格执行有关财经法规和财务制度，依据合同书（含预算）依规管理、使用资金，对项目资金单独核算，确保专款专用；</w:t>
      </w:r>
    </w:p>
    <w:p w14:paraId="22277EDA">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仿宋_GBK" w:cs="Times New Roman"/>
          <w:color w:val="000000"/>
          <w:kern w:val="0"/>
          <w:sz w:val="31"/>
          <w:szCs w:val="31"/>
          <w:highlight w:val="none"/>
          <w:u w:val="none" w:color="auto"/>
          <w:lang w:val="en-US" w:eastAsia="zh-CN" w:bidi="ar"/>
        </w:rPr>
        <w:t>（三）按要求报送项目年度执行情况报告、绩效报告、验收报告、技术合同登记等；</w:t>
      </w:r>
    </w:p>
    <w:p w14:paraId="1AAEF4CA">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color w:val="000000"/>
          <w:kern w:val="0"/>
          <w:sz w:val="31"/>
          <w:szCs w:val="31"/>
          <w:highlight w:val="none"/>
          <w:u w:val="none" w:color="auto"/>
          <w:lang w:val="en-US" w:eastAsia="zh-CN" w:bidi="ar"/>
        </w:rPr>
      </w:pPr>
      <w:r>
        <w:rPr>
          <w:rFonts w:hint="default" w:ascii="Times New Roman" w:hAnsi="Times New Roman" w:eastAsia="方正仿宋_GBK" w:cs="Times New Roman"/>
          <w:color w:val="000000"/>
          <w:kern w:val="0"/>
          <w:sz w:val="31"/>
          <w:szCs w:val="31"/>
          <w:highlight w:val="none"/>
          <w:u w:val="none" w:color="auto"/>
          <w:lang w:val="en-US" w:eastAsia="zh-CN" w:bidi="ar"/>
        </w:rPr>
        <w:t>（四）接受并配合州科技局等相关部门的指导、检查、监督、评价、验收等工作，对存在的问题按要求整改</w:t>
      </w:r>
      <w:r>
        <w:rPr>
          <w:rFonts w:hint="eastAsia" w:ascii="Times New Roman" w:hAnsi="Times New Roman" w:eastAsia="方正仿宋_GBK" w:cs="Times New Roman"/>
          <w:color w:val="000000"/>
          <w:kern w:val="0"/>
          <w:sz w:val="31"/>
          <w:szCs w:val="31"/>
          <w:highlight w:val="none"/>
          <w:u w:val="none" w:color="auto"/>
          <w:lang w:val="en-US" w:eastAsia="zh-CN" w:bidi="ar"/>
        </w:rPr>
        <w:t>；</w:t>
      </w:r>
    </w:p>
    <w:p w14:paraId="709E1F35">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Times New Roman" w:hAnsi="Times New Roman" w:eastAsia="方正仿宋_GBK" w:cs="Times New Roman"/>
          <w:color w:val="000000"/>
          <w:kern w:val="0"/>
          <w:sz w:val="31"/>
          <w:szCs w:val="31"/>
          <w:highlight w:val="none"/>
          <w:u w:val="none" w:color="auto"/>
          <w:lang w:val="en-US" w:eastAsia="zh-CN" w:bidi="ar"/>
        </w:rPr>
      </w:pPr>
      <w:r>
        <w:rPr>
          <w:rFonts w:hint="eastAsia" w:ascii="Times New Roman" w:hAnsi="Times New Roman" w:eastAsia="方正仿宋_GBK" w:cs="Times New Roman"/>
          <w:color w:val="000000"/>
          <w:kern w:val="0"/>
          <w:sz w:val="31"/>
          <w:szCs w:val="31"/>
          <w:highlight w:val="none"/>
          <w:u w:val="none" w:color="auto"/>
          <w:lang w:val="en-US" w:eastAsia="zh-CN" w:bidi="ar"/>
        </w:rPr>
        <w:t>（五）负责项目有关财务文件的归档保存；</w:t>
      </w:r>
    </w:p>
    <w:p w14:paraId="18D09A0D">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eastAsia" w:ascii="Times New Roman" w:hAnsi="Times New Roman" w:eastAsia="方正仿宋_GBK" w:cs="Times New Roman"/>
          <w:color w:val="000000"/>
          <w:kern w:val="0"/>
          <w:sz w:val="31"/>
          <w:szCs w:val="31"/>
          <w:highlight w:val="none"/>
          <w:u w:val="none" w:color="auto"/>
          <w:lang w:val="en-US" w:eastAsia="zh-CN" w:bidi="ar"/>
        </w:rPr>
        <w:t>（六）</w:t>
      </w:r>
      <w:r>
        <w:rPr>
          <w:rFonts w:hint="default" w:ascii="Times New Roman" w:hAnsi="Times New Roman" w:eastAsia="方正仿宋_GBK" w:cs="Times New Roman"/>
          <w:sz w:val="32"/>
          <w:highlight w:val="none"/>
          <w:u w:val="none" w:color="auto"/>
          <w:lang w:val="en-US" w:eastAsia="zh-CN"/>
        </w:rPr>
        <w:t>恪守科学道德准则，遵守科研活动规范，践行科研诚信要求</w:t>
      </w:r>
      <w:r>
        <w:rPr>
          <w:rFonts w:hint="eastAsia" w:ascii="Times New Roman" w:hAnsi="Times New Roman" w:eastAsia="方正仿宋_GBK" w:cs="Times New Roman"/>
          <w:sz w:val="32"/>
          <w:highlight w:val="none"/>
          <w:u w:val="none" w:color="auto"/>
          <w:lang w:val="en-US" w:eastAsia="zh-CN"/>
        </w:rPr>
        <w:t>。</w:t>
      </w:r>
    </w:p>
    <w:p w14:paraId="1907EDC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t>第三章  计划类别和组织方式</w:t>
      </w:r>
    </w:p>
    <w:p w14:paraId="53493E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u w:val="none" w:color="auto"/>
          <w:lang w:val="en-US" w:eastAsia="zh-CN"/>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九</w:t>
      </w:r>
      <w:r>
        <w:rPr>
          <w:rFonts w:hint="default" w:ascii="Times New Roman" w:hAnsi="Times New Roman" w:eastAsia="方正楷体_GBK" w:cs="Times New Roman"/>
          <w:b/>
          <w:bCs/>
          <w:sz w:val="32"/>
          <w:highlight w:val="none"/>
          <w:u w:val="none" w:color="auto"/>
          <w:lang w:val="en-US" w:eastAsia="zh-CN"/>
        </w:rPr>
        <w:t xml:space="preserve">条  </w:t>
      </w:r>
      <w:r>
        <w:rPr>
          <w:rFonts w:hint="default" w:ascii="Times New Roman" w:hAnsi="Times New Roman" w:eastAsia="方正仿宋_GBK" w:cs="Times New Roman"/>
          <w:sz w:val="32"/>
          <w:highlight w:val="none"/>
          <w:u w:val="none" w:color="auto"/>
          <w:lang w:val="en-US" w:eastAsia="zh-CN"/>
        </w:rPr>
        <w:t>昌吉州科技计划体系包括</w:t>
      </w:r>
      <w:r>
        <w:rPr>
          <w:rFonts w:hint="eastAsia" w:ascii="Times New Roman" w:hAnsi="Times New Roman" w:eastAsia="方正仿宋_GBK" w:cs="Times New Roman"/>
          <w:strike w:val="0"/>
          <w:dstrike w:val="0"/>
          <w:sz w:val="32"/>
          <w:highlight w:val="none"/>
          <w:u w:val="none" w:color="auto"/>
          <w:lang w:val="en-US" w:eastAsia="zh-CN"/>
        </w:rPr>
        <w:t>产业</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重大</w:t>
      </w:r>
      <w:r>
        <w:rPr>
          <w:rFonts w:hint="eastAsia" w:ascii="Times New Roman" w:hAnsi="Times New Roman" w:eastAsia="方正仿宋_GBK" w:cs="Times New Roman"/>
          <w:sz w:val="32"/>
          <w:highlight w:val="none"/>
          <w:u w:val="none" w:color="auto"/>
          <w:lang w:val="en-US" w:eastAsia="zh-CN"/>
        </w:rPr>
        <w:t>技术</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攻关</w:t>
      </w:r>
      <w:r>
        <w:rPr>
          <w:rFonts w:hint="default" w:ascii="Times New Roman" w:hAnsi="Times New Roman" w:eastAsia="方正仿宋_GBK" w:cs="Times New Roman"/>
          <w:sz w:val="32"/>
          <w:highlight w:val="none"/>
          <w:u w:val="none" w:color="auto"/>
          <w:lang w:val="en-US" w:eastAsia="zh-CN"/>
        </w:rPr>
        <w:t>专项、科技成果转化</w:t>
      </w:r>
      <w:r>
        <w:rPr>
          <w:rFonts w:hint="eastAsia" w:ascii="Times New Roman" w:hAnsi="Times New Roman" w:eastAsia="方正仿宋_GBK" w:cs="Times New Roman"/>
          <w:sz w:val="32"/>
          <w:highlight w:val="none"/>
          <w:u w:val="none" w:color="auto"/>
          <w:lang w:val="en-US" w:eastAsia="zh-CN"/>
        </w:rPr>
        <w:t>应用</w:t>
      </w:r>
      <w:r>
        <w:rPr>
          <w:rFonts w:hint="default" w:ascii="Times New Roman" w:hAnsi="Times New Roman" w:eastAsia="方正仿宋_GBK" w:cs="Times New Roman"/>
          <w:sz w:val="32"/>
          <w:highlight w:val="none"/>
          <w:u w:val="none" w:color="auto"/>
          <w:lang w:val="en-US" w:eastAsia="zh-CN"/>
        </w:rPr>
        <w:t>专项（含科技特派员）、创新环境建设专项、区域协同创新专项</w:t>
      </w:r>
      <w:r>
        <w:rPr>
          <w:rFonts w:hint="default" w:ascii="Times New Roman" w:hAnsi="Times New Roman" w:eastAsia="方正仿宋_GBK" w:cs="Times New Roman"/>
          <w:strike w:val="0"/>
          <w:dstrike w:val="0"/>
          <w:sz w:val="32"/>
          <w:highlight w:val="none"/>
          <w:u w:val="none" w:color="auto"/>
          <w:lang w:val="en-US" w:eastAsia="zh-CN"/>
        </w:rPr>
        <w:t>等四大类</w:t>
      </w:r>
      <w:r>
        <w:rPr>
          <w:rFonts w:hint="default" w:ascii="Times New Roman" w:hAnsi="Times New Roman" w:eastAsia="方正仿宋_GBK" w:cs="Times New Roman"/>
          <w:sz w:val="32"/>
          <w:highlight w:val="none"/>
          <w:u w:val="none" w:color="auto"/>
          <w:lang w:val="en-US" w:eastAsia="zh-CN"/>
        </w:rPr>
        <w:t>，各类专项以项目的形式组织实施。</w:t>
      </w:r>
      <w:r>
        <w:rPr>
          <w:rFonts w:hint="eastAsia" w:ascii="Times New Roman" w:hAnsi="Times New Roman" w:eastAsia="方正仿宋_GBK" w:cs="Times New Roman"/>
          <w:sz w:val="32"/>
          <w:highlight w:val="none"/>
          <w:u w:val="none" w:color="auto"/>
          <w:lang w:val="en-US" w:eastAsia="zh-CN"/>
        </w:rPr>
        <w:t>对全州经济社会发展具有较强支撑引领作用的，以及与国家、自治区有关部门和地方共同组织实施的项目、活动、任务，</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区、州党委人民</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政府明确支持的其他科技创新工作</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，采取</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一事一议</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给予</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补助</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p>
    <w:p w14:paraId="361D04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pPr>
      <w:r>
        <w:rPr>
          <w:rFonts w:hint="default" w:ascii="Times New Roman" w:hAnsi="Times New Roman" w:eastAsia="方正楷体_GBK" w:cs="Times New Roman"/>
          <w:b/>
          <w:bCs/>
          <w:strike w:val="0"/>
          <w:dstrike w:val="0"/>
          <w:color w:val="auto"/>
          <w:sz w:val="32"/>
          <w:highlight w:val="none"/>
          <w:u w:val="none" w:color="auto"/>
          <w:lang w:val="en-US" w:eastAsia="zh-CN"/>
        </w:rPr>
        <w:t>第</w:t>
      </w:r>
      <w:r>
        <w:rPr>
          <w:rFonts w:hint="eastAsia" w:ascii="Times New Roman" w:hAnsi="Times New Roman" w:eastAsia="方正楷体_GBK" w:cs="Times New Roman"/>
          <w:b/>
          <w:bCs/>
          <w:strike w:val="0"/>
          <w:dstrike w:val="0"/>
          <w:color w:val="auto"/>
          <w:sz w:val="32"/>
          <w:highlight w:val="none"/>
          <w:u w:val="none" w:color="auto"/>
          <w:lang w:val="en-US" w:eastAsia="zh-CN"/>
        </w:rPr>
        <w:t>十</w:t>
      </w:r>
      <w:r>
        <w:rPr>
          <w:rFonts w:hint="default" w:ascii="Times New Roman" w:hAnsi="Times New Roman" w:eastAsia="方正楷体_GBK" w:cs="Times New Roman"/>
          <w:b/>
          <w:bCs/>
          <w:strike w:val="0"/>
          <w:dstrike w:val="0"/>
          <w:color w:val="auto"/>
          <w:sz w:val="32"/>
          <w:highlight w:val="none"/>
          <w:u w:val="none" w:color="auto"/>
          <w:lang w:val="en-US" w:eastAsia="zh-CN"/>
        </w:rPr>
        <w:t xml:space="preserve">条  </w:t>
      </w:r>
      <w:r>
        <w:rPr>
          <w:rFonts w:hint="eastAsia" w:ascii="Times New Roman" w:hAnsi="Times New Roman" w:eastAsia="方正仿宋_GBK" w:cs="Times New Roman"/>
          <w:strike w:val="0"/>
          <w:dstrike w:val="0"/>
          <w:sz w:val="32"/>
          <w:highlight w:val="none"/>
          <w:u w:val="none" w:color="auto"/>
          <w:lang w:val="en-US" w:eastAsia="zh-CN"/>
        </w:rPr>
        <w:t>产业</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重大</w:t>
      </w:r>
      <w:r>
        <w:rPr>
          <w:rFonts w:hint="eastAsia" w:ascii="Times New Roman" w:hAnsi="Times New Roman" w:eastAsia="方正仿宋_GBK" w:cs="Times New Roman"/>
          <w:sz w:val="32"/>
          <w:highlight w:val="none"/>
          <w:u w:val="none" w:color="auto"/>
          <w:lang w:val="en-US" w:eastAsia="zh-CN"/>
        </w:rPr>
        <w:t>技术</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攻关</w:t>
      </w:r>
      <w:r>
        <w:rPr>
          <w:rFonts w:hint="default" w:ascii="Times New Roman" w:hAnsi="Times New Roman" w:eastAsia="方正仿宋_GBK" w:cs="Times New Roman"/>
          <w:sz w:val="32"/>
          <w:highlight w:val="none"/>
          <w:u w:val="none" w:color="auto"/>
          <w:lang w:val="en-US" w:eastAsia="zh-CN"/>
        </w:rPr>
        <w:t>专项。</w:t>
      </w:r>
      <w:r>
        <w:rPr>
          <w:rFonts w:hint="eastAsia" w:ascii="Times New Roman" w:hAnsi="Times New Roman" w:eastAsia="方正仿宋_GBK" w:cs="Times New Roman"/>
          <w:sz w:val="32"/>
          <w:highlight w:val="none"/>
          <w:u w:val="none" w:color="auto"/>
          <w:lang w:val="en-US" w:eastAsia="zh-CN"/>
        </w:rPr>
        <w:t>主要面向</w:t>
      </w:r>
      <w:r>
        <w:rPr>
          <w:rFonts w:hint="default" w:ascii="Times New Roman" w:hAnsi="Times New Roman" w:eastAsia="方正仿宋_GBK" w:cs="Times New Roman"/>
          <w:sz w:val="32"/>
          <w:highlight w:val="none"/>
          <w:u w:val="none" w:color="auto"/>
          <w:lang w:val="en-US" w:eastAsia="zh-CN"/>
        </w:rPr>
        <w:t>优势产业链核心环节，围绕产业竞争力提升和自主创新能力突破，整合资源开展协同攻关</w:t>
      </w:r>
      <w:r>
        <w:rPr>
          <w:rFonts w:hint="eastAsia" w:ascii="Times New Roman" w:hAnsi="Times New Roman" w:eastAsia="方正仿宋_GBK" w:cs="Times New Roman"/>
          <w:sz w:val="32"/>
          <w:highlight w:val="none"/>
          <w:u w:val="none" w:color="auto"/>
          <w:lang w:val="en-US" w:eastAsia="zh-CN"/>
        </w:rPr>
        <w:t>，</w:t>
      </w:r>
      <w:r>
        <w:rPr>
          <w:rFonts w:hint="default" w:ascii="Times New Roman" w:hAnsi="Times New Roman" w:eastAsia="方正仿宋_GBK" w:cs="Times New Roman"/>
          <w:sz w:val="32"/>
          <w:highlight w:val="none"/>
          <w:u w:val="none" w:color="auto"/>
          <w:lang w:val="en-US" w:eastAsia="zh-CN"/>
        </w:rPr>
        <w:t>重点突破“卡脖子”技术及关键共性技术，推动创新链产业链深度融合，解决战略性、前瞻性技术瓶颈，促进重</w:t>
      </w:r>
      <w:r>
        <w:rPr>
          <w:rFonts w:hint="default" w:ascii="Times New Roman" w:hAnsi="Times New Roman" w:eastAsia="方正仿宋_GBK" w:cs="Times New Roman"/>
          <w:spacing w:val="-11"/>
          <w:sz w:val="32"/>
          <w:highlight w:val="none"/>
          <w:u w:val="none" w:color="auto"/>
          <w:lang w:val="en-US" w:eastAsia="zh-CN"/>
        </w:rPr>
        <w:t>大科技成果转化应用，实现技术研发与产业升级的集成式联动发展</w:t>
      </w:r>
      <w:r>
        <w:rPr>
          <w:rFonts w:hint="eastAsia" w:ascii="Times New Roman" w:hAnsi="Times New Roman" w:eastAsia="方正仿宋_GBK" w:cs="Times New Roman"/>
          <w:spacing w:val="-11"/>
          <w:sz w:val="32"/>
          <w:highlight w:val="none"/>
          <w:u w:val="none" w:color="auto"/>
          <w:lang w:val="en-US" w:eastAsia="zh-CN"/>
        </w:rPr>
        <w:t>。</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采</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取</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补助</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方</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式，按照项目总投资</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最高</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20%进行支持</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p>
    <w:p w14:paraId="15626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楷体_GBK" w:cs="Times New Roman"/>
          <w:b/>
          <w:bCs/>
          <w:strike w:val="0"/>
          <w:dstrike w:val="0"/>
          <w:color w:val="auto"/>
          <w:sz w:val="32"/>
          <w:highlight w:val="none"/>
          <w:u w:val="none" w:color="auto"/>
          <w:lang w:val="en-US" w:eastAsia="zh-CN"/>
        </w:rPr>
      </w:pPr>
      <w:r>
        <w:rPr>
          <w:rFonts w:hint="default" w:ascii="Times New Roman" w:hAnsi="Times New Roman" w:eastAsia="方正楷体_GBK" w:cs="Times New Roman"/>
          <w:b/>
          <w:bCs/>
          <w:strike w:val="0"/>
          <w:dstrike w:val="0"/>
          <w:color w:val="auto"/>
          <w:sz w:val="32"/>
          <w:highlight w:val="none"/>
          <w:u w:val="none" w:color="auto"/>
          <w:lang w:val="en-US" w:eastAsia="zh-CN"/>
        </w:rPr>
        <w:t>第</w:t>
      </w:r>
      <w:r>
        <w:rPr>
          <w:rFonts w:hint="eastAsia" w:ascii="Times New Roman" w:hAnsi="Times New Roman" w:eastAsia="方正楷体_GBK" w:cs="Times New Roman"/>
          <w:b/>
          <w:bCs/>
          <w:strike w:val="0"/>
          <w:dstrike w:val="0"/>
          <w:color w:val="auto"/>
          <w:sz w:val="32"/>
          <w:highlight w:val="none"/>
          <w:u w:val="none" w:color="auto"/>
          <w:lang w:val="en-US" w:eastAsia="zh-CN"/>
        </w:rPr>
        <w:t>十一</w:t>
      </w:r>
      <w:r>
        <w:rPr>
          <w:rFonts w:hint="default" w:ascii="Times New Roman" w:hAnsi="Times New Roman" w:eastAsia="方正楷体_GBK" w:cs="Times New Roman"/>
          <w:b/>
          <w:bCs/>
          <w:strike w:val="0"/>
          <w:dstrike w:val="0"/>
          <w:color w:val="auto"/>
          <w:sz w:val="32"/>
          <w:highlight w:val="none"/>
          <w:u w:val="none" w:color="auto"/>
          <w:lang w:val="en-US" w:eastAsia="zh-CN"/>
        </w:rPr>
        <w:t>条</w:t>
      </w:r>
      <w:r>
        <w:rPr>
          <w:rFonts w:hint="default" w:ascii="Times New Roman" w:hAnsi="Times New Roman" w:eastAsia="方正仿宋_GBK" w:cs="Times New Roman"/>
          <w:color w:val="auto"/>
          <w:sz w:val="32"/>
          <w:highlight w:val="none"/>
          <w:u w:val="none" w:color="auto"/>
          <w:lang w:val="en-US" w:eastAsia="zh-CN"/>
        </w:rPr>
        <w:t xml:space="preserve">  科技成果转化</w:t>
      </w:r>
      <w:r>
        <w:rPr>
          <w:rFonts w:hint="eastAsia" w:ascii="Times New Roman" w:hAnsi="Times New Roman" w:eastAsia="方正仿宋_GBK" w:cs="Times New Roman"/>
          <w:color w:val="auto"/>
          <w:sz w:val="32"/>
          <w:highlight w:val="none"/>
          <w:u w:val="none" w:color="auto"/>
          <w:lang w:val="en-US" w:eastAsia="zh-CN"/>
        </w:rPr>
        <w:t>应用</w:t>
      </w:r>
      <w:r>
        <w:rPr>
          <w:rFonts w:hint="default" w:ascii="Times New Roman" w:hAnsi="Times New Roman" w:eastAsia="方正仿宋_GBK" w:cs="Times New Roman"/>
          <w:color w:val="auto"/>
          <w:sz w:val="32"/>
          <w:highlight w:val="none"/>
          <w:u w:val="none" w:color="auto"/>
          <w:lang w:val="en-US" w:eastAsia="zh-CN"/>
        </w:rPr>
        <w:t>专项。</w:t>
      </w:r>
      <w:r>
        <w:rPr>
          <w:rFonts w:hint="eastAsia" w:ascii="Times New Roman" w:hAnsi="Times New Roman" w:eastAsia="方正仿宋_GBK" w:cs="Times New Roman"/>
          <w:color w:val="auto"/>
          <w:sz w:val="32"/>
          <w:highlight w:val="none"/>
          <w:u w:val="none" w:color="auto"/>
          <w:lang w:val="en-US" w:eastAsia="zh-CN"/>
        </w:rPr>
        <w:t>主要聚焦重点产业科技成果转移转化，构建科技成果转移转化体系，壮大技术经理人、经纪人和科技特派员队伍，</w:t>
      </w:r>
      <w:r>
        <w:rPr>
          <w:rFonts w:hint="default" w:ascii="Times New Roman" w:hAnsi="Times New Roman" w:eastAsia="方正仿宋_GBK" w:cs="Times New Roman"/>
          <w:color w:val="auto"/>
          <w:sz w:val="32"/>
          <w:highlight w:val="none"/>
          <w:u w:val="none" w:color="auto"/>
          <w:lang w:val="en-US" w:eastAsia="zh-CN"/>
        </w:rPr>
        <w:t>加速科技成果落地转化和产业化，</w:t>
      </w:r>
      <w:r>
        <w:rPr>
          <w:rFonts w:hint="eastAsia" w:ascii="Times New Roman" w:hAnsi="Times New Roman" w:eastAsia="方正仿宋_GBK" w:cs="Times New Roman"/>
          <w:color w:val="auto"/>
          <w:sz w:val="32"/>
          <w:highlight w:val="none"/>
          <w:u w:val="none" w:color="auto"/>
          <w:lang w:val="en-US" w:eastAsia="zh-CN"/>
        </w:rPr>
        <w:t>集聚科技成果支撑昌吉州重点产业提档升级</w:t>
      </w:r>
      <w:r>
        <w:rPr>
          <w:rFonts w:hint="default" w:ascii="Times New Roman" w:hAnsi="Times New Roman" w:eastAsia="方正仿宋_GBK" w:cs="Times New Roman"/>
          <w:color w:val="auto"/>
          <w:sz w:val="32"/>
          <w:highlight w:val="none"/>
          <w:u w:val="none" w:color="auto"/>
          <w:lang w:val="en-US" w:eastAsia="zh-CN"/>
        </w:rPr>
        <w:t>。</w:t>
      </w:r>
    </w:p>
    <w:p w14:paraId="25859C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（一）科技成果转化</w:t>
      </w:r>
      <w:r>
        <w:rPr>
          <w:rFonts w:hint="eastAsia" w:ascii="方正楷体_GBK" w:hAnsi="方正楷体_GBK" w:eastAsia="方正楷体_GBK" w:cs="方正楷体_GBK"/>
          <w:b w:val="0"/>
          <w:bCs w:val="0"/>
          <w:color w:val="auto"/>
          <w:spacing w:val="0"/>
          <w:kern w:val="2"/>
          <w:sz w:val="32"/>
          <w:szCs w:val="32"/>
          <w:highlight w:val="none"/>
          <w:u w:val="none" w:color="auto"/>
          <w:lang w:val="en-US" w:eastAsia="zh-CN" w:bidi="ar-SA"/>
        </w:rPr>
        <w:t>应用</w:t>
      </w: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项目</w:t>
      </w:r>
    </w:p>
    <w:p w14:paraId="6255CC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sz w:val="32"/>
          <w:highlight w:val="none"/>
          <w:u w:val="none" w:color="auto"/>
          <w:lang w:val="en-US" w:eastAsia="zh-CN"/>
        </w:rPr>
        <w:t>支持科研机构、高校、企业、其他事业单位推动创新科技成果本地转化与产业化，聚焦试验开发、</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中试熟化、场景推广应用等关键环节，整合技术、资本、人才等创新资源，提升产业核心竞争力。中试基地、应用场景建设参照国家和自治区相关认定标准执行，采用</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拨投结合</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方式支持。</w:t>
      </w:r>
    </w:p>
    <w:p w14:paraId="52D717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（二）科技特派员项目</w:t>
      </w:r>
    </w:p>
    <w:p w14:paraId="71C1680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重点支持科技特派员扎根基层开展科技服务，通过先进技术示范应用推广、农产品加工、新产品开发、科技成果转化等方式，助力乡村全面振兴与产业提档升级</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采取</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补助</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方式</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支持。</w:t>
      </w:r>
    </w:p>
    <w:p w14:paraId="6B81A7B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楷体_GB2312" w:cs="Times New Roman"/>
          <w:snapToGrid w:val="0"/>
          <w:kern w:val="0"/>
          <w:sz w:val="32"/>
          <w:szCs w:val="32"/>
          <w:highlight w:val="none"/>
          <w:u w:val="none" w:color="auto"/>
          <w:lang w:val="en-US" w:eastAsia="zh-CN"/>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（三）科技成果技术交易补助</w:t>
      </w:r>
    </w:p>
    <w:p w14:paraId="30EF42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trike/>
          <w:dstrike w:val="0"/>
          <w:color w:val="auto"/>
          <w:kern w:val="2"/>
          <w:sz w:val="32"/>
          <w:szCs w:val="32"/>
          <w:highlight w:val="none"/>
          <w:u w:val="none" w:color="auto"/>
          <w:lang w:val="en-US" w:eastAsia="zh-CN" w:bidi="ar-SA"/>
        </w:rPr>
      </w:pP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对通过科技成果技术交易产业落地昌吉的，按实际技术交易情况给予奖补。</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按实际技术交易金额的1%进行补助，单个项目补助最高不超过5万元，每家每年补助总额最高不超过20万元。</w:t>
      </w:r>
    </w:p>
    <w:p w14:paraId="262FF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sz w:val="32"/>
          <w:highlight w:val="none"/>
          <w:u w:val="none" w:color="auto"/>
          <w:lang w:val="en-US" w:eastAsia="zh-CN"/>
        </w:rPr>
      </w:pPr>
      <w:r>
        <w:rPr>
          <w:rFonts w:hint="default" w:ascii="Times New Roman" w:hAnsi="Times New Roman" w:eastAsia="方正楷体_GBK" w:cs="Times New Roman"/>
          <w:b/>
          <w:bCs/>
          <w:strike w:val="0"/>
          <w:dstrike w:val="0"/>
          <w:color w:val="auto"/>
          <w:sz w:val="32"/>
          <w:highlight w:val="none"/>
          <w:u w:val="none" w:color="auto"/>
          <w:lang w:val="en-US" w:eastAsia="zh-CN"/>
        </w:rPr>
        <w:t>第十</w:t>
      </w:r>
      <w:r>
        <w:rPr>
          <w:rFonts w:hint="eastAsia" w:ascii="Times New Roman" w:hAnsi="Times New Roman" w:eastAsia="方正楷体_GBK" w:cs="Times New Roman"/>
          <w:b/>
          <w:bCs/>
          <w:strike w:val="0"/>
          <w:dstrike w:val="0"/>
          <w:color w:val="auto"/>
          <w:sz w:val="32"/>
          <w:highlight w:val="none"/>
          <w:u w:val="none" w:color="auto"/>
          <w:lang w:val="en-US" w:eastAsia="zh-CN"/>
        </w:rPr>
        <w:t>二</w:t>
      </w:r>
      <w:r>
        <w:rPr>
          <w:rFonts w:hint="default" w:ascii="Times New Roman" w:hAnsi="Times New Roman" w:eastAsia="方正楷体_GBK" w:cs="Times New Roman"/>
          <w:b/>
          <w:bCs/>
          <w:strike w:val="0"/>
          <w:dstrike w:val="0"/>
          <w:color w:val="auto"/>
          <w:sz w:val="32"/>
          <w:highlight w:val="none"/>
          <w:u w:val="none" w:color="auto"/>
          <w:lang w:val="en-US" w:eastAsia="zh-CN"/>
        </w:rPr>
        <w:t xml:space="preserve">条  </w:t>
      </w:r>
      <w:r>
        <w:rPr>
          <w:rFonts w:hint="default" w:ascii="Times New Roman" w:hAnsi="Times New Roman" w:eastAsia="方正仿宋_GBK" w:cs="Times New Roman"/>
          <w:color w:val="auto"/>
          <w:sz w:val="32"/>
          <w:highlight w:val="none"/>
          <w:u w:val="none" w:color="auto"/>
          <w:lang w:val="en-US" w:eastAsia="zh-CN"/>
        </w:rPr>
        <w:t>创新环境建设专项。</w:t>
      </w:r>
      <w:r>
        <w:rPr>
          <w:rFonts w:hint="eastAsia" w:ascii="Times New Roman" w:hAnsi="Times New Roman" w:eastAsia="方正仿宋_GBK" w:cs="Times New Roman"/>
          <w:color w:val="auto"/>
          <w:sz w:val="32"/>
          <w:highlight w:val="none"/>
          <w:u w:val="none" w:color="auto"/>
          <w:lang w:val="en-US" w:eastAsia="zh-CN"/>
        </w:rPr>
        <w:t>主要面向</w:t>
      </w:r>
      <w:r>
        <w:rPr>
          <w:rFonts w:hint="default" w:ascii="Times New Roman" w:hAnsi="Times New Roman" w:eastAsia="方正仿宋_GBK" w:cs="Times New Roman"/>
          <w:color w:val="auto"/>
          <w:sz w:val="32"/>
          <w:highlight w:val="none"/>
          <w:u w:val="none" w:color="auto"/>
          <w:lang w:val="en-US" w:eastAsia="zh-CN"/>
        </w:rPr>
        <w:t>科技创新能力提升与生态优化，支持重大科技基础设施和高能级创新平台建设</w:t>
      </w:r>
      <w:r>
        <w:rPr>
          <w:rFonts w:hint="eastAsia" w:ascii="Times New Roman" w:hAnsi="Times New Roman" w:eastAsia="方正仿宋_GBK" w:cs="Times New Roman"/>
          <w:color w:val="auto"/>
          <w:sz w:val="32"/>
          <w:highlight w:val="none"/>
          <w:u w:val="none" w:color="auto"/>
          <w:lang w:val="en-US" w:eastAsia="zh-CN"/>
        </w:rPr>
        <w:t>，</w:t>
      </w:r>
      <w:r>
        <w:rPr>
          <w:rFonts w:hint="default" w:ascii="Times New Roman" w:hAnsi="Times New Roman" w:eastAsia="方正仿宋_GBK" w:cs="Times New Roman"/>
          <w:color w:val="auto"/>
          <w:sz w:val="32"/>
          <w:highlight w:val="none"/>
          <w:u w:val="none" w:color="auto"/>
          <w:lang w:val="en-US" w:eastAsia="zh-CN"/>
        </w:rPr>
        <w:t>鼓励企业加大研发投入，</w:t>
      </w:r>
      <w:r>
        <w:rPr>
          <w:rFonts w:hint="eastAsia" w:ascii="Times New Roman" w:hAnsi="Times New Roman" w:eastAsia="方正仿宋_GBK" w:cs="Times New Roman"/>
          <w:color w:val="auto"/>
          <w:sz w:val="32"/>
          <w:highlight w:val="none"/>
          <w:u w:val="none" w:color="auto"/>
          <w:lang w:val="en-US" w:eastAsia="zh-CN"/>
        </w:rPr>
        <w:t>加强知识产权支持力度，</w:t>
      </w:r>
      <w:r>
        <w:rPr>
          <w:rFonts w:hint="default" w:ascii="Times New Roman" w:hAnsi="Times New Roman" w:eastAsia="方正仿宋_GBK" w:cs="Times New Roman"/>
          <w:color w:val="auto"/>
          <w:sz w:val="32"/>
          <w:highlight w:val="none"/>
          <w:u w:val="none" w:color="auto"/>
          <w:lang w:val="en-US" w:eastAsia="zh-CN"/>
        </w:rPr>
        <w:t>支持社会发展领域科技创新</w:t>
      </w:r>
      <w:r>
        <w:rPr>
          <w:rFonts w:hint="eastAsia" w:ascii="Times New Roman" w:hAnsi="Times New Roman" w:eastAsia="方正仿宋_GBK" w:cs="Times New Roman"/>
          <w:color w:val="auto"/>
          <w:sz w:val="32"/>
          <w:highlight w:val="none"/>
          <w:u w:val="none" w:color="auto"/>
          <w:lang w:val="en-US" w:eastAsia="zh-CN"/>
        </w:rPr>
        <w:t>，</w:t>
      </w:r>
      <w:r>
        <w:rPr>
          <w:rFonts w:hint="default" w:ascii="Times New Roman" w:hAnsi="Times New Roman" w:eastAsia="方正仿宋_GBK" w:cs="Times New Roman"/>
          <w:color w:val="auto"/>
          <w:sz w:val="32"/>
          <w:highlight w:val="none"/>
          <w:u w:val="none" w:color="auto"/>
          <w:lang w:val="en-US" w:eastAsia="zh-CN"/>
        </w:rPr>
        <w:t>开展创新创业大赛，扶持科技型中小企业成长。</w:t>
      </w:r>
    </w:p>
    <w:p w14:paraId="01CFB3A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方正楷体_GBK" w:hAnsi="方正楷体_GBK" w:eastAsia="方正楷体_GBK" w:cs="方正楷体_GBK"/>
          <w:snapToGrid w:val="0"/>
          <w:kern w:val="0"/>
          <w:sz w:val="32"/>
          <w:szCs w:val="32"/>
          <w:highlight w:val="none"/>
          <w:u w:val="none" w:color="auto"/>
          <w:lang w:val="en-US" w:eastAsia="zh-CN"/>
        </w:rPr>
      </w:pPr>
      <w:r>
        <w:rPr>
          <w:rFonts w:hint="eastAsia" w:ascii="方正楷体_GBK" w:hAnsi="方正楷体_GBK" w:eastAsia="方正楷体_GBK" w:cs="方正楷体_GBK"/>
          <w:snapToGrid w:val="0"/>
          <w:kern w:val="0"/>
          <w:sz w:val="32"/>
          <w:szCs w:val="32"/>
          <w:highlight w:val="none"/>
          <w:u w:val="none" w:color="auto"/>
          <w:lang w:val="en-US" w:eastAsia="zh-CN"/>
        </w:rPr>
        <w:t>（一）</w:t>
      </w:r>
      <w:r>
        <w:rPr>
          <w:rFonts w:hint="eastAsia" w:ascii="方正楷体_GBK" w:hAnsi="方正楷体_GBK" w:eastAsia="方正楷体_GBK" w:cs="方正楷体_GBK"/>
          <w:snapToGrid w:val="0"/>
          <w:color w:val="auto"/>
          <w:kern w:val="0"/>
          <w:sz w:val="32"/>
          <w:szCs w:val="32"/>
          <w:highlight w:val="none"/>
          <w:u w:val="none" w:color="auto"/>
          <w:lang w:val="en-US" w:eastAsia="zh-CN"/>
        </w:rPr>
        <w:t>重大科技基础设施</w:t>
      </w:r>
    </w:p>
    <w:p w14:paraId="566ED9E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支持国家科学中心、国家实验室分支机构、高校科研院所设立的研究机构及其分支机构等落地建设，采取“一事一议”方式给予支持，加速高端创新资源向昌吉集聚。</w:t>
      </w:r>
    </w:p>
    <w:p w14:paraId="0B8736B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（二）国家级创新平台</w:t>
      </w:r>
    </w:p>
    <w:p w14:paraId="5EDDE8B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b w:val="0"/>
          <w:bCs w:val="0"/>
          <w:strike/>
          <w:dstrike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对</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国家实验室、</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全国重点实验室</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（省部共建实验室）</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、技术创新中心、工程技术研究中心</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等产业类科技研发创新平台建设</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给予一次性500万元奖励。</w:t>
      </w:r>
    </w:p>
    <w:p w14:paraId="582ABC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highlight w:val="none"/>
          <w:u w:val="none" w:color="auto"/>
          <w:lang w:val="en-US" w:eastAsia="zh-CN"/>
        </w:rPr>
      </w:pP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对新一代人工智能公共算力开放创新平台、国家级临床医学研究中心、</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科技型企业孵化器、</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野外科学观测研究站等科技研发创新平台建设</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给予一次性300万元奖励</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p>
    <w:p w14:paraId="1D5D12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（三）自治区级创新平台</w:t>
      </w:r>
    </w:p>
    <w:p w14:paraId="24D09D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对</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新疆实验室、自治区级</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重点实验室、工程技术研究中心、技术创新中心等产业类科技研发创新平台建设</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给予一次性100万元奖励。对自治区级临床医学研究中心、野外科学观测研究站、概念验证中心</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科技</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型</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企业孵化器和众创空间</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社会事业类科技研发创新平台建设</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给予一次性50万元奖励。</w:t>
      </w:r>
    </w:p>
    <w:p w14:paraId="173F67B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（四）社会发展领域科技攻关</w:t>
      </w:r>
    </w:p>
    <w:p w14:paraId="6022CB5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210" w:leftChars="10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支持州内科研院所、高等院校、企业、事业单位</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、社会组织</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面向科技前沿，聚焦医疗健康、生态环保、公共安全、教育文化、旅游</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智慧城市</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、乡村振兴</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等</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重点社会</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民生领域，通过技术研发、成果转化及示范应用，</w:t>
      </w:r>
      <w:r>
        <w:rPr>
          <w:rFonts w:hint="default" w:ascii="Times New Roman" w:hAnsi="Times New Roman" w:eastAsia="方正仿宋_GBK" w:cs="Times New Roman"/>
          <w:sz w:val="32"/>
          <w:highlight w:val="none"/>
          <w:u w:val="none" w:color="auto"/>
          <w:lang w:val="en-US" w:eastAsia="zh-CN"/>
        </w:rPr>
        <w:t>破解社会发展领域“卡脖子”民生技术难题，</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提升社会公共服务水平。</w:t>
      </w:r>
    </w:p>
    <w:p w14:paraId="4E14246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（五）创新创业大赛</w:t>
      </w:r>
    </w:p>
    <w:p w14:paraId="6D730E3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聚集和整合人才、技术、资本、市场等各种创新创业要素，提供辅导培训、金融投资、</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instrText xml:space="preserve"> HYPERLINK "https://baike.baidu.com/item/%E6%8A%80%E6%9C%AF%E8%BD%AC%E7%A7%BB/7596811?fromModule=lemma_inlink" \t "https://baike.baidu.com/item/%E4%B8%AD%E5%9B%BD%E5%88%9B%E6%96%B0%E5%88%9B%E4%B8%9A%E5%A4%A7%E8%B5%9B/_blank" </w:instrTex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技术转移</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、展览展示、市场对接等各类服务，加速中小微企业的成长壮大。</w:t>
      </w:r>
    </w:p>
    <w:p w14:paraId="4F37551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采取奖励</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方式支持</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大赛设一等奖10万元、二等奖8万元、三等奖5万元，获奖企业总数不超过有效报名数量的10%。</w:t>
      </w:r>
    </w:p>
    <w:p w14:paraId="164312E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（六）企业研发补助</w:t>
      </w:r>
    </w:p>
    <w:p w14:paraId="0912B72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聚焦</w:t>
      </w:r>
      <w:r>
        <w:rPr>
          <w:rFonts w:hint="default" w:ascii="Times New Roman" w:hAnsi="Times New Roman" w:eastAsia="方正仿宋_GBK" w:cs="Times New Roman"/>
          <w:sz w:val="32"/>
          <w:highlight w:val="none"/>
          <w:u w:val="none" w:color="auto"/>
          <w:lang w:val="en-US" w:eastAsia="zh-CN"/>
        </w:rPr>
        <w:t>加大研发投入前端引领</w:t>
      </w:r>
      <w:r>
        <w:rPr>
          <w:rFonts w:hint="eastAsia" w:ascii="Times New Roman" w:hAnsi="Times New Roman" w:eastAsia="方正仿宋_GBK" w:cs="Times New Roman"/>
          <w:sz w:val="32"/>
          <w:highlight w:val="none"/>
          <w:u w:val="none" w:color="auto"/>
          <w:lang w:val="en-US" w:eastAsia="zh-CN"/>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激励企业持续加大研发投入、补齐创新短板、提升创新能级，对企业研发投入</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增幅较大的</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给予奖补</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对</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不是</w:t>
      </w:r>
      <w:r>
        <w:rPr>
          <w:rFonts w:hint="eastAsia" w:ascii="Times New Roman" w:hAnsi="Times New Roman" w:eastAsia="方正仿宋_GBK" w:cs="Times New Roman"/>
          <w:strike w:val="0"/>
          <w:dstrike w:val="0"/>
          <w:sz w:val="32"/>
          <w:highlight w:val="none"/>
          <w:u w:val="none" w:color="auto"/>
          <w:lang w:val="en-US" w:eastAsia="zh-CN"/>
        </w:rPr>
        <w:t>高新技术</w:t>
      </w:r>
      <w:r>
        <w:rPr>
          <w:rFonts w:hint="eastAsia" w:ascii="Times New Roman" w:hAnsi="Times New Roman" w:eastAsia="方正仿宋_GBK" w:cs="Times New Roman"/>
          <w:sz w:val="32"/>
          <w:highlight w:val="none"/>
          <w:u w:val="none" w:color="auto"/>
          <w:lang w:val="en-US" w:eastAsia="zh-CN"/>
        </w:rPr>
        <w:t>企业的</w:t>
      </w: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规上</w:t>
      </w:r>
      <w:r>
        <w:rPr>
          <w:rFonts w:hint="eastAsia"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企业</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实现有研发投入、有研发机构、有发明专利的给予一次性奖励</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对新认定的高新技术企业给予一次性奖励。</w:t>
      </w:r>
    </w:p>
    <w:p w14:paraId="2BAA3E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trike w:val="0"/>
          <w:dstrike w:val="0"/>
          <w:color w:val="auto"/>
          <w:sz w:val="32"/>
          <w:highlight w:val="none"/>
          <w:u w:val="none" w:color="auto"/>
          <w:lang w:val="en-US" w:eastAsia="zh-CN"/>
        </w:rPr>
      </w:pPr>
      <w:r>
        <w:rPr>
          <w:rFonts w:hint="default" w:ascii="Times New Roman" w:hAnsi="Times New Roman" w:eastAsia="方正楷体_GBK" w:cs="Times New Roman"/>
          <w:b/>
          <w:bCs/>
          <w:strike w:val="0"/>
          <w:dstrike w:val="0"/>
          <w:color w:val="auto"/>
          <w:sz w:val="32"/>
          <w:highlight w:val="none"/>
          <w:u w:val="none" w:color="auto"/>
          <w:lang w:val="en-US" w:eastAsia="zh-CN"/>
        </w:rPr>
        <w:t>第十</w:t>
      </w:r>
      <w:r>
        <w:rPr>
          <w:rFonts w:hint="eastAsia" w:ascii="Times New Roman" w:hAnsi="Times New Roman" w:eastAsia="方正楷体_GBK" w:cs="Times New Roman"/>
          <w:b/>
          <w:bCs/>
          <w:strike w:val="0"/>
          <w:dstrike w:val="0"/>
          <w:color w:val="auto"/>
          <w:sz w:val="32"/>
          <w:highlight w:val="none"/>
          <w:u w:val="none" w:color="auto"/>
          <w:lang w:val="en-US" w:eastAsia="zh-CN"/>
        </w:rPr>
        <w:t>三</w:t>
      </w:r>
      <w:r>
        <w:rPr>
          <w:rFonts w:hint="default" w:ascii="Times New Roman" w:hAnsi="Times New Roman" w:eastAsia="方正楷体_GBK" w:cs="Times New Roman"/>
          <w:b/>
          <w:bCs/>
          <w:strike w:val="0"/>
          <w:dstrike w:val="0"/>
          <w:color w:val="auto"/>
          <w:sz w:val="32"/>
          <w:highlight w:val="none"/>
          <w:u w:val="none" w:color="auto"/>
          <w:lang w:val="en-US" w:eastAsia="zh-CN"/>
        </w:rPr>
        <w:t>条</w:t>
      </w:r>
      <w:r>
        <w:rPr>
          <w:rFonts w:hint="default" w:ascii="Times New Roman" w:hAnsi="Times New Roman" w:eastAsia="方正仿宋_GBK" w:cs="Times New Roman"/>
          <w:strike w:val="0"/>
          <w:dstrike w:val="0"/>
          <w:color w:val="auto"/>
          <w:sz w:val="32"/>
          <w:highlight w:val="none"/>
          <w:u w:val="none" w:color="auto"/>
          <w:lang w:val="en-US" w:eastAsia="zh-CN"/>
        </w:rPr>
        <w:t xml:space="preserve">  区域协同创新专项。发挥“四方合作”、科技援疆、院地合作等机制作用，加强州内企业与国内外高校、科研院所交流合作，通过跨区域</w:t>
      </w:r>
      <w:r>
        <w:rPr>
          <w:rFonts w:hint="eastAsia" w:ascii="Times New Roman" w:hAnsi="Times New Roman" w:eastAsia="方正仿宋_GBK" w:cs="Times New Roman"/>
          <w:strike w:val="0"/>
          <w:dstrike w:val="0"/>
          <w:color w:val="auto"/>
          <w:sz w:val="32"/>
          <w:highlight w:val="none"/>
          <w:u w:val="none" w:color="auto"/>
          <w:lang w:val="en-US" w:eastAsia="zh-CN"/>
        </w:rPr>
        <w:t>合作</w:t>
      </w:r>
      <w:r>
        <w:rPr>
          <w:rFonts w:hint="default" w:ascii="Times New Roman" w:hAnsi="Times New Roman" w:eastAsia="方正仿宋_GBK" w:cs="Times New Roman"/>
          <w:strike w:val="0"/>
          <w:dstrike w:val="0"/>
          <w:color w:val="auto"/>
          <w:sz w:val="32"/>
          <w:highlight w:val="none"/>
          <w:u w:val="none" w:color="auto"/>
          <w:lang w:val="en-US" w:eastAsia="zh-CN"/>
        </w:rPr>
        <w:t>开展技术攻关与离岸研发，推动各类创新成果在本地转化运用，促进资金、项目、成果、人才向昌吉集聚，提升跨区域资源整合和合作创新能力。</w:t>
      </w:r>
    </w:p>
    <w:p w14:paraId="33A622F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方正楷体_GBK" w:hAnsi="方正楷体_GBK" w:eastAsia="方正楷体_GBK" w:cs="方正楷体_GBK"/>
          <w:snapToGrid w:val="0"/>
          <w:kern w:val="0"/>
          <w:sz w:val="32"/>
          <w:szCs w:val="32"/>
          <w:highlight w:val="none"/>
          <w:u w:val="none" w:color="auto"/>
          <w:lang w:val="en-US" w:eastAsia="zh-CN"/>
        </w:rPr>
      </w:pPr>
      <w:r>
        <w:rPr>
          <w:rFonts w:hint="eastAsia" w:ascii="方正楷体_GBK" w:hAnsi="方正楷体_GBK" w:eastAsia="方正楷体_GBK" w:cs="方正楷体_GBK"/>
          <w:snapToGrid w:val="0"/>
          <w:kern w:val="0"/>
          <w:sz w:val="32"/>
          <w:szCs w:val="32"/>
          <w:highlight w:val="none"/>
          <w:u w:val="none" w:color="auto"/>
          <w:lang w:val="en-US" w:eastAsia="zh-CN"/>
        </w:rPr>
        <w:t>（一</w:t>
      </w:r>
      <w:r>
        <w:rPr>
          <w:rFonts w:hint="eastAsia" w:ascii="方正楷体_GBK" w:hAnsi="方正楷体_GBK" w:eastAsia="方正楷体_GBK" w:cs="方正楷体_GBK"/>
          <w:strike w:val="0"/>
          <w:dstrike w:val="0"/>
          <w:color w:val="auto"/>
          <w:sz w:val="32"/>
          <w:highlight w:val="none"/>
          <w:u w:val="none" w:color="auto"/>
          <w:lang w:val="en-US" w:eastAsia="zh-CN"/>
        </w:rPr>
        <w:t>）跨</w:t>
      </w:r>
      <w:r>
        <w:rPr>
          <w:rFonts w:hint="eastAsia" w:ascii="方正楷体_GBK" w:hAnsi="方正楷体_GBK" w:eastAsia="方正楷体_GBK" w:cs="方正楷体_GBK"/>
          <w:snapToGrid w:val="0"/>
          <w:kern w:val="0"/>
          <w:sz w:val="32"/>
          <w:szCs w:val="32"/>
          <w:highlight w:val="none"/>
          <w:u w:val="none" w:color="auto"/>
          <w:lang w:val="en-US" w:eastAsia="zh-CN"/>
        </w:rPr>
        <w:t>区域协同创新项目</w:t>
      </w:r>
    </w:p>
    <w:p w14:paraId="64E7A0A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strike w:val="0"/>
          <w:dstrike w:val="0"/>
          <w:color w:val="auto"/>
          <w:sz w:val="32"/>
          <w:highlight w:val="none"/>
          <w:u w:val="none" w:color="auto"/>
          <w:lang w:val="en-US" w:eastAsia="zh-CN"/>
        </w:rPr>
      </w:pPr>
      <w:r>
        <w:rPr>
          <w:rFonts w:hint="default" w:ascii="Times New Roman" w:hAnsi="Times New Roman" w:eastAsia="方正仿宋_GBK" w:cs="Times New Roman"/>
          <w:strike w:val="0"/>
          <w:dstrike w:val="0"/>
          <w:color w:val="auto"/>
          <w:sz w:val="32"/>
          <w:highlight w:val="none"/>
          <w:u w:val="none" w:color="auto"/>
          <w:lang w:val="en-US" w:eastAsia="zh-CN"/>
        </w:rPr>
        <w:t>支持州内企事业单位与国内外高校科研院所、战略科学家联合开展技术攻关，解决制约重点产业“卡脖子”问题，提升跨区域协同创新效能。采取立项资助方式支持，按照项目总投资</w:t>
      </w:r>
      <w:r>
        <w:rPr>
          <w:rFonts w:hint="eastAsia" w:ascii="Times New Roman" w:hAnsi="Times New Roman" w:eastAsia="方正仿宋_GBK" w:cs="Times New Roman"/>
          <w:strike w:val="0"/>
          <w:dstrike w:val="0"/>
          <w:color w:val="auto"/>
          <w:sz w:val="32"/>
          <w:highlight w:val="none"/>
          <w:u w:val="none" w:color="auto"/>
          <w:lang w:val="en-US" w:eastAsia="zh-CN"/>
        </w:rPr>
        <w:t>最高</w:t>
      </w:r>
      <w:r>
        <w:rPr>
          <w:rFonts w:hint="default" w:ascii="Times New Roman" w:hAnsi="Times New Roman" w:eastAsia="方正仿宋_GBK" w:cs="Times New Roman"/>
          <w:strike w:val="0"/>
          <w:dstrike w:val="0"/>
          <w:color w:val="auto"/>
          <w:sz w:val="32"/>
          <w:highlight w:val="none"/>
          <w:u w:val="none" w:color="auto"/>
          <w:lang w:val="en-US" w:eastAsia="zh-CN"/>
        </w:rPr>
        <w:t>20%进行支持。</w:t>
      </w:r>
    </w:p>
    <w:p w14:paraId="4FBD27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方正楷体_GBK" w:hAnsi="方正楷体_GBK" w:eastAsia="方正楷体_GBK" w:cs="方正楷体_GBK"/>
          <w:snapToGrid w:val="0"/>
          <w:kern w:val="0"/>
          <w:sz w:val="32"/>
          <w:szCs w:val="32"/>
          <w:highlight w:val="none"/>
          <w:u w:val="none" w:color="auto"/>
          <w:lang w:val="en-US" w:eastAsia="zh-CN"/>
        </w:rPr>
      </w:pPr>
      <w:r>
        <w:rPr>
          <w:rFonts w:hint="default" w:ascii="方正楷体_GBK" w:hAnsi="方正楷体_GBK" w:eastAsia="方正楷体_GBK" w:cs="方正楷体_GBK"/>
          <w:snapToGrid w:val="0"/>
          <w:kern w:val="0"/>
          <w:sz w:val="32"/>
          <w:szCs w:val="32"/>
          <w:highlight w:val="none"/>
          <w:u w:val="none" w:color="auto"/>
          <w:lang w:val="en-US" w:eastAsia="zh-CN"/>
        </w:rPr>
        <w:t>（二）州</w:t>
      </w:r>
      <w:r>
        <w:rPr>
          <w:rFonts w:hint="eastAsia" w:ascii="方正楷体_GBK" w:hAnsi="方正楷体_GBK" w:eastAsia="方正楷体_GBK" w:cs="方正楷体_GBK"/>
          <w:snapToGrid w:val="0"/>
          <w:kern w:val="0"/>
          <w:sz w:val="32"/>
          <w:szCs w:val="32"/>
          <w:highlight w:val="none"/>
          <w:u w:val="none" w:color="auto"/>
          <w:lang w:val="en-US" w:eastAsia="zh-CN"/>
        </w:rPr>
        <w:t>内联动</w:t>
      </w:r>
      <w:r>
        <w:rPr>
          <w:rFonts w:hint="default" w:ascii="方正楷体_GBK" w:hAnsi="方正楷体_GBK" w:eastAsia="方正楷体_GBK" w:cs="方正楷体_GBK"/>
          <w:snapToGrid w:val="0"/>
          <w:kern w:val="0"/>
          <w:sz w:val="32"/>
          <w:szCs w:val="32"/>
          <w:highlight w:val="none"/>
          <w:u w:val="none" w:color="auto"/>
          <w:lang w:val="en-US" w:eastAsia="zh-CN"/>
        </w:rPr>
        <w:t>创新项目</w:t>
      </w:r>
    </w:p>
    <w:p w14:paraId="5254E5D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统</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筹州、园区和县市财政科技资金使用，</w:t>
      </w:r>
      <w:r>
        <w:rPr>
          <w:rFonts w:hint="default" w:ascii="Times New Roman" w:hAnsi="Times New Roman" w:eastAsia="方正仿宋_GBK" w:cs="Times New Roman"/>
          <w:b w:val="0"/>
          <w:bCs w:val="0"/>
          <w:sz w:val="32"/>
          <w:highlight w:val="none"/>
          <w:u w:val="none" w:color="auto"/>
          <w:lang w:val="en-US" w:eastAsia="zh-CN"/>
        </w:rPr>
        <w:t>聚焦</w:t>
      </w:r>
      <w:r>
        <w:rPr>
          <w:rFonts w:hint="eastAsia" w:ascii="Times New Roman" w:hAnsi="Times New Roman" w:eastAsia="方正仿宋_GBK" w:cs="Times New Roman"/>
          <w:b w:val="0"/>
          <w:bCs w:val="0"/>
          <w:sz w:val="32"/>
          <w:highlight w:val="none"/>
          <w:u w:val="none" w:color="auto"/>
          <w:lang w:val="en-US" w:eastAsia="zh-CN"/>
        </w:rPr>
        <w:t>园区、</w:t>
      </w:r>
      <w:r>
        <w:rPr>
          <w:rFonts w:hint="default" w:ascii="Times New Roman" w:hAnsi="Times New Roman" w:eastAsia="方正仿宋_GBK" w:cs="Times New Roman"/>
          <w:b w:val="0"/>
          <w:bCs w:val="0"/>
          <w:sz w:val="32"/>
          <w:highlight w:val="none"/>
          <w:u w:val="none" w:color="auto"/>
          <w:lang w:val="en-US" w:eastAsia="zh-CN"/>
        </w:rPr>
        <w:t>县域特色产业创新发展需求</w:t>
      </w:r>
      <w:r>
        <w:rPr>
          <w:rFonts w:hint="eastAsia" w:ascii="Times New Roman" w:hAnsi="Times New Roman" w:eastAsia="方正仿宋_GBK" w:cs="Times New Roman"/>
          <w:b w:val="0"/>
          <w:bCs w:val="0"/>
          <w:sz w:val="32"/>
          <w:highlight w:val="none"/>
          <w:u w:val="none" w:color="auto"/>
          <w:lang w:val="en-US" w:eastAsia="zh-CN"/>
        </w:rPr>
        <w:t>，重点支持开展产业技术攻关、成果转化及应用、创新平台建设等工作，</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对园区</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县市</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安排</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资金的科技项目</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予以支持</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w:t>
      </w:r>
    </w:p>
    <w:p w14:paraId="549E32B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方正楷体_GBK" w:hAnsi="方正楷体_GBK" w:eastAsia="方正楷体_GBK" w:cs="方正楷体_GBK"/>
          <w:snapToGrid w:val="0"/>
          <w:kern w:val="0"/>
          <w:sz w:val="32"/>
          <w:szCs w:val="32"/>
          <w:highlight w:val="none"/>
          <w:u w:val="none" w:color="auto"/>
          <w:lang w:val="en-US" w:eastAsia="zh-CN"/>
        </w:rPr>
      </w:pPr>
      <w:r>
        <w:rPr>
          <w:rFonts w:hint="eastAsia" w:ascii="方正楷体_GBK" w:hAnsi="方正楷体_GBK" w:eastAsia="方正楷体_GBK" w:cs="方正楷体_GBK"/>
          <w:snapToGrid w:val="0"/>
          <w:kern w:val="0"/>
          <w:sz w:val="32"/>
          <w:szCs w:val="32"/>
          <w:highlight w:val="none"/>
          <w:u w:val="none" w:color="auto"/>
          <w:lang w:val="en-US" w:eastAsia="zh-CN"/>
        </w:rPr>
        <w:t>（三）科技交流活动</w:t>
      </w:r>
    </w:p>
    <w:p w14:paraId="571DF5F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方正仿宋_GBK" w:cs="Times New Roman"/>
          <w:sz w:val="32"/>
          <w:highlight w:val="none"/>
          <w:u w:val="none" w:color="auto"/>
          <w:lang w:val="en-US" w:eastAsia="zh-CN"/>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组织开展国际（国内）科技合作论坛与对接活动、产学研精准对接活动、科技成果展览与交易活动、跨区域协同创新活动、企业服务专项活动、科技竞赛与招商活动、科技培训与科学普及、专家决策咨询、科技项目评审评估、行业关键共性技术研讨对接活动等</w:t>
      </w:r>
      <w:r>
        <w:rPr>
          <w:rFonts w:hint="eastAsia" w:ascii="Times New Roman" w:hAnsi="Times New Roman" w:eastAsia="方正仿宋_GBK" w:cs="Times New Roman"/>
          <w:sz w:val="32"/>
          <w:highlight w:val="none"/>
          <w:u w:val="none" w:color="auto"/>
          <w:lang w:val="en-US" w:eastAsia="zh-CN"/>
        </w:rPr>
        <w:t>。</w:t>
      </w:r>
    </w:p>
    <w:p w14:paraId="2EB762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trike w:val="0"/>
          <w:dstrike w:val="0"/>
          <w:color w:val="auto"/>
          <w:sz w:val="32"/>
          <w:highlight w:val="none"/>
          <w:u w:val="none" w:color="auto"/>
          <w:lang w:val="en-US" w:eastAsia="zh-CN"/>
        </w:rPr>
      </w:pPr>
      <w:r>
        <w:rPr>
          <w:rFonts w:hint="default" w:ascii="Times New Roman" w:hAnsi="Times New Roman" w:eastAsia="方正仿宋_GBK" w:cs="Times New Roman"/>
          <w:b w:val="0"/>
          <w:bCs w:val="0"/>
          <w:strike w:val="0"/>
          <w:dstrike w:val="0"/>
          <w:color w:val="auto"/>
          <w:kern w:val="2"/>
          <w:sz w:val="32"/>
          <w:szCs w:val="32"/>
          <w:highlight w:val="none"/>
          <w:u w:val="none" w:color="auto"/>
          <w:lang w:val="en-US" w:eastAsia="zh-CN" w:bidi="ar-SA"/>
        </w:rPr>
        <w:t>采取立项方式支持，按照实际需要拨付资金，每年资金总额不超过400万元。</w:t>
      </w:r>
    </w:p>
    <w:p w14:paraId="5C85791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t>第四章  资金使用及</w:t>
      </w:r>
      <w:r>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t>绩效</w:t>
      </w:r>
      <w:r>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t>管理</w:t>
      </w:r>
    </w:p>
    <w:p w14:paraId="141F24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sz w:val="32"/>
          <w:szCs w:val="32"/>
          <w:highlight w:val="none"/>
          <w:u w:val="none" w:color="auto"/>
          <w:lang w:val="en-US" w:eastAsia="zh-CN"/>
        </w:rPr>
      </w:pPr>
      <w:r>
        <w:rPr>
          <w:rFonts w:hint="default" w:ascii="Times New Roman" w:hAnsi="Times New Roman" w:eastAsia="方正楷体_GBK" w:cs="Times New Roman"/>
          <w:b/>
          <w:bCs/>
          <w:sz w:val="32"/>
          <w:szCs w:val="32"/>
          <w:highlight w:val="none"/>
          <w:u w:val="none" w:color="auto"/>
          <w:lang w:val="en-US" w:eastAsia="zh-CN"/>
        </w:rPr>
        <w:t>第十</w:t>
      </w:r>
      <w:r>
        <w:rPr>
          <w:rFonts w:hint="eastAsia" w:ascii="Times New Roman" w:hAnsi="Times New Roman" w:eastAsia="方正楷体_GBK" w:cs="Times New Roman"/>
          <w:b/>
          <w:bCs/>
          <w:sz w:val="32"/>
          <w:szCs w:val="32"/>
          <w:highlight w:val="none"/>
          <w:u w:val="none" w:color="auto"/>
          <w:lang w:val="en-US" w:eastAsia="zh-CN"/>
        </w:rPr>
        <w:t>四</w:t>
      </w:r>
      <w:r>
        <w:rPr>
          <w:rFonts w:hint="default" w:ascii="Times New Roman" w:hAnsi="Times New Roman" w:eastAsia="方正楷体_GBK" w:cs="Times New Roman"/>
          <w:b/>
          <w:bCs/>
          <w:sz w:val="32"/>
          <w:szCs w:val="32"/>
          <w:highlight w:val="none"/>
          <w:u w:val="none" w:color="auto"/>
          <w:lang w:val="en-US" w:eastAsia="zh-CN"/>
        </w:rPr>
        <w:t>条</w:t>
      </w:r>
      <w:r>
        <w:rPr>
          <w:rFonts w:hint="default" w:ascii="Times New Roman" w:hAnsi="Times New Roman" w:eastAsia="方正仿宋_GBK" w:cs="Times New Roman"/>
          <w:b/>
          <w:bCs/>
          <w:color w:val="auto"/>
          <w:spacing w:val="0"/>
          <w:kern w:val="2"/>
          <w:sz w:val="32"/>
          <w:szCs w:val="32"/>
          <w:highlight w:val="none"/>
          <w:u w:val="none" w:color="auto"/>
          <w:lang w:val="en-US" w:eastAsia="zh-CN" w:bidi="ar-SA"/>
        </w:rPr>
        <w:t xml:space="preserve">  </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预算编制。</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州科技局结合科技创新规划</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和</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年度工</w:t>
      </w:r>
      <w:r>
        <w:rPr>
          <w:rFonts w:hint="default" w:ascii="Times New Roman" w:hAnsi="Times New Roman" w:eastAsia="方正仿宋_GBK" w:cs="Times New Roman"/>
          <w:b w:val="0"/>
          <w:bCs w:val="0"/>
          <w:color w:val="auto"/>
          <w:spacing w:val="-6"/>
          <w:kern w:val="2"/>
          <w:sz w:val="32"/>
          <w:szCs w:val="32"/>
          <w:highlight w:val="none"/>
          <w:u w:val="none" w:color="auto"/>
          <w:lang w:val="en-US" w:eastAsia="zh-CN" w:bidi="ar-SA"/>
        </w:rPr>
        <w:t>作重点，编制专项资金年度</w:t>
      </w:r>
      <w:r>
        <w:rPr>
          <w:rFonts w:hint="eastAsia" w:ascii="Times New Roman" w:hAnsi="Times New Roman" w:eastAsia="方正仿宋_GBK" w:cs="Times New Roman"/>
          <w:b w:val="0"/>
          <w:bCs w:val="0"/>
          <w:color w:val="auto"/>
          <w:spacing w:val="-6"/>
          <w:kern w:val="2"/>
          <w:sz w:val="32"/>
          <w:szCs w:val="32"/>
          <w:highlight w:val="none"/>
          <w:u w:val="none" w:color="auto"/>
          <w:lang w:val="en-US" w:eastAsia="zh-CN" w:bidi="ar-SA"/>
        </w:rPr>
        <w:t>预算形成科技计划，</w:t>
      </w:r>
      <w:r>
        <w:rPr>
          <w:rFonts w:hint="default" w:ascii="Times New Roman" w:hAnsi="Times New Roman" w:eastAsia="方正仿宋_GBK" w:cs="Times New Roman"/>
          <w:b w:val="0"/>
          <w:bCs w:val="0"/>
          <w:color w:val="auto"/>
          <w:spacing w:val="-6"/>
          <w:kern w:val="2"/>
          <w:sz w:val="32"/>
          <w:szCs w:val="32"/>
          <w:highlight w:val="none"/>
          <w:u w:val="none" w:color="auto"/>
          <w:lang w:val="en-US" w:eastAsia="zh-CN" w:bidi="ar-SA"/>
        </w:rPr>
        <w:t>报送州财政局</w:t>
      </w:r>
      <w:r>
        <w:rPr>
          <w:rFonts w:hint="eastAsia" w:ascii="Times New Roman" w:hAnsi="Times New Roman" w:eastAsia="方正仿宋_GBK" w:cs="Times New Roman"/>
          <w:b w:val="0"/>
          <w:bCs w:val="0"/>
          <w:color w:val="auto"/>
          <w:spacing w:val="-6"/>
          <w:kern w:val="2"/>
          <w:sz w:val="32"/>
          <w:szCs w:val="32"/>
          <w:highlight w:val="none"/>
          <w:u w:val="none" w:color="auto"/>
          <w:lang w:val="en-US" w:eastAsia="zh-CN" w:bidi="ar-SA"/>
        </w:rPr>
        <w:t>审核</w:t>
      </w:r>
      <w:r>
        <w:rPr>
          <w:rFonts w:hint="default" w:ascii="Times New Roman" w:hAnsi="Times New Roman" w:eastAsia="方正仿宋_GBK" w:cs="Times New Roman"/>
          <w:b w:val="0"/>
          <w:bCs w:val="0"/>
          <w:color w:val="auto"/>
          <w:spacing w:val="-6"/>
          <w:kern w:val="2"/>
          <w:sz w:val="32"/>
          <w:szCs w:val="32"/>
          <w:highlight w:val="none"/>
          <w:u w:val="none" w:color="auto"/>
          <w:lang w:val="en-US" w:eastAsia="zh-CN" w:bidi="ar-SA"/>
        </w:rPr>
        <w:t>。</w:t>
      </w:r>
    </w:p>
    <w:p w14:paraId="1DF4C3A9">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十五</w:t>
      </w:r>
      <w:r>
        <w:rPr>
          <w:rFonts w:hint="default" w:ascii="Times New Roman" w:hAnsi="Times New Roman" w:eastAsia="方正楷体_GBK" w:cs="Times New Roman"/>
          <w:b/>
          <w:bCs/>
          <w:sz w:val="32"/>
          <w:highlight w:val="none"/>
          <w:u w:val="none" w:color="auto"/>
          <w:lang w:val="en-US" w:eastAsia="zh-CN"/>
        </w:rPr>
        <w:t xml:space="preserve">条  </w:t>
      </w:r>
      <w:r>
        <w:rPr>
          <w:rFonts w:hint="default" w:ascii="Times New Roman" w:hAnsi="Times New Roman" w:eastAsia="方正仿宋_GBK" w:cs="Times New Roman"/>
          <w:color w:val="000000"/>
          <w:kern w:val="0"/>
          <w:sz w:val="31"/>
          <w:szCs w:val="31"/>
          <w:highlight w:val="none"/>
          <w:u w:val="none" w:color="auto"/>
          <w:lang w:val="en-US" w:eastAsia="zh-CN" w:bidi="ar"/>
        </w:rPr>
        <w:t>科技计划资金</w:t>
      </w:r>
      <w:r>
        <w:rPr>
          <w:rFonts w:hint="eastAsia" w:ascii="Times New Roman" w:hAnsi="Times New Roman" w:eastAsia="方正仿宋_GBK" w:cs="Times New Roman"/>
          <w:color w:val="000000"/>
          <w:kern w:val="0"/>
          <w:sz w:val="31"/>
          <w:szCs w:val="31"/>
          <w:highlight w:val="none"/>
          <w:u w:val="none" w:color="auto"/>
          <w:lang w:val="en-US" w:eastAsia="zh-CN" w:bidi="ar"/>
        </w:rPr>
        <w:t>配置方式。采用项目制立项管理的</w:t>
      </w:r>
      <w:r>
        <w:rPr>
          <w:rFonts w:hint="default" w:ascii="Times New Roman" w:hAnsi="Times New Roman" w:eastAsia="方正仿宋_GBK" w:cs="Times New Roman"/>
          <w:color w:val="000000"/>
          <w:kern w:val="0"/>
          <w:sz w:val="31"/>
          <w:szCs w:val="31"/>
          <w:highlight w:val="none"/>
          <w:u w:val="none" w:color="auto"/>
          <w:lang w:val="en-US" w:eastAsia="zh-CN" w:bidi="ar"/>
        </w:rPr>
        <w:t>，</w:t>
      </w:r>
      <w:r>
        <w:rPr>
          <w:rFonts w:hint="eastAsia" w:ascii="Times New Roman" w:hAnsi="Times New Roman" w:eastAsia="方正仿宋_GBK" w:cs="Times New Roman"/>
          <w:color w:val="000000"/>
          <w:kern w:val="0"/>
          <w:sz w:val="31"/>
          <w:szCs w:val="31"/>
          <w:highlight w:val="none"/>
          <w:u w:val="none" w:color="auto"/>
          <w:lang w:val="en-US" w:eastAsia="zh-CN" w:bidi="ar"/>
        </w:rPr>
        <w:t>参照《新疆维吾尔自治区科技计划项目管理办法》执行；</w:t>
      </w:r>
      <w:r>
        <w:rPr>
          <w:rFonts w:hint="default" w:ascii="Times New Roman" w:hAnsi="Times New Roman" w:eastAsia="方正仿宋_GBK" w:cs="Times New Roman"/>
          <w:color w:val="000000"/>
          <w:kern w:val="0"/>
          <w:sz w:val="31"/>
          <w:szCs w:val="31"/>
          <w:highlight w:val="none"/>
          <w:u w:val="none" w:color="auto"/>
          <w:lang w:val="en-US" w:eastAsia="zh-CN" w:bidi="ar"/>
        </w:rPr>
        <w:t>采用</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奖励、奖补等</w:t>
      </w:r>
      <w:r>
        <w:rPr>
          <w:rFonts w:hint="eastAsia" w:ascii="Times New Roman" w:hAnsi="Times New Roman" w:eastAsia="方正仿宋_GBK" w:cs="Times New Roman"/>
          <w:color w:val="000000"/>
          <w:kern w:val="0"/>
          <w:sz w:val="31"/>
          <w:szCs w:val="31"/>
          <w:highlight w:val="none"/>
          <w:u w:val="none" w:color="auto"/>
          <w:lang w:val="en-US" w:eastAsia="zh-CN" w:bidi="ar"/>
        </w:rPr>
        <w:t>立项管理的</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由项目承担单位自主安排用于与科技创新直接相关的活动</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strike w:val="0"/>
          <w:color w:val="auto"/>
          <w:spacing w:val="0"/>
          <w:kern w:val="2"/>
          <w:sz w:val="32"/>
          <w:szCs w:val="32"/>
          <w:highlight w:val="none"/>
          <w:u w:val="none" w:color="auto"/>
          <w:lang w:val="en-US" w:eastAsia="zh-CN" w:bidi="ar-SA"/>
        </w:rPr>
        <w:t>以上支持方向和开支范围等相关规定如遇国家和自治区相关政策调整的，按最新政策执行。</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科技、国资等部门</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探索建立</w:t>
      </w:r>
      <w:r>
        <w:rPr>
          <w:rFonts w:hint="eastAsia"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科创基金、</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公司化运营等市场化资金配置方式，引导社会资本参与科技创新。</w:t>
      </w:r>
    </w:p>
    <w:p w14:paraId="2F5338F2">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eastAsia" w:ascii="Times New Roman" w:hAnsi="Times New Roman" w:eastAsia="方正楷体_GBK" w:cs="Times New Roman"/>
          <w:b/>
          <w:bCs/>
          <w:sz w:val="32"/>
          <w:highlight w:val="none"/>
          <w:u w:val="none" w:color="auto"/>
          <w:lang w:val="en-US" w:eastAsia="zh-CN"/>
        </w:rPr>
        <w:t>第十</w:t>
      </w:r>
      <w:r>
        <w:rPr>
          <w:rFonts w:hint="eastAsia" w:eastAsia="方正楷体_GBK" w:cs="Times New Roman"/>
          <w:b/>
          <w:bCs/>
          <w:sz w:val="32"/>
          <w:highlight w:val="none"/>
          <w:u w:val="none" w:color="auto"/>
          <w:lang w:val="en-US" w:eastAsia="zh-CN"/>
        </w:rPr>
        <w:t>六</w:t>
      </w:r>
      <w:r>
        <w:rPr>
          <w:rFonts w:hint="eastAsia" w:ascii="Times New Roman" w:hAnsi="Times New Roman" w:eastAsia="方正楷体_GBK" w:cs="Times New Roman"/>
          <w:b/>
          <w:bCs/>
          <w:sz w:val="32"/>
          <w:highlight w:val="none"/>
          <w:u w:val="none" w:color="auto"/>
          <w:lang w:val="en-US" w:eastAsia="zh-CN"/>
        </w:rPr>
        <w:t xml:space="preserve">条  </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州科技局、财政局对财政科研项目资金使用情况和效果进</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行监督检查，并根据监督检查结果做出相应处理。原则上项目执行期内只</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监督检查一次，对实施周期1年（含1年）以下的项目一般不开展过程检查。</w:t>
      </w:r>
    </w:p>
    <w:p w14:paraId="0267EC87">
      <w:pPr>
        <w:pStyle w:val="4"/>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eastAsia" w:ascii="Times New Roman" w:hAnsi="Times New Roman" w:eastAsia="方正楷体_GBK" w:cs="Times New Roman"/>
          <w:b/>
          <w:bCs/>
          <w:sz w:val="32"/>
          <w:highlight w:val="none"/>
          <w:u w:val="none" w:color="auto"/>
          <w:lang w:val="en-US" w:eastAsia="zh-CN"/>
        </w:rPr>
        <w:t>第十七条</w:t>
      </w:r>
      <w:r>
        <w:rPr>
          <w:rFonts w:hint="eastAsia" w:ascii="Times New Roman" w:hAnsi="Times New Roman" w:eastAsia="方正仿宋_GBK" w:cs="Times New Roman"/>
          <w:b/>
          <w:bCs/>
          <w:color w:val="auto"/>
          <w:spacing w:val="0"/>
          <w:kern w:val="2"/>
          <w:sz w:val="32"/>
          <w:szCs w:val="32"/>
          <w:highlight w:val="none"/>
          <w:u w:val="none" w:color="auto"/>
          <w:lang w:val="en-US" w:eastAsia="zh-CN" w:bidi="ar-SA"/>
        </w:rPr>
        <w:t xml:space="preserve"> </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项目承担单位应主动接受财政、科技、审计等部门的监督检查、财政评价和财务审计，加强专项资金的使用管理，确保经费专款专用，防止发生财政风险。</w:t>
      </w:r>
    </w:p>
    <w:p w14:paraId="1AB10C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bCs/>
          <w:sz w:val="32"/>
          <w:highlight w:val="none"/>
          <w:u w:val="none" w:color="auto"/>
          <w:lang w:val="en-US" w:eastAsia="zh-CN"/>
        </w:rPr>
      </w:pPr>
      <w:r>
        <w:rPr>
          <w:rFonts w:hint="eastAsia" w:ascii="Times New Roman" w:hAnsi="Times New Roman" w:eastAsia="方正楷体_GBK" w:cs="Times New Roman"/>
          <w:b/>
          <w:bCs/>
          <w:sz w:val="32"/>
          <w:highlight w:val="none"/>
          <w:u w:val="none" w:color="auto"/>
          <w:lang w:val="en-US" w:eastAsia="zh-CN"/>
        </w:rPr>
        <w:t xml:space="preserve">第十八条  </w:t>
      </w:r>
      <w:r>
        <w:rPr>
          <w:rFonts w:hint="eastAsia" w:ascii="方正仿宋_GBK" w:hAnsi="方正仿宋_GBK" w:eastAsia="方正仿宋_GBK" w:cs="方正仿宋_GBK"/>
          <w:b w:val="0"/>
          <w:bCs w:val="0"/>
          <w:sz w:val="32"/>
          <w:highlight w:val="none"/>
          <w:u w:val="none" w:color="auto"/>
          <w:lang w:val="en-US" w:eastAsia="zh-CN"/>
        </w:rPr>
        <w:t>全过程绩效管理</w:t>
      </w:r>
    </w:p>
    <w:p w14:paraId="6539D4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eastAsia" w:ascii="方正楷体_GBK" w:hAnsi="方正楷体_GBK" w:eastAsia="方正楷体_GBK" w:cs="方正楷体_GBK"/>
          <w:b w:val="0"/>
          <w:bCs w:val="0"/>
          <w:color w:val="auto"/>
          <w:spacing w:val="0"/>
          <w:kern w:val="2"/>
          <w:sz w:val="32"/>
          <w:szCs w:val="32"/>
          <w:highlight w:val="none"/>
          <w:u w:val="none" w:color="auto"/>
          <w:lang w:val="en-US" w:eastAsia="zh-CN" w:bidi="ar-SA"/>
        </w:rPr>
        <w:t>（一）绩效目标设定</w:t>
      </w:r>
    </w:p>
    <w:p w14:paraId="5EF5A2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项目立项阶段，科技、财政部门联合审核项目绩效目标，确保目标科学合理、可量化、可考核，</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覆盖</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技术</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产出</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指标、经济社会效益指标、可持续影响指标等维度，明确指标值和考核标准。</w:t>
      </w:r>
    </w:p>
    <w:p w14:paraId="529634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（二）绩效监控</w:t>
      </w:r>
    </w:p>
    <w:p w14:paraId="50ABA6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项目实施期间开展重点绩效监控，项目承担单位定期开展绩效自评，对超过两年的科技项目开展中期评估，对偏离绩效目标的项目及时预警，督促整改，确保绩效目标如期实现。</w:t>
      </w:r>
    </w:p>
    <w:p w14:paraId="0D7D57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（三）绩效评价</w:t>
      </w:r>
    </w:p>
    <w:p w14:paraId="1EAC3D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项目验收阶段，同步开展绩效评价，引入第三方专业机构参与评价工作，评价内容包括资金使用效率、绩效目标完成情况、创新产出质量、经济社会效益等。对资金额度较大、影响面广的重点项目开展专项绩效评价。</w:t>
      </w:r>
    </w:p>
    <w:p w14:paraId="2CC247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pPr>
      <w:r>
        <w:rPr>
          <w:rFonts w:hint="default" w:ascii="方正楷体_GBK" w:hAnsi="方正楷体_GBK" w:eastAsia="方正楷体_GBK" w:cs="方正楷体_GBK"/>
          <w:b w:val="0"/>
          <w:bCs w:val="0"/>
          <w:color w:val="auto"/>
          <w:spacing w:val="0"/>
          <w:kern w:val="2"/>
          <w:sz w:val="32"/>
          <w:szCs w:val="32"/>
          <w:highlight w:val="none"/>
          <w:u w:val="none" w:color="auto"/>
          <w:lang w:val="en-US" w:eastAsia="zh-CN" w:bidi="ar-SA"/>
        </w:rPr>
        <w:t>（四）结果应用</w:t>
      </w:r>
    </w:p>
    <w:p w14:paraId="663905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绩效评价结果分为优秀、合格、不合格三个等级，评价结果作为预算安排、政策调整、项目退出、后续支持的核心依据。对绩效评价优秀的项目承担单位，在下一年度项目申报中给予优先立项；对绩效评价不合格的项目承担单位，限期整改，整改不到位的暂停项目申报资格2年，并追回已拨资金。</w:t>
      </w:r>
    </w:p>
    <w:p w14:paraId="1FD0D9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十九</w:t>
      </w:r>
      <w:r>
        <w:rPr>
          <w:rFonts w:hint="default" w:ascii="Times New Roman" w:hAnsi="Times New Roman" w:eastAsia="方正楷体_GBK" w:cs="Times New Roman"/>
          <w:b/>
          <w:bCs/>
          <w:sz w:val="32"/>
          <w:highlight w:val="none"/>
          <w:u w:val="none" w:color="auto"/>
          <w:lang w:val="en-US" w:eastAsia="zh-CN"/>
        </w:rPr>
        <w:t xml:space="preserve">条  </w:t>
      </w:r>
      <w:r>
        <w:rPr>
          <w:rFonts w:hint="eastAsia" w:ascii="方正仿宋_GBK" w:hAnsi="方正仿宋_GBK" w:eastAsia="方正仿宋_GBK" w:cs="方正仿宋_GBK"/>
          <w:b w:val="0"/>
          <w:bCs w:val="0"/>
          <w:sz w:val="32"/>
          <w:highlight w:val="none"/>
          <w:u w:val="none" w:color="auto"/>
          <w:lang w:val="en-US" w:eastAsia="zh-CN"/>
        </w:rPr>
        <w:t>项目承担单位、项目负责人、课题负责人等</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在专项资金项目经费申请和使用管理中存在以下行为的，</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州科技局</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州财政局</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依照有关规定视情节轻重采取责令整改、约谈、暂停项目拨款、终止项目执行、撤销项目、收回项目结余资金、追回已拨资金、阶段性限制相关单位或人员项目申报资格等措施</w:t>
      </w:r>
      <w:r>
        <w:rPr>
          <w:rFonts w:hint="default" w:ascii="Times New Roman" w:hAnsi="Times New Roman" w:eastAsia="方正仿宋_GBK" w:cs="Times New Roman"/>
          <w:b w:val="0"/>
          <w:bCs w:val="0"/>
          <w:strike w:val="0"/>
          <w:dstrike w:val="0"/>
          <w:color w:val="auto"/>
          <w:spacing w:val="0"/>
          <w:kern w:val="2"/>
          <w:sz w:val="32"/>
          <w:szCs w:val="32"/>
          <w:highlight w:val="none"/>
          <w:u w:val="none" w:color="auto"/>
          <w:lang w:val="en-US" w:eastAsia="zh-CN" w:bidi="ar-SA"/>
        </w:rPr>
        <w:t>。</w:t>
      </w:r>
    </w:p>
    <w:p w14:paraId="65A7C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（一）编报虚假预算等项目材料；</w:t>
      </w:r>
    </w:p>
    <w:p w14:paraId="78829E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（二）未对专项资金进行单独核算；</w:t>
      </w:r>
    </w:p>
    <w:p w14:paraId="2708A6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（三）列支与本项目任务无关的支出；</w:t>
      </w:r>
    </w:p>
    <w:p w14:paraId="7B00D0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（四）未按规定执行和调剂预算、违反规定转拨专项资金；</w:t>
      </w:r>
    </w:p>
    <w:p w14:paraId="2F7DBF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（五）虚假承诺其他来源资金；</w:t>
      </w:r>
    </w:p>
    <w:p w14:paraId="0D2251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（六）通过虚假合同、虚假票据、虚构事项、虚报人员等弄虚作假，转移、套取、报销专项资金；</w:t>
      </w:r>
    </w:p>
    <w:p w14:paraId="44E8E0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（七）截留、挤占、挪用专项资金；</w:t>
      </w:r>
    </w:p>
    <w:p w14:paraId="014220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（八）设置账外账、随意调账变动支出、随意修改记账凭证、提供虚假财务会计资料等；</w:t>
      </w:r>
    </w:p>
    <w:p w14:paraId="0A2974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（九）使用项目资金列支应当由个人负担的有关</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税费</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和支付各种罚款、捐款、赞助、投资、偿还债务等；</w:t>
      </w:r>
    </w:p>
    <w:p w14:paraId="591241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（十）其他违反国家财经纪律的行为。</w:t>
      </w:r>
    </w:p>
    <w:p w14:paraId="1C5A952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jc w:val="center"/>
        <w:textAlignment w:val="auto"/>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pPr>
      <w:r>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t>第</w:t>
      </w:r>
      <w:r>
        <w:rPr>
          <w:rFonts w:hint="eastAsia" w:ascii="方正黑体_GBK" w:hAnsi="方正黑体_GBK" w:eastAsia="方正黑体_GBK" w:cs="方正黑体_GBK"/>
          <w:b w:val="0"/>
          <w:bCs w:val="0"/>
          <w:color w:val="auto"/>
          <w:spacing w:val="0"/>
          <w:kern w:val="2"/>
          <w:sz w:val="32"/>
          <w:szCs w:val="32"/>
          <w:highlight w:val="none"/>
          <w:u w:val="none" w:color="auto"/>
          <w:lang w:val="en-US" w:eastAsia="zh-CN" w:bidi="ar-SA"/>
        </w:rPr>
        <w:t>五</w:t>
      </w:r>
      <w:r>
        <w:rPr>
          <w:rFonts w:hint="default" w:ascii="方正黑体_GBK" w:hAnsi="方正黑体_GBK" w:eastAsia="方正黑体_GBK" w:cs="方正黑体_GBK"/>
          <w:b w:val="0"/>
          <w:bCs w:val="0"/>
          <w:color w:val="auto"/>
          <w:spacing w:val="0"/>
          <w:kern w:val="2"/>
          <w:sz w:val="32"/>
          <w:szCs w:val="32"/>
          <w:highlight w:val="none"/>
          <w:u w:val="none" w:color="auto"/>
          <w:lang w:val="en-US" w:eastAsia="zh-CN" w:bidi="ar-SA"/>
        </w:rPr>
        <w:t>章  附则</w:t>
      </w:r>
    </w:p>
    <w:p w14:paraId="68E5213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二十</w:t>
      </w:r>
      <w:r>
        <w:rPr>
          <w:rFonts w:hint="default" w:ascii="Times New Roman" w:hAnsi="Times New Roman" w:eastAsia="方正楷体_GBK" w:cs="Times New Roman"/>
          <w:b/>
          <w:bCs/>
          <w:sz w:val="32"/>
          <w:highlight w:val="none"/>
          <w:u w:val="none" w:color="auto"/>
          <w:lang w:val="en-US" w:eastAsia="zh-CN"/>
        </w:rPr>
        <w:t xml:space="preserve">条 </w:t>
      </w:r>
      <w:r>
        <w:rPr>
          <w:rFonts w:hint="eastAsia" w:ascii="Times New Roman" w:hAnsi="Times New Roman" w:eastAsia="方正楷体_GBK" w:cs="Times New Roman"/>
          <w:b/>
          <w:bCs/>
          <w:sz w:val="32"/>
          <w:highlight w:val="none"/>
          <w:u w:val="none" w:color="auto"/>
          <w:lang w:val="en-US" w:eastAsia="zh-CN"/>
        </w:rPr>
        <w:t xml:space="preserve"> </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州科技局负责对奖励、奖补事项制定实施细则，根据州党委、政府工作安排和产业发展需求制定发布科技项目申报指南，明确项目具体支持资金额度，报州人民政府审定后实施。</w:t>
      </w:r>
    </w:p>
    <w:p w14:paraId="3E8CAB0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highlight w:val="none"/>
          <w:u w:val="none" w:color="auto"/>
          <w:lang w:val="en-US" w:eastAsia="zh-CN"/>
        </w:rPr>
      </w:pPr>
      <w:r>
        <w:rPr>
          <w:rFonts w:hint="default" w:ascii="Times New Roman" w:hAnsi="Times New Roman" w:eastAsia="方正楷体_GBK" w:cs="Times New Roman"/>
          <w:b/>
          <w:bCs/>
          <w:sz w:val="32"/>
          <w:highlight w:val="none"/>
          <w:u w:val="none" w:color="auto"/>
          <w:lang w:val="en-US" w:eastAsia="zh-CN"/>
        </w:rPr>
        <w:t>第</w:t>
      </w:r>
      <w:r>
        <w:rPr>
          <w:rFonts w:hint="eastAsia" w:ascii="Times New Roman" w:hAnsi="Times New Roman" w:eastAsia="方正楷体_GBK" w:cs="Times New Roman"/>
          <w:b/>
          <w:bCs/>
          <w:sz w:val="32"/>
          <w:highlight w:val="none"/>
          <w:u w:val="none" w:color="auto"/>
          <w:lang w:val="en-US" w:eastAsia="zh-CN"/>
        </w:rPr>
        <w:t>二十一</w:t>
      </w:r>
      <w:r>
        <w:rPr>
          <w:rFonts w:hint="default" w:ascii="Times New Roman" w:hAnsi="Times New Roman" w:eastAsia="方正楷体_GBK" w:cs="Times New Roman"/>
          <w:b/>
          <w:bCs/>
          <w:sz w:val="32"/>
          <w:highlight w:val="none"/>
          <w:u w:val="none" w:color="auto"/>
          <w:lang w:val="en-US" w:eastAsia="zh-CN"/>
        </w:rPr>
        <w:t xml:space="preserve">条 </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本办法由州科技局</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州财政局负责解释。</w:t>
      </w:r>
    </w:p>
    <w:p w14:paraId="223FEC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pPr>
      <w:r>
        <w:rPr>
          <w:rFonts w:hint="default" w:ascii="Times New Roman" w:hAnsi="Times New Roman" w:eastAsia="方正楷体_GBK" w:cs="Times New Roman"/>
          <w:b/>
          <w:bCs/>
          <w:strike w:val="0"/>
          <w:dstrike w:val="0"/>
          <w:sz w:val="32"/>
          <w:highlight w:val="none"/>
          <w:u w:val="none" w:color="auto"/>
          <w:lang w:val="en-US" w:eastAsia="zh-CN"/>
        </w:rPr>
        <w:t>第</w:t>
      </w:r>
      <w:r>
        <w:rPr>
          <w:rFonts w:hint="eastAsia" w:ascii="Times New Roman" w:hAnsi="Times New Roman" w:eastAsia="方正楷体_GBK" w:cs="Times New Roman"/>
          <w:b/>
          <w:bCs/>
          <w:strike w:val="0"/>
          <w:dstrike w:val="0"/>
          <w:sz w:val="32"/>
          <w:highlight w:val="none"/>
          <w:u w:val="none" w:color="auto"/>
          <w:lang w:val="en-US" w:eastAsia="zh-CN"/>
        </w:rPr>
        <w:t>二十二</w:t>
      </w:r>
      <w:r>
        <w:rPr>
          <w:rFonts w:hint="default" w:ascii="Times New Roman" w:hAnsi="Times New Roman" w:eastAsia="方正楷体_GBK" w:cs="Times New Roman"/>
          <w:b/>
          <w:bCs/>
          <w:strike w:val="0"/>
          <w:sz w:val="32"/>
          <w:highlight w:val="none"/>
          <w:u w:val="none" w:color="auto"/>
          <w:lang w:val="en-US" w:eastAsia="zh-CN"/>
        </w:rPr>
        <w:t>条</w:t>
      </w:r>
      <w:r>
        <w:rPr>
          <w:rFonts w:hint="default" w:ascii="Times New Roman" w:hAnsi="Times New Roman" w:eastAsia="方正楷体_GBK" w:cs="Times New Roman"/>
          <w:b/>
          <w:bCs/>
          <w:sz w:val="32"/>
          <w:highlight w:val="none"/>
          <w:u w:val="none" w:color="auto"/>
          <w:lang w:val="en-US" w:eastAsia="zh-CN"/>
        </w:rPr>
        <w:t xml:space="preserve"> </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 xml:space="preserve"> 本办法自</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2026</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年</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X</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月</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X</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日</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起</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施行，有效期至</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2029</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年</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X</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月</w:t>
      </w:r>
      <w:r>
        <w:rPr>
          <w:rFonts w:hint="eastAsia" w:ascii="Times New Roman" w:hAnsi="Times New Roman" w:eastAsia="方正仿宋_GBK" w:cs="Times New Roman"/>
          <w:b w:val="0"/>
          <w:bCs w:val="0"/>
          <w:color w:val="auto"/>
          <w:spacing w:val="0"/>
          <w:kern w:val="2"/>
          <w:sz w:val="32"/>
          <w:szCs w:val="32"/>
          <w:highlight w:val="none"/>
          <w:u w:val="none" w:color="auto"/>
          <w:lang w:val="en-US" w:eastAsia="zh-CN" w:bidi="ar-SA"/>
        </w:rPr>
        <w:t>X</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日，原</w:t>
      </w:r>
      <w:r>
        <w:rPr>
          <w:rFonts w:hint="default" w:ascii="Times New Roman" w:hAnsi="Times New Roman" w:eastAsia="方正仿宋_GB2312" w:cs="Times New Roman"/>
          <w:spacing w:val="0"/>
          <w:sz w:val="32"/>
          <w:szCs w:val="32"/>
          <w:highlight w:val="none"/>
          <w:u w:val="none" w:color="auto"/>
          <w:lang w:val="en-US" w:eastAsia="zh-CN"/>
        </w:rPr>
        <w:t>《</w:t>
      </w:r>
      <w:r>
        <w:rPr>
          <w:rFonts w:hint="eastAsia" w:ascii="Times New Roman" w:hAnsi="Times New Roman" w:eastAsia="方正仿宋_GB2312" w:cs="Times New Roman"/>
          <w:spacing w:val="0"/>
          <w:sz w:val="32"/>
          <w:szCs w:val="32"/>
          <w:highlight w:val="none"/>
          <w:u w:val="none" w:color="auto"/>
          <w:lang w:val="en-US" w:eastAsia="zh-CN"/>
        </w:rPr>
        <w:t>昌吉州科技</w:t>
      </w:r>
      <w:r>
        <w:rPr>
          <w:rFonts w:hint="default" w:ascii="Times New Roman" w:hAnsi="Times New Roman" w:eastAsia="方正仿宋_GB2312" w:cs="Times New Roman"/>
          <w:spacing w:val="0"/>
          <w:sz w:val="32"/>
          <w:szCs w:val="32"/>
          <w:highlight w:val="none"/>
          <w:u w:val="none" w:color="auto"/>
          <w:lang w:val="en-US" w:eastAsia="zh-CN"/>
        </w:rPr>
        <w:t>专项资金管理办法》</w:t>
      </w:r>
      <w:r>
        <w:rPr>
          <w:rFonts w:hint="default" w:ascii="Times New Roman" w:hAnsi="Times New Roman" w:eastAsia="方正仿宋_GB2312" w:cs="Times New Roman"/>
          <w:spacing w:val="0"/>
          <w:sz w:val="32"/>
          <w:szCs w:val="32"/>
          <w:highlight w:val="none"/>
          <w:u w:val="none" w:color="auto"/>
          <w:lang w:eastAsia="zh-CN"/>
        </w:rPr>
        <w:t>（</w:t>
      </w:r>
      <w:r>
        <w:rPr>
          <w:rFonts w:hint="default" w:ascii="Times New Roman" w:hAnsi="Times New Roman" w:eastAsia="方正仿宋_GB2312" w:cs="Times New Roman"/>
          <w:spacing w:val="0"/>
          <w:sz w:val="32"/>
          <w:szCs w:val="32"/>
          <w:highlight w:val="none"/>
          <w:u w:val="none" w:color="auto"/>
          <w:lang w:val="en-US" w:eastAsia="zh-CN"/>
        </w:rPr>
        <w:t>昌州</w:t>
      </w:r>
      <w:r>
        <w:rPr>
          <w:rFonts w:hint="eastAsia" w:ascii="Times New Roman" w:hAnsi="Times New Roman" w:eastAsia="方正仿宋_GB2312" w:cs="Times New Roman"/>
          <w:spacing w:val="0"/>
          <w:sz w:val="32"/>
          <w:szCs w:val="32"/>
          <w:highlight w:val="none"/>
          <w:u w:val="none" w:color="auto"/>
          <w:lang w:val="en-US" w:eastAsia="zh-CN"/>
        </w:rPr>
        <w:t>科字</w:t>
      </w:r>
      <w:r>
        <w:rPr>
          <w:rFonts w:hint="default" w:ascii="Times New Roman" w:hAnsi="Times New Roman" w:eastAsia="方正仿宋_GB2312" w:cs="Times New Roman"/>
          <w:spacing w:val="0"/>
          <w:sz w:val="32"/>
          <w:szCs w:val="32"/>
          <w:highlight w:val="none"/>
          <w:u w:val="none" w:color="auto"/>
          <w:lang w:eastAsia="zh-CN"/>
        </w:rPr>
        <w:t>〔</w:t>
      </w:r>
      <w:r>
        <w:rPr>
          <w:rFonts w:hint="default" w:ascii="Times New Roman" w:hAnsi="Times New Roman" w:eastAsia="方正仿宋_GB2312" w:cs="Times New Roman"/>
          <w:spacing w:val="0"/>
          <w:sz w:val="32"/>
          <w:szCs w:val="32"/>
          <w:highlight w:val="none"/>
          <w:u w:val="none" w:color="auto"/>
          <w:lang w:val="en-US" w:eastAsia="zh-CN"/>
        </w:rPr>
        <w:t>202</w:t>
      </w:r>
      <w:r>
        <w:rPr>
          <w:rFonts w:hint="eastAsia" w:ascii="Times New Roman" w:hAnsi="Times New Roman" w:eastAsia="方正仿宋_GB2312" w:cs="Times New Roman"/>
          <w:spacing w:val="0"/>
          <w:sz w:val="32"/>
          <w:szCs w:val="32"/>
          <w:highlight w:val="none"/>
          <w:u w:val="none" w:color="auto"/>
          <w:lang w:val="en-US" w:eastAsia="zh-CN"/>
        </w:rPr>
        <w:t>5</w:t>
      </w:r>
      <w:r>
        <w:rPr>
          <w:rFonts w:hint="default" w:ascii="Times New Roman" w:hAnsi="Times New Roman" w:eastAsia="方正仿宋_GB2312" w:cs="Times New Roman"/>
          <w:spacing w:val="0"/>
          <w:sz w:val="32"/>
          <w:szCs w:val="32"/>
          <w:highlight w:val="none"/>
          <w:u w:val="none" w:color="auto"/>
          <w:lang w:eastAsia="zh-CN"/>
        </w:rPr>
        <w:t>〕</w:t>
      </w:r>
      <w:r>
        <w:rPr>
          <w:rFonts w:hint="eastAsia" w:ascii="Times New Roman" w:hAnsi="Times New Roman" w:eastAsia="方正仿宋_GB2312" w:cs="Times New Roman"/>
          <w:spacing w:val="0"/>
          <w:sz w:val="32"/>
          <w:szCs w:val="32"/>
          <w:highlight w:val="none"/>
          <w:u w:val="none" w:color="auto"/>
          <w:lang w:val="en-US" w:eastAsia="zh-CN"/>
        </w:rPr>
        <w:t>26</w:t>
      </w:r>
      <w:r>
        <w:rPr>
          <w:rFonts w:hint="default" w:ascii="Times New Roman" w:hAnsi="Times New Roman" w:eastAsia="方正仿宋_GB2312" w:cs="Times New Roman"/>
          <w:spacing w:val="0"/>
          <w:sz w:val="32"/>
          <w:szCs w:val="32"/>
          <w:highlight w:val="none"/>
          <w:u w:val="none" w:color="auto"/>
          <w:lang w:eastAsia="zh-CN"/>
        </w:rPr>
        <w:t>号）</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同时废止。</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6A9AB00C-9270-4D5D-A27E-38BBAA2E4364}"/>
  </w:font>
  <w:font w:name="方正楷体_GBK">
    <w:altName w:val="微软雅黑"/>
    <w:panose1 w:val="03000509000000000000"/>
    <w:charset w:val="86"/>
    <w:family w:val="auto"/>
    <w:pitch w:val="default"/>
    <w:sig w:usb0="00000000" w:usb1="00000000" w:usb2="00000000" w:usb3="00000000" w:csb0="00040000" w:csb1="00000000"/>
    <w:embedRegular r:id="rId2" w:fontKey="{65EF5F39-5CAE-441A-8BF5-B5448FFF213E}"/>
  </w:font>
  <w:font w:name="方正黑体_GBK">
    <w:altName w:val="微软雅黑"/>
    <w:panose1 w:val="03000509000000000000"/>
    <w:charset w:val="86"/>
    <w:family w:val="auto"/>
    <w:pitch w:val="default"/>
    <w:sig w:usb0="00000000" w:usb1="00000000" w:usb2="00000000" w:usb3="00000000" w:csb0="00040000" w:csb1="00000000"/>
    <w:embedRegular r:id="rId3" w:fontKey="{1305721F-55E1-4286-BDB2-DFDD11DC7CFA}"/>
  </w:font>
  <w:font w:name="方正仿宋_GBK">
    <w:panose1 w:val="02000000000000000000"/>
    <w:charset w:val="86"/>
    <w:family w:val="auto"/>
    <w:pitch w:val="default"/>
    <w:sig w:usb0="A00002BF" w:usb1="38CF7CFA" w:usb2="00082016" w:usb3="00000000" w:csb0="00040001" w:csb1="00000000"/>
    <w:embedRegular r:id="rId4" w:fontKey="{390913AF-4C88-47E3-8B51-E12F5CA6A841}"/>
  </w:font>
  <w:font w:name="方正楷体_GB2312">
    <w:panose1 w:val="02000000000000000000"/>
    <w:charset w:val="86"/>
    <w:family w:val="auto"/>
    <w:pitch w:val="default"/>
    <w:sig w:usb0="A00002BF" w:usb1="184F6CFA" w:usb2="00000012" w:usb3="00000000" w:csb0="00040001" w:csb1="00000000"/>
    <w:embedRegular r:id="rId5" w:fontKey="{A550330C-9643-4C79-B881-097C38357DE3}"/>
  </w:font>
  <w:font w:name="方正仿宋_GB2312">
    <w:panose1 w:val="02000000000000000000"/>
    <w:charset w:val="86"/>
    <w:family w:val="auto"/>
    <w:pitch w:val="default"/>
    <w:sig w:usb0="A00002BF" w:usb1="184F6CFA" w:usb2="00000012" w:usb3="00000000" w:csb0="00040001" w:csb1="00000000"/>
    <w:embedRegular r:id="rId6" w:fontKey="{72A4B82F-880C-42EE-861B-D2A07E1060E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2E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BEA2B">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BEA2B">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582874E9"/>
    <w:rsid w:val="00B81EA3"/>
    <w:rsid w:val="01A72AFA"/>
    <w:rsid w:val="025945AE"/>
    <w:rsid w:val="0270686F"/>
    <w:rsid w:val="0305759F"/>
    <w:rsid w:val="03081215"/>
    <w:rsid w:val="030D6FF4"/>
    <w:rsid w:val="0374238F"/>
    <w:rsid w:val="03C710AD"/>
    <w:rsid w:val="040E29F6"/>
    <w:rsid w:val="04A56612"/>
    <w:rsid w:val="052D6C99"/>
    <w:rsid w:val="053973EC"/>
    <w:rsid w:val="05CE0DAB"/>
    <w:rsid w:val="06760E13"/>
    <w:rsid w:val="074F3FCF"/>
    <w:rsid w:val="09014288"/>
    <w:rsid w:val="093D44E0"/>
    <w:rsid w:val="093F71B7"/>
    <w:rsid w:val="0A5B2B23"/>
    <w:rsid w:val="0B446AEB"/>
    <w:rsid w:val="0B4512D0"/>
    <w:rsid w:val="0BBE124B"/>
    <w:rsid w:val="0C2B3807"/>
    <w:rsid w:val="0CA77331"/>
    <w:rsid w:val="0D464D9C"/>
    <w:rsid w:val="0DDF0D4D"/>
    <w:rsid w:val="0E425956"/>
    <w:rsid w:val="0ED375EE"/>
    <w:rsid w:val="0F5B1954"/>
    <w:rsid w:val="11FD7DD0"/>
    <w:rsid w:val="12B76E23"/>
    <w:rsid w:val="138F10FE"/>
    <w:rsid w:val="150572EB"/>
    <w:rsid w:val="15F829AC"/>
    <w:rsid w:val="15FA0CD7"/>
    <w:rsid w:val="167C538B"/>
    <w:rsid w:val="168528A9"/>
    <w:rsid w:val="177F26EC"/>
    <w:rsid w:val="18003D99"/>
    <w:rsid w:val="1816180F"/>
    <w:rsid w:val="1A7D7923"/>
    <w:rsid w:val="1ACB068F"/>
    <w:rsid w:val="1B2E3EFD"/>
    <w:rsid w:val="1BA949E0"/>
    <w:rsid w:val="1C8431EB"/>
    <w:rsid w:val="1DAA3E3F"/>
    <w:rsid w:val="1E8E6CA7"/>
    <w:rsid w:val="1FAC4585"/>
    <w:rsid w:val="20011560"/>
    <w:rsid w:val="2020627E"/>
    <w:rsid w:val="208A0FEC"/>
    <w:rsid w:val="21313D66"/>
    <w:rsid w:val="220821C8"/>
    <w:rsid w:val="22910AB3"/>
    <w:rsid w:val="23580663"/>
    <w:rsid w:val="235D19B9"/>
    <w:rsid w:val="2401228F"/>
    <w:rsid w:val="248567F2"/>
    <w:rsid w:val="252334CD"/>
    <w:rsid w:val="26190E48"/>
    <w:rsid w:val="27482BFF"/>
    <w:rsid w:val="2758774E"/>
    <w:rsid w:val="28B5759B"/>
    <w:rsid w:val="293D6BFB"/>
    <w:rsid w:val="29C73CE1"/>
    <w:rsid w:val="2C315688"/>
    <w:rsid w:val="2D7044FF"/>
    <w:rsid w:val="2D994660"/>
    <w:rsid w:val="2E8C3F06"/>
    <w:rsid w:val="2F594063"/>
    <w:rsid w:val="306F78B6"/>
    <w:rsid w:val="31C92483"/>
    <w:rsid w:val="320C75F6"/>
    <w:rsid w:val="33D53A9D"/>
    <w:rsid w:val="33E32A95"/>
    <w:rsid w:val="341076DF"/>
    <w:rsid w:val="34BA37F6"/>
    <w:rsid w:val="34CE1050"/>
    <w:rsid w:val="35EE669A"/>
    <w:rsid w:val="3633461A"/>
    <w:rsid w:val="371D5931"/>
    <w:rsid w:val="37FE59A4"/>
    <w:rsid w:val="38171DA0"/>
    <w:rsid w:val="38286CC9"/>
    <w:rsid w:val="3A2E5D68"/>
    <w:rsid w:val="3B1A5A3B"/>
    <w:rsid w:val="3BF155F1"/>
    <w:rsid w:val="3C5F0FFD"/>
    <w:rsid w:val="3E233849"/>
    <w:rsid w:val="3E6852B3"/>
    <w:rsid w:val="3F9B4224"/>
    <w:rsid w:val="41146A94"/>
    <w:rsid w:val="415D1B6B"/>
    <w:rsid w:val="42162288"/>
    <w:rsid w:val="42F44377"/>
    <w:rsid w:val="4350112A"/>
    <w:rsid w:val="43950610"/>
    <w:rsid w:val="43EC628C"/>
    <w:rsid w:val="44CE6E4A"/>
    <w:rsid w:val="4787567A"/>
    <w:rsid w:val="47DE5FB8"/>
    <w:rsid w:val="4A38750A"/>
    <w:rsid w:val="4BA3693A"/>
    <w:rsid w:val="4E4C2032"/>
    <w:rsid w:val="4EA053B3"/>
    <w:rsid w:val="4FFFA8F0"/>
    <w:rsid w:val="50BC23E8"/>
    <w:rsid w:val="50EE2E17"/>
    <w:rsid w:val="51470C0B"/>
    <w:rsid w:val="51D17EDF"/>
    <w:rsid w:val="529E47B7"/>
    <w:rsid w:val="545804DE"/>
    <w:rsid w:val="547F6CE8"/>
    <w:rsid w:val="56395F7C"/>
    <w:rsid w:val="56A1616C"/>
    <w:rsid w:val="56D4209E"/>
    <w:rsid w:val="57234DD3"/>
    <w:rsid w:val="57340D8E"/>
    <w:rsid w:val="57E76926"/>
    <w:rsid w:val="582874E9"/>
    <w:rsid w:val="5858676E"/>
    <w:rsid w:val="5BEC7E8A"/>
    <w:rsid w:val="5C8E7193"/>
    <w:rsid w:val="5DD961EC"/>
    <w:rsid w:val="5E145476"/>
    <w:rsid w:val="5EB81F9B"/>
    <w:rsid w:val="5EE31948"/>
    <w:rsid w:val="5FDF410F"/>
    <w:rsid w:val="60BB607C"/>
    <w:rsid w:val="60CA47CD"/>
    <w:rsid w:val="60EA3CA2"/>
    <w:rsid w:val="614D5AD7"/>
    <w:rsid w:val="61B73341"/>
    <w:rsid w:val="61D47012"/>
    <w:rsid w:val="61EA4E6B"/>
    <w:rsid w:val="632779F9"/>
    <w:rsid w:val="633871C2"/>
    <w:rsid w:val="637309BF"/>
    <w:rsid w:val="63B97285"/>
    <w:rsid w:val="63F906CF"/>
    <w:rsid w:val="63FF53AC"/>
    <w:rsid w:val="64420072"/>
    <w:rsid w:val="64952EB3"/>
    <w:rsid w:val="64C86FBA"/>
    <w:rsid w:val="657F51F0"/>
    <w:rsid w:val="65E47E23"/>
    <w:rsid w:val="68876348"/>
    <w:rsid w:val="692549DB"/>
    <w:rsid w:val="6A07646A"/>
    <w:rsid w:val="6AF3446B"/>
    <w:rsid w:val="6B160F51"/>
    <w:rsid w:val="6BBF8049"/>
    <w:rsid w:val="6C335661"/>
    <w:rsid w:val="6C4433CA"/>
    <w:rsid w:val="6D0E5786"/>
    <w:rsid w:val="6D305454"/>
    <w:rsid w:val="6D555698"/>
    <w:rsid w:val="6DA51372"/>
    <w:rsid w:val="6DBE848F"/>
    <w:rsid w:val="6E070009"/>
    <w:rsid w:val="6F945BEF"/>
    <w:rsid w:val="701A5F4A"/>
    <w:rsid w:val="707324D0"/>
    <w:rsid w:val="718E7649"/>
    <w:rsid w:val="73140EF5"/>
    <w:rsid w:val="73DB2866"/>
    <w:rsid w:val="73EF1946"/>
    <w:rsid w:val="73F27BAF"/>
    <w:rsid w:val="757D763A"/>
    <w:rsid w:val="757F36C5"/>
    <w:rsid w:val="75E62C90"/>
    <w:rsid w:val="763F7138"/>
    <w:rsid w:val="76832D41"/>
    <w:rsid w:val="77846DA4"/>
    <w:rsid w:val="781007DB"/>
    <w:rsid w:val="794631EA"/>
    <w:rsid w:val="795409C4"/>
    <w:rsid w:val="7A996C14"/>
    <w:rsid w:val="7B0614CE"/>
    <w:rsid w:val="7B9D48A5"/>
    <w:rsid w:val="7BE665BD"/>
    <w:rsid w:val="7C3D0163"/>
    <w:rsid w:val="7EAB7909"/>
    <w:rsid w:val="7F17671C"/>
    <w:rsid w:val="7FF627D5"/>
    <w:rsid w:val="7FFF55E0"/>
    <w:rsid w:val="8FBF0BAD"/>
    <w:rsid w:val="BDBD2D04"/>
    <w:rsid w:val="BFFD22E0"/>
    <w:rsid w:val="F3FFC47C"/>
    <w:rsid w:val="F68E2355"/>
    <w:rsid w:val="F6C775F7"/>
    <w:rsid w:val="F7EBDF9D"/>
    <w:rsid w:val="FFFFA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5221</Words>
  <Characters>5249</Characters>
  <Lines>0</Lines>
  <Paragraphs>0</Paragraphs>
  <TotalTime>7</TotalTime>
  <ScaleCrop>false</ScaleCrop>
  <LinksUpToDate>false</LinksUpToDate>
  <CharactersWithSpaces>5301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2024-12-27T09:11:00Z</dcterms:created>
  <dc:creator>你是年少的欢喜</dc:creator>
  <cp:lastModifiedBy>小麦啾</cp:lastModifiedBy>
  <cp:lastPrinted>2026-03-24T04:09:00Z</cp:lastPrinted>
  <dcterms:modified xsi:type="dcterms:W3CDTF">2026-03-26T03:15:25Z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0E930338C87645A887A7C15C57EC1542_13</vt:lpwstr>
  </property>
  <property fmtid="{D5CDD505-2E9C-101B-9397-08002B2CF9AE}" pid="4" name="KSOTemplateDocerSaveRecord">
    <vt:lpwstr>eyJoZGlkIjoiZGZmMjg3MDQ2MzExNDk0OWY5M2UwNzBmOWViMDBkMGMiLCJ1c2VySWQiOiIzMjQ5NjUzODcifQ==</vt:lpwstr>
  </property>
</Properties>
</file>