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关于《昌吉州2026年优化营商环境若干措施（征求意见稿）》征求公众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意见建议的公告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深入贯彻昌吉州党委、人民政府关于优化营商环境的决策部署，全力服务和保障“十五五”规划开好局、起好步，进一步激发市场活力和内生动力，我委牵头起草了《昌吉州2026年优化营商环境若干措施（征求意见稿）》（以下简称《若干措施（征求意见稿）》）。现公开征求公众意见，欢迎社会各界提出宝贵修改意见和建议，请将有关意见或建议以电子邮件或传真等方式于2026年4月16日前反馈至昌吉回族自治州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联系电话：0994-2364056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传  真：0994-2364135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邮  箱：764093073@qq.com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附件：昌吉州2026年优化营商环境若干措施（征求意见稿）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t>           昌吉回族自治州发展和改革委员会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t>               </w:t>
      </w:r>
      <w:r>
        <w:rPr>
          <w:rFonts w:hint="eastAsia" w:ascii="Times New Roman" w:hAnsi="Times New Roman" w:eastAsia="仿宋_GB2312" w:cs="Times New Roman"/>
          <w:sz w:val="32"/>
          <w:szCs w:val="32"/>
          <w:lang w:val="en-US" w:eastAsia="zh-CN"/>
        </w:rPr>
        <w:t>2026年4月3日</w:t>
      </w:r>
    </w:p>
    <w:p>
      <w:pPr>
        <w:pStyle w:val="6"/>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《昌吉州2026年优化营商环境若干措施》</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起草说明</w:t>
      </w:r>
    </w:p>
    <w:p>
      <w:pPr>
        <w:pStyle w:val="2"/>
        <w:ind w:left="0" w:leftChars="0" w:firstLine="0" w:firstLineChars="0"/>
        <w:rPr>
          <w:rFonts w:hint="eastAsia"/>
          <w:lang w:eastAsia="zh-CN"/>
        </w:rPr>
      </w:pPr>
    </w:p>
    <w:p>
      <w:pPr>
        <w:keepNext w:val="0"/>
        <w:keepLines w:val="0"/>
        <w:pageBreakBefore w:val="0"/>
        <w:widowControl/>
        <w:numPr>
          <w:ilvl w:val="0"/>
          <w:numId w:val="0"/>
        </w:numPr>
        <w:pBdr>
          <w:bottom w:val="single" w:color="FFFFFF" w:sz="4" w:space="12"/>
        </w:pBdr>
        <w:kinsoku/>
        <w:wordWrap/>
        <w:overflowPunct/>
        <w:topLinePunct w:val="0"/>
        <w:autoSpaceDE/>
        <w:autoSpaceDN/>
        <w:bidi w:val="0"/>
        <w:adjustRightInd/>
        <w:snapToGrid w:val="0"/>
        <w:spacing w:line="560" w:lineRule="exact"/>
        <w:ind w:firstLine="640" w:firstLineChars="200"/>
        <w:jc w:val="both"/>
        <w:textAlignment w:val="auto"/>
        <w:rPr>
          <w:rFonts w:hint="default" w:ascii="Nimbus Roman" w:hAnsi="Nimbus Roman" w:eastAsia="黑体" w:cs="Nimbus Roman"/>
          <w:color w:val="auto"/>
          <w:sz w:val="32"/>
          <w:szCs w:val="32"/>
        </w:rPr>
      </w:pPr>
      <w:r>
        <w:rPr>
          <w:rFonts w:hint="eastAsia" w:ascii="Nimbus Roman" w:hAnsi="Nimbus Roman" w:eastAsia="黑体" w:cs="Nimbus Roman"/>
          <w:color w:val="auto"/>
          <w:sz w:val="32"/>
          <w:szCs w:val="32"/>
          <w:lang w:val="en-US" w:eastAsia="zh-CN"/>
        </w:rPr>
        <w:t>一、</w:t>
      </w:r>
      <w:r>
        <w:rPr>
          <w:rFonts w:hint="default" w:ascii="Nimbus Roman" w:hAnsi="Nimbus Roman" w:eastAsia="黑体" w:cs="Nimbus Roman"/>
          <w:color w:val="auto"/>
          <w:sz w:val="32"/>
          <w:szCs w:val="32"/>
        </w:rPr>
        <w:t>起草背景</w:t>
      </w:r>
    </w:p>
    <w:p>
      <w:pPr>
        <w:keepNext w:val="0"/>
        <w:keepLines w:val="0"/>
        <w:pageBreakBefore w:val="0"/>
        <w:widowControl/>
        <w:numPr>
          <w:ilvl w:val="0"/>
          <w:numId w:val="0"/>
        </w:numPr>
        <w:pBdr>
          <w:bottom w:val="single" w:color="FFFFFF" w:sz="4" w:space="12"/>
        </w:pBdr>
        <w:kinsoku/>
        <w:wordWrap/>
        <w:overflowPunct/>
        <w:topLinePunct w:val="0"/>
        <w:autoSpaceDE/>
        <w:autoSpaceDN/>
        <w:bidi w:val="0"/>
        <w:adjustRightInd/>
        <w:snapToGrid w:val="0"/>
        <w:spacing w:line="560" w:lineRule="exact"/>
        <w:ind w:firstLine="640" w:firstLineChars="200"/>
        <w:jc w:val="both"/>
        <w:textAlignment w:val="auto"/>
        <w:rPr>
          <w:rFonts w:hint="eastAsia" w:ascii="Nimbus Roman" w:hAnsi="Nimbus Roman" w:eastAsia="仿宋_GB2312" w:cs="Nimbus Roman"/>
          <w:color w:val="auto"/>
          <w:kern w:val="2"/>
          <w:sz w:val="32"/>
          <w:szCs w:val="32"/>
          <w:highlight w:val="none"/>
          <w:u w:val="none"/>
          <w:lang w:val="en-US" w:eastAsia="zh-CN" w:bidi="ar-SA"/>
        </w:rPr>
      </w:pPr>
      <w:r>
        <w:rPr>
          <w:rFonts w:hint="default" w:ascii="Times New Roman" w:hAnsi="Times New Roman" w:eastAsia="仿宋_GB2312" w:cs="Times New Roman"/>
          <w:kern w:val="2"/>
          <w:sz w:val="32"/>
          <w:szCs w:val="32"/>
          <w:u w:val="none"/>
          <w:lang w:eastAsia="zh-CN" w:bidi="ar-SA"/>
        </w:rPr>
        <w:t>为贯彻落实自治区2026年优化营商环境攻坚行动工作部署，进一步</w:t>
      </w:r>
      <w:r>
        <w:rPr>
          <w:rFonts w:hint="default" w:ascii="Nimbus Roman" w:hAnsi="Nimbus Roman" w:eastAsia="仿宋_GB2312" w:cs="Nimbus Roman"/>
          <w:color w:val="auto"/>
          <w:kern w:val="2"/>
          <w:sz w:val="32"/>
          <w:szCs w:val="32"/>
          <w:highlight w:val="none"/>
          <w:u w:val="none"/>
          <w:lang w:val="en-US" w:eastAsia="zh-CN" w:bidi="ar-SA"/>
        </w:rPr>
        <w:t>破解堵点难点、激发市场活力，</w:t>
      </w:r>
      <w:r>
        <w:rPr>
          <w:rFonts w:hint="default" w:ascii="Nimbus Roman" w:hAnsi="Nimbus Roman" w:eastAsia="仿宋_GB2312" w:cs="Nimbus Roman"/>
          <w:color w:val="auto"/>
          <w:kern w:val="2"/>
          <w:sz w:val="32"/>
          <w:szCs w:val="32"/>
          <w:highlight w:val="none"/>
          <w:u w:val="none"/>
          <w:lang w:eastAsia="zh-CN" w:bidi="ar-SA"/>
        </w:rPr>
        <w:t>结合昌吉州实际，</w:t>
      </w:r>
      <w:r>
        <w:rPr>
          <w:rFonts w:hint="eastAsia" w:ascii="Nimbus Roman" w:hAnsi="Nimbus Roman" w:eastAsia="仿宋_GB2312" w:cs="Nimbus Roman"/>
          <w:color w:val="auto"/>
          <w:kern w:val="2"/>
          <w:sz w:val="32"/>
          <w:szCs w:val="32"/>
          <w:highlight w:val="none"/>
          <w:u w:val="none"/>
          <w:lang w:val="en-US" w:eastAsia="zh-CN" w:bidi="ar-SA"/>
        </w:rPr>
        <w:t>起草</w:t>
      </w:r>
      <w:r>
        <w:rPr>
          <w:rFonts w:hint="default" w:ascii="Nimbus Roman" w:hAnsi="Nimbus Roman" w:eastAsia="仿宋_GB2312" w:cs="Nimbus Roman"/>
          <w:color w:val="auto"/>
          <w:kern w:val="2"/>
          <w:sz w:val="32"/>
          <w:szCs w:val="32"/>
          <w:highlight w:val="none"/>
          <w:u w:val="none"/>
          <w:lang w:val="en-US" w:eastAsia="zh-CN" w:bidi="ar-SA"/>
        </w:rPr>
        <w:t>制定</w:t>
      </w:r>
      <w:r>
        <w:rPr>
          <w:rFonts w:hint="eastAsia" w:ascii="Nimbus Roman" w:hAnsi="Nimbus Roman" w:eastAsia="仿宋_GB2312" w:cs="Nimbus Roman"/>
          <w:color w:val="auto"/>
          <w:kern w:val="2"/>
          <w:sz w:val="32"/>
          <w:szCs w:val="32"/>
          <w:highlight w:val="none"/>
          <w:u w:val="none"/>
          <w:lang w:val="en-US" w:eastAsia="zh-CN" w:bidi="ar-SA"/>
        </w:rPr>
        <w:t>《昌吉州2026年优化营商环境若干措施》（以下简称《若干措施》）。</w:t>
      </w:r>
    </w:p>
    <w:p>
      <w:pPr>
        <w:keepNext w:val="0"/>
        <w:keepLines w:val="0"/>
        <w:pageBreakBefore w:val="0"/>
        <w:widowControl/>
        <w:numPr>
          <w:ilvl w:val="0"/>
          <w:numId w:val="0"/>
        </w:numPr>
        <w:pBdr>
          <w:bottom w:val="single" w:color="FFFFFF" w:sz="4" w:space="12"/>
        </w:pBdr>
        <w:kinsoku/>
        <w:wordWrap/>
        <w:overflowPunct/>
        <w:topLinePunct w:val="0"/>
        <w:autoSpaceDE/>
        <w:autoSpaceDN/>
        <w:bidi w:val="0"/>
        <w:adjustRightInd/>
        <w:snapToGrid w:val="0"/>
        <w:spacing w:line="560" w:lineRule="exact"/>
        <w:ind w:firstLine="640" w:firstLineChars="200"/>
        <w:jc w:val="both"/>
        <w:textAlignment w:val="auto"/>
        <w:rPr>
          <w:rFonts w:hint="eastAsia" w:ascii="Nimbus Roman" w:hAnsi="Nimbus Roman" w:eastAsia="黑体" w:cs="Nimbus Roman"/>
          <w:color w:val="auto"/>
          <w:sz w:val="32"/>
          <w:szCs w:val="32"/>
          <w:lang w:val="en-US" w:eastAsia="zh-CN"/>
        </w:rPr>
      </w:pPr>
      <w:r>
        <w:rPr>
          <w:rFonts w:hint="eastAsia" w:ascii="Nimbus Roman" w:hAnsi="Nimbus Roman" w:eastAsia="黑体" w:cs="Nimbus Roman"/>
          <w:color w:val="auto"/>
          <w:sz w:val="32"/>
          <w:szCs w:val="32"/>
          <w:lang w:val="en-US" w:eastAsia="zh-CN"/>
        </w:rPr>
        <w:t>二、起草过程</w:t>
      </w:r>
    </w:p>
    <w:p>
      <w:pPr>
        <w:keepNext w:val="0"/>
        <w:keepLines w:val="0"/>
        <w:pageBreakBefore w:val="0"/>
        <w:widowControl/>
        <w:numPr>
          <w:ilvl w:val="0"/>
          <w:numId w:val="0"/>
        </w:numPr>
        <w:pBdr>
          <w:bottom w:val="single" w:color="FFFFFF" w:sz="4" w:space="12"/>
        </w:pBdr>
        <w:kinsoku/>
        <w:wordWrap/>
        <w:overflowPunct/>
        <w:topLinePunct w:val="0"/>
        <w:autoSpaceDE/>
        <w:autoSpaceDN/>
        <w:bidi w:val="0"/>
        <w:adjustRightInd/>
        <w:snapToGrid w:val="0"/>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eastAsia" w:ascii="Nimbus Roman" w:hAnsi="Nimbus Roman" w:eastAsia="仿宋_GB2312" w:cs="Nimbus Roman"/>
          <w:color w:val="auto"/>
          <w:kern w:val="2"/>
          <w:sz w:val="32"/>
          <w:szCs w:val="32"/>
          <w:highlight w:val="none"/>
          <w:u w:val="none"/>
          <w:lang w:val="en-US" w:eastAsia="zh-CN" w:bidi="ar-SA"/>
        </w:rPr>
        <w:t>起草过程中</w:t>
      </w:r>
      <w:r>
        <w:rPr>
          <w:rFonts w:hint="default" w:ascii="Nimbus Roman" w:hAnsi="Nimbus Roman" w:eastAsia="仿宋_GB2312" w:cs="Nimbus Roman"/>
          <w:color w:val="auto"/>
          <w:kern w:val="2"/>
          <w:sz w:val="32"/>
          <w:szCs w:val="32"/>
          <w:highlight w:val="none"/>
          <w:u w:val="none"/>
          <w:lang w:val="en-US" w:eastAsia="zh-CN" w:bidi="ar-SA"/>
        </w:rPr>
        <w:t>，</w:t>
      </w:r>
      <w:r>
        <w:rPr>
          <w:rFonts w:hint="eastAsia" w:ascii="Nimbus Roman" w:hAnsi="Nimbus Roman" w:eastAsia="仿宋_GB2312" w:cs="Nimbus Roman"/>
          <w:color w:val="auto"/>
          <w:kern w:val="2"/>
          <w:sz w:val="32"/>
          <w:szCs w:val="32"/>
          <w:highlight w:val="none"/>
          <w:u w:val="none"/>
          <w:lang w:val="en-US" w:eastAsia="zh-CN" w:bidi="ar-SA"/>
        </w:rPr>
        <w:t>先后3轮</w:t>
      </w:r>
      <w:r>
        <w:rPr>
          <w:rFonts w:hint="default" w:ascii="Nimbus Roman" w:hAnsi="Nimbus Roman" w:eastAsia="仿宋_GB2312" w:cs="Nimbus Roman"/>
          <w:color w:val="auto"/>
          <w:kern w:val="2"/>
          <w:sz w:val="32"/>
          <w:szCs w:val="32"/>
          <w:highlight w:val="none"/>
          <w:u w:val="none"/>
          <w:lang w:val="en-US" w:eastAsia="zh-CN" w:bidi="ar-SA"/>
        </w:rPr>
        <w:t>征求相关部门（单位）、县市（园区）意见</w:t>
      </w:r>
      <w:r>
        <w:rPr>
          <w:rFonts w:hint="eastAsia" w:ascii="Nimbus Roman" w:hAnsi="Nimbus Roman" w:eastAsia="仿宋_GB2312" w:cs="Nimbus Roman"/>
          <w:color w:val="auto"/>
          <w:kern w:val="2"/>
          <w:sz w:val="32"/>
          <w:szCs w:val="32"/>
          <w:highlight w:val="none"/>
          <w:u w:val="none"/>
          <w:lang w:val="en-US" w:eastAsia="zh-CN" w:bidi="ar-SA"/>
        </w:rPr>
        <w:t>，</w:t>
      </w:r>
      <w:r>
        <w:rPr>
          <w:rFonts w:hint="default" w:ascii="Nimbus Roman" w:hAnsi="Nimbus Roman" w:eastAsia="仿宋_GB2312" w:cs="Nimbus Roman"/>
          <w:color w:val="auto"/>
          <w:kern w:val="2"/>
          <w:sz w:val="32"/>
          <w:szCs w:val="32"/>
          <w:highlight w:val="none"/>
          <w:u w:val="none"/>
          <w:lang w:val="en-US" w:eastAsia="zh-CN" w:bidi="ar-SA"/>
        </w:rPr>
        <w:t>州分管领导组织</w:t>
      </w:r>
      <w:r>
        <w:rPr>
          <w:rFonts w:hint="eastAsia" w:ascii="Nimbus Roman" w:hAnsi="Nimbus Roman" w:eastAsia="仿宋_GB2312" w:cs="Nimbus Roman"/>
          <w:color w:val="auto"/>
          <w:kern w:val="2"/>
          <w:sz w:val="32"/>
          <w:szCs w:val="32"/>
          <w:highlight w:val="none"/>
          <w:u w:val="none"/>
          <w:lang w:val="en-US" w:eastAsia="zh-CN" w:bidi="ar-SA"/>
        </w:rPr>
        <w:t>专题研究，并根据征求的意见建议进行修改完善</w:t>
      </w:r>
      <w:r>
        <w:rPr>
          <w:rFonts w:hint="default" w:ascii="Nimbus Roman" w:hAnsi="Nimbus Roman" w:eastAsia="仿宋_GB2312" w:cs="Nimbus Roman"/>
          <w:color w:val="auto"/>
          <w:kern w:val="2"/>
          <w:sz w:val="32"/>
          <w:szCs w:val="32"/>
          <w:highlight w:val="none"/>
          <w:u w:val="none"/>
          <w:lang w:val="en-US" w:eastAsia="zh-CN" w:bidi="ar-SA"/>
        </w:rPr>
        <w:t>。</w:t>
      </w:r>
      <w:r>
        <w:rPr>
          <w:rFonts w:hint="eastAsia" w:ascii="Nimbus Roman" w:hAnsi="Nimbus Roman" w:eastAsia="仿宋_GB2312" w:cs="Nimbus Roman"/>
          <w:color w:val="auto"/>
          <w:kern w:val="2"/>
          <w:sz w:val="32"/>
          <w:szCs w:val="32"/>
          <w:highlight w:val="none"/>
          <w:u w:val="none"/>
          <w:lang w:val="en-US" w:eastAsia="zh-CN" w:bidi="ar-SA"/>
        </w:rPr>
        <w:t>《若干措施》已通过合法性审核、市场公平竞争审查，《若干措施》不属于重大行政决策事项，不需要进行</w:t>
      </w:r>
      <w:r>
        <w:rPr>
          <w:rFonts w:hint="eastAsia" w:ascii="Nimbus Roman" w:hAnsi="Nimbus Roman" w:eastAsia="仿宋_GB2312" w:cs="Nimbus Roman"/>
          <w:color w:val="000000"/>
          <w:kern w:val="0"/>
          <w:sz w:val="32"/>
          <w:szCs w:val="32"/>
          <w:u w:val="none"/>
          <w:lang w:val="en-US" w:eastAsia="zh-CN"/>
        </w:rPr>
        <w:t>社会稳定风险评估。开展为基层减负一致性评估，无违反相关要求的情形。</w:t>
      </w:r>
    </w:p>
    <w:p>
      <w:pPr>
        <w:keepNext w:val="0"/>
        <w:keepLines w:val="0"/>
        <w:pageBreakBefore w:val="0"/>
        <w:widowControl/>
        <w:numPr>
          <w:ilvl w:val="0"/>
          <w:numId w:val="0"/>
        </w:numPr>
        <w:pBdr>
          <w:bottom w:val="single" w:color="FFFFFF" w:sz="4" w:space="12"/>
        </w:pBdr>
        <w:kinsoku/>
        <w:wordWrap/>
        <w:overflowPunct/>
        <w:topLinePunct w:val="0"/>
        <w:autoSpaceDE/>
        <w:autoSpaceDN/>
        <w:bidi w:val="0"/>
        <w:adjustRightInd/>
        <w:snapToGrid w:val="0"/>
        <w:spacing w:line="560" w:lineRule="exact"/>
        <w:ind w:firstLine="640" w:firstLineChars="200"/>
        <w:jc w:val="both"/>
        <w:textAlignment w:val="auto"/>
        <w:rPr>
          <w:rFonts w:hint="default" w:ascii="Nimbus Roman" w:hAnsi="Nimbus Roman" w:eastAsia="黑体" w:cs="Nimbus Roman"/>
          <w:color w:val="auto"/>
          <w:sz w:val="32"/>
          <w:szCs w:val="32"/>
        </w:rPr>
      </w:pPr>
      <w:r>
        <w:rPr>
          <w:rFonts w:hint="eastAsia" w:ascii="Nimbus Roman" w:hAnsi="Nimbus Roman" w:eastAsia="黑体" w:cs="Nimbus Roman"/>
          <w:color w:val="auto"/>
          <w:sz w:val="32"/>
          <w:szCs w:val="32"/>
          <w:lang w:eastAsia="zh-CN"/>
        </w:rPr>
        <w:t>三</w:t>
      </w:r>
      <w:r>
        <w:rPr>
          <w:rFonts w:hint="default" w:ascii="Nimbus Roman" w:hAnsi="Nimbus Roman" w:eastAsia="黑体" w:cs="Nimbus Roman"/>
          <w:color w:val="auto"/>
          <w:sz w:val="32"/>
          <w:szCs w:val="32"/>
        </w:rPr>
        <w:t>、主要内容</w:t>
      </w:r>
    </w:p>
    <w:p>
      <w:pPr>
        <w:keepNext w:val="0"/>
        <w:keepLines w:val="0"/>
        <w:pageBreakBefore w:val="0"/>
        <w:widowControl/>
        <w:numPr>
          <w:ilvl w:val="0"/>
          <w:numId w:val="0"/>
        </w:numPr>
        <w:pBdr>
          <w:bottom w:val="single" w:color="FFFFFF" w:sz="4" w:space="12"/>
        </w:pBdr>
        <w:kinsoku/>
        <w:wordWrap/>
        <w:overflowPunct/>
        <w:topLinePunct w:val="0"/>
        <w:autoSpaceDE/>
        <w:autoSpaceDN/>
        <w:bidi w:val="0"/>
        <w:adjustRightInd/>
        <w:snapToGrid w:val="0"/>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default" w:ascii="Nimbus Roman" w:hAnsi="Nimbus Roman" w:eastAsia="仿宋_GB2312" w:cs="Nimbus Roman"/>
          <w:color w:val="auto"/>
          <w:kern w:val="2"/>
          <w:sz w:val="32"/>
          <w:szCs w:val="32"/>
          <w:highlight w:val="none"/>
          <w:u w:val="none"/>
          <w:lang w:val="en-US" w:eastAsia="zh-CN" w:bidi="ar-SA"/>
        </w:rPr>
        <w:t>《</w:t>
      </w:r>
      <w:r>
        <w:rPr>
          <w:rFonts w:hint="eastAsia" w:ascii="Nimbus Roman" w:hAnsi="Nimbus Roman" w:eastAsia="仿宋_GB2312" w:cs="Nimbus Roman"/>
          <w:color w:val="auto"/>
          <w:kern w:val="2"/>
          <w:sz w:val="32"/>
          <w:szCs w:val="32"/>
          <w:highlight w:val="none"/>
          <w:u w:val="none"/>
          <w:lang w:val="en-US" w:eastAsia="zh-CN" w:bidi="ar-SA"/>
        </w:rPr>
        <w:t>若干</w:t>
      </w:r>
      <w:r>
        <w:rPr>
          <w:rFonts w:hint="default" w:ascii="Nimbus Roman" w:hAnsi="Nimbus Roman" w:eastAsia="仿宋_GB2312" w:cs="Nimbus Roman"/>
          <w:color w:val="auto"/>
          <w:kern w:val="2"/>
          <w:sz w:val="32"/>
          <w:szCs w:val="32"/>
          <w:highlight w:val="none"/>
          <w:u w:val="none"/>
          <w:lang w:val="en-US" w:eastAsia="zh-CN" w:bidi="ar-SA"/>
        </w:rPr>
        <w:t>措施》</w:t>
      </w:r>
      <w:r>
        <w:rPr>
          <w:rFonts w:hint="eastAsia" w:ascii="Nimbus Roman" w:hAnsi="Nimbus Roman" w:eastAsia="仿宋_GB2312" w:cs="Nimbus Roman"/>
          <w:color w:val="auto"/>
          <w:kern w:val="2"/>
          <w:sz w:val="32"/>
          <w:szCs w:val="32"/>
          <w:highlight w:val="none"/>
          <w:u w:val="none"/>
          <w:lang w:val="en-US" w:eastAsia="zh-CN" w:bidi="ar-SA"/>
        </w:rPr>
        <w:t>主要从</w:t>
      </w:r>
      <w:r>
        <w:rPr>
          <w:rFonts w:hint="default" w:ascii="Nimbus Roman" w:hAnsi="Nimbus Roman" w:eastAsia="仿宋_GB2312" w:cs="Nimbus Roman"/>
          <w:color w:val="auto"/>
          <w:kern w:val="2"/>
          <w:sz w:val="32"/>
          <w:szCs w:val="32"/>
          <w:highlight w:val="none"/>
          <w:u w:val="none"/>
          <w:lang w:val="en-US" w:eastAsia="zh-CN" w:bidi="ar-SA"/>
        </w:rPr>
        <w:t>六个方面</w:t>
      </w:r>
      <w:r>
        <w:rPr>
          <w:rFonts w:hint="eastAsia" w:ascii="Nimbus Roman" w:hAnsi="Nimbus Roman" w:eastAsia="仿宋_GB2312" w:cs="Nimbus Roman"/>
          <w:color w:val="auto"/>
          <w:kern w:val="2"/>
          <w:sz w:val="32"/>
          <w:szCs w:val="32"/>
          <w:highlight w:val="none"/>
          <w:u w:val="none"/>
          <w:lang w:val="en-US" w:eastAsia="zh-CN" w:bidi="ar-SA"/>
        </w:rPr>
        <w:t>提出。</w:t>
      </w:r>
      <w:r>
        <w:rPr>
          <w:rFonts w:hint="eastAsia" w:ascii="Nimbus Roman" w:hAnsi="Nimbus Roman" w:eastAsia="仿宋_GB2312" w:cs="Nimbus Roman"/>
          <w:b/>
          <w:bCs/>
          <w:color w:val="auto"/>
          <w:kern w:val="2"/>
          <w:sz w:val="32"/>
          <w:szCs w:val="32"/>
          <w:highlight w:val="none"/>
          <w:u w:val="none"/>
          <w:lang w:val="en-US" w:eastAsia="zh-CN" w:bidi="ar-SA"/>
        </w:rPr>
        <w:t>一是</w:t>
      </w:r>
      <w:r>
        <w:rPr>
          <w:rFonts w:hint="default" w:ascii="Nimbus Roman" w:hAnsi="Nimbus Roman" w:eastAsia="仿宋_GB2312" w:cs="Nimbus Roman"/>
          <w:b/>
          <w:bCs/>
          <w:color w:val="auto"/>
          <w:kern w:val="2"/>
          <w:sz w:val="32"/>
          <w:szCs w:val="32"/>
          <w:highlight w:val="none"/>
          <w:u w:val="none"/>
          <w:lang w:val="en-US" w:eastAsia="zh-CN" w:bidi="ar-SA"/>
        </w:rPr>
        <w:t>优化法治环境，规范涉企</w:t>
      </w:r>
      <w:r>
        <w:rPr>
          <w:rFonts w:hint="eastAsia" w:ascii="Nimbus Roman" w:hAnsi="Nimbus Roman" w:eastAsia="仿宋_GB2312" w:cs="Nimbus Roman"/>
          <w:b/>
          <w:bCs/>
          <w:color w:val="auto"/>
          <w:kern w:val="2"/>
          <w:sz w:val="32"/>
          <w:szCs w:val="32"/>
          <w:highlight w:val="none"/>
          <w:u w:val="none"/>
          <w:lang w:val="en-US" w:eastAsia="zh-CN" w:bidi="ar-SA"/>
        </w:rPr>
        <w:t>执法</w:t>
      </w:r>
      <w:r>
        <w:rPr>
          <w:rFonts w:hint="default" w:ascii="Nimbus Roman" w:hAnsi="Nimbus Roman" w:eastAsia="仿宋_GB2312" w:cs="Nimbus Roman"/>
          <w:b/>
          <w:bCs/>
          <w:color w:val="auto"/>
          <w:kern w:val="2"/>
          <w:sz w:val="32"/>
          <w:szCs w:val="32"/>
          <w:highlight w:val="none"/>
          <w:u w:val="none"/>
          <w:lang w:val="en-US" w:eastAsia="zh-CN" w:bidi="ar-SA"/>
        </w:rPr>
        <w:t>、信用赋能。</w:t>
      </w:r>
      <w:r>
        <w:rPr>
          <w:rFonts w:hint="default" w:ascii="Nimbus Roman" w:hAnsi="Nimbus Roman" w:eastAsia="仿宋_GB2312" w:cs="Nimbus Roman"/>
          <w:color w:val="auto"/>
          <w:kern w:val="2"/>
          <w:sz w:val="32"/>
          <w:szCs w:val="32"/>
          <w:highlight w:val="none"/>
          <w:u w:val="none"/>
          <w:lang w:val="en-US" w:eastAsia="zh-CN" w:bidi="ar-SA"/>
        </w:rPr>
        <w:t>实现“扫码入</w:t>
      </w:r>
      <w:bookmarkStart w:id="0" w:name="_GoBack"/>
      <w:bookmarkEnd w:id="0"/>
      <w:r>
        <w:rPr>
          <w:rFonts w:hint="default" w:ascii="Nimbus Roman" w:hAnsi="Nimbus Roman" w:eastAsia="仿宋_GB2312" w:cs="Nimbus Roman"/>
          <w:color w:val="auto"/>
          <w:kern w:val="2"/>
          <w:sz w:val="32"/>
          <w:szCs w:val="32"/>
          <w:highlight w:val="none"/>
          <w:u w:val="none"/>
          <w:lang w:val="en-US" w:eastAsia="zh-CN" w:bidi="ar-SA"/>
        </w:rPr>
        <w:t>企”全覆盖，推行“非现场”式监管。建立“一表三单”制度，对白名单企业、清单外事项原则上不检查。提升信用修复服务效能，健全防范化解拖欠账款长效机制，加快加力推动欠款清偿</w:t>
      </w:r>
      <w:r>
        <w:rPr>
          <w:rFonts w:hint="eastAsia" w:ascii="Nimbus Roman" w:hAnsi="Nimbus Roman" w:eastAsia="仿宋_GB2312" w:cs="Nimbus Roman"/>
          <w:color w:val="auto"/>
          <w:kern w:val="2"/>
          <w:sz w:val="32"/>
          <w:szCs w:val="32"/>
          <w:highlight w:val="none"/>
          <w:u w:val="none"/>
          <w:lang w:val="en-US" w:eastAsia="zh-CN" w:bidi="ar-SA"/>
        </w:rPr>
        <w:t>。</w:t>
      </w:r>
      <w:r>
        <w:rPr>
          <w:rFonts w:hint="eastAsia" w:ascii="Nimbus Roman" w:hAnsi="Nimbus Roman" w:eastAsia="仿宋_GB2312" w:cs="Nimbus Roman"/>
          <w:b/>
          <w:bCs/>
          <w:color w:val="auto"/>
          <w:kern w:val="2"/>
          <w:sz w:val="32"/>
          <w:szCs w:val="32"/>
          <w:highlight w:val="none"/>
          <w:u w:val="none"/>
          <w:lang w:val="en-US" w:eastAsia="zh-CN" w:bidi="ar-SA"/>
        </w:rPr>
        <w:t>二是</w:t>
      </w:r>
      <w:r>
        <w:rPr>
          <w:rFonts w:hint="default" w:ascii="Nimbus Roman" w:hAnsi="Nimbus Roman" w:eastAsia="仿宋_GB2312" w:cs="Nimbus Roman"/>
          <w:b/>
          <w:bCs/>
          <w:color w:val="auto"/>
          <w:kern w:val="2"/>
          <w:sz w:val="32"/>
          <w:szCs w:val="32"/>
          <w:highlight w:val="none"/>
          <w:u w:val="none"/>
          <w:lang w:val="en-US" w:eastAsia="zh-CN" w:bidi="ar-SA"/>
        </w:rPr>
        <w:t>优化市场环境，保障准入公平、竞争有序。</w:t>
      </w:r>
      <w:r>
        <w:rPr>
          <w:rFonts w:hint="default" w:ascii="Nimbus Roman" w:hAnsi="Nimbus Roman" w:eastAsia="仿宋_GB2312" w:cs="Nimbus Roman"/>
          <w:color w:val="auto"/>
          <w:kern w:val="2"/>
          <w:sz w:val="32"/>
          <w:szCs w:val="32"/>
          <w:highlight w:val="none"/>
          <w:u w:val="none"/>
          <w:lang w:val="en-US" w:eastAsia="zh-CN" w:bidi="ar-SA"/>
        </w:rPr>
        <w:t>严格落实非禁即入原则，实施涉企政策“三方联审”机制。持续推进招标投标系统治理，推行电子保函、“免申即退”服务。开展“链上昌吉 融入丝路”品牌招商活动，设立人工智能创新发展专项补贴，帮助企业突破转型瓶颈。</w:t>
      </w:r>
      <w:r>
        <w:rPr>
          <w:rFonts w:hint="eastAsia" w:ascii="Nimbus Roman" w:hAnsi="Nimbus Roman" w:eastAsia="仿宋_GB2312" w:cs="Nimbus Roman"/>
          <w:b/>
          <w:bCs/>
          <w:color w:val="auto"/>
          <w:kern w:val="2"/>
          <w:sz w:val="32"/>
          <w:szCs w:val="32"/>
          <w:highlight w:val="none"/>
          <w:u w:val="none"/>
          <w:lang w:val="en-US" w:eastAsia="zh-CN" w:bidi="ar-SA"/>
        </w:rPr>
        <w:t>三是</w:t>
      </w:r>
      <w:r>
        <w:rPr>
          <w:rFonts w:hint="default" w:ascii="Nimbus Roman" w:hAnsi="Nimbus Roman" w:eastAsia="仿宋_GB2312" w:cs="Nimbus Roman"/>
          <w:b/>
          <w:bCs/>
          <w:color w:val="auto"/>
          <w:kern w:val="2"/>
          <w:sz w:val="32"/>
          <w:szCs w:val="32"/>
          <w:highlight w:val="none"/>
          <w:u w:val="none"/>
          <w:lang w:val="en-US" w:eastAsia="zh-CN" w:bidi="ar-SA"/>
        </w:rPr>
        <w:t>优化要素环境，强化基础支撑、配置有效。</w:t>
      </w:r>
      <w:r>
        <w:rPr>
          <w:rFonts w:hint="default" w:ascii="Nimbus Roman" w:hAnsi="Nimbus Roman" w:eastAsia="仿宋_GB2312" w:cs="Nimbus Roman"/>
          <w:color w:val="auto"/>
          <w:kern w:val="2"/>
          <w:sz w:val="32"/>
          <w:szCs w:val="32"/>
          <w:highlight w:val="none"/>
          <w:u w:val="none"/>
          <w:lang w:val="en-US" w:eastAsia="zh-CN" w:bidi="ar-SA"/>
        </w:rPr>
        <w:t>健全工业用地多元化供应体系，降低企业初期用地成本。持续加强园区基础设施建设。组建市场化运营的人才发展集团，实施“助企招工·稳岗护航”专项计划。深化校企协同育人，实现人才培养与企业需求精准匹配。强化首贷、信用贷、中长期贷款支持，</w:t>
      </w:r>
      <w:r>
        <w:rPr>
          <w:rFonts w:hint="eastAsia" w:ascii="Nimbus Roman" w:hAnsi="Nimbus Roman" w:eastAsia="仿宋_GB2312" w:cs="Nimbus Roman"/>
          <w:color w:val="auto"/>
          <w:kern w:val="2"/>
          <w:sz w:val="32"/>
          <w:szCs w:val="32"/>
          <w:highlight w:val="none"/>
          <w:u w:val="none"/>
          <w:lang w:val="en-US" w:eastAsia="zh-CN" w:bidi="ar-SA"/>
        </w:rPr>
        <w:t>推动</w:t>
      </w:r>
      <w:r>
        <w:rPr>
          <w:rFonts w:hint="default" w:ascii="Nimbus Roman" w:hAnsi="Nimbus Roman" w:eastAsia="仿宋_GB2312" w:cs="Nimbus Roman"/>
          <w:color w:val="auto"/>
          <w:kern w:val="2"/>
          <w:sz w:val="32"/>
          <w:szCs w:val="32"/>
          <w:highlight w:val="none"/>
          <w:u w:val="none"/>
          <w:lang w:val="en-US" w:eastAsia="zh-CN" w:bidi="ar-SA"/>
        </w:rPr>
        <w:t>降低普惠小微企业融资成本，创新多种信贷产品，</w:t>
      </w:r>
      <w:r>
        <w:rPr>
          <w:rFonts w:hint="eastAsia" w:ascii="Nimbus Roman" w:hAnsi="Nimbus Roman" w:eastAsia="仿宋_GB2312" w:cs="Nimbus Roman"/>
          <w:color w:val="auto"/>
          <w:kern w:val="2"/>
          <w:sz w:val="32"/>
          <w:szCs w:val="32"/>
          <w:highlight w:val="none"/>
          <w:u w:val="none"/>
          <w:lang w:val="en-US" w:eastAsia="zh-CN" w:bidi="ar-SA"/>
        </w:rPr>
        <w:t>强化融资担保服务</w:t>
      </w:r>
      <w:r>
        <w:rPr>
          <w:rFonts w:hint="default" w:ascii="Nimbus Roman" w:hAnsi="Nimbus Roman" w:eastAsia="仿宋_GB2312" w:cs="Nimbus Roman"/>
          <w:color w:val="auto"/>
          <w:kern w:val="2"/>
          <w:sz w:val="32"/>
          <w:szCs w:val="32"/>
          <w:highlight w:val="none"/>
          <w:u w:val="none"/>
          <w:lang w:val="en-US" w:eastAsia="zh-CN" w:bidi="ar-SA"/>
        </w:rPr>
        <w:t>，试点建立企业信贷周转金。</w:t>
      </w:r>
      <w:r>
        <w:rPr>
          <w:rFonts w:hint="eastAsia" w:ascii="Nimbus Roman" w:hAnsi="Nimbus Roman" w:eastAsia="仿宋_GB2312" w:cs="Nimbus Roman"/>
          <w:b/>
          <w:bCs/>
          <w:color w:val="auto"/>
          <w:kern w:val="2"/>
          <w:sz w:val="32"/>
          <w:szCs w:val="32"/>
          <w:highlight w:val="none"/>
          <w:u w:val="none"/>
          <w:lang w:val="en-US" w:eastAsia="zh-CN" w:bidi="ar-SA"/>
        </w:rPr>
        <w:t>四是</w:t>
      </w:r>
      <w:r>
        <w:rPr>
          <w:rFonts w:hint="default" w:ascii="Nimbus Roman" w:hAnsi="Nimbus Roman" w:eastAsia="仿宋_GB2312" w:cs="Nimbus Roman"/>
          <w:b/>
          <w:bCs/>
          <w:color w:val="auto"/>
          <w:kern w:val="2"/>
          <w:sz w:val="32"/>
          <w:szCs w:val="32"/>
          <w:highlight w:val="none"/>
          <w:u w:val="none"/>
          <w:lang w:val="en-US" w:eastAsia="zh-CN" w:bidi="ar-SA"/>
        </w:rPr>
        <w:t>优化政务环境，提升审批效率、服务便捷。</w:t>
      </w:r>
      <w:r>
        <w:rPr>
          <w:rFonts w:hint="default" w:ascii="Nimbus Roman" w:hAnsi="Nimbus Roman" w:eastAsia="仿宋_GB2312" w:cs="Nimbus Roman"/>
          <w:color w:val="auto"/>
          <w:kern w:val="2"/>
          <w:sz w:val="32"/>
          <w:szCs w:val="32"/>
          <w:highlight w:val="none"/>
          <w:u w:val="none"/>
          <w:lang w:val="en-US" w:eastAsia="zh-CN" w:bidi="ar-SA"/>
        </w:rPr>
        <w:t>建立市场主体全生命周期服务模式，推动企业</w:t>
      </w:r>
      <w:r>
        <w:rPr>
          <w:rFonts w:hint="eastAsia" w:ascii="Nimbus Roman" w:hAnsi="Nimbus Roman" w:eastAsia="仿宋_GB2312" w:cs="Nimbus Roman"/>
          <w:color w:val="auto"/>
          <w:kern w:val="2"/>
          <w:sz w:val="32"/>
          <w:szCs w:val="32"/>
          <w:highlight w:val="none"/>
          <w:u w:val="none"/>
          <w:lang w:val="en-US" w:eastAsia="zh-CN" w:bidi="ar-SA"/>
        </w:rPr>
        <w:t>设立登记注册</w:t>
      </w:r>
      <w:r>
        <w:rPr>
          <w:rFonts w:hint="default" w:ascii="Nimbus Roman" w:hAnsi="Nimbus Roman" w:eastAsia="仿宋_GB2312" w:cs="Nimbus Roman"/>
          <w:color w:val="auto"/>
          <w:kern w:val="2"/>
          <w:sz w:val="32"/>
          <w:szCs w:val="32"/>
          <w:highlight w:val="none"/>
          <w:u w:val="none"/>
          <w:lang w:val="en-US" w:eastAsia="zh-CN" w:bidi="ar-SA"/>
        </w:rPr>
        <w:t>“1天办”“免费办”全覆盖。深化“高效办成一件事”，打造5个本地特色“一件事”一窗通办。实现企业服务“一端通享”“免申即享”，试点设立惠企政策兑现综合服务窗口。建立园区与属地县市服务资源双向互通机制，推动企业办事“不出园”。</w:t>
      </w:r>
      <w:r>
        <w:rPr>
          <w:rFonts w:hint="eastAsia" w:ascii="Nimbus Roman" w:hAnsi="Nimbus Roman" w:eastAsia="仿宋_GB2312" w:cs="Nimbus Roman"/>
          <w:b/>
          <w:bCs/>
          <w:color w:val="auto"/>
          <w:kern w:val="2"/>
          <w:sz w:val="32"/>
          <w:szCs w:val="32"/>
          <w:highlight w:val="none"/>
          <w:u w:val="none"/>
          <w:lang w:val="en-US" w:eastAsia="zh-CN" w:bidi="ar-SA"/>
        </w:rPr>
        <w:t>五是</w:t>
      </w:r>
      <w:r>
        <w:rPr>
          <w:rFonts w:hint="default" w:ascii="Nimbus Roman" w:hAnsi="Nimbus Roman" w:eastAsia="仿宋_GB2312" w:cs="Nimbus Roman"/>
          <w:b/>
          <w:bCs/>
          <w:color w:val="auto"/>
          <w:kern w:val="2"/>
          <w:sz w:val="32"/>
          <w:szCs w:val="32"/>
          <w:highlight w:val="none"/>
          <w:u w:val="none"/>
          <w:lang w:val="en-US" w:eastAsia="zh-CN" w:bidi="ar-SA"/>
        </w:rPr>
        <w:t>优化开放环境，促进内外联通、便利往来。</w:t>
      </w:r>
      <w:r>
        <w:rPr>
          <w:rFonts w:hint="default" w:ascii="Nimbus Roman" w:hAnsi="Nimbus Roman" w:eastAsia="仿宋_GB2312" w:cs="Nimbus Roman"/>
          <w:color w:val="auto"/>
          <w:kern w:val="2"/>
          <w:sz w:val="32"/>
          <w:szCs w:val="32"/>
          <w:highlight w:val="none"/>
          <w:u w:val="none"/>
          <w:lang w:val="en-US" w:eastAsia="zh-CN" w:bidi="ar-SA"/>
        </w:rPr>
        <w:t>加快自贸区联动创新区建设，建立海关、税务、外汇等部门与重点外贸企业“一对一”联系服务制度。推进乌拉斯台口岸连续开放，助力企业开拓海外市场。</w:t>
      </w:r>
      <w:r>
        <w:rPr>
          <w:rFonts w:hint="eastAsia" w:ascii="Nimbus Roman" w:hAnsi="Nimbus Roman" w:eastAsia="仿宋_GB2312" w:cs="Nimbus Roman"/>
          <w:b/>
          <w:bCs/>
          <w:color w:val="auto"/>
          <w:kern w:val="2"/>
          <w:sz w:val="32"/>
          <w:szCs w:val="32"/>
          <w:highlight w:val="none"/>
          <w:u w:val="none"/>
          <w:lang w:val="en-US" w:eastAsia="zh-CN" w:bidi="ar-SA"/>
        </w:rPr>
        <w:t>六是</w:t>
      </w:r>
      <w:r>
        <w:rPr>
          <w:rFonts w:hint="default" w:ascii="Nimbus Roman" w:hAnsi="Nimbus Roman" w:eastAsia="仿宋_GB2312" w:cs="Nimbus Roman"/>
          <w:b/>
          <w:bCs/>
          <w:color w:val="auto"/>
          <w:kern w:val="2"/>
          <w:sz w:val="32"/>
          <w:szCs w:val="32"/>
          <w:highlight w:val="none"/>
          <w:u w:val="none"/>
          <w:lang w:val="en-US" w:eastAsia="zh-CN" w:bidi="ar-SA"/>
        </w:rPr>
        <w:t>优化服务环境，做到响应及时、帮扶精准。</w:t>
      </w:r>
      <w:r>
        <w:rPr>
          <w:rFonts w:hint="default" w:ascii="Nimbus Roman" w:hAnsi="Nimbus Roman" w:eastAsia="仿宋_GB2312" w:cs="Nimbus Roman"/>
          <w:color w:val="auto"/>
          <w:kern w:val="2"/>
          <w:sz w:val="32"/>
          <w:szCs w:val="32"/>
          <w:highlight w:val="none"/>
          <w:u w:val="none"/>
          <w:lang w:val="en-US" w:eastAsia="zh-CN" w:bidi="ar-SA"/>
        </w:rPr>
        <w:t>实施“服务赋能、送福到企”行动，推行“问题入账-精准派单-跟踪落实”清单化闭环管理模式。常态化举办“亲清会客厅”，推动县市（园区）</w:t>
      </w:r>
      <w:r>
        <w:rPr>
          <w:rFonts w:hint="eastAsia" w:ascii="Nimbus Roman" w:hAnsi="Nimbus Roman" w:eastAsia="仿宋_GB2312" w:cs="Nimbus Roman"/>
          <w:color w:val="auto"/>
          <w:kern w:val="2"/>
          <w:sz w:val="32"/>
          <w:szCs w:val="32"/>
          <w:highlight w:val="none"/>
          <w:u w:val="none"/>
          <w:lang w:val="en-US" w:eastAsia="zh-CN" w:bidi="ar-SA"/>
        </w:rPr>
        <w:t>行政</w:t>
      </w:r>
      <w:r>
        <w:rPr>
          <w:rFonts w:hint="default" w:ascii="Nimbus Roman" w:hAnsi="Nimbus Roman" w:eastAsia="仿宋_GB2312" w:cs="Nimbus Roman"/>
          <w:color w:val="auto"/>
          <w:kern w:val="2"/>
          <w:sz w:val="32"/>
          <w:szCs w:val="32"/>
          <w:highlight w:val="none"/>
          <w:u w:val="none"/>
          <w:lang w:val="en-US" w:eastAsia="zh-CN" w:bidi="ar-SA"/>
        </w:rPr>
        <w:t>主要领导“企业接待日”全覆盖，鼓励打造“一县一品”“一园一品”营商环境品牌。</w:t>
      </w:r>
    </w:p>
    <w:p>
      <w:pPr>
        <w:pStyle w:val="6"/>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p>
    <w:p>
      <w:pPr>
        <w:pStyle w:val="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简体" w:cs="Nimbus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楷体_GBK" w:cs="Nimbus Roman"/>
          <w:color w:val="auto"/>
          <w:sz w:val="32"/>
          <w:szCs w:val="32"/>
          <w:highlight w:val="none"/>
          <w:lang w:eastAsia="zh-CN"/>
        </w:rPr>
      </w:pPr>
      <w:r>
        <w:rPr>
          <w:rFonts w:hint="default" w:ascii="Nimbus Roman" w:hAnsi="Nimbus Roman" w:eastAsia="方正小标宋简体" w:cs="Nimbus Roman"/>
          <w:color w:val="auto"/>
          <w:sz w:val="44"/>
          <w:szCs w:val="44"/>
          <w:highlight w:val="none"/>
        </w:rPr>
        <w:t>昌吉州</w:t>
      </w:r>
      <w:r>
        <w:rPr>
          <w:rFonts w:hint="default" w:ascii="Nimbus Roman" w:hAnsi="Nimbus Roman" w:eastAsia="方正小标宋简体" w:cs="Nimbus Roman"/>
          <w:color w:val="auto"/>
          <w:sz w:val="44"/>
          <w:szCs w:val="44"/>
          <w:highlight w:val="none"/>
          <w:lang w:val="en-US" w:eastAsia="zh-CN"/>
        </w:rPr>
        <w:t>2026年</w:t>
      </w:r>
      <w:r>
        <w:rPr>
          <w:rFonts w:hint="default" w:ascii="Nimbus Roman" w:hAnsi="Nimbus Roman" w:eastAsia="方正小标宋简体" w:cs="Nimbus Roman"/>
          <w:color w:val="auto"/>
          <w:sz w:val="44"/>
          <w:szCs w:val="44"/>
          <w:highlight w:val="none"/>
        </w:rPr>
        <w:t>优化营商环境</w:t>
      </w:r>
      <w:r>
        <w:rPr>
          <w:rFonts w:hint="default" w:ascii="Nimbus Roman" w:hAnsi="Nimbus Roman" w:eastAsia="方正小标宋简体" w:cs="Nimbus Roman"/>
          <w:color w:val="auto"/>
          <w:sz w:val="44"/>
          <w:szCs w:val="44"/>
          <w:highlight w:val="none"/>
          <w:lang w:val="en-US" w:eastAsia="zh-CN"/>
        </w:rPr>
        <w:t>若干</w:t>
      </w:r>
      <w:r>
        <w:rPr>
          <w:rFonts w:hint="default" w:ascii="Nimbus Roman" w:hAnsi="Nimbus Roman" w:eastAsia="方正小标宋简体" w:cs="Nimbus Roman"/>
          <w:color w:val="auto"/>
          <w:sz w:val="44"/>
          <w:szCs w:val="44"/>
          <w:highlight w:val="none"/>
        </w:rPr>
        <w:t>措施</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Nimbus Roman" w:hAnsi="Nimbus Roman" w:eastAsia="仿宋_GB2312" w:cs="Nimbus Roman"/>
          <w:color w:val="auto"/>
          <w:kern w:val="0"/>
          <w:sz w:val="32"/>
          <w:szCs w:val="32"/>
          <w:highlight w:val="none"/>
          <w:u w:val="none"/>
          <w:lang w:val="en-US" w:eastAsia="zh-CN"/>
        </w:rPr>
      </w:pPr>
      <w:r>
        <w:rPr>
          <w:rFonts w:hint="eastAsia" w:ascii="Nimbus Roman" w:hAnsi="Nimbus Roman" w:eastAsia="仿宋_GB2312" w:cs="Nimbus Roman"/>
          <w:color w:val="auto"/>
          <w:kern w:val="0"/>
          <w:sz w:val="32"/>
          <w:szCs w:val="32"/>
          <w:highlight w:val="none"/>
          <w:u w:val="none"/>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一、优化法治环境，规范涉企执法、信用赋能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sz w:val="32"/>
          <w:szCs w:val="32"/>
          <w:highlight w:val="none"/>
          <w:lang w:val="en-US" w:eastAsia="zh-CN"/>
        </w:rPr>
      </w:pPr>
      <w:r>
        <w:rPr>
          <w:rFonts w:hint="default" w:ascii="Nimbus Roman" w:hAnsi="Nimbus Roman" w:eastAsia="仿宋_GB2312" w:cs="Nimbus Roman"/>
          <w:color w:val="auto"/>
          <w:sz w:val="32"/>
          <w:szCs w:val="32"/>
          <w:highlight w:val="none"/>
          <w:u w:val="none"/>
          <w:lang w:val="en-US" w:eastAsia="zh-CN"/>
        </w:rPr>
        <w:t>1.</w:t>
      </w:r>
      <w:r>
        <w:rPr>
          <w:rFonts w:hint="default" w:ascii="Nimbus Roman" w:hAnsi="Nimbus Roman" w:eastAsia="仿宋_GB2312" w:cs="Nimbus Roman"/>
          <w:color w:val="auto"/>
          <w:sz w:val="32"/>
          <w:szCs w:val="32"/>
          <w:highlight w:val="none"/>
          <w:lang w:val="en-US" w:eastAsia="zh-CN"/>
        </w:rPr>
        <w:t>实现“扫码入企”全覆盖，执法人员未扫码或无正当理由入企检查的，企业有权拒绝接受检查。大力推行“非现场”式监管，能线上检查的不再现场检查。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2.建立“一表三单”(简单事项通查表，检查事项清单、白名单、减免责清单)制度，将证照核查、标示标志公示、许可期限等简单事项纳入通查表，一次查完，减少检查人员；公布检查事项清单，清单以外事项不检查；将两年内信用记录优良，无重大行政处罚，内控规范的企业列入“白名单”，企业承诺依法合规经营，无投诉举报、无案件线索时不检查；公布减免责清单，对清单内的轻微违法行为，依法从轻处罚、减轻处罚、免予处罚、免予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3.提升信用修复服务效能，对已履行处罚决定义务、达到最短公示期限并作出信用承诺的失信主体，实行高效办理、快速修复。压实“谁认定、谁修复”责任，在送达行政处罚决定或列入严重失信主体名单决定时，同步告知信用修复途径，助力企业合规经营，重返市场赛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4.健全防范化解拖欠账款长效机制，加快加力推动欠款清偿。强化源头治理，严格政府投资项目审批，严防“边清边欠”“前清后欠”。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二、优化市场环境，保障准入公平、竞争有序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5.严格落实非禁即入原则，全面执行统一</w:t>
      </w:r>
      <w:r>
        <w:rPr>
          <w:rFonts w:hint="eastAsia" w:ascii="Nimbus Roman" w:hAnsi="Nimbus Roman" w:eastAsia="仿宋_GB2312" w:cs="Nimbus Roman"/>
          <w:color w:val="auto"/>
          <w:sz w:val="32"/>
          <w:szCs w:val="32"/>
          <w:highlight w:val="none"/>
          <w:u w:val="none"/>
          <w:lang w:val="en-US" w:eastAsia="zh-CN"/>
        </w:rPr>
        <w:t>的</w:t>
      </w:r>
      <w:r>
        <w:rPr>
          <w:rFonts w:hint="default" w:ascii="Nimbus Roman" w:hAnsi="Nimbus Roman" w:eastAsia="仿宋_GB2312" w:cs="Nimbus Roman"/>
          <w:color w:val="auto"/>
          <w:sz w:val="32"/>
          <w:szCs w:val="32"/>
          <w:highlight w:val="none"/>
          <w:u w:val="none"/>
          <w:lang w:val="en-US" w:eastAsia="zh-CN"/>
        </w:rPr>
        <w:t>市场准入负面清单，</w:t>
      </w:r>
      <w:r>
        <w:rPr>
          <w:rFonts w:hint="eastAsia" w:ascii="Nimbus Roman" w:hAnsi="Nimbus Roman" w:eastAsia="仿宋_GB2312" w:cs="Nimbus Roman"/>
          <w:color w:val="auto"/>
          <w:sz w:val="32"/>
          <w:szCs w:val="32"/>
          <w:highlight w:val="none"/>
          <w:u w:val="none"/>
          <w:lang w:val="en-US" w:eastAsia="zh-CN"/>
        </w:rPr>
        <w:t>对市场准入负面清单实行公平竞争审查全覆盖，</w:t>
      </w:r>
      <w:r>
        <w:rPr>
          <w:rFonts w:hint="default" w:ascii="Nimbus Roman" w:hAnsi="Nimbus Roman" w:eastAsia="仿宋_GB2312" w:cs="Nimbus Roman"/>
          <w:color w:val="auto"/>
          <w:sz w:val="32"/>
          <w:szCs w:val="32"/>
          <w:highlight w:val="none"/>
          <w:u w:val="none"/>
          <w:lang w:val="en-US" w:eastAsia="zh-CN"/>
        </w:rPr>
        <w:t>严禁违规增设准入门槛。规范登记办理，取消歧视性条件，保障各类经营主体平等登记、公平准入。实施涉企政策起草单位初审、专业机构复审、市场监管部门会审的“三方联审”闭环管理机制。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6.持续推进招标投标突出问题系统治理，推广实施公共资源交易全流程电子化，推行“不见面开标”与跨区域远程异地评标。推行电子保函，优化投标保证金“免申即退”服务，切实降低企业制度性交易成本。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lang w:val="en-US" w:eastAsia="zh-CN"/>
        </w:rPr>
      </w:pPr>
      <w:r>
        <w:rPr>
          <w:rFonts w:hint="default" w:ascii="Nimbus Roman" w:hAnsi="Nimbus Roman" w:eastAsia="仿宋_GB2312" w:cs="Nimbus Roman"/>
          <w:color w:val="auto"/>
          <w:sz w:val="32"/>
          <w:szCs w:val="32"/>
          <w:highlight w:val="none"/>
          <w:u w:val="none"/>
          <w:lang w:val="en-US" w:eastAsia="zh-CN"/>
        </w:rPr>
        <w:t>7.</w:t>
      </w:r>
      <w:r>
        <w:rPr>
          <w:rFonts w:hint="default" w:ascii="Nimbus Roman" w:hAnsi="Nimbus Roman" w:eastAsia="仿宋_GB2312" w:cs="Nimbus Roman"/>
          <w:b w:val="0"/>
          <w:color w:val="auto"/>
          <w:kern w:val="2"/>
          <w:sz w:val="32"/>
          <w:szCs w:val="32"/>
          <w:highlight w:val="none"/>
          <w:lang w:val="en-US" w:eastAsia="zh-CN" w:bidi="ar-SA"/>
        </w:rPr>
        <w:t>围绕输变电装备、新材料、农产品精深加工、智算等领域，</w:t>
      </w:r>
      <w:r>
        <w:rPr>
          <w:rFonts w:hint="default" w:ascii="Nimbus Roman" w:hAnsi="Nimbus Roman" w:eastAsia="仿宋_GB2312" w:cs="Nimbus Roman"/>
          <w:color w:val="auto"/>
          <w:kern w:val="0"/>
          <w:sz w:val="32"/>
          <w:szCs w:val="32"/>
          <w:highlight w:val="none"/>
          <w:lang w:val="en-US" w:eastAsia="zh-CN" w:bidi="ar"/>
        </w:rPr>
        <w:t>开展“4+X”场“链上昌吉 融入丝路”品牌招商活动</w:t>
      </w:r>
      <w:r>
        <w:rPr>
          <w:rFonts w:hint="default" w:ascii="Nimbus Roman" w:hAnsi="Nimbus Roman" w:eastAsia="仿宋_GB2312" w:cs="Nimbus Roman"/>
          <w:color w:val="auto"/>
          <w:sz w:val="32"/>
          <w:szCs w:val="32"/>
          <w:highlight w:val="none"/>
          <w:u w:val="none"/>
          <w:lang w:val="en-US" w:eastAsia="zh-CN"/>
        </w:rPr>
        <w:t>。聚焦链主企业，谋划一批要素有保障、产品有市场的延链补链强链项目。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8.设立人工智能创新发展“算力券”“模型券”“语料券”专项补贴，推动人工智能产业高质量发展。为企业提供数字化转型、节能降碳等免费上门“把脉问诊”服务，帮助企业突破转型瓶颈，提升核心竞争力。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优化要素环境，强化基础支撑、配置有效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9.健全工业用地长期租赁、先租后让、弹性年期出让等供应体系，鼓励和支持园区企业根据产业发展模式和生产规划选择适宜的用地方式，降低企业初期用地成本。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10.持续加强园区基础设施建设，补齐化工园区安全环保设施短板。推动园区与所在县（市）区公交线路</w:t>
      </w:r>
      <w:r>
        <w:rPr>
          <w:rFonts w:hint="eastAsia" w:ascii="Nimbus Roman" w:hAnsi="Nimbus Roman" w:eastAsia="仿宋_GB2312" w:cs="Nimbus Roman"/>
          <w:color w:val="auto"/>
          <w:sz w:val="32"/>
          <w:szCs w:val="32"/>
          <w:highlight w:val="none"/>
          <w:u w:val="none"/>
          <w:lang w:val="en-US" w:eastAsia="zh-CN"/>
        </w:rPr>
        <w:t>或客运班线</w:t>
      </w:r>
      <w:r>
        <w:rPr>
          <w:rFonts w:hint="default" w:ascii="Nimbus Roman" w:hAnsi="Nimbus Roman" w:eastAsia="仿宋_GB2312" w:cs="Nimbus Roman"/>
          <w:color w:val="auto"/>
          <w:sz w:val="32"/>
          <w:szCs w:val="32"/>
          <w:highlight w:val="none"/>
          <w:u w:val="none"/>
          <w:lang w:val="en-US" w:eastAsia="zh-CN"/>
        </w:rPr>
        <w:t>互通。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11.组建市场化运营的人才发展集团，为企业提供人才猎聘、劳务派遣、技能培训等全链条市场化服务。开展引才强企专项行动，实施“助企招工·稳岗护航”专项计划，全年服务企业1000家次以上。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val="en-US" w:eastAsia="zh-CN"/>
        </w:rPr>
      </w:pPr>
      <w:r>
        <w:rPr>
          <w:rFonts w:hint="default" w:ascii="Nimbus Roman" w:hAnsi="Nimbus Roman" w:eastAsia="仿宋_GB2312" w:cs="Nimbus Roman"/>
          <w:color w:val="auto"/>
          <w:sz w:val="32"/>
          <w:szCs w:val="32"/>
          <w:highlight w:val="none"/>
          <w:u w:val="none"/>
          <w:lang w:val="en-US" w:eastAsia="zh-CN"/>
        </w:rPr>
        <w:t>12.深化校企协同育人，结合产业动态调整专业设置，计划新设新能源、人工智能等产业专业。常态化组织院校送教入企，面向企业员工开展系列培训。联合企业共建“订单班”，实现人才培养与企业需求精准匹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default" w:ascii="Nimbus Roman" w:hAnsi="Nimbus Roman" w:eastAsia="仿宋_GB2312" w:cs="Nimbus Roman"/>
          <w:color w:val="auto"/>
          <w:sz w:val="32"/>
          <w:szCs w:val="32"/>
          <w:highlight w:val="none"/>
          <w:u w:val="none"/>
          <w:lang w:val="en-US" w:eastAsia="zh-CN"/>
        </w:rPr>
        <w:t>13.</w:t>
      </w:r>
      <w:r>
        <w:rPr>
          <w:rFonts w:hint="default" w:ascii="Nimbus Roman" w:hAnsi="Nimbus Roman" w:eastAsia="仿宋_GB2312" w:cs="Nimbus Roman"/>
          <w:color w:val="auto"/>
          <w:kern w:val="2"/>
          <w:sz w:val="32"/>
          <w:szCs w:val="32"/>
          <w:highlight w:val="none"/>
          <w:u w:val="none"/>
          <w:lang w:val="en-US" w:eastAsia="zh-CN" w:bidi="ar-SA"/>
        </w:rPr>
        <w:t>强化首贷、信用贷、中长期贷款支持，围绕科技、消费、外贸、民营等领域企业，加大信贷投放力度。灵活采取贷款展期延期、无还本续贷等方式，有效化解企业流动性风险。</w:t>
      </w:r>
      <w:r>
        <w:rPr>
          <w:rFonts w:hint="eastAsia" w:ascii="Nimbus Roman" w:hAnsi="Nimbus Roman" w:eastAsia="仿宋_GB2312" w:cs="Nimbus Roman"/>
          <w:color w:val="auto"/>
          <w:kern w:val="2"/>
          <w:sz w:val="32"/>
          <w:szCs w:val="32"/>
          <w:highlight w:val="none"/>
          <w:u w:val="none"/>
          <w:lang w:val="en-US" w:eastAsia="zh-CN" w:bidi="ar-SA"/>
        </w:rPr>
        <w:t>推动</w:t>
      </w:r>
      <w:r>
        <w:rPr>
          <w:rFonts w:hint="default" w:ascii="Nimbus Roman" w:hAnsi="Nimbus Roman" w:eastAsia="仿宋_GB2312" w:cs="Nimbus Roman"/>
          <w:color w:val="auto"/>
          <w:kern w:val="2"/>
          <w:sz w:val="32"/>
          <w:szCs w:val="32"/>
          <w:highlight w:val="none"/>
          <w:u w:val="none"/>
          <w:lang w:val="en-US" w:eastAsia="zh-CN" w:bidi="ar-SA"/>
        </w:rPr>
        <w:t>降低普惠小微企业融资成本，</w:t>
      </w:r>
      <w:r>
        <w:rPr>
          <w:rFonts w:hint="eastAsia" w:ascii="Nimbus Roman" w:hAnsi="Nimbus Roman" w:eastAsia="仿宋_GB2312" w:cs="Nimbus Roman"/>
          <w:color w:val="auto"/>
          <w:kern w:val="2"/>
          <w:sz w:val="32"/>
          <w:szCs w:val="32"/>
          <w:highlight w:val="none"/>
          <w:u w:val="none"/>
          <w:lang w:val="en-US" w:eastAsia="zh-CN" w:bidi="ar-SA"/>
        </w:rPr>
        <w:t>全年保持</w:t>
      </w:r>
      <w:r>
        <w:rPr>
          <w:rFonts w:hint="default" w:ascii="Nimbus Roman" w:hAnsi="Nimbus Roman" w:eastAsia="仿宋_GB2312" w:cs="Nimbus Roman"/>
          <w:color w:val="auto"/>
          <w:kern w:val="2"/>
          <w:sz w:val="32"/>
          <w:szCs w:val="32"/>
          <w:highlight w:val="none"/>
          <w:u w:val="none"/>
          <w:lang w:val="en-US" w:eastAsia="zh-CN" w:bidi="ar-SA"/>
        </w:rPr>
        <w:t>普惠小微贷款余额较上年</w:t>
      </w:r>
      <w:r>
        <w:rPr>
          <w:rFonts w:hint="eastAsia" w:ascii="Nimbus Roman" w:hAnsi="Nimbus Roman" w:eastAsia="仿宋_GB2312" w:cs="Nimbus Roman"/>
          <w:color w:val="auto"/>
          <w:kern w:val="2"/>
          <w:sz w:val="32"/>
          <w:szCs w:val="32"/>
          <w:highlight w:val="none"/>
          <w:u w:val="none"/>
          <w:lang w:val="en-US" w:eastAsia="zh-CN" w:bidi="ar-SA"/>
        </w:rPr>
        <w:t>增长</w:t>
      </w:r>
      <w:r>
        <w:rPr>
          <w:rFonts w:hint="default" w:ascii="Nimbus Roman" w:hAnsi="Nimbus Roman" w:eastAsia="仿宋_GB2312" w:cs="Nimbus Roman"/>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default" w:ascii="Nimbus Roman" w:hAnsi="Nimbus Roman" w:eastAsia="仿宋_GB2312" w:cs="Nimbus Roman"/>
          <w:color w:val="auto"/>
          <w:kern w:val="2"/>
          <w:sz w:val="32"/>
          <w:szCs w:val="32"/>
          <w:highlight w:val="none"/>
          <w:u w:val="none"/>
          <w:lang w:val="en-US" w:eastAsia="zh-CN" w:bidi="ar-SA"/>
        </w:rPr>
        <w:t>1</w:t>
      </w:r>
      <w:r>
        <w:rPr>
          <w:rFonts w:hint="eastAsia" w:ascii="Nimbus Roman" w:hAnsi="Nimbus Roman" w:eastAsia="仿宋_GB2312" w:cs="Nimbus Roman"/>
          <w:color w:val="auto"/>
          <w:kern w:val="2"/>
          <w:sz w:val="32"/>
          <w:szCs w:val="32"/>
          <w:highlight w:val="none"/>
          <w:u w:val="none"/>
          <w:lang w:val="en-US" w:eastAsia="zh-CN" w:bidi="ar-SA"/>
        </w:rPr>
        <w:t>4</w:t>
      </w:r>
      <w:r>
        <w:rPr>
          <w:rFonts w:hint="default" w:ascii="Nimbus Roman" w:hAnsi="Nimbus Roman" w:eastAsia="仿宋_GB2312" w:cs="Nimbus Roman"/>
          <w:color w:val="auto"/>
          <w:kern w:val="2"/>
          <w:sz w:val="32"/>
          <w:szCs w:val="32"/>
          <w:highlight w:val="none"/>
          <w:u w:val="none"/>
          <w:lang w:val="en-US" w:eastAsia="zh-CN" w:bidi="ar-SA"/>
        </w:rPr>
        <w:t>.创新10种以上信贷产品</w:t>
      </w:r>
      <w:r>
        <w:rPr>
          <w:rFonts w:hint="eastAsia" w:ascii="Nimbus Roman" w:hAnsi="Nimbus Roman" w:eastAsia="仿宋_GB2312" w:cs="Nimbus Roman"/>
          <w:color w:val="auto"/>
          <w:kern w:val="2"/>
          <w:sz w:val="32"/>
          <w:szCs w:val="32"/>
          <w:highlight w:val="none"/>
          <w:u w:val="none"/>
          <w:lang w:val="en-US" w:eastAsia="zh-CN" w:bidi="ar-SA"/>
        </w:rPr>
        <w:t>，</w:t>
      </w:r>
      <w:r>
        <w:rPr>
          <w:rFonts w:hint="default" w:ascii="Nimbus Roman" w:hAnsi="Nimbus Roman" w:eastAsia="仿宋_GB2312" w:cs="Nimbus Roman"/>
          <w:color w:val="auto"/>
          <w:kern w:val="2"/>
          <w:sz w:val="32"/>
          <w:szCs w:val="32"/>
          <w:highlight w:val="none"/>
          <w:u w:val="none"/>
          <w:lang w:val="en-US" w:eastAsia="zh-CN" w:bidi="ar-SA"/>
        </w:rPr>
        <w:t>推进科技积分贷、知识产权质押贷款扩面。加大个人消费贷款、设备更新贷款、民营企业再贷款、服务业经营主体贷款、中小微企业贷款等财政贴息政策，扩大政策覆盖面。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cs="Nimbus Roman"/>
          <w:color w:val="auto"/>
          <w:highlight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1</w:t>
      </w:r>
      <w:r>
        <w:rPr>
          <w:rFonts w:hint="eastAsia" w:ascii="Nimbus Roman" w:hAnsi="Nimbus Roman" w:eastAsia="仿宋_GB2312" w:cs="Nimbus Roman"/>
          <w:color w:val="auto"/>
          <w:kern w:val="2"/>
          <w:sz w:val="32"/>
          <w:szCs w:val="32"/>
          <w:highlight w:val="none"/>
          <w:u w:val="none"/>
          <w:lang w:val="en-US" w:eastAsia="zh-CN" w:bidi="ar-SA"/>
        </w:rPr>
        <w:t>5</w:t>
      </w:r>
      <w:r>
        <w:rPr>
          <w:rFonts w:hint="default" w:ascii="Nimbus Roman" w:hAnsi="Nimbus Roman" w:eastAsia="仿宋_GB2312" w:cs="Nimbus Roman"/>
          <w:color w:val="auto"/>
          <w:kern w:val="2"/>
          <w:sz w:val="32"/>
          <w:szCs w:val="32"/>
          <w:highlight w:val="none"/>
          <w:u w:val="none"/>
          <w:lang w:val="en-US" w:eastAsia="zh-CN" w:bidi="ar-SA"/>
        </w:rPr>
        <w:t>.</w:t>
      </w:r>
      <w:r>
        <w:rPr>
          <w:rFonts w:hint="eastAsia" w:ascii="Nimbus Roman" w:hAnsi="Nimbus Roman" w:eastAsia="仿宋_GB2312" w:cs="Nimbus Roman"/>
          <w:color w:val="auto"/>
          <w:kern w:val="2"/>
          <w:sz w:val="32"/>
          <w:szCs w:val="32"/>
          <w:highlight w:val="none"/>
          <w:u w:val="none"/>
          <w:lang w:val="en-US" w:eastAsia="zh-CN" w:bidi="ar-SA"/>
        </w:rPr>
        <w:t>强化中小企业融资担保服务</w:t>
      </w:r>
      <w:r>
        <w:rPr>
          <w:rFonts w:hint="default" w:ascii="Nimbus Roman" w:hAnsi="Nimbus Roman" w:eastAsia="仿宋_GB2312" w:cs="Nimbus Roman"/>
          <w:color w:val="auto"/>
          <w:kern w:val="2"/>
          <w:sz w:val="32"/>
          <w:szCs w:val="32"/>
          <w:highlight w:val="none"/>
          <w:u w:val="none"/>
          <w:lang w:val="en-US" w:eastAsia="zh-CN" w:bidi="ar-SA"/>
        </w:rPr>
        <w:t>，</w:t>
      </w:r>
      <w:r>
        <w:rPr>
          <w:rFonts w:hint="eastAsia" w:ascii="Nimbus Roman" w:hAnsi="Nimbus Roman" w:eastAsia="仿宋_GB2312" w:cs="Nimbus Roman"/>
          <w:color w:val="auto"/>
          <w:kern w:val="2"/>
          <w:sz w:val="32"/>
          <w:szCs w:val="32"/>
          <w:highlight w:val="none"/>
          <w:u w:val="none"/>
          <w:lang w:val="en-US" w:eastAsia="zh-CN" w:bidi="ar-SA"/>
        </w:rPr>
        <w:t>鼓励</w:t>
      </w:r>
      <w:r>
        <w:rPr>
          <w:rFonts w:hint="default" w:ascii="Nimbus Roman" w:hAnsi="Nimbus Roman" w:eastAsia="仿宋_GB2312" w:cs="Nimbus Roman"/>
          <w:color w:val="auto"/>
          <w:kern w:val="2"/>
          <w:sz w:val="32"/>
          <w:szCs w:val="32"/>
          <w:highlight w:val="none"/>
          <w:u w:val="none"/>
          <w:lang w:val="en-US" w:eastAsia="zh-CN" w:bidi="ar-SA"/>
        </w:rPr>
        <w:t>政府性融资担保机构</w:t>
      </w:r>
      <w:r>
        <w:rPr>
          <w:rFonts w:hint="eastAsia" w:ascii="Nimbus Roman" w:hAnsi="Nimbus Roman" w:eastAsia="仿宋_GB2312" w:cs="Nimbus Roman"/>
          <w:color w:val="auto"/>
          <w:kern w:val="2"/>
          <w:sz w:val="32"/>
          <w:szCs w:val="32"/>
          <w:highlight w:val="none"/>
          <w:u w:val="none"/>
          <w:lang w:val="en-US" w:eastAsia="zh-CN" w:bidi="ar-SA"/>
        </w:rPr>
        <w:t>将</w:t>
      </w:r>
      <w:r>
        <w:rPr>
          <w:rFonts w:hint="default" w:ascii="Nimbus Roman" w:hAnsi="Nimbus Roman" w:eastAsia="仿宋_GB2312" w:cs="Nimbus Roman"/>
          <w:color w:val="auto"/>
          <w:kern w:val="2"/>
          <w:sz w:val="32"/>
          <w:szCs w:val="32"/>
          <w:highlight w:val="none"/>
          <w:u w:val="none"/>
          <w:lang w:val="en-US" w:eastAsia="zh-CN" w:bidi="ar-SA"/>
        </w:rPr>
        <w:t>小微企业融资担保费率</w:t>
      </w:r>
      <w:r>
        <w:rPr>
          <w:rFonts w:hint="eastAsia" w:ascii="Nimbus Roman" w:hAnsi="Nimbus Roman" w:eastAsia="仿宋_GB2312" w:cs="Nimbus Roman"/>
          <w:color w:val="auto"/>
          <w:kern w:val="2"/>
          <w:sz w:val="32"/>
          <w:szCs w:val="32"/>
          <w:highlight w:val="none"/>
          <w:u w:val="none"/>
          <w:lang w:val="en-US" w:eastAsia="zh-CN" w:bidi="ar-SA"/>
        </w:rPr>
        <w:t>降至</w:t>
      </w:r>
      <w:r>
        <w:rPr>
          <w:rFonts w:hint="default" w:ascii="Nimbus Roman" w:hAnsi="Nimbus Roman" w:eastAsia="仿宋_GB2312" w:cs="Nimbus Roman"/>
          <w:color w:val="auto"/>
          <w:kern w:val="2"/>
          <w:sz w:val="32"/>
          <w:szCs w:val="32"/>
          <w:highlight w:val="none"/>
          <w:u w:val="none"/>
          <w:lang w:val="en-US" w:eastAsia="zh-CN" w:bidi="ar-SA"/>
        </w:rPr>
        <w:t>1%及以下。试点建立企业信贷周转金。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四、优化政务环境，提升审批效率、服务便捷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eastAsia="zh-CN"/>
        </w:rPr>
      </w:pPr>
      <w:r>
        <w:rPr>
          <w:rFonts w:hint="eastAsia" w:ascii="Nimbus Roman" w:hAnsi="Nimbus Roman" w:eastAsia="仿宋_GB2312" w:cs="Nimbus Roman"/>
          <w:color w:val="auto"/>
          <w:kern w:val="2"/>
          <w:sz w:val="32"/>
          <w:szCs w:val="32"/>
          <w:highlight w:val="none"/>
          <w:u w:val="none"/>
          <w:lang w:val="en-US" w:eastAsia="zh-CN" w:bidi="ar-SA"/>
        </w:rPr>
        <w:t>16</w:t>
      </w:r>
      <w:r>
        <w:rPr>
          <w:rFonts w:hint="default" w:ascii="Nimbus Roman" w:hAnsi="Nimbus Roman" w:eastAsia="仿宋_GB2312" w:cs="Nimbus Roman"/>
          <w:color w:val="auto"/>
          <w:kern w:val="2"/>
          <w:sz w:val="32"/>
          <w:szCs w:val="32"/>
          <w:highlight w:val="none"/>
          <w:u w:val="none"/>
          <w:lang w:val="en-US" w:eastAsia="zh-CN" w:bidi="ar-SA"/>
        </w:rPr>
        <w:t>.建立市场主体全生命周期服务模式，高频政务服务事项延时办、预约办不少于300项，社保、医保、公积金、个体商户开办等100个事项“指尖办、线上办”。水电气网、金融等各类公共服务及便民服务事项全面进驻县市政务服务大厅“一站式”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1</w:t>
      </w:r>
      <w:r>
        <w:rPr>
          <w:rFonts w:hint="eastAsia" w:ascii="Nimbus Roman" w:hAnsi="Nimbus Roman" w:eastAsia="仿宋_GB2312" w:cs="Nimbus Roman"/>
          <w:color w:val="auto"/>
          <w:kern w:val="2"/>
          <w:sz w:val="32"/>
          <w:szCs w:val="32"/>
          <w:highlight w:val="none"/>
          <w:u w:val="none"/>
          <w:lang w:val="en-US" w:eastAsia="zh-CN" w:bidi="ar-SA"/>
        </w:rPr>
        <w:t>7</w:t>
      </w:r>
      <w:r>
        <w:rPr>
          <w:rFonts w:hint="default" w:ascii="Nimbus Roman" w:hAnsi="Nimbus Roman" w:eastAsia="仿宋_GB2312" w:cs="Nimbus Roman"/>
          <w:color w:val="auto"/>
          <w:kern w:val="2"/>
          <w:sz w:val="32"/>
          <w:szCs w:val="32"/>
          <w:highlight w:val="none"/>
          <w:u w:val="none"/>
          <w:lang w:val="en-US" w:eastAsia="zh-CN" w:bidi="ar-SA"/>
        </w:rPr>
        <w:t>.推动企业</w:t>
      </w:r>
      <w:r>
        <w:rPr>
          <w:rFonts w:hint="eastAsia" w:ascii="Nimbus Roman" w:hAnsi="Nimbus Roman" w:eastAsia="仿宋_GB2312" w:cs="Nimbus Roman"/>
          <w:color w:val="auto"/>
          <w:kern w:val="2"/>
          <w:sz w:val="32"/>
          <w:szCs w:val="32"/>
          <w:highlight w:val="none"/>
          <w:u w:val="none"/>
          <w:lang w:val="en-US" w:eastAsia="zh-CN" w:bidi="ar-SA"/>
        </w:rPr>
        <w:t>设立登记注册</w:t>
      </w:r>
      <w:r>
        <w:rPr>
          <w:rFonts w:hint="default" w:ascii="Nimbus Roman" w:hAnsi="Nimbus Roman" w:eastAsia="仿宋_GB2312" w:cs="Nimbus Roman"/>
          <w:color w:val="auto"/>
          <w:kern w:val="2"/>
          <w:sz w:val="32"/>
          <w:szCs w:val="32"/>
          <w:highlight w:val="none"/>
          <w:u w:val="none"/>
          <w:lang w:val="en-US" w:eastAsia="zh-CN" w:bidi="ar-SA"/>
        </w:rPr>
        <w:t>“1天办”、“免费办”全覆盖。试点在昌吉市开展“产业通”咨询服务，为新注册企业精准提供产业分布、办公楼宇、配套资源等开办服务。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lang w:val="en-US" w:eastAsia="zh-CN"/>
        </w:rPr>
      </w:pPr>
      <w:r>
        <w:rPr>
          <w:rFonts w:hint="eastAsia" w:ascii="Nimbus Roman" w:hAnsi="Nimbus Roman" w:eastAsia="仿宋_GB2312" w:cs="Nimbus Roman"/>
          <w:color w:val="auto"/>
          <w:kern w:val="2"/>
          <w:sz w:val="32"/>
          <w:szCs w:val="32"/>
          <w:highlight w:val="none"/>
          <w:u w:val="none"/>
          <w:lang w:val="en-US" w:eastAsia="zh-CN" w:bidi="ar-SA"/>
        </w:rPr>
        <w:t>18</w:t>
      </w:r>
      <w:r>
        <w:rPr>
          <w:rFonts w:hint="default" w:ascii="Nimbus Roman" w:hAnsi="Nimbus Roman" w:eastAsia="仿宋_GB2312" w:cs="Nimbus Roman"/>
          <w:color w:val="auto"/>
          <w:kern w:val="2"/>
          <w:sz w:val="32"/>
          <w:szCs w:val="32"/>
          <w:highlight w:val="none"/>
          <w:u w:val="none"/>
          <w:lang w:val="en-US" w:eastAsia="zh-CN" w:bidi="ar-SA"/>
        </w:rPr>
        <w:t>.深化“高效办成一件事”，落实国家和自治区69项“高效办成一件事”，打造“水产养殖”“电商平台直播带货”“商品房继承过户”“农机上牌”“高校毕业生”5个本地特色“一件事”“一窗通办”。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eastAsia" w:ascii="Nimbus Roman" w:hAnsi="Nimbus Roman" w:eastAsia="仿宋_GB2312" w:cs="Nimbus Roman"/>
          <w:color w:val="auto"/>
          <w:kern w:val="2"/>
          <w:sz w:val="32"/>
          <w:szCs w:val="32"/>
          <w:highlight w:val="none"/>
          <w:u w:val="none"/>
          <w:lang w:val="en-US" w:eastAsia="zh-CN" w:bidi="ar-SA"/>
        </w:rPr>
        <w:t>19</w:t>
      </w:r>
      <w:r>
        <w:rPr>
          <w:rFonts w:hint="default" w:ascii="Nimbus Roman" w:hAnsi="Nimbus Roman" w:eastAsia="仿宋_GB2312" w:cs="Nimbus Roman"/>
          <w:color w:val="auto"/>
          <w:kern w:val="2"/>
          <w:sz w:val="32"/>
          <w:szCs w:val="32"/>
          <w:highlight w:val="none"/>
          <w:u w:val="none"/>
          <w:lang w:val="en-US" w:eastAsia="zh-CN" w:bidi="ar-SA"/>
        </w:rPr>
        <w:t>.实现企业服务“一端通享”“免申即享”，升级“吉速办”小程序功能，搭建惠企政策统一发布、动态更新专区，同步接入工商联惠企政策直播间、金融信贷产品服务等特色应用，打通惠企政策落地“最后一公里”。试点在昌吉市、吉木萨尔县设立惠企政策兑现综合服务窗口，推动政策“一窗咨询、高效兑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楷体_GB2312" w:cs="Nimbus Roman"/>
          <w:color w:val="auto"/>
          <w:sz w:val="32"/>
          <w:szCs w:val="32"/>
          <w:highlight w:val="none"/>
          <w:u w:val="none"/>
          <w:lang w:eastAsia="zh-CN"/>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0</w:t>
      </w:r>
      <w:r>
        <w:rPr>
          <w:rFonts w:hint="default" w:ascii="Nimbus Roman" w:hAnsi="Nimbus Roman" w:eastAsia="仿宋_GB2312" w:cs="Nimbus Roman"/>
          <w:color w:val="auto"/>
          <w:kern w:val="2"/>
          <w:sz w:val="32"/>
          <w:szCs w:val="32"/>
          <w:highlight w:val="none"/>
          <w:u w:val="none"/>
          <w:lang w:val="en-US" w:eastAsia="zh-CN" w:bidi="ar-SA"/>
        </w:rPr>
        <w:t>.建立园区与属地县市服务资源双向互通机制，围绕项目落地、投产运营等关键环节，提供全流程帮办服务，推动形成项目闭环管理和高效落地保障。强化产业链上下游企业信息共享与供需对接，提升资源配置效率和产业协同水平。常态化推动公证、司法、金融等商事服务进驻园区，实现企业办事“不出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五、优化开放环境，促进内外联通、便利往来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auto"/>
          <w:kern w:val="2"/>
          <w:sz w:val="32"/>
          <w:szCs w:val="32"/>
          <w:highlight w:val="none"/>
          <w:u w:val="none"/>
          <w:lang w:val="en-US" w:eastAsia="zh-CN" w:bidi="ar-SA"/>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1</w:t>
      </w:r>
      <w:r>
        <w:rPr>
          <w:rFonts w:hint="default" w:ascii="Nimbus Roman" w:hAnsi="Nimbus Roman" w:eastAsia="仿宋_GB2312" w:cs="Nimbus Roman"/>
          <w:color w:val="auto"/>
          <w:kern w:val="2"/>
          <w:sz w:val="32"/>
          <w:szCs w:val="32"/>
          <w:highlight w:val="none"/>
          <w:u w:val="none"/>
          <w:lang w:val="en-US" w:eastAsia="zh-CN" w:bidi="ar-SA"/>
        </w:rPr>
        <w:t>.加快自贸区联动创新区建设，全面承接国家和自治区在贸易便利化领域的制度创新成果。建立海关、税务、外汇等部门与重点外贸企业“一对一”联系服务制度，对企业在通关便利化方面的诉求实行清单管理，积极推动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2</w:t>
      </w:r>
      <w:r>
        <w:rPr>
          <w:rFonts w:hint="default" w:ascii="Nimbus Roman" w:hAnsi="Nimbus Roman" w:eastAsia="仿宋_GB2312" w:cs="Nimbus Roman"/>
          <w:color w:val="auto"/>
          <w:kern w:val="2"/>
          <w:sz w:val="32"/>
          <w:szCs w:val="32"/>
          <w:highlight w:val="none"/>
          <w:u w:val="none"/>
          <w:lang w:val="en-US" w:eastAsia="zh-CN" w:bidi="ar-SA"/>
        </w:rPr>
        <w:t>.推进乌拉斯台口岸5月至9月连续开放，加大组货力度，畅通资源过货供需链条。申报设立中国贸促会昌吉调解中心。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b w:val="0"/>
          <w:bCs w:val="0"/>
          <w:color w:val="auto"/>
          <w:sz w:val="32"/>
          <w:szCs w:val="32"/>
          <w:highlight w:val="none"/>
          <w:u w:val="none"/>
          <w:lang w:val="en-US" w:eastAsia="zh-CN"/>
        </w:rPr>
      </w:pPr>
      <w:r>
        <w:rPr>
          <w:rFonts w:hint="default" w:ascii="Nimbus Roman" w:hAnsi="Nimbus Roman" w:eastAsia="黑体" w:cs="Nimbus Roman"/>
          <w:b w:val="0"/>
          <w:bCs w:val="0"/>
          <w:color w:val="auto"/>
          <w:sz w:val="32"/>
          <w:szCs w:val="32"/>
          <w:highlight w:val="none"/>
          <w:u w:val="none"/>
          <w:lang w:val="en-US" w:eastAsia="zh-CN"/>
        </w:rPr>
        <w:t>六、优化服务环境，做到响应及时、帮扶精准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u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3</w:t>
      </w:r>
      <w:r>
        <w:rPr>
          <w:rFonts w:hint="default" w:ascii="Nimbus Roman" w:hAnsi="Nimbus Roman" w:eastAsia="仿宋_GB2312" w:cs="Nimbus Roman"/>
          <w:color w:val="auto"/>
          <w:kern w:val="2"/>
          <w:sz w:val="32"/>
          <w:szCs w:val="32"/>
          <w:highlight w:val="none"/>
          <w:u w:val="none"/>
          <w:lang w:val="en-US" w:eastAsia="zh-CN" w:bidi="ar-SA"/>
        </w:rPr>
        <w:t>.实施“服务赋能、送福到企”行动，提供“送政策、送金融、送服务、听诉求”入企服务，推行“问题入账-精准派单-跟踪落实”清单化闭环管理模式，实现规上企业走访全覆盖。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方正仿宋_GB2312" w:cs="Nimbus Roman"/>
          <w:color w:val="auto"/>
          <w:sz w:val="32"/>
          <w:szCs w:val="32"/>
          <w:highlight w:val="none"/>
          <w:u w:val="none"/>
          <w:lang w:val="en-US" w:eastAsia="zh-CN"/>
        </w:rPr>
      </w:pPr>
      <w:r>
        <w:rPr>
          <w:rFonts w:hint="default" w:ascii="Nimbus Roman" w:hAnsi="Nimbus Roman" w:eastAsia="仿宋_GB2312" w:cs="Nimbus Roman"/>
          <w:color w:val="auto"/>
          <w:kern w:val="2"/>
          <w:sz w:val="32"/>
          <w:szCs w:val="32"/>
          <w:highlight w:val="none"/>
          <w:u w:val="none"/>
          <w:lang w:val="en-US" w:eastAsia="zh-CN" w:bidi="ar-SA"/>
        </w:rPr>
        <w:t>2</w:t>
      </w:r>
      <w:r>
        <w:rPr>
          <w:rFonts w:hint="eastAsia" w:ascii="Nimbus Roman" w:hAnsi="Nimbus Roman" w:eastAsia="仿宋_GB2312" w:cs="Nimbus Roman"/>
          <w:color w:val="auto"/>
          <w:kern w:val="2"/>
          <w:sz w:val="32"/>
          <w:szCs w:val="32"/>
          <w:highlight w:val="none"/>
          <w:u w:val="none"/>
          <w:lang w:val="en-US" w:eastAsia="zh-CN" w:bidi="ar-SA"/>
        </w:rPr>
        <w:t>4</w:t>
      </w:r>
      <w:r>
        <w:rPr>
          <w:rFonts w:hint="default" w:ascii="Nimbus Roman" w:hAnsi="Nimbus Roman" w:eastAsia="仿宋_GB2312" w:cs="Nimbus Roman"/>
          <w:color w:val="auto"/>
          <w:kern w:val="2"/>
          <w:sz w:val="32"/>
          <w:szCs w:val="32"/>
          <w:highlight w:val="none"/>
          <w:u w:val="none"/>
          <w:lang w:val="en-US" w:eastAsia="zh-CN" w:bidi="ar-SA"/>
        </w:rPr>
        <w:t>.推动县市（园区）主要领导“企业接待日”全覆盖，鼓励各县市（园区）立足自身产业特色和资源禀赋，创新为企服务方式，打造“叫得响、有温度、企业有感”的“一县一品”“一园一品”营商环境品牌。</w:t>
      </w:r>
    </w:p>
    <w:p>
      <w:pPr>
        <w:keepNext w:val="0"/>
        <w:keepLines w:val="0"/>
        <w:pageBreakBefore w:val="0"/>
        <w:widowControl w:val="0"/>
        <w:numPr>
          <w:ilvl w:val="0"/>
          <w:numId w:val="0"/>
        </w:numPr>
        <w:pBdr>
          <w:bottom w:val="single" w:color="FFFFFF" w:sz="4" w:space="31"/>
        </w:pBdr>
        <w:shd w:val="clear" w:color="auto" w:fill="auto"/>
        <w:tabs>
          <w:tab w:val="left" w:pos="1440"/>
        </w:tabs>
        <w:kinsoku/>
        <w:wordWrap/>
        <w:overflowPunct/>
        <w:topLinePunct w:val="0"/>
        <w:autoSpaceDE/>
        <w:autoSpaceDN/>
        <w:bidi w:val="0"/>
        <w:adjustRightInd/>
        <w:snapToGrid w:val="0"/>
        <w:spacing w:before="0" w:after="0" w:line="520" w:lineRule="exact"/>
        <w:ind w:right="0" w:rightChars="0"/>
        <w:contextualSpacing/>
        <w:jc w:val="both"/>
        <w:textAlignment w:val="auto"/>
        <w:outlineLvl w:val="9"/>
        <w:rPr>
          <w:rFonts w:hint="default"/>
          <w:lang w:val="en-US"/>
        </w:rPr>
      </w:pPr>
    </w:p>
    <w:p>
      <w:pPr>
        <w:pStyle w:val="6"/>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楷体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altName w:val="楷体_GB2312"/>
    <w:panose1 w:val="02000000000000000000"/>
    <w:charset w:val="00"/>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05495"/>
    <w:multiLevelType w:val="singleLevel"/>
    <w:tmpl w:val="AB0054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00AD2"/>
    <w:rsid w:val="14E42F1C"/>
    <w:rsid w:val="1DBE3752"/>
    <w:rsid w:val="66400AD2"/>
    <w:rsid w:val="75ADCF94"/>
    <w:rsid w:val="7BE98B99"/>
    <w:rsid w:val="96FC02B3"/>
    <w:rsid w:val="AF87F115"/>
    <w:rsid w:val="CDFF9A9F"/>
    <w:rsid w:val="F3FD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unhideWhenUsed/>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next w:val="1"/>
    <w:unhideWhenUsed/>
    <w:qFormat/>
    <w:uiPriority w:val="99"/>
    <w:pPr>
      <w:snapToGrid w:val="0"/>
      <w:jc w:val="left"/>
    </w:pPr>
    <w:rPr>
      <w:sz w:val="18"/>
      <w:szCs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2026-04-04T03:20:00Z</dcterms:created>
  <dc:creator>Administrator</dc:creator>
  <cp:lastModifiedBy>user</cp:lastModifiedBy>
  <cp:lastPrinted>2026-04-04T01:53:00Z</cp:lastPrinted>
  <dcterms:modified xsi:type="dcterms:W3CDTF">2026-04-28T17:04:50Z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CF85528FC5B907021D45CF697C16265C</vt:lpwstr>
  </property>
</Properties>
</file>