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3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4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3" w:lineRule="auto"/>
        <w:ind w:left="9"/>
        <w:textAlignment w:val="baseline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方正黑体_GBK" w:hAnsi="方正黑体_GBK" w:eastAsia="方正黑体_GBK" w:cs="方正黑体_GBK"/>
          <w:spacing w:val="-2"/>
          <w:sz w:val="29"/>
          <w:szCs w:val="29"/>
        </w:rPr>
        <w:t>附件</w:t>
      </w:r>
      <w:r>
        <w:rPr>
          <w:rFonts w:ascii="Times New Roman" w:hAnsi="Times New Roman" w:eastAsia="Times New Roman" w:cs="Times New Roman"/>
          <w:spacing w:val="-2"/>
          <w:position w:val="-1"/>
          <w:sz w:val="29"/>
          <w:szCs w:val="29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4" w:lineRule="auto"/>
        <w:ind w:left="2008" w:right="338" w:hanging="1675"/>
        <w:textAlignment w:val="baseline"/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1"/>
          <w:sz w:val="40"/>
          <w:szCs w:val="40"/>
        </w:rPr>
        <w:t>石化化工重点行业严格能效约束推动节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能降碳</w:t>
      </w:r>
      <w:r>
        <w:rPr>
          <w:rFonts w:hint="eastAsia" w:ascii="方正小标宋_GBK" w:hAnsi="方正小标宋_GBK" w:eastAsia="方正小标宋_GBK" w:cs="方正小标宋_GBK"/>
          <w:spacing w:val="10"/>
          <w:sz w:val="40"/>
          <w:szCs w:val="40"/>
        </w:rPr>
        <w:t>行动</w:t>
      </w:r>
      <w:r>
        <w:rPr>
          <w:rFonts w:hint="eastAsia" w:ascii="方正小标宋_GBK" w:hAnsi="方正小标宋_GBK" w:eastAsia="方正小标宋_GBK" w:cs="方正小标宋_GBK"/>
          <w:spacing w:val="9"/>
          <w:sz w:val="40"/>
          <w:szCs w:val="40"/>
        </w:rPr>
        <w:t>方</w:t>
      </w:r>
      <w:r>
        <w:rPr>
          <w:rFonts w:hint="eastAsia" w:ascii="方正小标宋_GBK" w:hAnsi="方正小标宋_GBK" w:eastAsia="方正小标宋_GBK" w:cs="方正小标宋_GBK"/>
          <w:spacing w:val="5"/>
          <w:sz w:val="40"/>
          <w:szCs w:val="40"/>
        </w:rPr>
        <w:t>案(</w:t>
      </w:r>
      <w:r>
        <w:rPr>
          <w:rFonts w:hint="eastAsia" w:ascii="方正小标宋_GBK" w:hAnsi="方正小标宋_GBK" w:eastAsia="方正小标宋_GBK" w:cs="方正小标宋_GBK"/>
          <w:spacing w:val="5"/>
          <w:position w:val="-1"/>
          <w:sz w:val="40"/>
          <w:szCs w:val="40"/>
        </w:rPr>
        <w:t>2021-</w:t>
      </w:r>
      <w:r>
        <w:rPr>
          <w:rFonts w:hint="eastAsia" w:ascii="方正小标宋_GBK" w:hAnsi="方正小标宋_GBK" w:eastAsia="方正小标宋_GBK" w:cs="方正小标宋_GBK"/>
          <w:spacing w:val="5"/>
          <w:sz w:val="40"/>
          <w:szCs w:val="40"/>
        </w:rPr>
        <w:t>2025年)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0" w:lineRule="auto"/>
        <w:ind w:left="1" w:right="273" w:firstLine="604"/>
        <w:textAlignment w:val="baseline"/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0" w:lineRule="auto"/>
        <w:ind w:left="1" w:right="273" w:firstLine="604"/>
        <w:textAlignment w:val="baseline"/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  <w:t>为贯彻落实党中央、国务院碳达峰碳中和相关工作部署，坚决遏制“两高”项目盲目发展，推动炼油、乙烯、合成氨、电石等重点行业绿色低碳转型，确保如期实现碳达峰目标，根据《关于严格能效约束推动重点领域节能降碳的若干意见》，制定本行动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0" w:lineRule="auto"/>
        <w:ind w:left="1" w:right="273" w:firstLine="604"/>
        <w:textAlignment w:val="baseline"/>
        <w:rPr>
          <w:rFonts w:hint="eastAsia" w:ascii="方正黑体_GBK" w:hAnsi="方正黑体_GBK" w:eastAsia="方正黑体_GBK" w:cs="方正黑体_GBK"/>
          <w:spacing w:val="1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16"/>
          <w:sz w:val="32"/>
          <w:szCs w:val="32"/>
        </w:rPr>
        <w:t>一、行动目标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0" w:lineRule="auto"/>
        <w:ind w:left="1" w:right="273" w:firstLine="604"/>
        <w:textAlignment w:val="baseline"/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  <w:t>到2025年，通过实施节能降碳行动，炼油、乙烯、合成氨、电石行业达到标杆水平的产能比例超过30%，行业整体能效水平明显提升，碳排放强度明显下降，绿色低碳发展能力显著增强。基准水平和标杆水平具体指标如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7" w:lineRule="auto"/>
        <w:ind w:left="2528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3"/>
          <w:szCs w:val="23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11"/>
          <w:sz w:val="23"/>
          <w:szCs w:val="23"/>
        </w:rPr>
        <w:t>重</w:t>
      </w:r>
      <w:r>
        <w:rPr>
          <w:rFonts w:hint="eastAsia" w:asciiTheme="minorEastAsia" w:hAnsiTheme="minorEastAsia" w:eastAsiaTheme="minorEastAsia" w:cstheme="minorEastAsia"/>
          <w:b/>
          <w:bCs/>
          <w:spacing w:val="9"/>
          <w:sz w:val="23"/>
          <w:szCs w:val="23"/>
        </w:rPr>
        <w:t>点行业能效基准水平和标杆水平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tbl>
      <w:tblPr>
        <w:tblStyle w:val="4"/>
        <w:tblW w:w="8435" w:type="dxa"/>
        <w:tblInd w:w="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798"/>
        <w:gridCol w:w="1708"/>
        <w:gridCol w:w="1246"/>
        <w:gridCol w:w="1303"/>
        <w:gridCol w:w="793"/>
        <w:gridCol w:w="794"/>
        <w:gridCol w:w="13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28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3" w:lineRule="auto"/>
              <w:ind w:left="65"/>
              <w:textAlignment w:val="baseline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23"/>
                <w:szCs w:val="23"/>
              </w:rPr>
              <w:t>序</w:t>
            </w:r>
            <w:r>
              <w:rPr>
                <w:rFonts w:ascii="方正黑体_GBK" w:hAnsi="方正黑体_GBK" w:eastAsia="方正黑体_GBK" w:cs="方正黑体_GBK"/>
                <w:spacing w:val="3"/>
                <w:sz w:val="23"/>
                <w:szCs w:val="23"/>
              </w:rPr>
              <w:t>号</w:t>
            </w:r>
          </w:p>
        </w:tc>
        <w:tc>
          <w:tcPr>
            <w:tcW w:w="250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6" w:lineRule="auto"/>
              <w:ind w:left="770"/>
              <w:textAlignment w:val="baseline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23"/>
                <w:szCs w:val="23"/>
              </w:rPr>
              <w:t>产</w:t>
            </w:r>
            <w:r>
              <w:rPr>
                <w:rFonts w:ascii="方正黑体_GBK" w:hAnsi="方正黑体_GBK" w:eastAsia="方正黑体_GBK" w:cs="方正黑体_GBK"/>
                <w:spacing w:val="9"/>
                <w:sz w:val="23"/>
                <w:szCs w:val="23"/>
              </w:rPr>
              <w:t>品名称</w:t>
            </w:r>
          </w:p>
        </w:tc>
        <w:tc>
          <w:tcPr>
            <w:tcW w:w="12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5" w:lineRule="auto"/>
              <w:ind w:left="150"/>
              <w:textAlignment w:val="baseline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23"/>
                <w:szCs w:val="23"/>
              </w:rPr>
              <w:t>指</w:t>
            </w: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标名称</w:t>
            </w:r>
          </w:p>
        </w:tc>
        <w:tc>
          <w:tcPr>
            <w:tcW w:w="13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5" w:lineRule="auto"/>
              <w:ind w:left="178"/>
              <w:textAlignment w:val="baseline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23"/>
                <w:szCs w:val="23"/>
              </w:rPr>
              <w:t>指</w:t>
            </w: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标单位</w:t>
            </w:r>
          </w:p>
        </w:tc>
        <w:tc>
          <w:tcPr>
            <w:tcW w:w="7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4" w:lineRule="auto"/>
              <w:ind w:left="161" w:right="153"/>
              <w:textAlignment w:val="baseline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基准</w:t>
            </w: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水</w:t>
            </w: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平</w:t>
            </w:r>
          </w:p>
        </w:tc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162" w:right="152"/>
              <w:textAlignment w:val="baseline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标</w:t>
            </w: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杆</w:t>
            </w: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水</w:t>
            </w: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平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248" w:right="127" w:hanging="109"/>
              <w:textAlignment w:val="baseline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相关计</w:t>
            </w:r>
            <w:r>
              <w:rPr>
                <w:rFonts w:ascii="方正黑体_GBK" w:hAnsi="方正黑体_GBK" w:eastAsia="方正黑体_GBK" w:cs="方正黑体_GBK"/>
                <w:spacing w:val="-1"/>
                <w:sz w:val="22"/>
                <w:szCs w:val="22"/>
              </w:rPr>
              <w:t>算等</w:t>
            </w: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参考标准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179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250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1027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炼油</w:t>
            </w:r>
          </w:p>
        </w:tc>
        <w:tc>
          <w:tcPr>
            <w:tcW w:w="12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2" w:lineRule="auto"/>
              <w:ind w:left="184" w:right="140" w:hanging="25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单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位能量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因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数能耗</w:t>
            </w:r>
          </w:p>
        </w:tc>
        <w:tc>
          <w:tcPr>
            <w:tcW w:w="13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7" w:lineRule="auto"/>
              <w:ind w:left="142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千克标准油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ind w:left="200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/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吨·因数</w:t>
            </w:r>
          </w:p>
        </w:tc>
        <w:tc>
          <w:tcPr>
            <w:tcW w:w="7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260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.5</w:t>
            </w:r>
          </w:p>
        </w:tc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ind w:left="256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.5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191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30251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156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7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194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2"/>
                <w:sz w:val="23"/>
                <w:szCs w:val="23"/>
              </w:rPr>
              <w:t>乙</w:t>
            </w:r>
            <w:r>
              <w:rPr>
                <w:rFonts w:ascii="微软雅黑" w:hAnsi="微软雅黑" w:eastAsia="微软雅黑" w:cs="微软雅黑"/>
                <w:spacing w:val="-10"/>
                <w:sz w:val="23"/>
                <w:szCs w:val="23"/>
              </w:rPr>
              <w:t>烯</w:t>
            </w:r>
          </w:p>
        </w:tc>
        <w:tc>
          <w:tcPr>
            <w:tcW w:w="17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392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石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脑烃类</w:t>
            </w:r>
          </w:p>
        </w:tc>
        <w:tc>
          <w:tcPr>
            <w:tcW w:w="12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2" w:lineRule="auto"/>
              <w:ind w:left="408" w:right="140" w:hanging="249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单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位产品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>能</w:t>
            </w:r>
            <w:r>
              <w:rPr>
                <w:rFonts w:ascii="微软雅黑" w:hAnsi="微软雅黑" w:eastAsia="微软雅黑" w:cs="微软雅黑"/>
                <w:spacing w:val="-4"/>
                <w:sz w:val="23"/>
                <w:szCs w:val="23"/>
              </w:rPr>
              <w:t>耗</w:t>
            </w:r>
          </w:p>
        </w:tc>
        <w:tc>
          <w:tcPr>
            <w:tcW w:w="13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2" w:lineRule="auto"/>
              <w:ind w:left="399" w:right="168" w:hanging="209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千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克标准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油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/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吨</w:t>
            </w:r>
          </w:p>
        </w:tc>
        <w:tc>
          <w:tcPr>
            <w:tcW w:w="7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4" w:lineRule="auto"/>
              <w:ind w:left="225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40</w:t>
            </w:r>
          </w:p>
        </w:tc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227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590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191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30250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2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1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1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4" w:lineRule="auto"/>
              <w:ind w:left="161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9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3" w:lineRule="auto"/>
              <w:ind w:left="167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合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295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氨</w:t>
            </w:r>
          </w:p>
        </w:tc>
        <w:tc>
          <w:tcPr>
            <w:tcW w:w="17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144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优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质无烟块煤</w:t>
            </w:r>
          </w:p>
        </w:tc>
        <w:tc>
          <w:tcPr>
            <w:tcW w:w="12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1" w:lineRule="auto"/>
              <w:ind w:left="408" w:right="140" w:hanging="249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单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位产品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>能</w:t>
            </w:r>
            <w:r>
              <w:rPr>
                <w:rFonts w:ascii="微软雅黑" w:hAnsi="微软雅黑" w:eastAsia="微软雅黑" w:cs="微软雅黑"/>
                <w:spacing w:val="-4"/>
                <w:sz w:val="23"/>
                <w:szCs w:val="23"/>
              </w:rPr>
              <w:t>耗</w:t>
            </w:r>
          </w:p>
        </w:tc>
        <w:tc>
          <w:tcPr>
            <w:tcW w:w="13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1" w:lineRule="auto"/>
              <w:ind w:left="386" w:right="168" w:hanging="196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千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克标准煤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吨</w:t>
            </w:r>
          </w:p>
        </w:tc>
        <w:tc>
          <w:tcPr>
            <w:tcW w:w="7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4" w:lineRule="auto"/>
              <w:ind w:left="183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350</w:t>
            </w:r>
          </w:p>
        </w:tc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4" w:lineRule="auto"/>
              <w:ind w:left="189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1100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1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191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21344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2" w:lineRule="auto"/>
              <w:ind w:left="380" w:right="132" w:hanging="228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非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优质无烟块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煤、型煤</w:t>
            </w:r>
          </w:p>
        </w:tc>
        <w:tc>
          <w:tcPr>
            <w:tcW w:w="12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2" w:lineRule="auto"/>
              <w:ind w:left="408" w:right="140" w:hanging="249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单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位产品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>能</w:t>
            </w:r>
            <w:r>
              <w:rPr>
                <w:rFonts w:ascii="微软雅黑" w:hAnsi="微软雅黑" w:eastAsia="微软雅黑" w:cs="微软雅黑"/>
                <w:spacing w:val="-4"/>
                <w:sz w:val="23"/>
                <w:szCs w:val="23"/>
              </w:rPr>
              <w:t>耗</w:t>
            </w:r>
          </w:p>
        </w:tc>
        <w:tc>
          <w:tcPr>
            <w:tcW w:w="13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2" w:lineRule="auto"/>
              <w:ind w:left="386" w:right="168" w:hanging="196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千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克标准煤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吨</w:t>
            </w:r>
          </w:p>
        </w:tc>
        <w:tc>
          <w:tcPr>
            <w:tcW w:w="7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4" w:lineRule="auto"/>
              <w:ind w:left="183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520</w:t>
            </w:r>
          </w:p>
        </w:tc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4" w:lineRule="auto"/>
              <w:ind w:left="184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200</w:t>
            </w: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" w:lineRule="exact"/>
        <w:textAlignment w:val="baseline"/>
      </w:pPr>
    </w:p>
    <w:tbl>
      <w:tblPr>
        <w:tblStyle w:val="4"/>
        <w:tblW w:w="8435" w:type="dxa"/>
        <w:tblInd w:w="1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798"/>
        <w:gridCol w:w="1708"/>
        <w:gridCol w:w="1246"/>
        <w:gridCol w:w="1303"/>
        <w:gridCol w:w="793"/>
        <w:gridCol w:w="794"/>
        <w:gridCol w:w="13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28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3" w:lineRule="auto"/>
              <w:ind w:left="68"/>
              <w:textAlignment w:val="baseline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23"/>
                <w:szCs w:val="23"/>
              </w:rPr>
              <w:t>序</w:t>
            </w:r>
            <w:r>
              <w:rPr>
                <w:rFonts w:ascii="方正黑体_GBK" w:hAnsi="方正黑体_GBK" w:eastAsia="方正黑体_GBK" w:cs="方正黑体_GBK"/>
                <w:spacing w:val="3"/>
                <w:sz w:val="23"/>
                <w:szCs w:val="23"/>
              </w:rPr>
              <w:t>号</w:t>
            </w:r>
          </w:p>
        </w:tc>
        <w:tc>
          <w:tcPr>
            <w:tcW w:w="250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6" w:lineRule="auto"/>
              <w:ind w:left="770"/>
              <w:textAlignment w:val="baseline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23"/>
                <w:szCs w:val="23"/>
              </w:rPr>
              <w:t>产</w:t>
            </w:r>
            <w:r>
              <w:rPr>
                <w:rFonts w:ascii="方正黑体_GBK" w:hAnsi="方正黑体_GBK" w:eastAsia="方正黑体_GBK" w:cs="方正黑体_GBK"/>
                <w:spacing w:val="9"/>
                <w:sz w:val="23"/>
                <w:szCs w:val="23"/>
              </w:rPr>
              <w:t>品名称</w:t>
            </w:r>
          </w:p>
        </w:tc>
        <w:tc>
          <w:tcPr>
            <w:tcW w:w="12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5" w:lineRule="auto"/>
              <w:ind w:left="150"/>
              <w:textAlignment w:val="baseline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23"/>
                <w:szCs w:val="23"/>
              </w:rPr>
              <w:t>指</w:t>
            </w: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标名称</w:t>
            </w:r>
          </w:p>
        </w:tc>
        <w:tc>
          <w:tcPr>
            <w:tcW w:w="13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5" w:lineRule="auto"/>
              <w:ind w:left="178"/>
              <w:textAlignment w:val="baseline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23"/>
                <w:szCs w:val="23"/>
              </w:rPr>
              <w:t>指</w:t>
            </w: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标单位</w:t>
            </w:r>
          </w:p>
        </w:tc>
        <w:tc>
          <w:tcPr>
            <w:tcW w:w="7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4" w:lineRule="auto"/>
              <w:ind w:left="161" w:right="153"/>
              <w:textAlignment w:val="baseline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基准</w:t>
            </w: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水</w:t>
            </w: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平</w:t>
            </w:r>
          </w:p>
        </w:tc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4" w:lineRule="auto"/>
              <w:ind w:left="162" w:right="152"/>
              <w:textAlignment w:val="baseline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标</w:t>
            </w: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杆</w:t>
            </w: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水</w:t>
            </w: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平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248" w:right="127" w:hanging="109"/>
              <w:textAlignment w:val="baseline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相关计</w:t>
            </w:r>
            <w:r>
              <w:rPr>
                <w:rFonts w:ascii="方正黑体_GBK" w:hAnsi="方正黑体_GBK" w:eastAsia="方正黑体_GBK" w:cs="方正黑体_GBK"/>
                <w:spacing w:val="-1"/>
                <w:sz w:val="22"/>
                <w:szCs w:val="22"/>
              </w:rPr>
              <w:t>算等</w:t>
            </w: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参考标准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2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4" w:lineRule="auto"/>
              <w:ind w:left="161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6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3" w:lineRule="auto"/>
              <w:ind w:left="167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合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295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氨</w:t>
            </w:r>
          </w:p>
        </w:tc>
        <w:tc>
          <w:tcPr>
            <w:tcW w:w="17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230" w:right="120" w:hanging="105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粉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煤(包括无烟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粉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煤、烟煤)</w:t>
            </w:r>
          </w:p>
        </w:tc>
        <w:tc>
          <w:tcPr>
            <w:tcW w:w="12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2" w:lineRule="auto"/>
              <w:ind w:left="408" w:right="140" w:hanging="249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单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位产品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>能</w:t>
            </w:r>
            <w:r>
              <w:rPr>
                <w:rFonts w:ascii="微软雅黑" w:hAnsi="微软雅黑" w:eastAsia="微软雅黑" w:cs="微软雅黑"/>
                <w:spacing w:val="-4"/>
                <w:sz w:val="23"/>
                <w:szCs w:val="23"/>
              </w:rPr>
              <w:t>耗</w:t>
            </w:r>
          </w:p>
        </w:tc>
        <w:tc>
          <w:tcPr>
            <w:tcW w:w="13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2" w:lineRule="auto"/>
              <w:ind w:left="386" w:right="168" w:hanging="196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千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克标准煤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吨</w:t>
            </w:r>
          </w:p>
        </w:tc>
        <w:tc>
          <w:tcPr>
            <w:tcW w:w="7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4" w:lineRule="auto"/>
              <w:ind w:left="183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550</w:t>
            </w:r>
          </w:p>
        </w:tc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4" w:lineRule="auto"/>
              <w:ind w:left="184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350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191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21344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509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天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然气</w:t>
            </w:r>
          </w:p>
        </w:tc>
        <w:tc>
          <w:tcPr>
            <w:tcW w:w="12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1" w:lineRule="auto"/>
              <w:ind w:left="408" w:right="140" w:hanging="249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单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位产品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>能</w:t>
            </w:r>
            <w:r>
              <w:rPr>
                <w:rFonts w:ascii="微软雅黑" w:hAnsi="微软雅黑" w:eastAsia="微软雅黑" w:cs="微软雅黑"/>
                <w:spacing w:val="-4"/>
                <w:sz w:val="23"/>
                <w:szCs w:val="23"/>
              </w:rPr>
              <w:t>耗</w:t>
            </w:r>
          </w:p>
        </w:tc>
        <w:tc>
          <w:tcPr>
            <w:tcW w:w="13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1" w:lineRule="auto"/>
              <w:ind w:left="386" w:right="168" w:hanging="196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千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克标准煤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吨</w:t>
            </w:r>
          </w:p>
        </w:tc>
        <w:tc>
          <w:tcPr>
            <w:tcW w:w="7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4" w:lineRule="auto"/>
              <w:ind w:left="183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200</w:t>
            </w:r>
          </w:p>
        </w:tc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4" w:lineRule="auto"/>
              <w:ind w:left="184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000</w:t>
            </w: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155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250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6" w:lineRule="auto"/>
              <w:ind w:left="1048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2"/>
                <w:sz w:val="23"/>
                <w:szCs w:val="23"/>
              </w:rPr>
              <w:t>电</w:t>
            </w:r>
            <w:r>
              <w:rPr>
                <w:rFonts w:ascii="微软雅黑" w:hAnsi="微软雅黑" w:eastAsia="微软雅黑" w:cs="微软雅黑"/>
                <w:spacing w:val="-10"/>
                <w:sz w:val="23"/>
                <w:szCs w:val="23"/>
              </w:rPr>
              <w:t>石</w:t>
            </w:r>
          </w:p>
        </w:tc>
        <w:tc>
          <w:tcPr>
            <w:tcW w:w="12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2" w:lineRule="auto"/>
              <w:ind w:left="408" w:right="140" w:hanging="249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单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位产品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>能</w:t>
            </w:r>
            <w:r>
              <w:rPr>
                <w:rFonts w:ascii="微软雅黑" w:hAnsi="微软雅黑" w:eastAsia="微软雅黑" w:cs="微软雅黑"/>
                <w:spacing w:val="-4"/>
                <w:sz w:val="23"/>
                <w:szCs w:val="23"/>
              </w:rPr>
              <w:t>耗</w:t>
            </w:r>
          </w:p>
        </w:tc>
        <w:tc>
          <w:tcPr>
            <w:tcW w:w="13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2" w:lineRule="auto"/>
              <w:ind w:left="386" w:right="168" w:hanging="196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千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克标准煤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吨</w:t>
            </w:r>
          </w:p>
        </w:tc>
        <w:tc>
          <w:tcPr>
            <w:tcW w:w="7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224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94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0</w:t>
            </w:r>
          </w:p>
        </w:tc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4" w:lineRule="auto"/>
              <w:ind w:left="231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805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191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21343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0" w:lineRule="auto"/>
        <w:ind w:left="1" w:right="273" w:firstLine="604"/>
        <w:textAlignment w:val="baseline"/>
        <w:rPr>
          <w:rFonts w:hint="eastAsia" w:ascii="方正黑体_GBK" w:hAnsi="方正黑体_GBK" w:eastAsia="方正黑体_GBK" w:cs="方正黑体_GBK"/>
          <w:spacing w:val="1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16"/>
          <w:sz w:val="32"/>
          <w:szCs w:val="32"/>
        </w:rPr>
        <w:t>二、重点任务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0" w:lineRule="auto"/>
        <w:ind w:right="273" w:firstLine="704" w:firstLineChars="200"/>
        <w:textAlignment w:val="baseline"/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spacing w:val="16"/>
          <w:sz w:val="32"/>
          <w:szCs w:val="32"/>
        </w:rPr>
        <w:t>(一)建立技术改造企业清单。</w:t>
      </w:r>
      <w:r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  <w:t>各地组织开展炼油、乙烯、合成氨、电石企业现有项目能效情况调查，认真排查在建项目，科学评估拟建项目，按照有关法律法规和标准规范，逐一登记造册，经企业申辩和专家评审，建立企业装置能效清单目录，能效达到标杆水平和低于基准水平的企业装置，分别列入能效先进和落后装置清单，并向社会公开，接受监督。有关部门组织申报、评选全国节能降碳或改造提升效果明显的企业，发布行业能效“领跑者”名单，形成一批可借鉴、可复制、可推广的节能典型案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0" w:lineRule="auto"/>
        <w:ind w:right="273" w:firstLine="704" w:firstLineChars="200"/>
        <w:textAlignment w:val="baseline"/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16"/>
          <w:sz w:val="32"/>
          <w:szCs w:val="32"/>
        </w:rPr>
        <w:t>(二)制定技术改造实施方案。</w:t>
      </w:r>
      <w:r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  <w:t>各地在确保经济平稳运行、社会民生稳定基础上，制定石化重点行业企业技术改造总体实施方案，选取炼油、乙烯、合成氨、电石行业节能先进适用技术，引导能效落后企业装置实施技术改造，科学合理制定不同企业节能改造时间表，明确推进步骤、改造期限、技术路线、工作节点、预期目标等。实施方案需科学周密论证，广泛征求意见，特别是要征求相关企业及其所在地方政府意见，并在实施前向社会公示。各技术改造企业据此制定周密细致的具体工作方案，明确落实措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0" w:lineRule="auto"/>
        <w:ind w:right="273" w:firstLine="704" w:firstLineChars="200"/>
        <w:textAlignment w:val="baseline"/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16"/>
          <w:sz w:val="32"/>
          <w:szCs w:val="32"/>
        </w:rPr>
        <w:t>(三)稳妥组织企业实施改造。</w:t>
      </w:r>
      <w:r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  <w:t>各地根据实施方案，指导企业落实好装置改造所需资金，制定技术改造措施，加快技术改造进程，积极协助企业解决改造过程中存在的问题。对于能效介于标杆水平和基准水平之间的企业装置，鼓励结合检修等时机参照标杆水平要求实施改造升级。改造过程中，在落实产能置换等要求前提下，鼓励企业开展兼并重组。对于违规上马、未批先建项目，依法依规严肃查处相关责任人员、单位和企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0" w:lineRule="auto"/>
        <w:ind w:right="273" w:firstLine="704" w:firstLineChars="200"/>
        <w:textAlignment w:val="baseline"/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16"/>
          <w:sz w:val="32"/>
          <w:szCs w:val="32"/>
        </w:rPr>
        <w:t>(四)引导低效产能有序退出。</w:t>
      </w:r>
      <w:r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  <w:t>严格执行《产业结构调整指导目录》等规定，推动200万吨/年及以下炼油装置、天然气常压间歇转化工艺制合成氨、单台炉容量小于12500千伏安的电石炉及开放式电石炉淘汰退出。严禁新建1000万吨/年以下常减压、150万吨/年以下催化裂化、100万吨/年以下连续重整(含芳烃抽提)、150万吨/年以下加氢裂化，80万吨/年以下石脑油裂解制乙烯，固定层间歇气化技术制合成氨装置。新建炼油项目实施产能减量置换，新建电石、尿素(合成氨下游产业链之一)项目实施产能等量或减量置换，推动30万吨/年及以下乙烯、10万吨/年及以下电石装置加快退出，加大闲置产能、僵尸产能处置力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0" w:lineRule="auto"/>
        <w:ind w:right="273" w:firstLine="704" w:firstLineChars="200"/>
        <w:textAlignment w:val="baseline"/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16"/>
          <w:sz w:val="32"/>
          <w:szCs w:val="32"/>
        </w:rPr>
        <w:t>(五)推广节能低碳技术装备。</w:t>
      </w:r>
      <w:r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  <w:t>开展精馏系统能效提升等绿色低碳技术装备攻关，加强成果转化应用。推广重劣质渣油低碳深加工、合成气一步法制烯烃、原油直接裂解制乙烯等技术，大型加氢裂化反应器、气化炉、乙烯裂解炉、压缩机，高效换热器等设计制造技术，特殊催化剂、助剂制备技术，自主化智能控制系统。鼓励采用热泵、热夹点、热联合等技术，加强工艺余热、余压回收，实现能量梯级利用。探索推动蒸汽驱动向电力驱动转变，开展企业供电系统适应性改造。鼓励石化基地或大型园区开展核电供热、供电示范应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0" w:lineRule="auto"/>
        <w:ind w:right="273" w:firstLine="704" w:firstLineChars="200"/>
        <w:textAlignment w:val="baseline"/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16"/>
          <w:sz w:val="32"/>
          <w:szCs w:val="32"/>
        </w:rPr>
        <w:t>(六)推动产业协同集聚发展。</w:t>
      </w:r>
      <w:r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  <w:t>坚持炼化一体化、煤化电热一体化和多联产发展方向，构建企业首尾相连、互为供需和生产装置互联互通的产业链，提高资源综合利用水平，减少物流运输能源消耗。推进开展化工园区认定，引导石化化工生产企业向化工园区转移，提高产业集中集聚集约发展水平，形成规模效应，突出能源环境等基础设施共建共享，降低单位产品能耗和碳排放。鼓励不同行业融合发展，提高资源转化效率，实现协同节能降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0" w:lineRule="auto"/>
        <w:ind w:right="273" w:firstLine="704" w:firstLineChars="200"/>
        <w:textAlignment w:val="baseline"/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16"/>
          <w:sz w:val="32"/>
          <w:szCs w:val="32"/>
        </w:rPr>
        <w:t>(七)修订完善产业政策标准。</w:t>
      </w:r>
      <w:r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  <w:t>对照行业能效基准水平和标杆水平，适时修订《炼油单位产品能源消耗限额》《乙烯装置单位产品能源消耗限额》《合成氨单位产品能源消耗限额》《电石单位产品能源消耗限额》。结合炼油、乙烯、合成氨、电石行业节能降碳行动以及修订的国家能耗限额标准、污染物排放水平，修订《产业结构调整指导目录》《绿色技术推广目录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0" w:lineRule="auto"/>
        <w:ind w:right="273" w:firstLine="704" w:firstLineChars="200"/>
        <w:textAlignment w:val="baseline"/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16"/>
          <w:sz w:val="32"/>
          <w:szCs w:val="32"/>
        </w:rPr>
        <w:t>(八)强化产业政策标准协同。</w:t>
      </w:r>
      <w:r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  <w:t>研究完善炼油、乙烯、合成氨、电石行业绿色电价政策，有效强化电价信号引导作用。按照加强高耗能项目源头防控的政策要求，通过环保核查、节能监察等手段，加大管控查处力度。加强炼油等行业项目准入条件与能效基准水平、标杆水平衔接和匹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0" w:lineRule="auto"/>
        <w:ind w:right="273" w:firstLine="704" w:firstLineChars="200"/>
        <w:textAlignment w:val="baseline"/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16"/>
          <w:sz w:val="32"/>
          <w:szCs w:val="32"/>
        </w:rPr>
        <w:t>(九)加大财政金融支持力度。</w:t>
      </w:r>
      <w:r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  <w:t>落实节能专用装备、技术改造、资源综合利用等方面税收优惠政策。积极发展绿色金融，设立碳减排支持工具，支持金融机构在风险可控、商业可持续的前提下，向碳减排效应显著的重点项目提供高质量的金融服务。拓展绿色债券市场的深度和广度，支持符合条件的节能低碳发展企业上市融资和再融资。落实首台(套)重大技术装备示范应用鼓励政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0" w:lineRule="auto"/>
        <w:ind w:right="273" w:firstLine="704" w:firstLineChars="200"/>
        <w:textAlignment w:val="baseline"/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16"/>
          <w:sz w:val="32"/>
          <w:szCs w:val="32"/>
        </w:rPr>
        <w:t>(十)加大配套监督管理力度。</w:t>
      </w:r>
      <w:r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  <w:t>加强源头把控，建立炼油、乙烯、合成氨、电石等行业企业能耗和碳排放监测与评价体系，稳步推进企业能耗和碳排放核算、报告、核查和评价工作。强化日常监管，组织实施国家工业专项节能监察，加强对企业能效水平执行情况的监督检查，确保相关政策要求执行到位。压实属地监管责任，建立健全通报批评、用能预警、约谈问责等工作机制，完善重点行业节能降碳监管体系。发挥信用信息共享平台作用，加强对违规企业的失信联合惩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0" w:lineRule="auto"/>
        <w:ind w:left="1" w:right="273" w:firstLine="604"/>
        <w:textAlignment w:val="baseline"/>
        <w:rPr>
          <w:rFonts w:hint="eastAsia" w:ascii="方正黑体_GBK" w:hAnsi="方正黑体_GBK" w:eastAsia="方正黑体_GBK" w:cs="方正黑体_GBK"/>
          <w:spacing w:val="1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16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0" w:lineRule="auto"/>
        <w:ind w:left="1" w:right="273" w:firstLine="604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  <w:t>发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>展改革、工业和信息化、财政、生态环境、人民银行、市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场监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管、证监、能源等部门要加强协同配合，形成工作合力，统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筹协调推进各项工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作。各地方要高度重视，进一步压实责任，细化工作任务，明确落实举措。有关行业协会要充分发挥桥梁纽带作用，引导行业企业凝聚共识，形成一致行动，协同推进节能降碳工作。有关企业要强化绿色低碳发展意识，落实主体责任，严格按照时间节点要求完成各项任务。</w:t>
      </w:r>
    </w:p>
    <w:sectPr>
      <w:pgSz w:w="11906" w:h="16839"/>
      <w:pgMar w:top="1431" w:right="1614" w:bottom="0" w:left="16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QyOWE0YzNlZjVhMmQ1NzI2MTkxMmE3YzNmN2IyY2UifQ=="/>
  </w:docVars>
  <w:rsids>
    <w:rsidRoot w:val="00000000"/>
    <w:rsid w:val="4F763D80"/>
    <w:rsid w:val="771B15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2600</Words>
  <Characters>2698</Characters>
  <TotalTime>11</TotalTime>
  <ScaleCrop>false</ScaleCrop>
  <LinksUpToDate>false</LinksUpToDate>
  <CharactersWithSpaces>2708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2021-10-21T19:26:00Z</dcterms:created>
  <dc:creator>X1 Carbon</dc:creator>
  <cp:lastModifiedBy>袁哈利</cp:lastModifiedBy>
  <dcterms:modified xsi:type="dcterms:W3CDTF">2023-08-28T03:30:46Z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2023-08-28T10:26:13Z</vt:filetime>
  </property>
  <property fmtid="{D5CDD505-2E9C-101B-9397-08002B2CF9AE}" pid="4" name="KSOProductBuildVer">
    <vt:lpwstr>2052-11.1.0.14309</vt:lpwstr>
  </property>
  <property fmtid="{D5CDD505-2E9C-101B-9397-08002B2CF9AE}" pid="5" name="ICV">
    <vt:lpwstr>4A847C9112D34E5F93A64A954FC8626E_12</vt:lpwstr>
  </property>
</Properties>
</file>