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047" w:right="136" w:hanging="1877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冶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金、建材重点行业严格能效约束推动节能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降碳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行动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方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案(2021-2025年)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48" w:right="139" w:hanging="1879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为贯彻落实党中央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、国务院碳达峰碳中和相关工作部署，坚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决遏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“两高”项目盲目发展，推动钢铁、电解铝、水泥、平板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玻璃等重点行业绿色低碳转型，确保如期实现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碳达峰目标，根据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关于严格能效约束推动重点领域节能降碳的若干意见》，制定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行动方案。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9"/>
        <w:textAlignment w:val="baseline"/>
        <w:rPr>
          <w:rFonts w:hint="eastAsia" w:ascii="黑体" w:hAnsi="黑体" w:eastAsia="黑体" w:cs="黑体"/>
          <w:spacing w:val="-19"/>
          <w:sz w:val="32"/>
          <w:szCs w:val="32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一、行动目标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firstLine="609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年，通过实施节能降碳行动，钢铁、电解铝、水泥、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平板玻璃行业能效达到标杆水平的产能比例超过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，行业整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能效水平明显提升，碳排放强度明显下降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，绿色低碳发展能力显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增强。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准水平和标杆水平具体指标如下。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重点行业能效基准水平和标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杆水平</w:t>
      </w:r>
    </w:p>
    <w:tbl>
      <w:tblPr>
        <w:tblStyle w:val="4"/>
        <w:tblW w:w="86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"/>
        <w:gridCol w:w="292"/>
        <w:gridCol w:w="149"/>
        <w:gridCol w:w="533"/>
        <w:gridCol w:w="149"/>
        <w:gridCol w:w="1135"/>
        <w:gridCol w:w="252"/>
        <w:gridCol w:w="1326"/>
        <w:gridCol w:w="149"/>
        <w:gridCol w:w="1102"/>
        <w:gridCol w:w="141"/>
        <w:gridCol w:w="648"/>
        <w:gridCol w:w="180"/>
        <w:gridCol w:w="790"/>
        <w:gridCol w:w="149"/>
        <w:gridCol w:w="1331"/>
        <w:gridCol w:w="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80" w:type="dxa"/>
          <w:trHeight w:val="608" w:hRule="atLeast"/>
          <w:jc w:val="center"/>
        </w:trPr>
        <w:tc>
          <w:tcPr>
            <w:tcW w:w="441" w:type="dxa"/>
            <w:gridSpan w:val="2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6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9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2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指标名称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指标单位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平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4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4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平</w:t>
            </w:r>
          </w:p>
        </w:tc>
        <w:tc>
          <w:tcPr>
            <w:tcW w:w="1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2" w:right="124" w:hanging="10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相关计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算等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参考标准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80" w:type="dxa"/>
          <w:trHeight w:val="604" w:hRule="atLeast"/>
          <w:jc w:val="center"/>
        </w:trPr>
        <w:tc>
          <w:tcPr>
            <w:tcW w:w="4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8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3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钢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铁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高炉工序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位产品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4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耗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9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克标准煤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/吨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435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2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61</w:t>
            </w:r>
          </w:p>
        </w:tc>
        <w:tc>
          <w:tcPr>
            <w:tcW w:w="148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21256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80" w:type="dxa"/>
          <w:trHeight w:val="604" w:hRule="atLeast"/>
          <w:jc w:val="center"/>
        </w:trPr>
        <w:tc>
          <w:tcPr>
            <w:tcW w:w="4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转炉工序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位产品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4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耗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9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克标准煤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/吨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w w:val="95"/>
                <w:sz w:val="24"/>
                <w:szCs w:val="24"/>
              </w:rPr>
              <w:t>-10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30</w:t>
            </w:r>
          </w:p>
        </w:tc>
        <w:tc>
          <w:tcPr>
            <w:tcW w:w="148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180" w:type="dxa"/>
          <w:trHeight w:val="606" w:hRule="atLeast"/>
          <w:jc w:val="center"/>
        </w:trPr>
        <w:tc>
          <w:tcPr>
            <w:tcW w:w="4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2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3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解铝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0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铝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液交流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52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4"/>
                <w:szCs w:val="24"/>
              </w:rPr>
              <w:t>耗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千瓦时/吨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3350</w:t>
            </w:r>
          </w:p>
        </w:tc>
        <w:tc>
          <w:tcPr>
            <w:tcW w:w="9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3000</w:t>
            </w:r>
          </w:p>
        </w:tc>
        <w:tc>
          <w:tcPr>
            <w:tcW w:w="14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21346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Before w:val="1"/>
          <w:wBefore w:w="149" w:type="dxa"/>
          <w:wAfter w:w="0" w:type="auto"/>
          <w:trHeight w:val="608" w:hRule="atLeast"/>
          <w:jc w:val="center"/>
        </w:trPr>
        <w:tc>
          <w:tcPr>
            <w:tcW w:w="441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6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指标名称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指标单位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平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4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4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平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42" w:right="124" w:hanging="10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相关计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算等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参考标准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9" w:type="dxa"/>
          <w:wAfter w:w="0" w:type="auto"/>
          <w:trHeight w:val="604" w:hRule="atLeast"/>
          <w:jc w:val="center"/>
        </w:trPr>
        <w:tc>
          <w:tcPr>
            <w:tcW w:w="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6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泥熟料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可比熟料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综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合能耗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9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克标准煤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/吨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9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117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8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16780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9" w:type="dxa"/>
          <w:wAfter w:w="0" w:type="auto"/>
          <w:trHeight w:val="604" w:hRule="atLeast"/>
          <w:jc w:val="center"/>
        </w:trPr>
        <w:tc>
          <w:tcPr>
            <w:tcW w:w="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4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7" w:right="11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板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玻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璃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62" w:right="142" w:hanging="29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500≤800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吨/天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位产品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耗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6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克标准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煤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/重量箱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6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3.5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9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21340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8" w:right="107" w:firstLine="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汽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车用平板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玻璃能耗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修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正系数参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9" w:type="dxa"/>
          <w:wAfter w:w="0" w:type="auto"/>
          <w:trHeight w:val="718" w:hRule="atLeast"/>
          <w:jc w:val="center"/>
        </w:trPr>
        <w:tc>
          <w:tcPr>
            <w:tcW w:w="4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3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8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&gt;80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0吨/天</w:t>
            </w:r>
          </w:p>
        </w:tc>
        <w:tc>
          <w:tcPr>
            <w:tcW w:w="14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位产品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耗</w:t>
            </w:r>
          </w:p>
        </w:tc>
        <w:tc>
          <w:tcPr>
            <w:tcW w:w="12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68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千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克标准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煤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/重量箱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87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5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9"/>
        <w:textAlignment w:val="baseline"/>
        <w:rPr>
          <w:rFonts w:hint="eastAsia" w:ascii="黑体" w:hAnsi="黑体" w:eastAsia="黑体" w:cs="黑体"/>
          <w:spacing w:val="-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9"/>
        <w:textAlignment w:val="baseline"/>
        <w:rPr>
          <w:rFonts w:hint="eastAsia" w:ascii="黑体" w:hAnsi="黑体" w:eastAsia="黑体" w:cs="黑体"/>
          <w:spacing w:val="-19"/>
          <w:sz w:val="32"/>
          <w:szCs w:val="32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/>
        <w:tabs>
          <w:tab w:val="left" w:pos="7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firstLine="57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楷体" w:hAnsi="楷体" w:eastAsia="楷体" w:cs="楷体"/>
          <w:spacing w:val="10"/>
          <w:sz w:val="32"/>
          <w:szCs w:val="32"/>
        </w:rPr>
        <w:t>(</w:t>
      </w:r>
      <w:r>
        <w:rPr>
          <w:rFonts w:hint="eastAsia" w:ascii="楷体" w:hAnsi="楷体" w:eastAsia="楷体" w:cs="楷体"/>
          <w:spacing w:val="6"/>
          <w:sz w:val="32"/>
          <w:szCs w:val="32"/>
        </w:rPr>
        <w:t>一)建立技术改造企业清单。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各地组织开展钢铁、电解铝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水泥、平板玻璃企业现有项目能效情况调查，认真排查在建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目，科学评估拟建项目，按照有关法律法规和标准规范，逐一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登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造册，经企业申辩和专家评审，建立企业能效清单目录，能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效达到标杆水平和低于基准水平的企业，分别列入能效先进和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单，并向社会公开，接受监督。有关部门组织申报、评选全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能降碳或改造提升效果明显的企业，发布行业能效“领跑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者”名单，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形成一批可借鉴、可复制、可推广的节能典型案例。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楷体" w:hAnsi="楷体" w:eastAsia="楷体" w:cs="楷体"/>
          <w:spacing w:val="10"/>
          <w:sz w:val="32"/>
          <w:szCs w:val="32"/>
        </w:rPr>
        <w:t>(二)制定技术改造实施方案。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各地在确保经济平稳运行、社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会民生稳定基础上，制定冶金、建材重点行业企业技术改造总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实施方案，选取钢铁、电解铝、水泥、平板玻璃等行业节能先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进适用技术，引导能效水平相对落后企业实施技术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改造，科学合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制定不同企业节能改造时间表，明确推进步骤、改造期限、技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术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路线、工作节点、预期目标等。实施方案需科学周密论证，广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泛征求意见，特别是要征求相关企业及其所在地方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政府意见，并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施前向社会公示。各技术改造企业据此制定周密细致的具体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方案，明确落实措施。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0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(三)稳妥组织企业实施改造。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各地根据实施方案，指导企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实好改造所需资金，制定技术改造措施，加快技术改造进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，积极协助企业解决改造过程中存在的问题。对于能效介于标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杆水平和基准水平之间的企业，鼓励结合检修等时机参照标杆水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平要求实施改造升级。改造过程中，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在落实产能置换等要求前提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鼓励企业开展兼并重组。对于违规上马、未批先建项目，依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规严肃查处相关责任人员、单位和企业。</w:t>
      </w:r>
    </w:p>
    <w:p>
      <w:pPr>
        <w:keepNext w:val="0"/>
        <w:keepLines w:val="0"/>
        <w:pageBreakBefore w:val="0"/>
        <w:widowControl/>
        <w:tabs>
          <w:tab w:val="left" w:pos="7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2" w:firstLine="575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(四)引导低效产能有序退出。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综合发挥能耗、排放等约</w:t>
      </w:r>
      <w:r>
        <w:rPr>
          <w:rFonts w:hint="eastAsia" w:ascii="仿宋_GB2312" w:hAnsi="仿宋_GB2312" w:eastAsia="仿宋_GB2312" w:cs="仿宋_GB2312"/>
          <w:sz w:val="32"/>
          <w:szCs w:val="32"/>
        </w:rPr>
        <w:t>束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性指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标作用，严格执行有关标准、政策，加强监督检查，引导低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产能有序退出。加大淘汰落后产能工作力度，严格执行《产业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结构调整指导目录》等规定，坚决淘汰落后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生产工艺、技术、设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7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576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(五)创新发展绿色低碳技术。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深入研究钢铁、电解铝、水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、平板玻璃等行业节能低碳技术发展路线，加强节能低碳关键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性技术、前沿引领技术、颠覆性技术研发。加快先进适用节能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低碳技术产业化应用，进一步提升能源利用效率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。基于产品全生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命周期绿色发展理念，开展工业产品绿色设计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，开发优质、高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、长寿命的钢铁、电解铝、水泥、平板玻璃绿色设计产品，引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下游行业选用绿色产品，建设绿色工厂。</w:t>
      </w:r>
    </w:p>
    <w:p>
      <w:pPr>
        <w:keepNext w:val="0"/>
        <w:keepLines w:val="0"/>
        <w:pageBreakBefore w:val="0"/>
        <w:widowControl/>
        <w:tabs>
          <w:tab w:val="left" w:pos="7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(六)推进产业结构优化调整。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做好产业布局、结构调整、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节能审查与能耗双控政策的衔接。推动钢铁、电解铝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、水泥、平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板玻璃等行业集中集聚发展，提高集约化、现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代化水平，形成规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模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益，降低单位产品能耗。加快推进钢铁、电解铝、水泥、平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板玻璃等行业兼并重组。进一步优化产业布局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，推动新建钢铁冶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炼项目依托现有生产基地集聚发展，鼓励有条件地区的长流程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通过就地改造转型发展电炉短流程炼钢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0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(七)修订完善产业政策标准。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对照行业能效基准水平和标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杆水平，适时修订钢铁、电解铝等行业的国家能耗限额标准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合钢铁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、电解铝、水泥、平板玻璃等行业节能降碳行动以及修订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的国家能耗限额标准、污染物排放水平，修订《产业结构调整指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目录》《绿色技术推广目录》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firstLine="574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(八)强化产业政策标准协同。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认真落实电解铝行业阶梯电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策，完善钢铁、水泥、平板玻璃行业绿色电价政策，有效强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价信号引导作用。按照加强高耗能项目源头防控的政策要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，通过节能审查、环评审查等手段，推动项目高标准建设，加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大违法违规问题查处力度。加强钢铁、电解</w:t>
      </w:r>
      <w:r>
        <w:rPr>
          <w:rFonts w:hint="eastAsia" w:ascii="仿宋_GB2312" w:hAnsi="仿宋_GB2312" w:eastAsia="仿宋_GB2312" w:cs="仿宋_GB2312"/>
          <w:sz w:val="32"/>
          <w:szCs w:val="32"/>
        </w:rPr>
        <w:t>铝、水泥、平板玻璃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行业规范条件与能效基准水平、标杆水平的协同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(九)加大财政金融支持力度。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落实节能专用装备、技术改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造、资源综合利用等方面税收优惠政策。积极发展绿色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金融，设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碳减排支持工具，支持金融机构在风险可控、商业可持续的前提下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向碳减排效应显著的重点项目提供高质量的金融服务。拓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绿色债券市场的深度和广度，支持符合条件的企业上市融资和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再融资。落实重点新材料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首批次应用鼓励政策。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(十)加大配套监督管理力度。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加强源头把控，建立钢铁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解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铝、水泥、平板玻璃等行业企业能耗和碳排放监测与评价体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系，稳步推进企业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能耗和碳排放核算、报告、核查和评价工作。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强化日常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监管，组织实施国家工业专项节能监察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加强对企业能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水平执行情况的监督检查，确保相关政策要求执行到位。压实属地监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责任，建立健全通报批评、用能预警、约谈问责等工作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机制，完善重点行业节能降碳监管体系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9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15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发展改革、科技、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工业和信息化、财政、生态环境、人民银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、市场监管、证监等部门要加强协同配合，形成工作合力，统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调推进各项工作。各地方要高度重视，进一步压实责任，细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化工作任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务，明确落实举措。有关行业协会要充分发挥桥梁纽带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，引导行业企业凝聚共识，形成一致行动，协同推进节能降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碳工作。有关企业要强化绿色低碳发展意识，落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实主体责任，严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照时间节点要求完成各项任务。</w:t>
      </w:r>
    </w:p>
    <w:sectPr>
      <w:pgSz w:w="11906" w:h="16839"/>
      <w:pgMar w:top="1431" w:right="1617" w:bottom="0" w:left="16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yOWE0YzNlZjVhMmQ1NzI2MTkxMmE3YzNmN2IyY2UifQ=="/>
  </w:docVars>
  <w:rsids>
    <w:rsidRoot w:val="00000000"/>
    <w:rsid w:val="41320C42"/>
    <w:rsid w:val="6EB13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2425</Words>
  <Characters>2496</Characters>
  <TotalTime>14</TotalTime>
  <ScaleCrop>false</ScaleCrop>
  <LinksUpToDate>false</LinksUpToDate>
  <CharactersWithSpaces>2666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2021-10-21T19:25:00Z</dcterms:created>
  <dc:creator>X1 Carbon</dc:creator>
  <cp:lastModifiedBy>袁哈利</cp:lastModifiedBy>
  <dcterms:modified xsi:type="dcterms:W3CDTF">2023-08-28T03:16:52Z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2023-08-28T10:55:18Z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45C5D2EF0A8B43998B226A47384B1971_12</vt:lpwstr>
  </property>
</Properties>
</file>