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昌吉州消防支队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71C6DF6">
      <w:r>
        <w:br w:type="page"/>
      </w:r>
    </w:p>
    <w:p w14:paraId="4314A197">
      <w:pPr>
        <w:spacing w:line="640" w:lineRule="exact"/>
        <w:jc w:val="center"/>
        <w:outlineLvl w:val="1"/>
      </w:pPr>
      <w:r>
        <w:rPr>
          <w:rFonts w:ascii="黑体" w:hAnsi="黑体" w:eastAsia="黑体"/>
          <w:sz w:val="32"/>
        </w:rPr>
        <w:t>第一部分 单位概况</w:t>
      </w:r>
    </w:p>
    <w:p w14:paraId="5C6899FB">
      <w:pPr>
        <w:spacing w:line="640" w:lineRule="exact"/>
        <w:ind w:firstLine="640"/>
        <w:jc w:val="both"/>
        <w:outlineLvl w:val="2"/>
      </w:pPr>
      <w:r>
        <w:rPr>
          <w:rFonts w:ascii="黑体" w:hAnsi="黑体" w:eastAsia="黑体"/>
          <w:sz w:val="32"/>
        </w:rPr>
        <w:t>一、主要职能</w:t>
      </w:r>
    </w:p>
    <w:p w14:paraId="48CBDC72">
      <w:pPr>
        <w:spacing w:line="580" w:lineRule="exact"/>
        <w:ind w:firstLine="640"/>
        <w:jc w:val="both"/>
      </w:pPr>
      <w:r>
        <w:rPr>
          <w:rFonts w:ascii="仿宋_GB2312" w:hAnsi="仿宋_GB2312" w:eastAsia="仿宋_GB2312"/>
          <w:sz w:val="32"/>
        </w:rPr>
        <w:t>昌吉回族自治州消防救援支队面对服务保障高质量发展的时代使命、应对“全灾种、大应急”的实战考验，在总队党委和州党委、政府的坚强领导下，支队党委高举习近平新时代中国特色社会主义思想伟大旗帜，深入学习贯彻党的二十届历次全会精神，忠实践行习近平总书记重要训词精神，</w:t>
      </w:r>
      <w:r>
        <w:rPr>
          <w:rFonts w:hint="eastAsia" w:ascii="仿宋_GB2312" w:hAnsi="仿宋_GB2312" w:eastAsia="仿宋_GB2312"/>
          <w:sz w:val="32"/>
          <w:lang w:eastAsia="zh-CN"/>
        </w:rPr>
        <w:t>完整准确全面贯彻新时代党的治疆方略</w:t>
      </w:r>
      <w:r>
        <w:rPr>
          <w:rFonts w:ascii="仿宋_GB2312" w:hAnsi="仿宋_GB2312" w:eastAsia="仿宋_GB2312"/>
          <w:sz w:val="32"/>
        </w:rPr>
        <w:t>，以巩固拓展主题教育成果为牵引，以</w:t>
      </w:r>
      <w:r>
        <w:rPr>
          <w:rFonts w:hint="eastAsia" w:ascii="仿宋_GB2312" w:hAnsi="仿宋_GB2312" w:eastAsia="仿宋_GB2312"/>
          <w:sz w:val="32"/>
          <w:lang w:val="en-US" w:eastAsia="zh-CN"/>
        </w:rPr>
        <w:t>中央</w:t>
      </w:r>
      <w:bookmarkStart w:id="0" w:name="_GoBack"/>
      <w:bookmarkEnd w:id="0"/>
      <w:r>
        <w:rPr>
          <w:rFonts w:ascii="仿宋_GB2312" w:hAnsi="仿宋_GB2312" w:eastAsia="仿宋_GB2312"/>
          <w:sz w:val="32"/>
        </w:rPr>
        <w:t>八项规定学题教育为抓手，聚力打好“五大攻坚战”，团结带领全州消防救援队伍踔厉奋发、勇毅前行，高质量发展迈出坚实步伐，基层基础不断巩固提升，火灾形势持续向稳向好，为全州经济社会发展筑牢了坚实的消防安全屏障。</w:t>
      </w:r>
    </w:p>
    <w:p w14:paraId="74422D12">
      <w:pPr>
        <w:spacing w:line="640" w:lineRule="exact"/>
        <w:ind w:firstLine="640"/>
        <w:jc w:val="both"/>
        <w:outlineLvl w:val="2"/>
      </w:pPr>
      <w:r>
        <w:rPr>
          <w:rFonts w:ascii="黑体" w:hAnsi="黑体" w:eastAsia="黑体"/>
          <w:sz w:val="32"/>
        </w:rPr>
        <w:t>二、机构设置</w:t>
      </w:r>
    </w:p>
    <w:p w14:paraId="7A5EA717">
      <w:pPr>
        <w:spacing w:line="580" w:lineRule="exact"/>
        <w:ind w:firstLine="640"/>
        <w:jc w:val="both"/>
      </w:pPr>
      <w:r>
        <w:rPr>
          <w:rFonts w:ascii="仿宋_GB2312" w:hAnsi="仿宋_GB2312" w:eastAsia="仿宋_GB2312"/>
          <w:sz w:val="32"/>
        </w:rPr>
        <w:t>昌吉州消防支队无下属预算单位。</w:t>
      </w:r>
    </w:p>
    <w:p w14:paraId="7066D643">
      <w:r>
        <w:br w:type="page"/>
      </w:r>
    </w:p>
    <w:p w14:paraId="1AF5F57F">
      <w:pPr>
        <w:spacing w:line="240" w:lineRule="auto"/>
        <w:jc w:val="center"/>
        <w:outlineLvl w:val="1"/>
      </w:pPr>
      <w:r>
        <w:rPr>
          <w:rFonts w:ascii="黑体" w:hAnsi="黑体" w:eastAsia="黑体"/>
          <w:sz w:val="32"/>
        </w:rPr>
        <w:t>第二部分 部门决算情况说明</w:t>
      </w:r>
    </w:p>
    <w:p w14:paraId="210B8A82">
      <w:pPr>
        <w:spacing w:line="640" w:lineRule="exact"/>
        <w:ind w:firstLine="640"/>
        <w:jc w:val="both"/>
        <w:outlineLvl w:val="2"/>
      </w:pPr>
      <w:r>
        <w:rPr>
          <w:rFonts w:ascii="黑体" w:hAnsi="黑体" w:eastAsia="黑体"/>
          <w:sz w:val="32"/>
        </w:rPr>
        <w:t>一、收入支出决算总体情况说明</w:t>
      </w:r>
    </w:p>
    <w:p w14:paraId="2EBC0D2F">
      <w:pPr>
        <w:spacing w:line="580" w:lineRule="exact"/>
        <w:ind w:firstLine="640"/>
        <w:jc w:val="both"/>
      </w:pPr>
      <w:r>
        <w:rPr>
          <w:rFonts w:ascii="仿宋_GB2312" w:hAnsi="仿宋_GB2312" w:eastAsia="仿宋_GB2312"/>
          <w:b/>
          <w:sz w:val="32"/>
        </w:rPr>
        <w:t>2025年度收入总计8,141.95万元，</w:t>
      </w:r>
      <w:r>
        <w:rPr>
          <w:rFonts w:ascii="仿宋_GB2312" w:hAnsi="仿宋_GB2312" w:eastAsia="仿宋_GB2312"/>
          <w:b w:val="0"/>
          <w:sz w:val="32"/>
        </w:rPr>
        <w:t>其中：本年收入合计8,141.95万元，使用非财政拨款结余（含专用结余）0.00万元，年初结转和结余0.00万元。</w:t>
      </w:r>
    </w:p>
    <w:p w14:paraId="5D6945F8">
      <w:pPr>
        <w:spacing w:line="580" w:lineRule="exact"/>
        <w:ind w:firstLine="640"/>
        <w:jc w:val="both"/>
      </w:pPr>
      <w:r>
        <w:rPr>
          <w:rFonts w:ascii="仿宋_GB2312" w:hAnsi="仿宋_GB2312" w:eastAsia="仿宋_GB2312"/>
          <w:b/>
          <w:sz w:val="32"/>
        </w:rPr>
        <w:t>2025年度支出总计8,141.95万元，</w:t>
      </w:r>
      <w:r>
        <w:rPr>
          <w:rFonts w:ascii="仿宋_GB2312" w:hAnsi="仿宋_GB2312" w:eastAsia="仿宋_GB2312"/>
          <w:b w:val="0"/>
          <w:sz w:val="32"/>
        </w:rPr>
        <w:t>其中：本年支出合计8,141.95万元，结余分配0.00万元，年末结转和结余0.00万元。</w:t>
      </w:r>
    </w:p>
    <w:p w14:paraId="42A37FF6">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增加6,840.35万元，增长525.53%，主要原因是：本年增加装备建设经费、准东实战实训基地前期建设专用经费、自然灾害应急能力提升工程装备配备项目前期费用及安全生产考核奖金等项目。</w:t>
      </w:r>
    </w:p>
    <w:p w14:paraId="0B7DA132">
      <w:pPr>
        <w:spacing w:line="640" w:lineRule="exact"/>
        <w:ind w:firstLine="640"/>
        <w:jc w:val="both"/>
        <w:outlineLvl w:val="2"/>
      </w:pPr>
      <w:r>
        <w:rPr>
          <w:rFonts w:ascii="黑体" w:hAnsi="黑体" w:eastAsia="黑体"/>
          <w:sz w:val="32"/>
        </w:rPr>
        <w:t>二、收入决算情况说明</w:t>
      </w:r>
    </w:p>
    <w:p w14:paraId="1777F9F2">
      <w:pPr>
        <w:spacing w:line="580" w:lineRule="exact"/>
        <w:ind w:firstLine="640"/>
        <w:jc w:val="both"/>
      </w:pPr>
      <w:r>
        <w:rPr>
          <w:rFonts w:ascii="仿宋_GB2312" w:hAnsi="仿宋_GB2312" w:eastAsia="仿宋_GB2312"/>
          <w:b/>
          <w:sz w:val="32"/>
        </w:rPr>
        <w:t>本年收入8,141.95万元，</w:t>
      </w:r>
      <w:r>
        <w:rPr>
          <w:rFonts w:ascii="仿宋_GB2312" w:hAnsi="仿宋_GB2312" w:eastAsia="仿宋_GB2312"/>
          <w:b w:val="0"/>
          <w:sz w:val="32"/>
        </w:rPr>
        <w:t>其中：财政拨款收入8,141.95万元，占100.00%；上级补助收入0.00万元，占0.00%；事业收入0.00万元，占0.00%；经营收入0.00万元，占0.00%；附属单位上缴收入0.00万元，占0.00%；其他收入0.00万元，占0.00%。</w:t>
      </w:r>
    </w:p>
    <w:p w14:paraId="2F6844E9">
      <w:pPr>
        <w:spacing w:line="640" w:lineRule="exact"/>
        <w:ind w:firstLine="640"/>
        <w:jc w:val="both"/>
        <w:outlineLvl w:val="2"/>
      </w:pPr>
      <w:r>
        <w:rPr>
          <w:rFonts w:ascii="黑体" w:hAnsi="黑体" w:eastAsia="黑体"/>
          <w:sz w:val="32"/>
        </w:rPr>
        <w:t>三、支出决算情况说明</w:t>
      </w:r>
    </w:p>
    <w:p w14:paraId="54D23526">
      <w:pPr>
        <w:spacing w:line="580" w:lineRule="exact"/>
        <w:ind w:firstLine="640"/>
        <w:jc w:val="both"/>
      </w:pPr>
      <w:r>
        <w:rPr>
          <w:rFonts w:ascii="仿宋_GB2312" w:hAnsi="仿宋_GB2312" w:eastAsia="仿宋_GB2312"/>
          <w:b/>
          <w:sz w:val="32"/>
        </w:rPr>
        <w:t>本年支出8,141.95万元，</w:t>
      </w:r>
      <w:r>
        <w:rPr>
          <w:rFonts w:ascii="仿宋_GB2312" w:hAnsi="仿宋_GB2312" w:eastAsia="仿宋_GB2312"/>
          <w:b w:val="0"/>
          <w:sz w:val="32"/>
        </w:rPr>
        <w:t>其中：基本支出718.06万元，占8.82%；项目支出7,423.89万元，占91.18%；上缴上级支出0.00万元，占0.00%；经营支出0.00万元，占0.00%；对附属单位补助支出0.00万元，占0.00%。</w:t>
      </w:r>
    </w:p>
    <w:p w14:paraId="4C043F0B">
      <w:pPr>
        <w:spacing w:line="640" w:lineRule="exact"/>
        <w:ind w:firstLine="640"/>
        <w:jc w:val="both"/>
        <w:outlineLvl w:val="2"/>
      </w:pPr>
      <w:r>
        <w:rPr>
          <w:rFonts w:ascii="黑体" w:hAnsi="黑体" w:eastAsia="黑体"/>
          <w:sz w:val="32"/>
        </w:rPr>
        <w:t>四、财政拨款收入支出决算总体情况说明</w:t>
      </w:r>
    </w:p>
    <w:p w14:paraId="2AA4B3F5">
      <w:pPr>
        <w:spacing w:line="580" w:lineRule="exact"/>
        <w:ind w:firstLine="640"/>
        <w:jc w:val="both"/>
      </w:pPr>
      <w:r>
        <w:rPr>
          <w:rFonts w:ascii="仿宋_GB2312" w:hAnsi="仿宋_GB2312" w:eastAsia="仿宋_GB2312"/>
          <w:b/>
          <w:sz w:val="32"/>
        </w:rPr>
        <w:t>2025年度财政拨款收入总计8,141.95万元，</w:t>
      </w:r>
      <w:r>
        <w:rPr>
          <w:rFonts w:ascii="仿宋_GB2312" w:hAnsi="仿宋_GB2312" w:eastAsia="仿宋_GB2312"/>
          <w:b w:val="0"/>
          <w:sz w:val="32"/>
        </w:rPr>
        <w:t>其中：年初财政拨款结转和结余0.00万元，本年财政拨款收入8,141.95万元。</w:t>
      </w:r>
      <w:r>
        <w:rPr>
          <w:rFonts w:ascii="仿宋_GB2312" w:hAnsi="仿宋_GB2312" w:eastAsia="仿宋_GB2312"/>
          <w:b/>
          <w:sz w:val="32"/>
        </w:rPr>
        <w:t>财政拨款支出总计8,141.95万元，</w:t>
      </w:r>
      <w:r>
        <w:rPr>
          <w:rFonts w:ascii="仿宋_GB2312" w:hAnsi="仿宋_GB2312" w:eastAsia="仿宋_GB2312"/>
          <w:b w:val="0"/>
          <w:sz w:val="32"/>
        </w:rPr>
        <w:t>其中：年末财政拨款结转和结余0.00万元，本年财政拨款支出8,141.95万元。</w:t>
      </w:r>
    </w:p>
    <w:p w14:paraId="509630A7">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增加6,840.35万元，增长525.53%，主要原因是：本年增加装备建设经费、准东实战实训基地前期建设专用经费、自然灾害应急能力提升工程装备配备项目前期费用及安全生产考核奖金等项目。</w:t>
      </w:r>
      <w:r>
        <w:rPr>
          <w:rFonts w:ascii="仿宋_GB2312" w:hAnsi="仿宋_GB2312" w:eastAsia="仿宋_GB2312"/>
          <w:b/>
          <w:sz w:val="32"/>
        </w:rPr>
        <w:t>与年初预算相比，</w:t>
      </w:r>
      <w:r>
        <w:rPr>
          <w:rFonts w:ascii="仿宋_GB2312" w:hAnsi="仿宋_GB2312" w:eastAsia="仿宋_GB2312"/>
          <w:b w:val="0"/>
          <w:sz w:val="32"/>
        </w:rPr>
        <w:t>年初预算数11,050.82万元，决算数8,141.95万元，预决算差异率-26.32%，主要原因是：准东经济技术开发区国家级煤化工事故处置实战实训基地建设项目按照工作计划推进实施，因项目实施条件、工作时序等客观因素，当年未能完成全部支出，对应经费未发生实际支付，造成年初预算与决算数据存在差异。</w:t>
      </w:r>
    </w:p>
    <w:p w14:paraId="10654227">
      <w:pPr>
        <w:spacing w:line="640" w:lineRule="exact"/>
        <w:ind w:firstLine="640"/>
        <w:jc w:val="both"/>
        <w:outlineLvl w:val="2"/>
      </w:pPr>
      <w:r>
        <w:rPr>
          <w:rFonts w:ascii="黑体" w:hAnsi="黑体" w:eastAsia="黑体"/>
          <w:sz w:val="32"/>
        </w:rPr>
        <w:t>五、一般公共预算财政拨款支出决算情况说明</w:t>
      </w:r>
    </w:p>
    <w:p w14:paraId="412AD154">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灭火救援、防火监督检查工作等重点支出，体现在有关支出科目中。</w:t>
      </w:r>
    </w:p>
    <w:p w14:paraId="71AE37E5">
      <w:pPr>
        <w:spacing w:line="580" w:lineRule="exact"/>
        <w:ind w:firstLine="640"/>
        <w:jc w:val="both"/>
      </w:pPr>
      <w:r>
        <w:rPr>
          <w:rFonts w:ascii="仿宋_GB2312" w:hAnsi="仿宋_GB2312" w:eastAsia="仿宋_GB2312"/>
          <w:b w:val="0"/>
          <w:sz w:val="32"/>
        </w:rPr>
        <w:t>按照支出功能分类，灾害防治及应急管理支出（类）消防救援事务（款）消防应急救援（项）的支出占本年财政拨款支出总额的比重最高，2025年度决算数为8,007.62万元，占比98.35%，主要用于消防应急救援基本支出及项目支出。</w:t>
      </w:r>
    </w:p>
    <w:p w14:paraId="64E4CD64">
      <w:pPr>
        <w:spacing w:line="640" w:lineRule="exact"/>
        <w:ind w:firstLine="640"/>
        <w:jc w:val="both"/>
        <w:outlineLvl w:val="3"/>
      </w:pPr>
      <w:r>
        <w:rPr>
          <w:rFonts w:ascii="楷体_GB2312" w:hAnsi="楷体_GB2312" w:eastAsia="楷体_GB2312"/>
          <w:b/>
          <w:sz w:val="32"/>
        </w:rPr>
        <w:t>（一）一般公共预算财政拨款支出决算总体情况</w:t>
      </w:r>
    </w:p>
    <w:p w14:paraId="52FA53B8">
      <w:pPr>
        <w:spacing w:line="580" w:lineRule="exact"/>
        <w:ind w:firstLine="640"/>
        <w:jc w:val="both"/>
      </w:pPr>
      <w:r>
        <w:rPr>
          <w:rFonts w:ascii="仿宋_GB2312" w:hAnsi="仿宋_GB2312" w:eastAsia="仿宋_GB2312"/>
          <w:b/>
          <w:sz w:val="32"/>
        </w:rPr>
        <w:t>2025年度一般公共预算财政拨款支出8,141.95万元，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增加6,840.35万元，增长525.53%，主要原因是：本年增加装备建设经费、准东实战实训基地前期建设专用经费、自然灾害应急能力提升工程装备配备项目前期费用及安全生产考核奖金等项目。</w:t>
      </w:r>
      <w:r>
        <w:rPr>
          <w:rFonts w:ascii="仿宋_GB2312" w:hAnsi="仿宋_GB2312" w:eastAsia="仿宋_GB2312"/>
          <w:b/>
          <w:sz w:val="32"/>
        </w:rPr>
        <w:t>与年初预算相比，</w:t>
      </w:r>
      <w:r>
        <w:rPr>
          <w:rFonts w:ascii="仿宋_GB2312" w:hAnsi="仿宋_GB2312" w:eastAsia="仿宋_GB2312"/>
          <w:b w:val="0"/>
          <w:sz w:val="32"/>
        </w:rPr>
        <w:t>年初预算数11,050.82万元，决算数8,141.95万元，预决算差异率-26.32%，主要原因是：准东经济技术开发区国家级煤化工事故处置实战实训基地建设项目按照工作计划推进实施，因项目实施条件、工作时序等客观因素，当年未能完成全部支出，对应经费未发生实际支付，造成年初预算与决算数据存在差异。</w:t>
      </w:r>
    </w:p>
    <w:p w14:paraId="19E814C6">
      <w:pPr>
        <w:spacing w:line="640" w:lineRule="exact"/>
        <w:ind w:firstLine="640"/>
        <w:jc w:val="both"/>
        <w:outlineLvl w:val="3"/>
      </w:pPr>
      <w:r>
        <w:rPr>
          <w:rFonts w:ascii="楷体_GB2312" w:hAnsi="楷体_GB2312" w:eastAsia="楷体_GB2312"/>
          <w:b/>
          <w:sz w:val="32"/>
        </w:rPr>
        <w:t>（二）一般公共预算财政拨款支出决算结构情况</w:t>
      </w:r>
    </w:p>
    <w:p w14:paraId="53CEE044">
      <w:pPr>
        <w:spacing w:line="580" w:lineRule="exact"/>
        <w:ind w:firstLine="640"/>
        <w:jc w:val="both"/>
      </w:pPr>
      <w:r>
        <w:rPr>
          <w:rFonts w:ascii="仿宋_GB2312" w:hAnsi="仿宋_GB2312" w:eastAsia="仿宋_GB2312"/>
          <w:b w:val="0"/>
          <w:sz w:val="32"/>
        </w:rPr>
        <w:t>1.社会保障和就业支出（类）59.15万元，占0.73%。</w:t>
      </w:r>
    </w:p>
    <w:p w14:paraId="6601A583">
      <w:pPr>
        <w:spacing w:line="580" w:lineRule="exact"/>
        <w:ind w:firstLine="640"/>
        <w:jc w:val="both"/>
      </w:pPr>
      <w:r>
        <w:rPr>
          <w:rFonts w:ascii="仿宋_GB2312" w:hAnsi="仿宋_GB2312" w:eastAsia="仿宋_GB2312"/>
          <w:b w:val="0"/>
          <w:sz w:val="32"/>
        </w:rPr>
        <w:t>2.卫生健康支出（类）21.11万元，占0.26%。</w:t>
      </w:r>
    </w:p>
    <w:p w14:paraId="668C0135">
      <w:pPr>
        <w:spacing w:line="580" w:lineRule="exact"/>
        <w:ind w:firstLine="640"/>
        <w:jc w:val="both"/>
      </w:pPr>
      <w:r>
        <w:rPr>
          <w:rFonts w:ascii="仿宋_GB2312" w:hAnsi="仿宋_GB2312" w:eastAsia="仿宋_GB2312"/>
          <w:b w:val="0"/>
          <w:sz w:val="32"/>
        </w:rPr>
        <w:t>3.住房保障支出（类）32.81万元，占0.40%。</w:t>
      </w:r>
    </w:p>
    <w:p w14:paraId="1FCB4C8E">
      <w:pPr>
        <w:spacing w:line="580" w:lineRule="exact"/>
        <w:ind w:firstLine="640"/>
        <w:jc w:val="both"/>
      </w:pPr>
      <w:r>
        <w:rPr>
          <w:rFonts w:ascii="仿宋_GB2312" w:hAnsi="仿宋_GB2312" w:eastAsia="仿宋_GB2312"/>
          <w:b w:val="0"/>
          <w:sz w:val="32"/>
        </w:rPr>
        <w:t>4.灾害防治及应急管理支出（类）8,028.88万元，占98.61%。</w:t>
      </w:r>
    </w:p>
    <w:p w14:paraId="2EEC7683">
      <w:pPr>
        <w:spacing w:line="640" w:lineRule="exact"/>
        <w:ind w:firstLine="640"/>
        <w:jc w:val="both"/>
        <w:outlineLvl w:val="3"/>
      </w:pPr>
      <w:r>
        <w:rPr>
          <w:rFonts w:ascii="楷体_GB2312" w:hAnsi="楷体_GB2312" w:eastAsia="楷体_GB2312"/>
          <w:b/>
          <w:sz w:val="32"/>
        </w:rPr>
        <w:t>（三）一般公共预算财政拨款支出决算具体情况</w:t>
      </w:r>
    </w:p>
    <w:p w14:paraId="70263B92">
      <w:pPr>
        <w:spacing w:line="580" w:lineRule="exact"/>
        <w:ind w:firstLine="640"/>
        <w:jc w:val="both"/>
      </w:pPr>
      <w:r>
        <w:rPr>
          <w:rFonts w:ascii="仿宋_GB2312" w:hAnsi="仿宋_GB2312" w:eastAsia="仿宋_GB2312"/>
          <w:b w:val="0"/>
          <w:sz w:val="32"/>
        </w:rPr>
        <w:t>1.社会保障和就业支出（类）行政事业单位养老支出（款）机关事业单位基本养老保险缴费支出（项）：支出决算数为39.43万元，比上年决算增加3.25万元，增长8.98%，主要原因是：本年在职人员增加，养老保险缴费较上年增加。</w:t>
      </w:r>
    </w:p>
    <w:p w14:paraId="30C96BF3">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19.72万元，比上年决算增加1.63万元，增长9.01%，主要原因是：本年在职人员增加，按月实缴，职业年金较上年增加。</w:t>
      </w:r>
    </w:p>
    <w:p w14:paraId="6F4A51AA">
      <w:pPr>
        <w:spacing w:line="580" w:lineRule="exact"/>
        <w:ind w:firstLine="640"/>
        <w:jc w:val="both"/>
      </w:pPr>
      <w:r>
        <w:rPr>
          <w:rFonts w:ascii="仿宋_GB2312" w:hAnsi="仿宋_GB2312" w:eastAsia="仿宋_GB2312"/>
          <w:b w:val="0"/>
          <w:sz w:val="32"/>
        </w:rPr>
        <w:t>3.卫生健康支出（类）行政事业单位医疗（款）事业单位医疗（项）：支出决算数为19.72万元，比上年决算增加1.63万元，增长9.01%，主要原因是：本年在职人员增加，事业单位医疗支出较上年增加。</w:t>
      </w:r>
    </w:p>
    <w:p w14:paraId="6B1A1913">
      <w:pPr>
        <w:spacing w:line="580" w:lineRule="exact"/>
        <w:ind w:firstLine="640"/>
        <w:jc w:val="both"/>
      </w:pPr>
      <w:r>
        <w:rPr>
          <w:rFonts w:ascii="仿宋_GB2312" w:hAnsi="仿宋_GB2312" w:eastAsia="仿宋_GB2312"/>
          <w:b w:val="0"/>
          <w:sz w:val="32"/>
        </w:rPr>
        <w:t>4.卫生健康支出（类）行政事业单位医疗（款）公务员医疗补助（项）：支出决算数为1.23万元，比上年决算增加0.10万元，增长8.85%，主要原因是：本年在职人员增加，公务员医疗补助较上年增加。</w:t>
      </w:r>
    </w:p>
    <w:p w14:paraId="14938781">
      <w:pPr>
        <w:spacing w:line="580" w:lineRule="exact"/>
        <w:ind w:firstLine="640"/>
        <w:jc w:val="both"/>
      </w:pPr>
      <w:r>
        <w:rPr>
          <w:rFonts w:ascii="仿宋_GB2312" w:hAnsi="仿宋_GB2312" w:eastAsia="仿宋_GB2312"/>
          <w:b w:val="0"/>
          <w:sz w:val="32"/>
        </w:rPr>
        <w:t>5.卫生健康支出（类）行政事业单位医疗（款）其他行政事业单位医疗支出（项）：支出决算数为0.16万元，比上年决算增加0.01万元，增长6.67%，主要原因是：本年在职人员增加，大病医疗保险支出较上年增加。</w:t>
      </w:r>
    </w:p>
    <w:p w14:paraId="18B985F6">
      <w:pPr>
        <w:spacing w:line="580" w:lineRule="exact"/>
        <w:ind w:firstLine="640"/>
        <w:jc w:val="both"/>
      </w:pPr>
      <w:r>
        <w:rPr>
          <w:rFonts w:ascii="仿宋_GB2312" w:hAnsi="仿宋_GB2312" w:eastAsia="仿宋_GB2312"/>
          <w:b w:val="0"/>
          <w:sz w:val="32"/>
        </w:rPr>
        <w:t>6.住房保障支出（类）住房改革支出（款）住房公积金（项）：支出决算数为32.81万元，比上年决算增加3.15万元，增长10.62%，主要原因是：本年在职人员增加，住房公积金支出较上年增加。</w:t>
      </w:r>
    </w:p>
    <w:p w14:paraId="5F6A1F51">
      <w:pPr>
        <w:spacing w:line="580" w:lineRule="exact"/>
        <w:ind w:firstLine="640"/>
        <w:jc w:val="both"/>
      </w:pPr>
      <w:r>
        <w:rPr>
          <w:rFonts w:ascii="仿宋_GB2312" w:hAnsi="仿宋_GB2312" w:eastAsia="仿宋_GB2312"/>
          <w:b w:val="0"/>
          <w:sz w:val="32"/>
        </w:rPr>
        <w:t>7.灾害防治及应急管理支出（类）应急管理事务（款）其他应急管理支出（项）：支出决算数为5.00万元，比上年决算增加5.00万元，增长100.00%，主要原因是：本年增加昌吉州本级国产化替代采购计划项目经费。</w:t>
      </w:r>
    </w:p>
    <w:p w14:paraId="02431A14">
      <w:pPr>
        <w:spacing w:line="580" w:lineRule="exact"/>
        <w:ind w:firstLine="640"/>
        <w:jc w:val="both"/>
      </w:pPr>
      <w:r>
        <w:rPr>
          <w:rFonts w:ascii="仿宋_GB2312" w:hAnsi="仿宋_GB2312" w:eastAsia="仿宋_GB2312"/>
          <w:b w:val="0"/>
          <w:sz w:val="32"/>
        </w:rPr>
        <w:t>8.灾害防治及应急管理支出（类）消防救援事务（款）消防应急救援（项）：支出决算数为8,007.62万元，比上年决算增加6,809.32万元，增长568.25%，主要原因是：本年增加装备建设经费、准东实战实训基地前期建设专用经费、自然灾害应急能力提升工程装备配备项目前期费用及安全生产考核奖金等项目。</w:t>
      </w:r>
    </w:p>
    <w:p w14:paraId="189D7F65">
      <w:pPr>
        <w:spacing w:line="580" w:lineRule="exact"/>
        <w:ind w:firstLine="640"/>
        <w:jc w:val="both"/>
      </w:pPr>
      <w:r>
        <w:rPr>
          <w:rFonts w:ascii="仿宋_GB2312" w:hAnsi="仿宋_GB2312" w:eastAsia="仿宋_GB2312"/>
          <w:b w:val="0"/>
          <w:sz w:val="32"/>
        </w:rPr>
        <w:t>9.灾害防治及应急管理支出（类）消防救援事务（款）事业运行（项）：支出决算数为16.26万元，比上年决算增加16.26万元，增长100.00%，主要原因是：本年新增在职人员，人员经费增加，导致经费较上年有所增加。</w:t>
      </w:r>
    </w:p>
    <w:p w14:paraId="00BB5D08">
      <w:pPr>
        <w:spacing w:line="640" w:lineRule="exact"/>
        <w:ind w:firstLine="640"/>
        <w:jc w:val="both"/>
        <w:outlineLvl w:val="2"/>
      </w:pPr>
      <w:r>
        <w:rPr>
          <w:rFonts w:ascii="黑体" w:hAnsi="黑体" w:eastAsia="黑体"/>
          <w:sz w:val="32"/>
        </w:rPr>
        <w:t>六、一般公共预算财政拨款基本支出决算情况说明</w:t>
      </w:r>
    </w:p>
    <w:p w14:paraId="0A5BC591">
      <w:pPr>
        <w:spacing w:line="580" w:lineRule="exact"/>
        <w:ind w:firstLine="640"/>
        <w:jc w:val="both"/>
      </w:pPr>
      <w:r>
        <w:rPr>
          <w:rFonts w:ascii="仿宋_GB2312" w:hAnsi="仿宋_GB2312" w:eastAsia="仿宋_GB2312"/>
          <w:b w:val="0"/>
          <w:sz w:val="32"/>
        </w:rPr>
        <w:t>2025年度一般公共预算财政拨款基本支出718.06万元，其中：</w:t>
      </w:r>
      <w:r>
        <w:rPr>
          <w:rFonts w:ascii="仿宋_GB2312" w:hAnsi="仿宋_GB2312" w:eastAsia="仿宋_GB2312"/>
          <w:b/>
          <w:sz w:val="32"/>
        </w:rPr>
        <w:t>人员经费616.34万元，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14:paraId="2963AD04">
      <w:pPr>
        <w:spacing w:line="580" w:lineRule="exact"/>
        <w:ind w:firstLine="640"/>
        <w:jc w:val="both"/>
      </w:pPr>
      <w:r>
        <w:rPr>
          <w:rFonts w:ascii="仿宋_GB2312" w:hAnsi="仿宋_GB2312" w:eastAsia="仿宋_GB2312"/>
          <w:b/>
          <w:sz w:val="32"/>
        </w:rPr>
        <w:t>公用经费101.72万元，</w:t>
      </w:r>
      <w:r>
        <w:rPr>
          <w:rFonts w:ascii="仿宋_GB2312" w:hAnsi="仿宋_GB2312" w:eastAsia="仿宋_GB2312"/>
          <w:b w:val="0"/>
          <w:sz w:val="32"/>
        </w:rPr>
        <w:t>包括：办公费、水费、电费、邮电费、取暖费、维修（护）费、劳务费、委托业务费、其他商品和服务支出。</w:t>
      </w:r>
    </w:p>
    <w:p w14:paraId="595D16D1">
      <w:pPr>
        <w:spacing w:line="640" w:lineRule="exact"/>
        <w:ind w:firstLine="640"/>
        <w:jc w:val="both"/>
        <w:outlineLvl w:val="2"/>
      </w:pPr>
      <w:r>
        <w:rPr>
          <w:rFonts w:ascii="黑体" w:hAnsi="黑体" w:eastAsia="黑体"/>
          <w:sz w:val="32"/>
        </w:rPr>
        <w:t>七、政府性基金预算财政拨款收入支出决算情况说明</w:t>
      </w:r>
    </w:p>
    <w:p w14:paraId="6221DAD0">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011E6B45">
      <w:pPr>
        <w:spacing w:line="640" w:lineRule="exact"/>
        <w:ind w:firstLine="640"/>
        <w:jc w:val="both"/>
        <w:outlineLvl w:val="2"/>
      </w:pPr>
      <w:r>
        <w:rPr>
          <w:rFonts w:ascii="黑体" w:hAnsi="黑体" w:eastAsia="黑体"/>
          <w:sz w:val="32"/>
        </w:rPr>
        <w:t>八、国有资本经营预算财政拨款收入支出决算情况说明</w:t>
      </w:r>
    </w:p>
    <w:p w14:paraId="3654115F">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102EEE7">
      <w:pPr>
        <w:spacing w:line="640" w:lineRule="exact"/>
        <w:ind w:firstLine="640"/>
        <w:jc w:val="both"/>
        <w:outlineLvl w:val="2"/>
      </w:pPr>
      <w:r>
        <w:rPr>
          <w:rFonts w:ascii="黑体" w:hAnsi="黑体" w:eastAsia="黑体"/>
          <w:sz w:val="32"/>
        </w:rPr>
        <w:t>九、财政拨款“三公”经费支出决算情况说明</w:t>
      </w:r>
    </w:p>
    <w:p w14:paraId="6B7D2D64">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6D6355D5">
      <w:pPr>
        <w:spacing w:line="580" w:lineRule="exact"/>
        <w:ind w:firstLine="640"/>
        <w:jc w:val="both"/>
      </w:pPr>
      <w:r>
        <w:rPr>
          <w:rFonts w:ascii="仿宋_GB2312" w:hAnsi="仿宋_GB2312" w:eastAsia="仿宋_GB2312"/>
          <w:b/>
          <w:sz w:val="32"/>
        </w:rPr>
        <w:t>具体情况如下：</w:t>
      </w:r>
    </w:p>
    <w:p w14:paraId="162FF485">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3F1759D">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71BCA356">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54852AEB">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73CFA8D0">
      <w:pPr>
        <w:spacing w:line="640" w:lineRule="exact"/>
        <w:ind w:firstLine="640"/>
        <w:jc w:val="both"/>
        <w:outlineLvl w:val="2"/>
      </w:pPr>
      <w:r>
        <w:rPr>
          <w:rFonts w:ascii="黑体" w:hAnsi="黑体" w:eastAsia="黑体"/>
          <w:sz w:val="32"/>
        </w:rPr>
        <w:t>十、其他重要事项的情况说明</w:t>
      </w:r>
    </w:p>
    <w:p w14:paraId="1EF1CC2E">
      <w:pPr>
        <w:spacing w:line="640" w:lineRule="exact"/>
        <w:ind w:firstLine="640"/>
        <w:jc w:val="both"/>
        <w:outlineLvl w:val="3"/>
      </w:pPr>
      <w:r>
        <w:rPr>
          <w:rFonts w:ascii="楷体_GB2312" w:hAnsi="楷体_GB2312" w:eastAsia="楷体_GB2312"/>
          <w:b/>
          <w:sz w:val="32"/>
        </w:rPr>
        <w:t>（一）机关运行经费及公用经费支出情况</w:t>
      </w:r>
    </w:p>
    <w:p w14:paraId="43FBD441">
      <w:pPr>
        <w:spacing w:line="580" w:lineRule="exact"/>
        <w:ind w:firstLine="640"/>
        <w:jc w:val="both"/>
      </w:pPr>
      <w:r>
        <w:rPr>
          <w:rFonts w:ascii="仿宋_GB2312" w:hAnsi="仿宋_GB2312" w:eastAsia="仿宋_GB2312"/>
          <w:b w:val="0"/>
          <w:sz w:val="32"/>
        </w:rPr>
        <w:t>2025年度昌吉州消防支队（事业单位）公用经费支出101.72万元，比上年减少8.25万元，下降7.50%，主要原因是：严格控制公用经费，合理节约办公用品，减少不必要开支。</w:t>
      </w:r>
    </w:p>
    <w:p w14:paraId="08B277B1">
      <w:pPr>
        <w:spacing w:line="640" w:lineRule="exact"/>
        <w:ind w:firstLine="640"/>
        <w:jc w:val="both"/>
        <w:outlineLvl w:val="3"/>
      </w:pPr>
      <w:r>
        <w:rPr>
          <w:rFonts w:ascii="楷体_GB2312" w:hAnsi="楷体_GB2312" w:eastAsia="楷体_GB2312"/>
          <w:b/>
          <w:sz w:val="32"/>
        </w:rPr>
        <w:t>（二）政府采购情况</w:t>
      </w:r>
    </w:p>
    <w:p w14:paraId="5958B3A4">
      <w:pPr>
        <w:spacing w:line="580" w:lineRule="exact"/>
        <w:ind w:firstLine="640"/>
        <w:jc w:val="both"/>
      </w:pPr>
      <w:r>
        <w:rPr>
          <w:rFonts w:ascii="仿宋_GB2312" w:hAnsi="仿宋_GB2312" w:eastAsia="仿宋_GB2312"/>
          <w:b w:val="0"/>
          <w:sz w:val="32"/>
        </w:rPr>
        <w:t>2025年度政府采购支出总额0.00万元，其中：政府采购货物支出0.00万元、政府采购工程支出0.00万元、政府采购服务支出0.00万元。</w:t>
      </w:r>
    </w:p>
    <w:p w14:paraId="4DDA0A8D">
      <w:pPr>
        <w:spacing w:line="580" w:lineRule="exact"/>
        <w:ind w:firstLine="640"/>
        <w:jc w:val="both"/>
      </w:pPr>
      <w:r>
        <w:rPr>
          <w:rFonts w:ascii="仿宋_GB2312" w:hAnsi="仿宋_GB2312" w:eastAsia="仿宋_GB2312"/>
          <w:b w:val="0"/>
          <w:sz w:val="32"/>
        </w:rPr>
        <w:t>授予中小企业合同金额0.00万元，占政府采购支出总额的0.00%，其中：授予小微企业合同金额0.00万元，占政府采购支出总额的0.00%。</w:t>
      </w:r>
    </w:p>
    <w:p w14:paraId="6EB81815">
      <w:pPr>
        <w:spacing w:line="640" w:lineRule="exact"/>
        <w:ind w:firstLine="640"/>
        <w:jc w:val="both"/>
        <w:outlineLvl w:val="3"/>
      </w:pPr>
      <w:r>
        <w:rPr>
          <w:rFonts w:ascii="楷体_GB2312" w:hAnsi="楷体_GB2312" w:eastAsia="楷体_GB2312"/>
          <w:b/>
          <w:sz w:val="32"/>
        </w:rPr>
        <w:t>（三）国有资产占用情况说明</w:t>
      </w:r>
    </w:p>
    <w:p w14:paraId="6ADCB912">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4DC4CD18">
      <w:pPr>
        <w:spacing w:line="640" w:lineRule="exact"/>
        <w:ind w:firstLine="640"/>
        <w:jc w:val="both"/>
        <w:outlineLvl w:val="2"/>
      </w:pPr>
      <w:r>
        <w:rPr>
          <w:rFonts w:ascii="黑体" w:hAnsi="黑体" w:eastAsia="黑体"/>
          <w:sz w:val="32"/>
        </w:rPr>
        <w:t>十一、预算绩效的情况说明</w:t>
      </w:r>
    </w:p>
    <w:p w14:paraId="5A6D987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8,141.95万元，实际执行总额8,141.95万元；预算绩效评价项目0个，全年预算数0.00万元，全年执行数0.00万元。预算绩效管理取得的成效：我单位绩效项目不予公开。发现的问题及原因：我单位绩效项目不予公开。下一步改进措施：我单位绩效项目不予公开。具体附整体支出绩效自评表。</w:t>
      </w:r>
    </w:p>
    <w:p w14:paraId="6432E759">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35A5978">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7BD4394">
            <w:pPr>
              <w:spacing w:before="0" w:after="0" w:line="240" w:lineRule="auto"/>
              <w:jc w:val="center"/>
            </w:pPr>
            <w:r>
              <w:rPr>
                <w:rFonts w:ascii="宋体" w:hAnsi="宋体" w:eastAsia="宋体" w:cs="宋体"/>
                <w:b w:val="0"/>
                <w:i w:val="0"/>
                <w:sz w:val="18"/>
              </w:rPr>
              <w:t>部门（单位）整体支出绩效目标自评表</w:t>
            </w:r>
          </w:p>
        </w:tc>
      </w:tr>
      <w:tr w14:paraId="1C4F1EB3">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14AD058">
            <w:pPr>
              <w:spacing w:before="0" w:after="0" w:line="240" w:lineRule="auto"/>
              <w:jc w:val="center"/>
            </w:pPr>
            <w:r>
              <w:rPr>
                <w:rFonts w:ascii="宋体" w:hAnsi="宋体" w:eastAsia="宋体" w:cs="宋体"/>
                <w:b w:val="0"/>
                <w:i w:val="0"/>
                <w:sz w:val="18"/>
              </w:rPr>
              <w:t>（2025年度）</w:t>
            </w:r>
          </w:p>
        </w:tc>
      </w:tr>
      <w:tr w14:paraId="73AA40D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DF95A8">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B2BFD0">
            <w:pPr>
              <w:spacing w:before="0" w:after="0" w:line="240" w:lineRule="auto"/>
              <w:jc w:val="center"/>
            </w:pPr>
            <w:r>
              <w:rPr>
                <w:rFonts w:ascii="宋体" w:hAnsi="宋体" w:eastAsia="宋体" w:cs="宋体"/>
                <w:b w:val="0"/>
                <w:i w:val="0"/>
                <w:sz w:val="18"/>
              </w:rPr>
              <w:t>昌吉州消防支队</w:t>
            </w:r>
          </w:p>
        </w:tc>
      </w:tr>
      <w:tr w14:paraId="3AFE368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D193F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CFB873">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7C952C">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1E1703">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6F394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D381C">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7F75A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E77B68">
            <w:pPr>
              <w:spacing w:before="0" w:after="0" w:line="240" w:lineRule="auto"/>
              <w:jc w:val="center"/>
            </w:pPr>
            <w:r>
              <w:rPr>
                <w:rFonts w:ascii="宋体" w:hAnsi="宋体" w:eastAsia="宋体" w:cs="宋体"/>
                <w:b w:val="0"/>
                <w:i w:val="0"/>
                <w:sz w:val="18"/>
              </w:rPr>
              <w:t>得分</w:t>
            </w:r>
          </w:p>
        </w:tc>
      </w:tr>
      <w:tr w14:paraId="7B70E74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753FA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20425F">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36A65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38E9AC">
            <w:pPr>
              <w:spacing w:before="0" w:after="0" w:line="240" w:lineRule="auto"/>
              <w:jc w:val="center"/>
            </w:pPr>
            <w:r>
              <w:rPr>
                <w:rFonts w:ascii="宋体" w:hAnsi="宋体" w:eastAsia="宋体" w:cs="宋体"/>
                <w:b w:val="0"/>
                <w:i w:val="0"/>
                <w:sz w:val="18"/>
              </w:rPr>
              <w:t>5,692.54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C04A46">
            <w:pPr>
              <w:spacing w:before="0" w:after="0" w:line="240" w:lineRule="auto"/>
              <w:jc w:val="center"/>
            </w:pPr>
            <w:r>
              <w:rPr>
                <w:rFonts w:ascii="宋体" w:hAnsi="宋体" w:eastAsia="宋体" w:cs="宋体"/>
                <w:b w:val="0"/>
                <w:i w:val="0"/>
                <w:sz w:val="18"/>
              </w:rPr>
              <w:t>5,692.54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377F4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4F6CD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987160">
            <w:pPr>
              <w:spacing w:before="0" w:after="0" w:line="240" w:lineRule="auto"/>
              <w:jc w:val="center"/>
            </w:pPr>
            <w:r>
              <w:rPr>
                <w:rFonts w:ascii="宋体" w:hAnsi="宋体" w:eastAsia="宋体" w:cs="宋体"/>
                <w:b w:val="0"/>
                <w:i w:val="0"/>
                <w:sz w:val="18"/>
              </w:rPr>
              <w:t>-</w:t>
            </w:r>
          </w:p>
        </w:tc>
      </w:tr>
      <w:tr w14:paraId="64C840E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151C9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B3C884">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0BE13D">
            <w:pPr>
              <w:spacing w:before="0" w:after="0" w:line="240" w:lineRule="auto"/>
              <w:jc w:val="center"/>
            </w:pPr>
            <w:r>
              <w:rPr>
                <w:rFonts w:ascii="宋体" w:hAnsi="宋体" w:eastAsia="宋体" w:cs="宋体"/>
                <w:b w:val="0"/>
                <w:i w:val="0"/>
                <w:sz w:val="18"/>
              </w:rPr>
              <w:t>11,050.82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6DF984">
            <w:pPr>
              <w:spacing w:before="0" w:after="0" w:line="240" w:lineRule="auto"/>
              <w:jc w:val="center"/>
            </w:pPr>
            <w:r>
              <w:rPr>
                <w:rFonts w:ascii="宋体" w:hAnsi="宋体" w:eastAsia="宋体" w:cs="宋体"/>
                <w:b w:val="0"/>
                <w:i w:val="0"/>
                <w:sz w:val="18"/>
              </w:rPr>
              <w:t>2,449.41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5DF2C2">
            <w:pPr>
              <w:spacing w:before="0" w:after="0" w:line="240" w:lineRule="auto"/>
              <w:jc w:val="center"/>
            </w:pPr>
            <w:r>
              <w:rPr>
                <w:rFonts w:ascii="宋体" w:hAnsi="宋体" w:eastAsia="宋体" w:cs="宋体"/>
                <w:b w:val="0"/>
                <w:i w:val="0"/>
                <w:sz w:val="18"/>
              </w:rPr>
              <w:t>2,449.41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12289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B20DD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947E5E">
            <w:pPr>
              <w:spacing w:before="0" w:after="0" w:line="240" w:lineRule="auto"/>
              <w:jc w:val="center"/>
            </w:pPr>
            <w:r>
              <w:rPr>
                <w:rFonts w:ascii="宋体" w:hAnsi="宋体" w:eastAsia="宋体" w:cs="宋体"/>
                <w:b w:val="0"/>
                <w:i w:val="0"/>
                <w:sz w:val="18"/>
              </w:rPr>
              <w:t>-</w:t>
            </w:r>
          </w:p>
        </w:tc>
      </w:tr>
      <w:tr w14:paraId="4163F4B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32882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FC74F7">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BBC29E">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98DA2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E98FE">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BAC09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80D87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3A5433">
            <w:pPr>
              <w:spacing w:before="0" w:after="0" w:line="240" w:lineRule="auto"/>
              <w:jc w:val="center"/>
            </w:pPr>
            <w:r>
              <w:rPr>
                <w:rFonts w:ascii="宋体" w:hAnsi="宋体" w:eastAsia="宋体" w:cs="宋体"/>
                <w:b w:val="0"/>
                <w:i w:val="0"/>
                <w:sz w:val="18"/>
              </w:rPr>
              <w:t>-</w:t>
            </w:r>
          </w:p>
        </w:tc>
      </w:tr>
      <w:tr w14:paraId="5AE5677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F2405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7DAF9">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F96FD0">
            <w:pPr>
              <w:spacing w:before="0" w:after="0" w:line="240" w:lineRule="auto"/>
              <w:jc w:val="center"/>
            </w:pPr>
            <w:r>
              <w:rPr>
                <w:rFonts w:ascii="宋体" w:hAnsi="宋体" w:eastAsia="宋体" w:cs="宋体"/>
                <w:b w:val="0"/>
                <w:i w:val="0"/>
                <w:sz w:val="18"/>
              </w:rPr>
              <w:t>11,050.82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56471C">
            <w:pPr>
              <w:spacing w:before="0" w:after="0" w:line="240" w:lineRule="auto"/>
              <w:jc w:val="center"/>
            </w:pPr>
            <w:r>
              <w:rPr>
                <w:rFonts w:ascii="宋体" w:hAnsi="宋体" w:eastAsia="宋体" w:cs="宋体"/>
                <w:b w:val="0"/>
                <w:i w:val="0"/>
                <w:sz w:val="18"/>
              </w:rPr>
              <w:t>8,141.95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8F19FF">
            <w:pPr>
              <w:spacing w:before="0" w:after="0" w:line="240" w:lineRule="auto"/>
              <w:jc w:val="center"/>
            </w:pPr>
            <w:r>
              <w:rPr>
                <w:rFonts w:ascii="宋体" w:hAnsi="宋体" w:eastAsia="宋体" w:cs="宋体"/>
                <w:b w:val="0"/>
                <w:i w:val="0"/>
                <w:sz w:val="18"/>
              </w:rPr>
              <w:t>8,141.95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36CC4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F95FCE">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4B40EB">
            <w:pPr>
              <w:spacing w:before="0" w:after="0" w:line="240" w:lineRule="auto"/>
              <w:jc w:val="center"/>
            </w:pPr>
            <w:r>
              <w:rPr>
                <w:rFonts w:ascii="宋体" w:hAnsi="宋体" w:eastAsia="宋体" w:cs="宋体"/>
                <w:b w:val="0"/>
                <w:i w:val="0"/>
                <w:sz w:val="18"/>
              </w:rPr>
              <w:t>10</w:t>
            </w:r>
          </w:p>
        </w:tc>
      </w:tr>
      <w:tr w14:paraId="135CCA34">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0E0489">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CC6656D">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7ACCF3C">
            <w:pPr>
              <w:spacing w:before="0" w:after="0" w:line="240" w:lineRule="auto"/>
              <w:jc w:val="center"/>
            </w:pPr>
            <w:r>
              <w:rPr>
                <w:rFonts w:ascii="宋体" w:hAnsi="宋体" w:eastAsia="宋体" w:cs="宋体"/>
                <w:b w:val="0"/>
                <w:i w:val="0"/>
                <w:sz w:val="18"/>
              </w:rPr>
              <w:t>实际完成情况</w:t>
            </w:r>
          </w:p>
        </w:tc>
      </w:tr>
      <w:tr w14:paraId="67DF569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15688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8369A53">
            <w:pPr>
              <w:spacing w:before="0" w:after="0" w:line="240" w:lineRule="auto"/>
              <w:jc w:val="center"/>
            </w:pPr>
            <w:r>
              <w:rPr>
                <w:rFonts w:ascii="宋体" w:hAnsi="宋体" w:eastAsia="宋体" w:cs="宋体"/>
                <w:b w:val="0"/>
                <w:i w:val="0"/>
                <w:sz w:val="18"/>
              </w:rPr>
              <w:t>昌吉州消防救援支队坚持以习近平新时代中国特色社会主义思想为指导，全面贯彻落实党的二十大精神，贯彻落实中央经济工作会议精神，贯彻落实习近平总书记视察新疆重要讲话重要指示精神，贯彻落实中央经济工作会议和第三次中央新疆工作座谈会精神，贯彻落实新时代党的治疆方略，贯彻落实自治区党委十届三次、五次、六次、七次全会精神，弘扬伟大建党精神，巩固党史学习教育成效，坚持稳中求进工作总基调，完整准确全面贯彻新发展理念，在自治区消防救援总队党委、昌吉州委、州政府的坚强领导下，围绕中心、服务大局、做好思想发动、严格内部管控、强化执勤战备，消除火灾隐患，主动作为，压实责任，保障全州人民群众和公共财产安全，为奋力开展新疆社会稳定和长治久安新局面作出新贡献。预期目标：全州范围内将火灾隐患控制到最低比例。</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33F127">
            <w:pPr>
              <w:spacing w:before="0" w:after="0" w:line="240" w:lineRule="auto"/>
              <w:jc w:val="center"/>
            </w:pPr>
            <w:r>
              <w:rPr>
                <w:rFonts w:ascii="宋体" w:hAnsi="宋体" w:eastAsia="宋体" w:cs="宋体"/>
                <w:b w:val="0"/>
                <w:i w:val="0"/>
                <w:sz w:val="18"/>
              </w:rPr>
              <w:t>2025年我单位全年预算数为8141.95万元，全年执行数为8141.95万元，总预算执行率为100%。2025年我单位完成以下工作内容：1.消防灭火救援及监督检查任务量10000次；2.“三化”达标单位验收次数1次；3.火灾隐患举报投诉奖励个人200人；4.支队年度全体人员体能考核12次；5.开展基层指战员理论培训2次；6.全州执勤车辆维护保养2次。通过以上工作的实施，团结带领全州消防救援队伍踔厉奋发、勇毅前行，高质量发展迈出坚实步伐，基层基础不断巩固提升，火灾形势持续向稳向好，为全州经济社会发展筑牢了坚实的消防安全屏障，达到保障全州人民群众和公共财产安全的效益。</w:t>
            </w:r>
          </w:p>
        </w:tc>
      </w:tr>
      <w:tr w14:paraId="193A64EA">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6AA484">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78A3CC">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8F651F">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5D255E">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4DD99B">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25BA96">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066F2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27EE18">
            <w:pPr>
              <w:keepNext/>
              <w:spacing w:before="0" w:after="0" w:line="240" w:lineRule="auto"/>
              <w:jc w:val="center"/>
            </w:pPr>
            <w:r>
              <w:rPr>
                <w:rFonts w:ascii="宋体" w:hAnsi="宋体" w:eastAsia="宋体" w:cs="宋体"/>
                <w:b w:val="0"/>
                <w:i w:val="0"/>
                <w:sz w:val="18"/>
              </w:rPr>
              <w:t>得分</w:t>
            </w:r>
          </w:p>
        </w:tc>
      </w:tr>
      <w:tr w14:paraId="442BE020">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ADDCC3">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A2AD23">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077A43">
            <w:pPr>
              <w:spacing w:before="0" w:after="0" w:line="240" w:lineRule="auto"/>
              <w:jc w:val="center"/>
            </w:pPr>
            <w:r>
              <w:rPr>
                <w:rFonts w:ascii="宋体" w:hAnsi="宋体" w:eastAsia="宋体" w:cs="宋体"/>
                <w:b w:val="0"/>
                <w:i w:val="0"/>
                <w:sz w:val="18"/>
              </w:rPr>
              <w:t>消防灭火救援及监督检查任务量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22D6E7">
            <w:pPr>
              <w:spacing w:before="0" w:after="0" w:line="240" w:lineRule="auto"/>
              <w:jc w:val="center"/>
            </w:pPr>
            <w:r>
              <w:rPr>
                <w:rFonts w:ascii="宋体" w:hAnsi="宋体" w:eastAsia="宋体" w:cs="宋体"/>
                <w:b w:val="0"/>
                <w:i w:val="0"/>
                <w:sz w:val="18"/>
              </w:rPr>
              <w:t>&gt;=10000次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19CBFA">
            <w:pPr>
              <w:spacing w:before="0" w:after="0" w:line="240" w:lineRule="auto"/>
              <w:jc w:val="center"/>
            </w:pPr>
            <w:r>
              <w:rPr>
                <w:rFonts w:ascii="宋体" w:hAnsi="宋体" w:eastAsia="宋体" w:cs="宋体"/>
                <w:b w:val="0"/>
                <w:i w:val="0"/>
                <w:sz w:val="18"/>
              </w:rPr>
              <w:t>昌吉州消防救援支队2025年工作要点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728F6C">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C74EEA">
            <w:pPr>
              <w:spacing w:before="0" w:after="0" w:line="240" w:lineRule="auto"/>
              <w:jc w:val="center"/>
            </w:pPr>
            <w:r>
              <w:rPr>
                <w:rFonts w:ascii="宋体" w:hAnsi="宋体" w:eastAsia="宋体" w:cs="宋体"/>
                <w:b w:val="0"/>
                <w:i w:val="0"/>
                <w:sz w:val="18"/>
              </w:rPr>
              <w:t>12000次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10CE88">
            <w:pPr>
              <w:spacing w:before="0" w:after="0" w:line="240" w:lineRule="auto"/>
              <w:jc w:val="center"/>
            </w:pPr>
            <w:r>
              <w:rPr>
                <w:rFonts w:ascii="宋体" w:hAnsi="宋体" w:eastAsia="宋体" w:cs="宋体"/>
                <w:b w:val="0"/>
                <w:i w:val="0"/>
                <w:sz w:val="18"/>
              </w:rPr>
              <w:t>30</w:t>
            </w:r>
          </w:p>
        </w:tc>
      </w:tr>
      <w:tr w14:paraId="756D0C5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1F183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5FD25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58D6B3">
            <w:pPr>
              <w:spacing w:before="0" w:after="0" w:line="240" w:lineRule="auto"/>
              <w:jc w:val="center"/>
            </w:pPr>
            <w:r>
              <w:rPr>
                <w:rFonts w:ascii="宋体" w:hAnsi="宋体" w:eastAsia="宋体" w:cs="宋体"/>
                <w:b w:val="0"/>
                <w:i w:val="0"/>
                <w:sz w:val="18"/>
              </w:rPr>
              <w:t>“三化”达标单位验收次数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0DBB46">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645665">
            <w:pPr>
              <w:spacing w:before="0" w:after="0" w:line="240" w:lineRule="auto"/>
              <w:jc w:val="center"/>
            </w:pPr>
            <w:r>
              <w:rPr>
                <w:rFonts w:ascii="宋体" w:hAnsi="宋体" w:eastAsia="宋体" w:cs="宋体"/>
                <w:b w:val="0"/>
                <w:i w:val="0"/>
                <w:sz w:val="18"/>
              </w:rPr>
              <w:t>昌吉州消防救援支队关于开展2024年度消防安全“标准化、标识化、规范化”达标验收工作的通知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31B0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37F3D5">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ADA4FE">
            <w:pPr>
              <w:spacing w:before="0" w:after="0" w:line="240" w:lineRule="auto"/>
              <w:jc w:val="center"/>
            </w:pPr>
            <w:r>
              <w:rPr>
                <w:rFonts w:ascii="宋体" w:hAnsi="宋体" w:eastAsia="宋体" w:cs="宋体"/>
                <w:b w:val="0"/>
                <w:i w:val="0"/>
                <w:sz w:val="18"/>
              </w:rPr>
              <w:t>20</w:t>
            </w:r>
          </w:p>
        </w:tc>
      </w:tr>
      <w:tr w14:paraId="5072572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838DD6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45CD58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46E928">
            <w:pPr>
              <w:spacing w:before="0" w:after="0" w:line="240" w:lineRule="auto"/>
              <w:jc w:val="center"/>
            </w:pPr>
            <w:r>
              <w:rPr>
                <w:rFonts w:ascii="宋体" w:hAnsi="宋体" w:eastAsia="宋体" w:cs="宋体"/>
                <w:b w:val="0"/>
                <w:i w:val="0"/>
                <w:sz w:val="18"/>
              </w:rPr>
              <w:t>火灾隐患举报投诉奖励个人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2CB7C">
            <w:pPr>
              <w:spacing w:before="0" w:after="0" w:line="240" w:lineRule="auto"/>
              <w:jc w:val="center"/>
            </w:pPr>
            <w:r>
              <w:rPr>
                <w:rFonts w:ascii="宋体" w:hAnsi="宋体" w:eastAsia="宋体" w:cs="宋体"/>
                <w:b w:val="0"/>
                <w:i w:val="0"/>
                <w:sz w:val="18"/>
              </w:rPr>
              <w:t>&gt;=200人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A0241F">
            <w:pPr>
              <w:spacing w:before="0" w:after="0" w:line="240" w:lineRule="auto"/>
              <w:jc w:val="center"/>
            </w:pPr>
            <w:r>
              <w:rPr>
                <w:rFonts w:ascii="宋体" w:hAnsi="宋体" w:eastAsia="宋体" w:cs="宋体"/>
                <w:b w:val="0"/>
                <w:i w:val="0"/>
                <w:sz w:val="18"/>
              </w:rPr>
              <w:t>昌吉州消防安全违法行为举报投诉奖励和查处规定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8EBA9F">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ECF074">
            <w:pPr>
              <w:spacing w:before="0" w:after="0" w:line="240" w:lineRule="auto"/>
              <w:jc w:val="center"/>
            </w:pPr>
            <w:r>
              <w:rPr>
                <w:rFonts w:ascii="宋体" w:hAnsi="宋体" w:eastAsia="宋体" w:cs="宋体"/>
                <w:b w:val="0"/>
                <w:i w:val="0"/>
                <w:sz w:val="18"/>
              </w:rPr>
              <w:t>=549人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F81350">
            <w:pPr>
              <w:spacing w:before="0" w:after="0" w:line="240" w:lineRule="auto"/>
              <w:jc w:val="center"/>
            </w:pPr>
            <w:r>
              <w:rPr>
                <w:rFonts w:ascii="宋体" w:hAnsi="宋体" w:eastAsia="宋体" w:cs="宋体"/>
                <w:b w:val="0"/>
                <w:i w:val="0"/>
                <w:sz w:val="18"/>
              </w:rPr>
              <w:t>10</w:t>
            </w:r>
          </w:p>
        </w:tc>
      </w:tr>
      <w:tr w14:paraId="376E62A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62634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094C6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BD35C8">
            <w:pPr>
              <w:spacing w:before="0" w:after="0" w:line="240" w:lineRule="auto"/>
              <w:jc w:val="center"/>
            </w:pPr>
            <w:r>
              <w:rPr>
                <w:rFonts w:ascii="宋体" w:hAnsi="宋体" w:eastAsia="宋体" w:cs="宋体"/>
                <w:b w:val="0"/>
                <w:i w:val="0"/>
                <w:sz w:val="18"/>
              </w:rPr>
              <w:t>支队年度全体人员体能考核次数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8CA15C">
            <w:pPr>
              <w:spacing w:before="0" w:after="0" w:line="240" w:lineRule="auto"/>
              <w:jc w:val="center"/>
            </w:pPr>
            <w:r>
              <w:rPr>
                <w:rFonts w:ascii="宋体" w:hAnsi="宋体" w:eastAsia="宋体" w:cs="宋体"/>
                <w:b w:val="0"/>
                <w:i w:val="0"/>
                <w:sz w:val="18"/>
              </w:rPr>
              <w:t>&gt;=12次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2BACB">
            <w:pPr>
              <w:spacing w:before="0" w:after="0" w:line="240" w:lineRule="auto"/>
              <w:jc w:val="center"/>
            </w:pPr>
            <w:r>
              <w:rPr>
                <w:rFonts w:ascii="宋体" w:hAnsi="宋体" w:eastAsia="宋体" w:cs="宋体"/>
                <w:b w:val="0"/>
                <w:i w:val="0"/>
                <w:sz w:val="18"/>
              </w:rPr>
              <w:t>昌吉回族自治州消防救援队伍大练兵工作实施方案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FE9B6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51D846">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0329EF">
            <w:pPr>
              <w:spacing w:before="0" w:after="0" w:line="240" w:lineRule="auto"/>
              <w:jc w:val="center"/>
            </w:pPr>
            <w:r>
              <w:rPr>
                <w:rFonts w:ascii="宋体" w:hAnsi="宋体" w:eastAsia="宋体" w:cs="宋体"/>
                <w:b w:val="0"/>
                <w:i w:val="0"/>
                <w:sz w:val="18"/>
              </w:rPr>
              <w:t>10</w:t>
            </w:r>
          </w:p>
        </w:tc>
      </w:tr>
      <w:tr w14:paraId="3F25200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D0B691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41C0B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034C52">
            <w:pPr>
              <w:spacing w:before="0" w:after="0" w:line="240" w:lineRule="auto"/>
              <w:jc w:val="center"/>
            </w:pPr>
            <w:r>
              <w:rPr>
                <w:rFonts w:ascii="宋体" w:hAnsi="宋体" w:eastAsia="宋体" w:cs="宋体"/>
                <w:b w:val="0"/>
                <w:i w:val="0"/>
                <w:sz w:val="18"/>
              </w:rPr>
              <w:t>开展基层指战员理论培训次数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F2E188">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4DA297">
            <w:pPr>
              <w:spacing w:before="0" w:after="0" w:line="240" w:lineRule="auto"/>
              <w:jc w:val="center"/>
            </w:pPr>
            <w:r>
              <w:rPr>
                <w:rFonts w:ascii="宋体" w:hAnsi="宋体" w:eastAsia="宋体" w:cs="宋体"/>
                <w:b w:val="0"/>
                <w:i w:val="0"/>
                <w:sz w:val="18"/>
              </w:rPr>
              <w:t>昌吉回族自治州消防救援队伍大练兵工作实施方案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518FA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D2804A">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0EAFF8">
            <w:pPr>
              <w:spacing w:before="0" w:after="0" w:line="240" w:lineRule="auto"/>
              <w:jc w:val="center"/>
            </w:pPr>
            <w:r>
              <w:rPr>
                <w:rFonts w:ascii="宋体" w:hAnsi="宋体" w:eastAsia="宋体" w:cs="宋体"/>
                <w:b w:val="0"/>
                <w:i w:val="0"/>
                <w:sz w:val="18"/>
              </w:rPr>
              <w:t>10</w:t>
            </w:r>
          </w:p>
        </w:tc>
      </w:tr>
      <w:tr w14:paraId="42D0ABE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CE44F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515CD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2217FF">
            <w:pPr>
              <w:spacing w:before="0" w:after="0" w:line="240" w:lineRule="auto"/>
              <w:jc w:val="center"/>
            </w:pPr>
            <w:r>
              <w:rPr>
                <w:rFonts w:ascii="宋体" w:hAnsi="宋体" w:eastAsia="宋体" w:cs="宋体"/>
                <w:b w:val="0"/>
                <w:i w:val="0"/>
                <w:sz w:val="18"/>
              </w:rPr>
              <w:t>全州执勤车辆维护保养次数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1B98A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245454">
            <w:pPr>
              <w:spacing w:before="0" w:after="0" w:line="240" w:lineRule="auto"/>
              <w:jc w:val="center"/>
            </w:pPr>
            <w:r>
              <w:rPr>
                <w:rFonts w:ascii="宋体" w:hAnsi="宋体" w:eastAsia="宋体" w:cs="宋体"/>
                <w:b w:val="0"/>
                <w:i w:val="0"/>
                <w:sz w:val="18"/>
              </w:rPr>
              <w:t>昌吉州消防救援支队2025年工作要点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1A5D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23E314">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70A5E8">
            <w:pPr>
              <w:spacing w:before="0" w:after="0" w:line="240" w:lineRule="auto"/>
              <w:jc w:val="center"/>
            </w:pPr>
            <w:r>
              <w:rPr>
                <w:rFonts w:ascii="宋体" w:hAnsi="宋体" w:eastAsia="宋体" w:cs="宋体"/>
                <w:b w:val="0"/>
                <w:i w:val="0"/>
                <w:sz w:val="18"/>
              </w:rPr>
              <w:t>10</w:t>
            </w:r>
          </w:p>
        </w:tc>
      </w:tr>
    </w:tbl>
    <w:p w14:paraId="6032A061">
      <w:r>
        <w:br w:type="page"/>
      </w:r>
    </w:p>
    <w:p w14:paraId="0BF672A1">
      <w:pPr>
        <w:spacing w:line="640" w:lineRule="exact"/>
        <w:ind w:firstLine="640"/>
        <w:jc w:val="both"/>
        <w:outlineLvl w:val="2"/>
      </w:pPr>
      <w:r>
        <w:rPr>
          <w:rFonts w:ascii="黑体" w:hAnsi="黑体" w:eastAsia="黑体"/>
          <w:sz w:val="32"/>
        </w:rPr>
        <w:t>十二、其他需说明的事项</w:t>
      </w:r>
    </w:p>
    <w:p w14:paraId="647E1531">
      <w:pPr>
        <w:spacing w:line="580" w:lineRule="exact"/>
        <w:ind w:firstLine="640"/>
        <w:jc w:val="both"/>
      </w:pPr>
      <w:r>
        <w:rPr>
          <w:rFonts w:ascii="仿宋_GB2312" w:hAnsi="仿宋_GB2312" w:eastAsia="仿宋_GB2312"/>
          <w:b w:val="0"/>
          <w:sz w:val="32"/>
        </w:rPr>
        <w:t>本单位2025年度无政府采购支出，授予中小企业合同金额0.00万元。</w:t>
      </w:r>
    </w:p>
    <w:p w14:paraId="49DF40E2">
      <w:pPr>
        <w:spacing w:line="580" w:lineRule="exact"/>
        <w:ind w:firstLine="640"/>
        <w:jc w:val="both"/>
      </w:pPr>
      <w:r>
        <w:rPr>
          <w:rFonts w:ascii="仿宋_GB2312" w:hAnsi="仿宋_GB2312" w:eastAsia="仿宋_GB2312"/>
          <w:b w:val="0"/>
          <w:sz w:val="32"/>
        </w:rPr>
        <w:t>本年本单位其他项目7个，全年预算数7418.89万元，全年执行数7418.89万元。</w:t>
      </w:r>
    </w:p>
    <w:p w14:paraId="53A1DB19">
      <w:r>
        <w:br w:type="page"/>
      </w:r>
    </w:p>
    <w:p w14:paraId="63C6D339">
      <w:pPr>
        <w:spacing w:line="600" w:lineRule="exact"/>
        <w:jc w:val="center"/>
        <w:outlineLvl w:val="0"/>
      </w:pPr>
      <w:r>
        <w:rPr>
          <w:rFonts w:ascii="黑体" w:hAnsi="黑体" w:eastAsia="黑体"/>
          <w:sz w:val="32"/>
        </w:rPr>
        <w:t>第三部分 专业名词解释</w:t>
      </w:r>
    </w:p>
    <w:p w14:paraId="506C4679">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B702456">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4544E34">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9F94C7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119F6CF">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2EE6782">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02976D4">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D05E58D">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14EB337">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1AC14C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AB032D3">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7D91FD4B">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C8003F0">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DFAD8B7">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56C7D8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39ED92E">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5F1C3C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D32854E">
      <w:r>
        <w:br w:type="page"/>
      </w:r>
    </w:p>
    <w:p w14:paraId="004635BE">
      <w:pPr>
        <w:spacing w:line="240" w:lineRule="auto"/>
        <w:jc w:val="center"/>
        <w:outlineLvl w:val="1"/>
      </w:pPr>
      <w:r>
        <w:rPr>
          <w:rFonts w:ascii="黑体" w:hAnsi="黑体" w:eastAsia="黑体"/>
          <w:sz w:val="32"/>
        </w:rPr>
        <w:t>第四部分 部门决算报表（见附表）</w:t>
      </w:r>
    </w:p>
    <w:p w14:paraId="2FDCE86A">
      <w:pPr>
        <w:autoSpaceDE w:val="0"/>
        <w:autoSpaceDN w:val="0"/>
        <w:spacing w:line="600" w:lineRule="exact"/>
        <w:ind w:firstLine="640" w:firstLineChars="200"/>
      </w:pPr>
      <w:r>
        <w:rPr>
          <w:rFonts w:ascii="仿宋_GB2312" w:hAnsi="仿宋_GB2312" w:eastAsia="仿宋_GB2312"/>
          <w:b w:val="0"/>
          <w:sz w:val="32"/>
        </w:rPr>
        <w:t>一、《收入支出决算总表》</w:t>
      </w:r>
    </w:p>
    <w:p w14:paraId="175DC87C">
      <w:pPr>
        <w:autoSpaceDE w:val="0"/>
        <w:autoSpaceDN w:val="0"/>
        <w:spacing w:line="600" w:lineRule="exact"/>
        <w:ind w:firstLine="640" w:firstLineChars="200"/>
      </w:pPr>
      <w:r>
        <w:rPr>
          <w:rFonts w:ascii="仿宋_GB2312" w:hAnsi="仿宋_GB2312" w:eastAsia="仿宋_GB2312"/>
          <w:b w:val="0"/>
          <w:sz w:val="32"/>
        </w:rPr>
        <w:t>二、《收入决算表》</w:t>
      </w:r>
    </w:p>
    <w:p w14:paraId="6EBD5543">
      <w:pPr>
        <w:autoSpaceDE w:val="0"/>
        <w:autoSpaceDN w:val="0"/>
        <w:spacing w:line="600" w:lineRule="exact"/>
        <w:ind w:firstLine="640" w:firstLineChars="200"/>
      </w:pPr>
      <w:r>
        <w:rPr>
          <w:rFonts w:ascii="仿宋_GB2312" w:hAnsi="仿宋_GB2312" w:eastAsia="仿宋_GB2312"/>
          <w:b w:val="0"/>
          <w:sz w:val="32"/>
        </w:rPr>
        <w:t>三、《支出决算表》</w:t>
      </w:r>
    </w:p>
    <w:p w14:paraId="469183CA">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EB662EA">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60923F60">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4607A21">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7FE8A99">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56109AF0">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6904B17">
      <w:pPr>
        <w:autoSpaceDE w:val="0"/>
        <w:autoSpaceDN w:val="0"/>
        <w:spacing w:line="600" w:lineRule="exact"/>
        <w:ind w:firstLine="640" w:firstLineChars="200"/>
      </w:pPr>
    </w:p>
    <w:p w14:paraId="18187655">
      <w:pPr>
        <w:autoSpaceDE w:val="0"/>
        <w:autoSpaceDN w:val="0"/>
        <w:spacing w:line="600" w:lineRule="exact"/>
        <w:ind w:firstLine="640" w:firstLineChars="200"/>
      </w:pPr>
    </w:p>
    <w:p w14:paraId="5AABFC08">
      <w:pPr>
        <w:autoSpaceDE w:val="0"/>
        <w:autoSpaceDN w:val="0"/>
        <w:spacing w:line="600" w:lineRule="exact"/>
        <w:ind w:firstLine="640" w:firstLineChars="200"/>
      </w:pPr>
    </w:p>
    <w:p w14:paraId="1D093348">
      <w:pPr>
        <w:autoSpaceDE w:val="0"/>
        <w:autoSpaceDN w:val="0"/>
        <w:spacing w:line="600" w:lineRule="exact"/>
        <w:ind w:firstLine="640" w:firstLineChars="200"/>
      </w:pPr>
    </w:p>
    <w:p w14:paraId="44CD8BCD">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856EBC-DA2C-4A4F-BD8D-7A0345FF8F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30C9BCE0-B1E0-411A-9E85-7AEA4C3736B6}"/>
  </w:font>
  <w:font w:name="仿宋_GB2312">
    <w:panose1 w:val="02010609030101010101"/>
    <w:charset w:val="86"/>
    <w:family w:val="modern"/>
    <w:pitch w:val="default"/>
    <w:sig w:usb0="00000001" w:usb1="080E0000" w:usb2="00000000" w:usb3="00000000" w:csb0="00040000" w:csb1="00000000"/>
    <w:embedRegular r:id="rId3" w:fontKey="{1B7E8135-A803-4B46-8936-251ABF6A0250}"/>
  </w:font>
  <w:font w:name="楷体_GB2312">
    <w:panose1 w:val="02010609030101010101"/>
    <w:charset w:val="86"/>
    <w:family w:val="auto"/>
    <w:pitch w:val="default"/>
    <w:sig w:usb0="00000001" w:usb1="080E0000" w:usb2="00000000" w:usb3="00000000" w:csb0="00040000" w:csb1="00000000"/>
    <w:embedRegular r:id="rId4" w:fontKey="{A348C98C-6478-4B23-B95D-64FB955120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82BD4"/>
    <w:rsid w:val="4D3F1CC6"/>
    <w:rsid w:val="4D730311"/>
    <w:rsid w:val="505A358E"/>
    <w:rsid w:val="50DB5F45"/>
    <w:rsid w:val="52F92565"/>
    <w:rsid w:val="54E02028"/>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6916</Words>
  <Characters>7805</Characters>
  <Lines>10</Lines>
  <Paragraphs>2</Paragraphs>
  <TotalTime>7</TotalTime>
  <ScaleCrop>false</ScaleCrop>
  <LinksUpToDate>false</LinksUpToDate>
  <CharactersWithSpaces>7815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2026-10-22T03:55:44Z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