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新疆维吾尔自治区昌吉回族自治州中级人民法院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5145B7FC">
      <w:r>
        <w:br w:type="page"/>
      </w:r>
    </w:p>
    <w:p w14:paraId="24CA0437">
      <w:pPr>
        <w:spacing w:line="640" w:lineRule="exact"/>
        <w:jc w:val="center"/>
        <w:outlineLvl w:val="1"/>
      </w:pPr>
      <w:r>
        <w:rPr>
          <w:rFonts w:ascii="黑体" w:hAnsi="黑体" w:eastAsia="黑体"/>
          <w:sz w:val="32"/>
        </w:rPr>
        <w:t>第一部分 单位概况</w:t>
      </w:r>
    </w:p>
    <w:p w14:paraId="56BFC9BD">
      <w:pPr>
        <w:spacing w:line="640" w:lineRule="exact"/>
        <w:ind w:firstLine="640"/>
        <w:jc w:val="both"/>
        <w:outlineLvl w:val="2"/>
      </w:pPr>
      <w:r>
        <w:rPr>
          <w:rFonts w:ascii="黑体" w:hAnsi="黑体" w:eastAsia="黑体"/>
          <w:sz w:val="32"/>
        </w:rPr>
        <w:t>一、主要职能</w:t>
      </w:r>
    </w:p>
    <w:p w14:paraId="53C93D54">
      <w:pPr>
        <w:spacing w:line="580" w:lineRule="exact"/>
        <w:ind w:firstLine="640"/>
        <w:jc w:val="both"/>
      </w:pPr>
      <w:r>
        <w:rPr>
          <w:rFonts w:ascii="仿宋_GB2312" w:hAnsi="仿宋_GB2312" w:eastAsia="仿宋_GB2312"/>
          <w:sz w:val="32"/>
        </w:rPr>
        <w:t>昌吉州中级人民法院作为国家审判机关，依法独立行使审判权。依法审判法律规定由昌吉州中级人民法院管辖的和其认为应当由自己审判的刑事、民事、行政等一审案件；依法审判法律规定由昌吉州中级人民法院管辖的刑事、民事、行政等第二审案件；依法办理应由昌吉州中级人民法院管辖的减刑、假释案件；受理不服所辖县（市）人民法院裁判生效的各类申诉和申请再审案件，对其中确有错误的，提审或指令下级人民法院再审；依法审判由昌吉州人民检察院按照审判监督程序提出的抗诉案件；对下级人民法院行使案件指定管辖权；监督下级人民法院的审判工作；依法行使司法执行权和司法决定权；依法决定国家赔偿；开展与法院工作有关的调查研究，针对案件审理中发现的突出问题提出司法建议；在审判工作中宣传法制、教育公民自学遵守宪法和法律；监督指导全州法院的执行工作；监督指导全州法院的司法警察工作。</w:t>
      </w:r>
    </w:p>
    <w:p w14:paraId="1E733B32">
      <w:pPr>
        <w:spacing w:line="640" w:lineRule="exact"/>
        <w:ind w:firstLine="640"/>
        <w:jc w:val="both"/>
        <w:outlineLvl w:val="2"/>
      </w:pPr>
      <w:r>
        <w:rPr>
          <w:rFonts w:ascii="黑体" w:hAnsi="黑体" w:eastAsia="黑体"/>
          <w:sz w:val="32"/>
        </w:rPr>
        <w:t>二、机构设置</w:t>
      </w:r>
    </w:p>
    <w:p w14:paraId="78DA69DD">
      <w:pPr>
        <w:spacing w:line="580" w:lineRule="exact"/>
        <w:ind w:firstLine="640"/>
        <w:jc w:val="both"/>
      </w:pPr>
      <w:r>
        <w:rPr>
          <w:rFonts w:ascii="仿宋_GB2312" w:hAnsi="仿宋_GB2312" w:eastAsia="仿宋_GB2312"/>
          <w:sz w:val="32"/>
        </w:rPr>
        <w:t>新疆维吾尔自治区昌吉回族自治州中级人民法院无下属预算单位。</w:t>
      </w:r>
    </w:p>
    <w:p w14:paraId="7A68FF62">
      <w:r>
        <w:br w:type="page"/>
      </w:r>
    </w:p>
    <w:p w14:paraId="34263AA8">
      <w:pPr>
        <w:spacing w:line="240" w:lineRule="auto"/>
        <w:jc w:val="center"/>
        <w:outlineLvl w:val="1"/>
      </w:pPr>
      <w:r>
        <w:rPr>
          <w:rFonts w:ascii="黑体" w:hAnsi="黑体" w:eastAsia="黑体"/>
          <w:sz w:val="32"/>
        </w:rPr>
        <w:t>第二部分 部门决算情况说明</w:t>
      </w:r>
    </w:p>
    <w:p w14:paraId="6721AABE">
      <w:pPr>
        <w:spacing w:line="640" w:lineRule="exact"/>
        <w:ind w:firstLine="640"/>
        <w:jc w:val="both"/>
        <w:outlineLvl w:val="2"/>
      </w:pPr>
      <w:r>
        <w:rPr>
          <w:rFonts w:ascii="黑体" w:hAnsi="黑体" w:eastAsia="黑体"/>
          <w:sz w:val="32"/>
        </w:rPr>
        <w:t>一、收入支出决算总体情况说明</w:t>
      </w:r>
    </w:p>
    <w:p w14:paraId="640A7C56">
      <w:pPr>
        <w:spacing w:line="580" w:lineRule="exact"/>
        <w:ind w:firstLine="640"/>
        <w:jc w:val="both"/>
      </w:pPr>
      <w:r>
        <w:rPr>
          <w:rFonts w:ascii="仿宋_GB2312" w:hAnsi="仿宋_GB2312" w:eastAsia="仿宋_GB2312"/>
          <w:b/>
          <w:sz w:val="32"/>
        </w:rPr>
        <w:t>2025年度收入总计5,976.42万元，</w:t>
      </w:r>
      <w:r>
        <w:rPr>
          <w:rFonts w:ascii="仿宋_GB2312" w:hAnsi="仿宋_GB2312" w:eastAsia="仿宋_GB2312"/>
          <w:b w:val="0"/>
          <w:sz w:val="32"/>
        </w:rPr>
        <w:t>其中：本年收入合计5,975.94万元，使用非财政拨款结余（含专用结余）0.00万元，年初结转和结余0.49万元。</w:t>
      </w:r>
    </w:p>
    <w:p w14:paraId="15DD0DD8">
      <w:pPr>
        <w:spacing w:line="580" w:lineRule="exact"/>
        <w:ind w:firstLine="640"/>
        <w:jc w:val="both"/>
      </w:pPr>
      <w:r>
        <w:rPr>
          <w:rFonts w:ascii="仿宋_GB2312" w:hAnsi="仿宋_GB2312" w:eastAsia="仿宋_GB2312"/>
          <w:b/>
          <w:sz w:val="32"/>
        </w:rPr>
        <w:t>2025年度支出总计5,976.42万元，</w:t>
      </w:r>
      <w:r>
        <w:rPr>
          <w:rFonts w:ascii="仿宋_GB2312" w:hAnsi="仿宋_GB2312" w:eastAsia="仿宋_GB2312"/>
          <w:b w:val="0"/>
          <w:sz w:val="32"/>
        </w:rPr>
        <w:t>其中：本年支出合计5,975.94万元，结余分配0.00万元，年末结转和结余0.49万元。</w:t>
      </w:r>
    </w:p>
    <w:p w14:paraId="3FB670BC">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增加798.80万元，增长15.43%，主要原因是：本年在职人员增加，相关人员经费增加，增加破产案件专项保障项目。</w:t>
      </w:r>
    </w:p>
    <w:p w14:paraId="58E15109">
      <w:pPr>
        <w:spacing w:line="640" w:lineRule="exact"/>
        <w:ind w:firstLine="640"/>
        <w:jc w:val="both"/>
        <w:outlineLvl w:val="2"/>
      </w:pPr>
      <w:r>
        <w:rPr>
          <w:rFonts w:ascii="黑体" w:hAnsi="黑体" w:eastAsia="黑体"/>
          <w:sz w:val="32"/>
        </w:rPr>
        <w:t>二、收入决算情况说明</w:t>
      </w:r>
    </w:p>
    <w:p w14:paraId="5B1D0EF2">
      <w:pPr>
        <w:spacing w:line="580" w:lineRule="exact"/>
        <w:ind w:firstLine="640"/>
        <w:jc w:val="both"/>
      </w:pPr>
      <w:r>
        <w:rPr>
          <w:rFonts w:ascii="仿宋_GB2312" w:hAnsi="仿宋_GB2312" w:eastAsia="仿宋_GB2312"/>
          <w:b/>
          <w:sz w:val="32"/>
        </w:rPr>
        <w:t>本年收入5,975.94万元，</w:t>
      </w:r>
      <w:r>
        <w:rPr>
          <w:rFonts w:ascii="仿宋_GB2312" w:hAnsi="仿宋_GB2312" w:eastAsia="仿宋_GB2312"/>
          <w:b w:val="0"/>
          <w:sz w:val="32"/>
        </w:rPr>
        <w:t>其中：财政拨款收入5,975.94万元，占100.00%；上级补助收入0.00万元，占0.00%；事业收入0.00万元，占0.00%；经营收入0.00万元，占0.00%；附属单位上缴收入0.00万元，占0.00%；其他收入0.00万元，占0.00%。</w:t>
      </w:r>
    </w:p>
    <w:p w14:paraId="266833EE">
      <w:pPr>
        <w:spacing w:line="640" w:lineRule="exact"/>
        <w:ind w:firstLine="640"/>
        <w:jc w:val="both"/>
        <w:outlineLvl w:val="2"/>
      </w:pPr>
      <w:r>
        <w:rPr>
          <w:rFonts w:ascii="黑体" w:hAnsi="黑体" w:eastAsia="黑体"/>
          <w:sz w:val="32"/>
        </w:rPr>
        <w:t>三、支出决算情况说明</w:t>
      </w:r>
    </w:p>
    <w:p w14:paraId="798BD612">
      <w:pPr>
        <w:spacing w:line="580" w:lineRule="exact"/>
        <w:ind w:firstLine="640"/>
        <w:jc w:val="both"/>
      </w:pPr>
      <w:r>
        <w:rPr>
          <w:rFonts w:ascii="仿宋_GB2312" w:hAnsi="仿宋_GB2312" w:eastAsia="仿宋_GB2312"/>
          <w:b/>
          <w:sz w:val="32"/>
        </w:rPr>
        <w:t>本年支出5,975.94万元，</w:t>
      </w:r>
      <w:r>
        <w:rPr>
          <w:rFonts w:ascii="仿宋_GB2312" w:hAnsi="仿宋_GB2312" w:eastAsia="仿宋_GB2312"/>
          <w:b w:val="0"/>
          <w:sz w:val="32"/>
        </w:rPr>
        <w:t>其中：基本支出4,949.96万元，占82.83%；项目支出1,025.98万元，占17.17%；上缴上级支出0.00万元，占0.00%；经营支出0.00万元，占0.00%；对附属单位补助支出0.00万元，占0.00%。</w:t>
      </w:r>
    </w:p>
    <w:p w14:paraId="7B16CA67">
      <w:pPr>
        <w:spacing w:line="640" w:lineRule="exact"/>
        <w:ind w:firstLine="640"/>
        <w:jc w:val="both"/>
        <w:outlineLvl w:val="2"/>
      </w:pPr>
      <w:r>
        <w:rPr>
          <w:rFonts w:ascii="黑体" w:hAnsi="黑体" w:eastAsia="黑体"/>
          <w:sz w:val="32"/>
        </w:rPr>
        <w:t>四、财政拨款收入支出决算总体情况说明</w:t>
      </w:r>
    </w:p>
    <w:p w14:paraId="4033F7B2">
      <w:pPr>
        <w:spacing w:line="580" w:lineRule="exact"/>
        <w:ind w:firstLine="640"/>
        <w:jc w:val="both"/>
      </w:pPr>
      <w:r>
        <w:rPr>
          <w:rFonts w:ascii="仿宋_GB2312" w:hAnsi="仿宋_GB2312" w:eastAsia="仿宋_GB2312"/>
          <w:b/>
          <w:sz w:val="32"/>
        </w:rPr>
        <w:t>2025年度财政拨款收入总计5,975.94万元，</w:t>
      </w:r>
      <w:r>
        <w:rPr>
          <w:rFonts w:ascii="仿宋_GB2312" w:hAnsi="仿宋_GB2312" w:eastAsia="仿宋_GB2312"/>
          <w:b w:val="0"/>
          <w:sz w:val="32"/>
        </w:rPr>
        <w:t>其中：年初财政拨款结转和结余0.00万元，本年财政拨款收入5,975.94万元。</w:t>
      </w:r>
      <w:r>
        <w:rPr>
          <w:rFonts w:ascii="仿宋_GB2312" w:hAnsi="仿宋_GB2312" w:eastAsia="仿宋_GB2312"/>
          <w:b/>
          <w:sz w:val="32"/>
        </w:rPr>
        <w:t>财政拨款支出总计5,975.94万元，</w:t>
      </w:r>
      <w:r>
        <w:rPr>
          <w:rFonts w:ascii="仿宋_GB2312" w:hAnsi="仿宋_GB2312" w:eastAsia="仿宋_GB2312"/>
          <w:b w:val="0"/>
          <w:sz w:val="32"/>
        </w:rPr>
        <w:t>其中：年末财政拨款结转和结余0.00万元，本年财政拨款支出5,975.94万元。</w:t>
      </w:r>
    </w:p>
    <w:p w14:paraId="3CEEABDD">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增加798.81万元，增长15.43%，主要原因是：本年在职人员增加，相关人员经费增加，增加破产案件专项保障项目。</w:t>
      </w:r>
      <w:r>
        <w:rPr>
          <w:rFonts w:ascii="仿宋_GB2312" w:hAnsi="仿宋_GB2312" w:eastAsia="仿宋_GB2312"/>
          <w:b/>
          <w:sz w:val="32"/>
        </w:rPr>
        <w:t>与年初预算相比，</w:t>
      </w:r>
      <w:r>
        <w:rPr>
          <w:rFonts w:ascii="仿宋_GB2312" w:hAnsi="仿宋_GB2312" w:eastAsia="仿宋_GB2312"/>
          <w:b w:val="0"/>
          <w:sz w:val="32"/>
        </w:rPr>
        <w:t>年初预算数5,205.22万元，决算数5,975.94万元，预决算差异率14.81%，主要原因是：年中追加中央政法纪检监察转移支付项目、破产案件专项保障项目等，导致预决算存在差异。</w:t>
      </w:r>
    </w:p>
    <w:p w14:paraId="33E02DFB">
      <w:pPr>
        <w:spacing w:line="640" w:lineRule="exact"/>
        <w:ind w:firstLine="640"/>
        <w:jc w:val="both"/>
        <w:outlineLvl w:val="2"/>
      </w:pPr>
      <w:r>
        <w:rPr>
          <w:rFonts w:ascii="黑体" w:hAnsi="黑体" w:eastAsia="黑体"/>
          <w:sz w:val="32"/>
        </w:rPr>
        <w:t>五、一般公共预算财政拨款支出决算情况说明</w:t>
      </w:r>
    </w:p>
    <w:p w14:paraId="603EE19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14:paraId="39EBFC17">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按照支出功能分类，公共安全支出（类）法院（款）行政运行（项）的支出占本年财政拨款支出总额的比重最高，2025年度决算数为3,845.50万元，占比64.35%，主要用于人员工资福利、日常公用经费。</w:t>
      </w:r>
    </w:p>
    <w:p w14:paraId="4F69E520">
      <w:pPr>
        <w:spacing w:line="640" w:lineRule="exact"/>
        <w:ind w:firstLine="640"/>
        <w:jc w:val="both"/>
        <w:outlineLvl w:val="3"/>
      </w:pPr>
      <w:r>
        <w:rPr>
          <w:rFonts w:ascii="楷体_GB2312" w:hAnsi="楷体_GB2312" w:eastAsia="楷体_GB2312"/>
          <w:b/>
          <w:sz w:val="32"/>
        </w:rPr>
        <w:t>（一）一般公共预算财政拨款支出决算总体情况</w:t>
      </w:r>
    </w:p>
    <w:p w14:paraId="27CFF646">
      <w:pPr>
        <w:spacing w:line="580" w:lineRule="exact"/>
        <w:ind w:firstLine="640"/>
        <w:jc w:val="both"/>
      </w:pPr>
      <w:r>
        <w:rPr>
          <w:rFonts w:ascii="仿宋_GB2312" w:hAnsi="仿宋_GB2312" w:eastAsia="仿宋_GB2312"/>
          <w:b/>
          <w:sz w:val="32"/>
        </w:rPr>
        <w:t>2025年度一般公共预算财政拨款支出5,975.94万元，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增加798.81万元，增长15.43%，主要原因是：本年在职人员增加，相关人员经费增加，增加破产案件专项保障项目。</w:t>
      </w:r>
      <w:r>
        <w:rPr>
          <w:rFonts w:ascii="仿宋_GB2312" w:hAnsi="仿宋_GB2312" w:eastAsia="仿宋_GB2312"/>
          <w:b/>
          <w:sz w:val="32"/>
        </w:rPr>
        <w:t>与年初预算相比，</w:t>
      </w:r>
      <w:r>
        <w:rPr>
          <w:rFonts w:ascii="仿宋_GB2312" w:hAnsi="仿宋_GB2312" w:eastAsia="仿宋_GB2312"/>
          <w:b w:val="0"/>
          <w:sz w:val="32"/>
        </w:rPr>
        <w:t>年初预算数5,205.22万元，决算数5,975.94万元，预决算差异率14.81%，主要原因是：年中追加中央政法纪检监察转移支付项目、破产案件专项保障项目等，导致预决算存在差异。</w:t>
      </w:r>
    </w:p>
    <w:p w14:paraId="2EFACA7F">
      <w:pPr>
        <w:spacing w:line="640" w:lineRule="exact"/>
        <w:ind w:firstLine="640"/>
        <w:jc w:val="both"/>
        <w:outlineLvl w:val="3"/>
      </w:pPr>
      <w:r>
        <w:rPr>
          <w:rFonts w:ascii="楷体_GB2312" w:hAnsi="楷体_GB2312" w:eastAsia="楷体_GB2312"/>
          <w:b/>
          <w:sz w:val="32"/>
        </w:rPr>
        <w:t>（二）一般公共预算财政拨款支出决算结构情况</w:t>
      </w:r>
    </w:p>
    <w:p w14:paraId="6AF0DB47">
      <w:pPr>
        <w:spacing w:line="580" w:lineRule="exact"/>
        <w:ind w:firstLine="640"/>
        <w:jc w:val="both"/>
      </w:pPr>
      <w:r>
        <w:rPr>
          <w:rFonts w:ascii="仿宋_GB2312" w:hAnsi="仿宋_GB2312" w:eastAsia="仿宋_GB2312"/>
          <w:b w:val="0"/>
          <w:sz w:val="32"/>
        </w:rPr>
        <w:t>1.公共安全支出（类）4,517.60万元，占75.60%。</w:t>
      </w:r>
    </w:p>
    <w:p w14:paraId="3CDC8D4D">
      <w:pPr>
        <w:spacing w:line="580" w:lineRule="exact"/>
        <w:ind w:firstLine="640"/>
        <w:jc w:val="both"/>
      </w:pPr>
      <w:r>
        <w:rPr>
          <w:rFonts w:ascii="仿宋_GB2312" w:hAnsi="仿宋_GB2312" w:eastAsia="仿宋_GB2312"/>
          <w:b w:val="0"/>
          <w:sz w:val="32"/>
        </w:rPr>
        <w:t>2.社会保障和就业支出（类）575.01万元，占9.62%。</w:t>
      </w:r>
    </w:p>
    <w:p w14:paraId="7754BA05">
      <w:pPr>
        <w:spacing w:line="580" w:lineRule="exact"/>
        <w:ind w:firstLine="640"/>
        <w:jc w:val="both"/>
      </w:pPr>
      <w:r>
        <w:rPr>
          <w:rFonts w:ascii="仿宋_GB2312" w:hAnsi="仿宋_GB2312" w:eastAsia="仿宋_GB2312"/>
          <w:b w:val="0"/>
          <w:sz w:val="32"/>
        </w:rPr>
        <w:t>3.卫生健康支出（类）273.51万元，占4.58%。</w:t>
      </w:r>
    </w:p>
    <w:p w14:paraId="0AB51B0D">
      <w:pPr>
        <w:spacing w:line="580" w:lineRule="exact"/>
        <w:ind w:firstLine="640"/>
        <w:jc w:val="both"/>
      </w:pPr>
      <w:r>
        <w:rPr>
          <w:rFonts w:ascii="仿宋_GB2312" w:hAnsi="仿宋_GB2312" w:eastAsia="仿宋_GB2312"/>
          <w:b w:val="0"/>
          <w:sz w:val="32"/>
        </w:rPr>
        <w:t>4.资源勘探工业信息等支出（类）342.06万元，占5.72%。</w:t>
      </w:r>
    </w:p>
    <w:p w14:paraId="0E5DCA31">
      <w:pPr>
        <w:spacing w:line="580" w:lineRule="exact"/>
        <w:ind w:firstLine="640"/>
        <w:jc w:val="both"/>
      </w:pPr>
      <w:r>
        <w:rPr>
          <w:rFonts w:ascii="仿宋_GB2312" w:hAnsi="仿宋_GB2312" w:eastAsia="仿宋_GB2312"/>
          <w:b w:val="0"/>
          <w:sz w:val="32"/>
        </w:rPr>
        <w:t>5.住房保障支出（类）249.88万元，占4.18%。</w:t>
      </w:r>
    </w:p>
    <w:p w14:paraId="3F936C73">
      <w:pPr>
        <w:spacing w:line="580" w:lineRule="exact"/>
        <w:ind w:firstLine="640"/>
        <w:jc w:val="both"/>
      </w:pPr>
      <w:r>
        <w:rPr>
          <w:rFonts w:ascii="仿宋_GB2312" w:hAnsi="仿宋_GB2312" w:eastAsia="仿宋_GB2312"/>
          <w:b w:val="0"/>
          <w:sz w:val="32"/>
        </w:rPr>
        <w:t>6.其他支出（类）17.87万元，占0.30%。</w:t>
      </w:r>
    </w:p>
    <w:p w14:paraId="25970D9F">
      <w:pPr>
        <w:spacing w:line="640" w:lineRule="exact"/>
        <w:ind w:firstLine="640"/>
        <w:jc w:val="both"/>
        <w:outlineLvl w:val="3"/>
      </w:pPr>
      <w:r>
        <w:rPr>
          <w:rFonts w:ascii="楷体_GB2312" w:hAnsi="楷体_GB2312" w:eastAsia="楷体_GB2312"/>
          <w:b/>
          <w:sz w:val="32"/>
        </w:rPr>
        <w:t>（三）一般公共预算财政拨款支出决算具体情况</w:t>
      </w:r>
    </w:p>
    <w:p w14:paraId="5DEDDA96">
      <w:pPr>
        <w:spacing w:line="580" w:lineRule="exact"/>
        <w:ind w:firstLine="640"/>
        <w:jc w:val="both"/>
      </w:pPr>
      <w:r>
        <w:rPr>
          <w:rFonts w:ascii="仿宋_GB2312" w:hAnsi="仿宋_GB2312" w:eastAsia="仿宋_GB2312"/>
          <w:b w:val="0"/>
          <w:sz w:val="32"/>
        </w:rPr>
        <w:t>1.一般公共服务支出（类）宣传事务（款）其他宣传事务支出（项）：支出决算数为0.00万元，比上年决算减少1.90万元，下降100.00%，主要原因是：本年减少2024年中央补助地方公共文化服务体系建设补助资金一般项目绩效奖励项目。</w:t>
      </w:r>
    </w:p>
    <w:p w14:paraId="5E975897">
      <w:pPr>
        <w:spacing w:line="580" w:lineRule="exact"/>
        <w:ind w:firstLine="640"/>
        <w:jc w:val="both"/>
      </w:pPr>
      <w:r>
        <w:rPr>
          <w:rFonts w:ascii="仿宋_GB2312" w:hAnsi="仿宋_GB2312" w:eastAsia="仿宋_GB2312"/>
          <w:b w:val="0"/>
          <w:sz w:val="32"/>
        </w:rPr>
        <w:t>2.一般公共服务支出（类）信访事务（款）信访业务（项）：支出决算数为0.00万元，比上年决算减少5.00万元，下降100.00%，主要原因是：本年减少信访项目。</w:t>
      </w:r>
    </w:p>
    <w:p w14:paraId="0E6EF7AB">
      <w:pPr>
        <w:spacing w:line="580" w:lineRule="exact"/>
        <w:ind w:firstLine="640"/>
        <w:jc w:val="both"/>
      </w:pPr>
      <w:r>
        <w:rPr>
          <w:rFonts w:ascii="仿宋_GB2312" w:hAnsi="仿宋_GB2312" w:eastAsia="仿宋_GB2312"/>
          <w:b w:val="0"/>
          <w:sz w:val="32"/>
        </w:rPr>
        <w:t>3.公共安全支出（类）法院（款）行政运行（项）：支出决算数为3,845.50万元，比上年决算增加418.66万元，增长12.22%，主要原因是：本年在职人员增加，相关人员经费增加。</w:t>
      </w:r>
    </w:p>
    <w:p w14:paraId="63523AAD">
      <w:pPr>
        <w:spacing w:line="580" w:lineRule="exact"/>
        <w:ind w:firstLine="640"/>
        <w:jc w:val="both"/>
      </w:pPr>
      <w:r>
        <w:rPr>
          <w:rFonts w:ascii="仿宋_GB2312" w:hAnsi="仿宋_GB2312" w:eastAsia="仿宋_GB2312"/>
          <w:b w:val="0"/>
          <w:sz w:val="32"/>
        </w:rPr>
        <w:t>4.公共安全支出（类）法院（款）一般行政管理事务（项）：支出决算数为3.00万元，比上年决算减少9.00万元，下降75.00%，主要原因是：本年减少生活补助经费。</w:t>
      </w:r>
    </w:p>
    <w:p w14:paraId="7EE0E96D">
      <w:pPr>
        <w:spacing w:line="580" w:lineRule="exact"/>
        <w:ind w:firstLine="640"/>
        <w:jc w:val="both"/>
      </w:pPr>
      <w:r>
        <w:rPr>
          <w:rFonts w:ascii="仿宋_GB2312" w:hAnsi="仿宋_GB2312" w:eastAsia="仿宋_GB2312"/>
          <w:b w:val="0"/>
          <w:sz w:val="32"/>
        </w:rPr>
        <w:t>5.公共安全支出（类）法院（款）案件审判（项）：支出决算数为47.00万元，比上年决算增加28.62万元，增长155.71%，主要原因是：本年增加破产案件专项保障项目。</w:t>
      </w:r>
    </w:p>
    <w:p w14:paraId="77DBD866">
      <w:pPr>
        <w:spacing w:line="580" w:lineRule="exact"/>
        <w:ind w:firstLine="640"/>
        <w:jc w:val="both"/>
      </w:pPr>
      <w:r>
        <w:rPr>
          <w:rFonts w:ascii="仿宋_GB2312" w:hAnsi="仿宋_GB2312" w:eastAsia="仿宋_GB2312"/>
          <w:b w:val="0"/>
          <w:sz w:val="32"/>
        </w:rPr>
        <w:t>6.公共安全支出（类）法院（款）其他法院支出（项）：支出决算数为617.10万元，比上年决算减少115.51万元，下降15.77%，主要原因是：本年政法资金较上年减少。</w:t>
      </w:r>
    </w:p>
    <w:p w14:paraId="001604C1">
      <w:pPr>
        <w:spacing w:line="580" w:lineRule="exact"/>
        <w:ind w:firstLine="640"/>
        <w:jc w:val="both"/>
      </w:pPr>
      <w:r>
        <w:rPr>
          <w:rFonts w:ascii="仿宋_GB2312" w:hAnsi="仿宋_GB2312" w:eastAsia="仿宋_GB2312"/>
          <w:b w:val="0"/>
          <w:sz w:val="32"/>
        </w:rPr>
        <w:t>7.公共安全支出（类）其他公共安全支出（款）其他公共安全支出（项）：支出决算数为5.00万元，比上年决算增加5.00万元，增长100.00%，主要原因是：本年2025年政法资金较上年增加。</w:t>
      </w:r>
    </w:p>
    <w:p w14:paraId="64E46A39">
      <w:pPr>
        <w:spacing w:line="580" w:lineRule="exact"/>
        <w:ind w:firstLine="640"/>
        <w:jc w:val="both"/>
      </w:pPr>
      <w:r>
        <w:rPr>
          <w:rFonts w:ascii="仿宋_GB2312" w:hAnsi="仿宋_GB2312" w:eastAsia="仿宋_GB2312"/>
          <w:b w:val="0"/>
          <w:sz w:val="32"/>
        </w:rPr>
        <w:t>8.社会保障和就业支出（类）行政事业单位养老支出（款）行政单位离退休（项）：支出决算数为88.97万元，比上年决算增加27.21万元，增长44.06%，主要原因是：本年增加退休人员基础绩效奖，退休费支出增加。</w:t>
      </w:r>
    </w:p>
    <w:p w14:paraId="0DA1FE23">
      <w:pPr>
        <w:spacing w:line="580" w:lineRule="exact"/>
        <w:ind w:firstLine="640"/>
        <w:jc w:val="both"/>
      </w:pPr>
      <w:r>
        <w:rPr>
          <w:rFonts w:ascii="仿宋_GB2312" w:hAnsi="仿宋_GB2312" w:eastAsia="仿宋_GB2312"/>
          <w:b w:val="0"/>
          <w:sz w:val="32"/>
        </w:rPr>
        <w:t>9.社会保障和就业支出（类）行政事业单位养老支出（款）机关事业单位基本养老保险缴费支出（项）：支出决算数为309.65万元，比上年决算增加11.50万元，增长3.86%，主要原因是：本年在职人员增加，养老保险缴费较上年增加。</w:t>
      </w:r>
    </w:p>
    <w:p w14:paraId="030045B1">
      <w:pPr>
        <w:spacing w:line="580" w:lineRule="exact"/>
        <w:ind w:firstLine="640"/>
        <w:jc w:val="both"/>
      </w:pPr>
      <w:r>
        <w:rPr>
          <w:rFonts w:ascii="仿宋_GB2312" w:hAnsi="仿宋_GB2312" w:eastAsia="仿宋_GB2312"/>
          <w:b w:val="0"/>
          <w:sz w:val="32"/>
        </w:rPr>
        <w:t>10.社会保障和就业支出（类）行政事业单位养老支出（款）机关事业单位职业年金缴费支出（项）：支出决算数为176.38万元，比上年决算减少28.60万元，下降13.95%，主要原因是：本年新增辞职调出人员较上年减少，职业年金缴费较上年减少。</w:t>
      </w:r>
    </w:p>
    <w:p w14:paraId="0A3CB3F2">
      <w:pPr>
        <w:spacing w:line="580" w:lineRule="exact"/>
        <w:ind w:firstLine="640"/>
        <w:jc w:val="both"/>
      </w:pPr>
      <w:r>
        <w:rPr>
          <w:rFonts w:ascii="仿宋_GB2312" w:hAnsi="仿宋_GB2312" w:eastAsia="仿宋_GB2312"/>
          <w:b w:val="0"/>
          <w:sz w:val="32"/>
        </w:rPr>
        <w:t>11.卫生健康支出（类）行政事业单位医疗（款）行政单位医疗（项）：支出决算数为191.06万元，比上年决算增加41.98万元，增长28.16%，主要原因是：本年在职人员增加，在职人员工资调增，行政单位医疗支出较上年增加。</w:t>
      </w:r>
    </w:p>
    <w:p w14:paraId="72ED6112">
      <w:pPr>
        <w:spacing w:line="580" w:lineRule="exact"/>
        <w:ind w:firstLine="640"/>
        <w:jc w:val="both"/>
      </w:pPr>
      <w:r>
        <w:rPr>
          <w:rFonts w:ascii="仿宋_GB2312" w:hAnsi="仿宋_GB2312" w:eastAsia="仿宋_GB2312"/>
          <w:b w:val="0"/>
          <w:sz w:val="32"/>
        </w:rPr>
        <w:t>12.卫生健康支出（类）行政事业单位医疗（款）公务员医疗补助（项）：支出决算数为80.44万元，比上年决算增加71.12万元，增长763.09%，主要原因是：本年在职人员增加，在职人员工资调增，公务员医疗补助较上年增加。</w:t>
      </w:r>
    </w:p>
    <w:p w14:paraId="3A65FFC3">
      <w:pPr>
        <w:spacing w:line="580" w:lineRule="exact"/>
        <w:ind w:firstLine="640"/>
        <w:jc w:val="both"/>
      </w:pPr>
      <w:r>
        <w:rPr>
          <w:rFonts w:ascii="仿宋_GB2312" w:hAnsi="仿宋_GB2312" w:eastAsia="仿宋_GB2312"/>
          <w:b w:val="0"/>
          <w:sz w:val="32"/>
        </w:rPr>
        <w:t>13.卫生健康支出（类）行政事业单位医疗（款）其他行政事业单位医疗支出（项）：支出决算数为2.01万元，比上年决算增加0.60万元，增长42.55%，主要原因是：本年在职人员增加，其他行政事业单位医疗支出较上年增加。</w:t>
      </w:r>
    </w:p>
    <w:p w14:paraId="4BA5162C">
      <w:pPr>
        <w:spacing w:line="580" w:lineRule="exact"/>
        <w:ind w:firstLine="640"/>
        <w:jc w:val="both"/>
      </w:pPr>
      <w:r>
        <w:rPr>
          <w:rFonts w:ascii="仿宋_GB2312" w:hAnsi="仿宋_GB2312" w:eastAsia="仿宋_GB2312"/>
          <w:b w:val="0"/>
          <w:sz w:val="32"/>
        </w:rPr>
        <w:t>14.资源勘探工业信息等支出（类）制造业（款）通信设备、计算机及其他电子设备制造业（项）：支出决算数为342.06万元，比上年决算增加342.06万元，增长100.00%，主要原因是：本年增加2025年第二批中央基建投资预算项目。</w:t>
      </w:r>
    </w:p>
    <w:p w14:paraId="4A6F8281">
      <w:pPr>
        <w:spacing w:line="580" w:lineRule="exact"/>
        <w:ind w:firstLine="640"/>
        <w:jc w:val="both"/>
      </w:pPr>
      <w:r>
        <w:rPr>
          <w:rFonts w:ascii="仿宋_GB2312" w:hAnsi="仿宋_GB2312" w:eastAsia="仿宋_GB2312"/>
          <w:b w:val="0"/>
          <w:sz w:val="32"/>
        </w:rPr>
        <w:t>15.住房保障支出（类）住房改革支出（款）住房公积金（项）：支出决算数为249.88万元，比上年决算增加11.45万元，增长4.80%，主要原因是：本年在职人员增加，住房公积金支出较上年增加。</w:t>
      </w:r>
    </w:p>
    <w:p w14:paraId="1BE5BAA4">
      <w:pPr>
        <w:spacing w:line="580" w:lineRule="exact"/>
        <w:ind w:firstLine="640"/>
        <w:jc w:val="both"/>
      </w:pPr>
      <w:r>
        <w:rPr>
          <w:rFonts w:ascii="仿宋_GB2312" w:hAnsi="仿宋_GB2312" w:eastAsia="仿宋_GB2312"/>
          <w:b w:val="0"/>
          <w:sz w:val="32"/>
        </w:rPr>
        <w:t>16.其他支出（类）其他支出（款）其他支出（项）：支出决算数为17.87万元，比上年决算增加0.60万元，增长3.47%，主要原因是：本年增加驻村工作自治区补助经费项目资金。</w:t>
      </w:r>
    </w:p>
    <w:p w14:paraId="49910741">
      <w:pPr>
        <w:spacing w:line="640" w:lineRule="exact"/>
        <w:ind w:firstLine="640"/>
        <w:jc w:val="both"/>
        <w:outlineLvl w:val="2"/>
      </w:pPr>
      <w:r>
        <w:rPr>
          <w:rFonts w:ascii="黑体" w:hAnsi="黑体" w:eastAsia="黑体"/>
          <w:sz w:val="32"/>
        </w:rPr>
        <w:t>六、一般公共预算财政拨款基本支出决算情况说明</w:t>
      </w:r>
    </w:p>
    <w:p w14:paraId="2E0E631A">
      <w:pPr>
        <w:spacing w:line="580" w:lineRule="exact"/>
        <w:ind w:firstLine="640"/>
        <w:jc w:val="both"/>
      </w:pPr>
      <w:r>
        <w:rPr>
          <w:rFonts w:ascii="仿宋_GB2312" w:hAnsi="仿宋_GB2312" w:eastAsia="仿宋_GB2312"/>
          <w:b w:val="0"/>
          <w:sz w:val="32"/>
        </w:rPr>
        <w:t>2025年度一般公共预算财政拨款基本支出4,949.96万元，其中：</w:t>
      </w:r>
      <w:r>
        <w:rPr>
          <w:rFonts w:ascii="仿宋_GB2312" w:hAnsi="仿宋_GB2312" w:eastAsia="仿宋_GB2312"/>
          <w:b/>
          <w:sz w:val="32"/>
        </w:rPr>
        <w:t>人员经费4,451.71万元，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14:paraId="0158E97A">
      <w:pPr>
        <w:spacing w:line="580" w:lineRule="exact"/>
        <w:ind w:firstLine="640"/>
        <w:jc w:val="both"/>
      </w:pPr>
      <w:r>
        <w:rPr>
          <w:rFonts w:ascii="仿宋_GB2312" w:hAnsi="仿宋_GB2312" w:eastAsia="仿宋_GB2312"/>
          <w:b/>
          <w:sz w:val="32"/>
        </w:rPr>
        <w:t>公用经费498.25万元，</w:t>
      </w:r>
      <w:r>
        <w:rPr>
          <w:rFonts w:ascii="仿宋_GB2312" w:hAnsi="仿宋_GB2312" w:eastAsia="仿宋_GB2312"/>
          <w:b w:val="0"/>
          <w:sz w:val="32"/>
        </w:rPr>
        <w:t>包括：办公费、印刷费、水费、电费、取暖费、物业管理费、维修（护）费、会议费、公务接待费、劳务费、委托业务费、工会经费、福利费、公务用车运行维护费、其他商品和服务支出。</w:t>
      </w:r>
    </w:p>
    <w:p w14:paraId="690F685A">
      <w:pPr>
        <w:spacing w:line="640" w:lineRule="exact"/>
        <w:ind w:firstLine="640"/>
        <w:jc w:val="both"/>
        <w:outlineLvl w:val="2"/>
      </w:pPr>
      <w:r>
        <w:rPr>
          <w:rFonts w:ascii="黑体" w:hAnsi="黑体" w:eastAsia="黑体"/>
          <w:sz w:val="32"/>
        </w:rPr>
        <w:t>七、政府性基金预算财政拨款收入支出决算情况说明</w:t>
      </w:r>
    </w:p>
    <w:p w14:paraId="4B3F453C">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1F5412F">
      <w:pPr>
        <w:spacing w:line="640" w:lineRule="exact"/>
        <w:ind w:firstLine="640"/>
        <w:jc w:val="both"/>
        <w:outlineLvl w:val="2"/>
      </w:pPr>
      <w:r>
        <w:rPr>
          <w:rFonts w:ascii="黑体" w:hAnsi="黑体" w:eastAsia="黑体"/>
          <w:sz w:val="32"/>
        </w:rPr>
        <w:t>八、国有资本经营预算财政拨款收入支出决算情况说明</w:t>
      </w:r>
    </w:p>
    <w:p w14:paraId="10235843">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7BC7F88">
      <w:pPr>
        <w:spacing w:line="640" w:lineRule="exact"/>
        <w:ind w:firstLine="640"/>
        <w:jc w:val="both"/>
        <w:outlineLvl w:val="2"/>
      </w:pPr>
      <w:r>
        <w:rPr>
          <w:rFonts w:ascii="黑体" w:hAnsi="黑体" w:eastAsia="黑体"/>
          <w:sz w:val="32"/>
        </w:rPr>
        <w:t>九、财政拨款“三公”经费支出决算情况说明</w:t>
      </w:r>
    </w:p>
    <w:p w14:paraId="4129D18C">
      <w:pPr>
        <w:spacing w:line="580" w:lineRule="exact"/>
        <w:ind w:firstLine="640"/>
        <w:jc w:val="both"/>
      </w:pPr>
      <w:r>
        <w:rPr>
          <w:rFonts w:ascii="仿宋_GB2312" w:hAnsi="仿宋_GB2312" w:eastAsia="仿宋_GB2312"/>
          <w:b/>
          <w:sz w:val="32"/>
        </w:rPr>
        <w:t>2025年度财政拨款“三公”经费支出58.39万元，</w:t>
      </w:r>
      <w:r>
        <w:rPr>
          <w:rFonts w:ascii="仿宋_GB2312" w:hAnsi="仿宋_GB2312" w:eastAsia="仿宋_GB2312"/>
          <w:b w:val="0"/>
          <w:sz w:val="32"/>
        </w:rPr>
        <w:t>比上年减少0.04万元，下降0.07%，主要原因是：严格落实中央八项规定精神，厉行节约，减少公务接待费。其中：因公出国（境）费用支出0.00万元，占0.00%，比上年增加0.00万元，增长0.00%，主要原因是：2024年与2025年均无因公出国（境）费用支出。公务用车购置及运行维护费支出57.70万元，占98.82%，比上年增加0.14万元，增长0.24%，主要原因是：本单位公务用车日渐老化，维修维护成本增加，导致公务用车运行维护费较上年增加。公务接待费支出0.69万元，占1.18%，比上年减少0.18万元，下降20.69%，主要原因是：严格落实中央八项规定精神，厉行节约，减少公务接待费。</w:t>
      </w:r>
    </w:p>
    <w:p w14:paraId="0BE45AFF">
      <w:pPr>
        <w:spacing w:line="580" w:lineRule="exact"/>
        <w:ind w:firstLine="640"/>
        <w:jc w:val="both"/>
      </w:pPr>
      <w:r>
        <w:rPr>
          <w:rFonts w:ascii="仿宋_GB2312" w:hAnsi="仿宋_GB2312" w:eastAsia="仿宋_GB2312"/>
          <w:b/>
          <w:sz w:val="32"/>
        </w:rPr>
        <w:t>具体情况如下：</w:t>
      </w:r>
    </w:p>
    <w:p w14:paraId="6BBB743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6C8C188A">
      <w:pPr>
        <w:spacing w:line="580" w:lineRule="exact"/>
        <w:ind w:firstLine="640"/>
        <w:jc w:val="both"/>
      </w:pPr>
      <w:r>
        <w:rPr>
          <w:rFonts w:ascii="仿宋_GB2312" w:hAnsi="仿宋_GB2312" w:eastAsia="仿宋_GB2312"/>
          <w:b w:val="0"/>
          <w:sz w:val="32"/>
        </w:rPr>
        <w:t>公务用车购置及运行维护费57.70万元，其中：公务用车购置费0.00万元，公务用车运行维护费57.70万元。公务用车运行维护费开支内容包括车辆加油费、维修费、保险费、审车费、过路费等。公务用车购置数0辆，公务用车保有量23辆。国有资产占用情况中固定资产车辆23辆，与公务用车保有量差异原因是：本单位公务用车保有量与固定资产车辆一致无差异。</w:t>
      </w:r>
    </w:p>
    <w:p w14:paraId="6425F623">
      <w:pPr>
        <w:spacing w:line="580" w:lineRule="exact"/>
        <w:ind w:firstLine="640"/>
        <w:jc w:val="both"/>
      </w:pPr>
      <w:r>
        <w:rPr>
          <w:rFonts w:ascii="仿宋_GB2312" w:hAnsi="仿宋_GB2312" w:eastAsia="仿宋_GB2312"/>
          <w:b w:val="0"/>
          <w:sz w:val="32"/>
        </w:rPr>
        <w:t>公务接待费0.69万元，开支内容包括因工作需求，接待工作小组考察产生的就餐费。单位全年安排的国内公务接待4批次，37人次。</w:t>
      </w:r>
    </w:p>
    <w:p w14:paraId="172D211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58.39万元，决算数58.39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57.70万元，决算数57.70万元，预决算差异率0.00%，主要原因是：严格按照预算执行，预决算无差异。公务接待费全年预算数0.69万元，决算数0.69万元，预决算差异率0.00%，主要原因是：严格按照预算执行，预决算无差异。</w:t>
      </w:r>
    </w:p>
    <w:p w14:paraId="65B29FB6">
      <w:pPr>
        <w:spacing w:line="640" w:lineRule="exact"/>
        <w:ind w:firstLine="640"/>
        <w:jc w:val="both"/>
        <w:outlineLvl w:val="2"/>
      </w:pPr>
      <w:r>
        <w:rPr>
          <w:rFonts w:ascii="黑体" w:hAnsi="黑体" w:eastAsia="黑体"/>
          <w:sz w:val="32"/>
        </w:rPr>
        <w:t>十、其他重要事项的情况说明</w:t>
      </w:r>
    </w:p>
    <w:p w14:paraId="7474ABCB">
      <w:pPr>
        <w:spacing w:line="640" w:lineRule="exact"/>
        <w:ind w:firstLine="640"/>
        <w:jc w:val="both"/>
        <w:outlineLvl w:val="3"/>
      </w:pPr>
      <w:r>
        <w:rPr>
          <w:rFonts w:ascii="楷体_GB2312" w:hAnsi="楷体_GB2312" w:eastAsia="楷体_GB2312"/>
          <w:b/>
          <w:sz w:val="32"/>
        </w:rPr>
        <w:t>（一）机关运行经费及公用经费支出情况</w:t>
      </w:r>
    </w:p>
    <w:p w14:paraId="6D5465DA">
      <w:pPr>
        <w:spacing w:line="580" w:lineRule="exact"/>
        <w:ind w:firstLine="640"/>
        <w:jc w:val="both"/>
      </w:pPr>
      <w:r>
        <w:rPr>
          <w:rFonts w:ascii="仿宋_GB2312" w:hAnsi="仿宋_GB2312" w:eastAsia="仿宋_GB2312"/>
          <w:b w:val="0"/>
          <w:sz w:val="32"/>
        </w:rPr>
        <w:t>2025年度新疆维吾尔自治区昌吉回族自治州中级人民法院（行政单位和参照公务员法管理事业单位）机关运行经费支出498.25万元，比上年增加148.13万元，增长42.31%，主要原因是：本年更新、维护补充办公用品，导致劳务费等机关运行经费较上年增加。</w:t>
      </w:r>
    </w:p>
    <w:p w14:paraId="345099F8">
      <w:pPr>
        <w:spacing w:line="640" w:lineRule="exact"/>
        <w:ind w:firstLine="640"/>
        <w:jc w:val="both"/>
        <w:outlineLvl w:val="3"/>
      </w:pPr>
      <w:r>
        <w:rPr>
          <w:rFonts w:ascii="楷体_GB2312" w:hAnsi="楷体_GB2312" w:eastAsia="楷体_GB2312"/>
          <w:b/>
          <w:sz w:val="32"/>
        </w:rPr>
        <w:t>（二）政府采购情况</w:t>
      </w:r>
    </w:p>
    <w:p w14:paraId="4A53EBF8">
      <w:pPr>
        <w:spacing w:line="580" w:lineRule="exact"/>
        <w:ind w:firstLine="640"/>
        <w:jc w:val="both"/>
      </w:pPr>
      <w:r>
        <w:rPr>
          <w:rFonts w:ascii="仿宋_GB2312" w:hAnsi="仿宋_GB2312" w:eastAsia="仿宋_GB2312"/>
          <w:b w:val="0"/>
          <w:sz w:val="32"/>
        </w:rPr>
        <w:t>2025年度政府采购支出总额325.13万元，其中：政府采购货物支出279.54万元、政府采购工程支出0.00万元、政府采购服务支出45.59万元。</w:t>
      </w:r>
    </w:p>
    <w:p w14:paraId="11AC89F4">
      <w:pPr>
        <w:spacing w:line="580" w:lineRule="exact"/>
        <w:ind w:firstLine="640"/>
        <w:jc w:val="both"/>
      </w:pPr>
      <w:r>
        <w:rPr>
          <w:rFonts w:ascii="仿宋_GB2312" w:hAnsi="仿宋_GB2312" w:eastAsia="仿宋_GB2312"/>
          <w:b w:val="0"/>
          <w:sz w:val="32"/>
        </w:rPr>
        <w:t>授予中小企业合同金额153.33万元，占政府采购支出总额的47.16%，其中：授予小微企业合同金额105.63万元，占政府采购支出总额的32.49%。</w:t>
      </w:r>
    </w:p>
    <w:p w14:paraId="7D075FE7">
      <w:pPr>
        <w:spacing w:line="640" w:lineRule="exact"/>
        <w:ind w:firstLine="640"/>
        <w:jc w:val="both"/>
        <w:outlineLvl w:val="3"/>
      </w:pPr>
      <w:r>
        <w:rPr>
          <w:rFonts w:ascii="楷体_GB2312" w:hAnsi="楷体_GB2312" w:eastAsia="楷体_GB2312"/>
          <w:b/>
          <w:sz w:val="32"/>
        </w:rPr>
        <w:t>（三）国有资产占用情况说明</w:t>
      </w:r>
    </w:p>
    <w:p w14:paraId="5BAC1A9B">
      <w:pPr>
        <w:spacing w:line="580" w:lineRule="exact"/>
        <w:ind w:firstLine="640"/>
        <w:jc w:val="both"/>
      </w:pPr>
      <w:r>
        <w:rPr>
          <w:rFonts w:ascii="仿宋_GB2312" w:hAnsi="仿宋_GB2312" w:eastAsia="仿宋_GB2312"/>
          <w:b w:val="0"/>
          <w:sz w:val="32"/>
        </w:rPr>
        <w:t>截至2025年12月31日，房屋19,373.33平方米，价值6,809.20万元。车辆23辆，价值601.15万元，其中：副部（省）级及以上领导用车0辆、主要负责人用车0辆、机要通信用车1辆、应急保障用车3辆、执法执勤用车9辆、特种专业技术用车5辆、离退休干部服务用车0辆、其他用车5辆，其他用车主要是：一般公务用车。单价100万元（含）以上设备（不含车辆）2台（套）。</w:t>
      </w:r>
    </w:p>
    <w:p w14:paraId="6D5647AE">
      <w:pPr>
        <w:spacing w:line="640" w:lineRule="exact"/>
        <w:ind w:firstLine="640"/>
        <w:jc w:val="both"/>
        <w:outlineLvl w:val="2"/>
      </w:pPr>
      <w:r>
        <w:rPr>
          <w:rFonts w:ascii="黑体" w:hAnsi="黑体" w:eastAsia="黑体"/>
          <w:sz w:val="32"/>
        </w:rPr>
        <w:t>十一、预算绩效的情况说明</w:t>
      </w:r>
    </w:p>
    <w:p w14:paraId="6F0B711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5,976.42万元，实际执行总额5,975.93万元；预算绩效评价项目1个，全年预算数3.00万元，全年执行数3.00万元。预算绩效管理取得的成效：一是源头化解矛盾纠纷。以案结事了政通人和理念做好定分止争，创新打造“法院+”多元解纷模式，提升矛盾纠纷前端化解质效；二是优化司法资源配置。积极争取党委支持，深化财物统管改革，协调州财政化解基层法院债务。发现的问题及原因：一是司法理念、工作机制，同审判工作现代化还有差距；二是审判执行效率、效果，同人民群众新期待还有差距；三是“四源共治”措施、成效，同市域治理现代化还有差距；四是作风整治、权力监督，同从严管党治院要求还有差距。对此，我们将积极采取有效措施，认真加以解决。下一步改进措施：一是全州法院主动接受州人大及其常委会的法律监督、工作监督和州政协民主监督，深入贯彻落实州人大常委会关于加强法院行政审判、执行工作的决定，探索“人大代表之家”与人民法庭互嵌运行机制；二是制定实施《加强人大代表联络主动接受人大代表监督工作办法》，全方位请示报告工作，积极邀请人大代表、政协委员视察法院、旁听庭审、见证执行、座谈研讨，收集整改意见建议，办理代表建议、政协提案；三是自觉接受监察监督，支持配合派驻纪检组履行职责。具体附整体支出绩效自评表、项目支出绩效自评表。</w:t>
      </w:r>
    </w:p>
    <w:p w14:paraId="7773EF82">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9E51AEC">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487476A">
            <w:pPr>
              <w:spacing w:before="0" w:after="0" w:line="240" w:lineRule="auto"/>
              <w:jc w:val="center"/>
            </w:pPr>
            <w:r>
              <w:rPr>
                <w:rFonts w:ascii="宋体" w:hAnsi="宋体" w:eastAsia="宋体" w:cs="宋体"/>
                <w:b w:val="0"/>
                <w:i w:val="0"/>
                <w:sz w:val="18"/>
              </w:rPr>
              <w:t>部门（单位）整体支出绩效目标自评表</w:t>
            </w:r>
          </w:p>
        </w:tc>
      </w:tr>
      <w:tr w14:paraId="3079A87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C48296F">
            <w:pPr>
              <w:spacing w:before="0" w:after="0" w:line="240" w:lineRule="auto"/>
              <w:jc w:val="center"/>
            </w:pPr>
            <w:r>
              <w:rPr>
                <w:rFonts w:ascii="宋体" w:hAnsi="宋体" w:eastAsia="宋体" w:cs="宋体"/>
                <w:b w:val="0"/>
                <w:i w:val="0"/>
                <w:sz w:val="18"/>
              </w:rPr>
              <w:t>（2025年度）</w:t>
            </w:r>
          </w:p>
        </w:tc>
      </w:tr>
      <w:tr w14:paraId="465EF414">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CE96CD">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798DFC">
            <w:pPr>
              <w:spacing w:before="0" w:after="0" w:line="240" w:lineRule="auto"/>
              <w:jc w:val="center"/>
            </w:pPr>
            <w:r>
              <w:rPr>
                <w:rFonts w:ascii="宋体" w:hAnsi="宋体" w:eastAsia="宋体" w:cs="宋体"/>
                <w:b w:val="0"/>
                <w:i w:val="0"/>
                <w:sz w:val="18"/>
              </w:rPr>
              <w:t>新疆维吾尔自治区昌吉回族自治州中级人民法院</w:t>
            </w:r>
          </w:p>
        </w:tc>
      </w:tr>
      <w:tr w14:paraId="5F087B83">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FD2C8">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819EF8">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9C7B70">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A77971">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54C99A">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B395C1">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AA07BA">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B298BE">
            <w:pPr>
              <w:spacing w:before="0" w:after="0" w:line="240" w:lineRule="auto"/>
              <w:jc w:val="center"/>
            </w:pPr>
            <w:r>
              <w:rPr>
                <w:rFonts w:ascii="宋体" w:hAnsi="宋体" w:eastAsia="宋体" w:cs="宋体"/>
                <w:b w:val="0"/>
                <w:i w:val="0"/>
                <w:sz w:val="18"/>
              </w:rPr>
              <w:t>得分</w:t>
            </w:r>
          </w:p>
        </w:tc>
      </w:tr>
      <w:tr w14:paraId="32E4DFE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22DC56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2D6E3C">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C5EC1D">
            <w:pPr>
              <w:spacing w:before="0" w:after="0" w:line="240" w:lineRule="auto"/>
              <w:jc w:val="center"/>
            </w:pPr>
            <w:r>
              <w:rPr>
                <w:rFonts w:ascii="宋体" w:hAnsi="宋体" w:eastAsia="宋体" w:cs="宋体"/>
                <w:b w:val="0"/>
                <w:i w:val="0"/>
                <w:sz w:val="18"/>
              </w:rPr>
              <w:t>642.00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5D7818">
            <w:pPr>
              <w:spacing w:before="0" w:after="0" w:line="240" w:lineRule="auto"/>
              <w:jc w:val="center"/>
            </w:pPr>
            <w:r>
              <w:rPr>
                <w:rFonts w:ascii="宋体" w:hAnsi="宋体" w:eastAsia="宋体" w:cs="宋体"/>
                <w:b w:val="0"/>
                <w:i w:val="0"/>
                <w:sz w:val="18"/>
              </w:rPr>
              <w:t>632.10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8F0FD4">
            <w:pPr>
              <w:spacing w:before="0" w:after="0" w:line="240" w:lineRule="auto"/>
              <w:jc w:val="center"/>
            </w:pPr>
            <w:r>
              <w:rPr>
                <w:rFonts w:ascii="宋体" w:hAnsi="宋体" w:eastAsia="宋体" w:cs="宋体"/>
                <w:b w:val="0"/>
                <w:i w:val="0"/>
                <w:sz w:val="18"/>
              </w:rPr>
              <w:t>632.10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F18B4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083E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44E630">
            <w:pPr>
              <w:spacing w:before="0" w:after="0" w:line="240" w:lineRule="auto"/>
              <w:jc w:val="center"/>
            </w:pPr>
            <w:r>
              <w:rPr>
                <w:rFonts w:ascii="宋体" w:hAnsi="宋体" w:eastAsia="宋体" w:cs="宋体"/>
                <w:b w:val="0"/>
                <w:i w:val="0"/>
                <w:sz w:val="18"/>
              </w:rPr>
              <w:t>-</w:t>
            </w:r>
          </w:p>
        </w:tc>
      </w:tr>
      <w:tr w14:paraId="61D9C9F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C40B30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E52EA6">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FD5010">
            <w:pPr>
              <w:spacing w:before="0" w:after="0" w:line="240" w:lineRule="auto"/>
              <w:jc w:val="center"/>
            </w:pPr>
            <w:r>
              <w:rPr>
                <w:rFonts w:ascii="宋体" w:hAnsi="宋体" w:eastAsia="宋体" w:cs="宋体"/>
                <w:b w:val="0"/>
                <w:i w:val="0"/>
                <w:sz w:val="18"/>
              </w:rPr>
              <w:t>4,563.22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5A6F96">
            <w:pPr>
              <w:spacing w:before="0" w:after="0" w:line="240" w:lineRule="auto"/>
              <w:jc w:val="center"/>
            </w:pPr>
            <w:r>
              <w:rPr>
                <w:rFonts w:ascii="宋体" w:hAnsi="宋体" w:eastAsia="宋体" w:cs="宋体"/>
                <w:b w:val="0"/>
                <w:i w:val="0"/>
                <w:sz w:val="18"/>
              </w:rPr>
              <w:t>5,344.32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1F0379">
            <w:pPr>
              <w:spacing w:before="0" w:after="0" w:line="240" w:lineRule="auto"/>
              <w:jc w:val="center"/>
            </w:pPr>
            <w:r>
              <w:rPr>
                <w:rFonts w:ascii="宋体" w:hAnsi="宋体" w:eastAsia="宋体" w:cs="宋体"/>
                <w:b w:val="0"/>
                <w:i w:val="0"/>
                <w:sz w:val="18"/>
              </w:rPr>
              <w:t>5,343.83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B08A9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E3E49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026C55">
            <w:pPr>
              <w:spacing w:before="0" w:after="0" w:line="240" w:lineRule="auto"/>
              <w:jc w:val="center"/>
            </w:pPr>
            <w:r>
              <w:rPr>
                <w:rFonts w:ascii="宋体" w:hAnsi="宋体" w:eastAsia="宋体" w:cs="宋体"/>
                <w:b w:val="0"/>
                <w:i w:val="0"/>
                <w:sz w:val="18"/>
              </w:rPr>
              <w:t>-</w:t>
            </w:r>
          </w:p>
        </w:tc>
      </w:tr>
      <w:tr w14:paraId="031761D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BA777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7A02C6">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0053A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CF38A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F6E9D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CE43C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28CA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DFA410">
            <w:pPr>
              <w:spacing w:before="0" w:after="0" w:line="240" w:lineRule="auto"/>
              <w:jc w:val="center"/>
            </w:pPr>
            <w:r>
              <w:rPr>
                <w:rFonts w:ascii="宋体" w:hAnsi="宋体" w:eastAsia="宋体" w:cs="宋体"/>
                <w:b w:val="0"/>
                <w:i w:val="0"/>
                <w:sz w:val="18"/>
              </w:rPr>
              <w:t>-</w:t>
            </w:r>
          </w:p>
        </w:tc>
      </w:tr>
      <w:tr w14:paraId="7C49BC5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FDCCBB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3FE65E">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7876EF">
            <w:pPr>
              <w:spacing w:before="0" w:after="0" w:line="240" w:lineRule="auto"/>
              <w:jc w:val="center"/>
            </w:pPr>
            <w:r>
              <w:rPr>
                <w:rFonts w:ascii="宋体" w:hAnsi="宋体" w:eastAsia="宋体" w:cs="宋体"/>
                <w:b w:val="0"/>
                <w:i w:val="0"/>
                <w:sz w:val="18"/>
              </w:rPr>
              <w:t>5,205.22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5CEAF">
            <w:pPr>
              <w:spacing w:before="0" w:after="0" w:line="240" w:lineRule="auto"/>
              <w:jc w:val="center"/>
            </w:pPr>
            <w:r>
              <w:rPr>
                <w:rFonts w:ascii="宋体" w:hAnsi="宋体" w:eastAsia="宋体" w:cs="宋体"/>
                <w:b w:val="0"/>
                <w:i w:val="0"/>
                <w:sz w:val="18"/>
              </w:rPr>
              <w:t>5,976.42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BFFCE0">
            <w:pPr>
              <w:spacing w:before="0" w:after="0" w:line="240" w:lineRule="auto"/>
              <w:jc w:val="center"/>
            </w:pPr>
            <w:r>
              <w:rPr>
                <w:rFonts w:ascii="宋体" w:hAnsi="宋体" w:eastAsia="宋体" w:cs="宋体"/>
                <w:b w:val="0"/>
                <w:i w:val="0"/>
                <w:sz w:val="18"/>
              </w:rPr>
              <w:t>5,975.93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52AFB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5C8720">
            <w:pPr>
              <w:spacing w:before="0" w:after="0" w:line="240" w:lineRule="auto"/>
              <w:jc w:val="center"/>
            </w:pPr>
            <w:r>
              <w:rPr>
                <w:rFonts w:ascii="宋体" w:hAnsi="宋体" w:eastAsia="宋体" w:cs="宋体"/>
                <w:b w:val="0"/>
                <w:i w:val="0"/>
                <w:sz w:val="18"/>
              </w:rPr>
              <w:t>99.99%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D84599">
            <w:pPr>
              <w:spacing w:before="0" w:after="0" w:line="240" w:lineRule="auto"/>
              <w:jc w:val="center"/>
            </w:pPr>
            <w:r>
              <w:rPr>
                <w:rFonts w:ascii="宋体" w:hAnsi="宋体" w:eastAsia="宋体" w:cs="宋体"/>
                <w:b w:val="0"/>
                <w:i w:val="0"/>
                <w:sz w:val="18"/>
              </w:rPr>
              <w:t>9.99</w:t>
            </w:r>
          </w:p>
        </w:tc>
      </w:tr>
      <w:tr w14:paraId="3B9D3BB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7CC6C9">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7BE88DF">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5B9536">
            <w:pPr>
              <w:spacing w:before="0" w:after="0" w:line="240" w:lineRule="auto"/>
              <w:jc w:val="center"/>
            </w:pPr>
            <w:r>
              <w:rPr>
                <w:rFonts w:ascii="宋体" w:hAnsi="宋体" w:eastAsia="宋体" w:cs="宋体"/>
                <w:b w:val="0"/>
                <w:i w:val="0"/>
                <w:sz w:val="18"/>
              </w:rPr>
              <w:t>实际完成情况</w:t>
            </w:r>
          </w:p>
        </w:tc>
      </w:tr>
      <w:tr w14:paraId="3594030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C737B8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132699E">
            <w:pPr>
              <w:spacing w:before="0" w:after="0" w:line="240" w:lineRule="auto"/>
              <w:jc w:val="center"/>
            </w:pPr>
            <w:r>
              <w:rPr>
                <w:rFonts w:ascii="宋体" w:hAnsi="宋体" w:eastAsia="宋体" w:cs="宋体"/>
                <w:b w:val="0"/>
                <w:i w:val="0"/>
                <w:sz w:val="18"/>
              </w:rPr>
              <w:t>昌吉州中级人民法院作为国家审判机关，依法独立行使审判权。依法审判法律规定由昌吉州中级人民法院管辖的和其认为应当由自己审判的刑事、民事、行政等一审案件；依法审判法律规定由昌吉州中级人民法院管辖的刑事、民事、行政等第二审案件。全面学习宣传贯彻党的二十大精神，巩固</w:t>
            </w:r>
            <w:r>
              <w:rPr>
                <w:rFonts w:hint="eastAsia" w:ascii="宋体" w:hAnsi="宋体" w:cs="宋体"/>
                <w:b w:val="0"/>
                <w:i w:val="0"/>
                <w:sz w:val="18"/>
                <w:lang w:eastAsia="zh-CN"/>
              </w:rPr>
              <w:t>学习贯彻习近平新时代中国特色社会主义思想主题教育</w:t>
            </w:r>
            <w:r>
              <w:rPr>
                <w:rFonts w:ascii="宋体" w:hAnsi="宋体" w:eastAsia="宋体" w:cs="宋体"/>
                <w:b w:val="0"/>
                <w:i w:val="0"/>
                <w:sz w:val="18"/>
              </w:rPr>
              <w:t>成果，抓好问题整改后半篇文章，牢牢把握人民法院政治机关属性，不断加强党对法院工作的绝对领导，深入贯彻《中国共产党政法工作条例》，坚持重大案事件主动请示报告，主动服务保障区州党委中心工作，确保法院工作正确政治方向。牢固树立总体国家安全观，深入推进严打攻坚、扫黑除恶法治化常态化，严厉打击各类刑事犯罪，稳妥化解涉诉涉执信访，努力让城乡更安宁、群众更安乐。主动服务保障“六稳”“六保”，平等高效保护州内州外、国企民营各类市场主体合法权益，积极发布优化营商环境典型案例，更好服务保障自治州经济高质量发展。同时，法院积极作为，其中法定审限内结案率、法定审限内案件执行执结率、受理案件数量、审结案件数量成效显著，有力维护了法律权威和当事人的合法权益。</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E48ED09">
            <w:pPr>
              <w:spacing w:before="0" w:after="0" w:line="240" w:lineRule="auto"/>
              <w:jc w:val="center"/>
            </w:pPr>
            <w:r>
              <w:rPr>
                <w:rFonts w:ascii="宋体" w:hAnsi="宋体" w:eastAsia="宋体" w:cs="宋体"/>
                <w:b w:val="0"/>
                <w:i w:val="0"/>
                <w:sz w:val="18"/>
              </w:rPr>
              <w:t>我单位全年预算数为5,976.42万元，全年执行数为5,975.93万元，总预算执行率为99.99%。2025年我单位完成以下工作内容：1法定审限内结案率达到90%；2.法定审限内案件执行执结率95.2%；3.受理案件0.53万件；4.审结案件数量0.49万件。通过以上工作的实施，保障我院办公人员正常办公，达到维护社会稳定的效果。</w:t>
            </w:r>
          </w:p>
        </w:tc>
      </w:tr>
      <w:tr w14:paraId="0051A56C">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8075EB">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F6EC39">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37210B">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2E892D">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4BFB14">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421D1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E4516A">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DBAF05">
            <w:pPr>
              <w:keepNext/>
              <w:spacing w:before="0" w:after="0" w:line="240" w:lineRule="auto"/>
              <w:jc w:val="center"/>
            </w:pPr>
            <w:r>
              <w:rPr>
                <w:rFonts w:ascii="宋体" w:hAnsi="宋体" w:eastAsia="宋体" w:cs="宋体"/>
                <w:b w:val="0"/>
                <w:i w:val="0"/>
                <w:sz w:val="18"/>
              </w:rPr>
              <w:t>得分</w:t>
            </w:r>
          </w:p>
        </w:tc>
      </w:tr>
      <w:tr w14:paraId="65D5FA01">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9BC56A">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ADBF08">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7AD9F7">
            <w:pPr>
              <w:spacing w:before="0" w:after="0" w:line="240" w:lineRule="auto"/>
              <w:jc w:val="center"/>
            </w:pPr>
            <w:r>
              <w:rPr>
                <w:rFonts w:ascii="宋体" w:hAnsi="宋体" w:eastAsia="宋体" w:cs="宋体"/>
                <w:b w:val="0"/>
                <w:i w:val="0"/>
                <w:sz w:val="18"/>
              </w:rPr>
              <w:t>法定审限内结案率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86DCB4">
            <w:pPr>
              <w:spacing w:before="0" w:after="0" w:line="240" w:lineRule="auto"/>
              <w:jc w:val="center"/>
            </w:pPr>
            <w:r>
              <w:rPr>
                <w:rFonts w:ascii="宋体" w:hAnsi="宋体" w:eastAsia="宋体" w:cs="宋体"/>
                <w:b w:val="0"/>
                <w:i w:val="0"/>
                <w:sz w:val="18"/>
              </w:rPr>
              <w:t>&gt;89%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7D1468">
            <w:pPr>
              <w:spacing w:before="0" w:after="0" w:line="240" w:lineRule="auto"/>
              <w:jc w:val="center"/>
            </w:pPr>
            <w:r>
              <w:rPr>
                <w:rFonts w:ascii="宋体" w:hAnsi="宋体" w:eastAsia="宋体" w:cs="宋体"/>
                <w:b w:val="0"/>
                <w:i w:val="0"/>
                <w:sz w:val="18"/>
              </w:rPr>
              <w:t>《人民法院审判质量管理指标体系》《昌吉回族自治州中级人民法院2025年工作计划》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25B649">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86E81E">
            <w:pPr>
              <w:spacing w:before="0" w:after="0" w:line="240" w:lineRule="auto"/>
              <w:jc w:val="center"/>
            </w:pPr>
            <w:r>
              <w:rPr>
                <w:rFonts w:ascii="宋体" w:hAnsi="宋体" w:eastAsia="宋体" w:cs="宋体"/>
                <w:b w:val="0"/>
                <w:i w:val="0"/>
                <w:sz w:val="18"/>
              </w:rPr>
              <w: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4A8FB2">
            <w:pPr>
              <w:spacing w:before="0" w:after="0" w:line="240" w:lineRule="auto"/>
              <w:jc w:val="center"/>
            </w:pPr>
            <w:r>
              <w:rPr>
                <w:rFonts w:ascii="宋体" w:hAnsi="宋体" w:eastAsia="宋体" w:cs="宋体"/>
                <w:b w:val="0"/>
                <w:i w:val="0"/>
                <w:sz w:val="18"/>
              </w:rPr>
              <w:t>20</w:t>
            </w:r>
          </w:p>
        </w:tc>
      </w:tr>
      <w:tr w14:paraId="3258B7F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5784D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2BD4C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5FB66E">
            <w:pPr>
              <w:spacing w:before="0" w:after="0" w:line="240" w:lineRule="auto"/>
              <w:jc w:val="center"/>
            </w:pPr>
            <w:r>
              <w:rPr>
                <w:rFonts w:ascii="宋体" w:hAnsi="宋体" w:eastAsia="宋体" w:cs="宋体"/>
                <w:b w:val="0"/>
                <w:i w:val="0"/>
                <w:sz w:val="18"/>
              </w:rPr>
              <w:t>法定审限内案件执行执结率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BE7478">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D62198">
            <w:pPr>
              <w:spacing w:before="0" w:after="0" w:line="240" w:lineRule="auto"/>
              <w:jc w:val="center"/>
            </w:pPr>
            <w:r>
              <w:rPr>
                <w:rFonts w:ascii="宋体" w:hAnsi="宋体" w:eastAsia="宋体" w:cs="宋体"/>
                <w:b w:val="0"/>
                <w:i w:val="0"/>
                <w:sz w:val="18"/>
              </w:rPr>
              <w:t>《人民法院审判质量管理指标体系》《昌吉回族自治州中级人民法院2025年工作计划》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B2CA11">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56E45A">
            <w:pPr>
              <w:spacing w:before="0" w:after="0" w:line="240" w:lineRule="auto"/>
              <w:jc w:val="center"/>
            </w:pPr>
            <w:r>
              <w:rPr>
                <w:rFonts w:ascii="宋体" w:hAnsi="宋体" w:eastAsia="宋体" w:cs="宋体"/>
                <w:b w:val="0"/>
                <w:i w:val="0"/>
                <w:sz w:val="18"/>
              </w:rPr>
              <w:t>=95.2%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DDA8DB">
            <w:pPr>
              <w:spacing w:before="0" w:after="0" w:line="240" w:lineRule="auto"/>
              <w:jc w:val="center"/>
            </w:pPr>
            <w:r>
              <w:rPr>
                <w:rFonts w:ascii="宋体" w:hAnsi="宋体" w:eastAsia="宋体" w:cs="宋体"/>
                <w:b w:val="0"/>
                <w:i w:val="0"/>
                <w:sz w:val="18"/>
              </w:rPr>
              <w:t>20</w:t>
            </w:r>
          </w:p>
        </w:tc>
      </w:tr>
      <w:tr w14:paraId="4C98EDB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A64C9C"/>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A795C1">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576D3A">
            <w:pPr>
              <w:spacing w:before="0" w:after="0" w:line="240" w:lineRule="auto"/>
              <w:jc w:val="center"/>
            </w:pPr>
            <w:r>
              <w:rPr>
                <w:rFonts w:ascii="宋体" w:hAnsi="宋体" w:eastAsia="宋体" w:cs="宋体"/>
                <w:b w:val="0"/>
                <w:i w:val="0"/>
                <w:sz w:val="18"/>
              </w:rPr>
              <w:t>受理案件数量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66BE0B">
            <w:pPr>
              <w:spacing w:before="0" w:after="0" w:line="240" w:lineRule="auto"/>
              <w:jc w:val="center"/>
            </w:pPr>
            <w:r>
              <w:rPr>
                <w:rFonts w:ascii="宋体" w:hAnsi="宋体" w:eastAsia="宋体" w:cs="宋体"/>
                <w:b w:val="0"/>
                <w:i w:val="0"/>
                <w:sz w:val="18"/>
              </w:rPr>
              <w:t>&gt;0.44万件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EE4E15">
            <w:pPr>
              <w:spacing w:before="0" w:after="0" w:line="240" w:lineRule="auto"/>
              <w:jc w:val="center"/>
            </w:pPr>
            <w:r>
              <w:rPr>
                <w:rFonts w:ascii="宋体" w:hAnsi="宋体" w:eastAsia="宋体" w:cs="宋体"/>
                <w:b w:val="0"/>
                <w:i w:val="0"/>
                <w:sz w:val="18"/>
              </w:rPr>
              <w:t>《人民法院审判质量管理指标体系》《昌吉回族自治州中级人民法院2025年工作计划》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F9CE70">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518959">
            <w:pPr>
              <w:spacing w:before="0" w:after="0" w:line="240" w:lineRule="auto"/>
              <w:jc w:val="center"/>
            </w:pPr>
            <w:r>
              <w:rPr>
                <w:rFonts w:ascii="宋体" w:hAnsi="宋体" w:eastAsia="宋体" w:cs="宋体"/>
                <w:b w:val="0"/>
                <w:i w:val="0"/>
                <w:sz w:val="18"/>
              </w:rPr>
              <w:t>=0.53万件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BCA13F">
            <w:pPr>
              <w:spacing w:before="0" w:after="0" w:line="240" w:lineRule="auto"/>
              <w:jc w:val="center"/>
            </w:pPr>
            <w:r>
              <w:rPr>
                <w:rFonts w:ascii="宋体" w:hAnsi="宋体" w:eastAsia="宋体" w:cs="宋体"/>
                <w:b w:val="0"/>
                <w:i w:val="0"/>
                <w:sz w:val="18"/>
              </w:rPr>
              <w:t>30</w:t>
            </w:r>
          </w:p>
        </w:tc>
      </w:tr>
      <w:tr w14:paraId="66BCA49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FC724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D6D06E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D379CB">
            <w:pPr>
              <w:spacing w:before="0" w:after="0" w:line="240" w:lineRule="auto"/>
              <w:jc w:val="center"/>
            </w:pPr>
            <w:r>
              <w:rPr>
                <w:rFonts w:ascii="宋体" w:hAnsi="宋体" w:eastAsia="宋体" w:cs="宋体"/>
                <w:b w:val="0"/>
                <w:i w:val="0"/>
                <w:sz w:val="18"/>
              </w:rPr>
              <w:t>审结案件数量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FEB38">
            <w:pPr>
              <w:spacing w:before="0" w:after="0" w:line="240" w:lineRule="auto"/>
              <w:jc w:val="center"/>
            </w:pPr>
            <w:r>
              <w:rPr>
                <w:rFonts w:ascii="宋体" w:hAnsi="宋体" w:eastAsia="宋体" w:cs="宋体"/>
                <w:b w:val="0"/>
                <w:i w:val="0"/>
                <w:sz w:val="18"/>
              </w:rPr>
              <w:t>&gt;0.39万件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A3196F">
            <w:pPr>
              <w:spacing w:before="0" w:after="0" w:line="240" w:lineRule="auto"/>
              <w:jc w:val="center"/>
            </w:pPr>
            <w:r>
              <w:rPr>
                <w:rFonts w:ascii="宋体" w:hAnsi="宋体" w:eastAsia="宋体" w:cs="宋体"/>
                <w:b w:val="0"/>
                <w:i w:val="0"/>
                <w:sz w:val="18"/>
              </w:rPr>
              <w:t>《人民法院审判质量管理指标体系》《昌吉回族自治州中级人民法院2025年工作计划》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640B61">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E7A3C3">
            <w:pPr>
              <w:spacing w:before="0" w:after="0" w:line="240" w:lineRule="auto"/>
              <w:jc w:val="center"/>
            </w:pPr>
            <w:r>
              <w:rPr>
                <w:rFonts w:ascii="宋体" w:hAnsi="宋体" w:eastAsia="宋体" w:cs="宋体"/>
                <w:b w:val="0"/>
                <w:i w:val="0"/>
                <w:sz w:val="18"/>
              </w:rPr>
              <w:t>=0.49万件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EA4EE">
            <w:pPr>
              <w:spacing w:before="0" w:after="0" w:line="240" w:lineRule="auto"/>
              <w:jc w:val="center"/>
            </w:pPr>
            <w:r>
              <w:rPr>
                <w:rFonts w:ascii="宋体" w:hAnsi="宋体" w:eastAsia="宋体" w:cs="宋体"/>
                <w:b w:val="0"/>
                <w:i w:val="0"/>
                <w:sz w:val="18"/>
              </w:rPr>
              <w:t>20</w:t>
            </w:r>
          </w:p>
        </w:tc>
      </w:tr>
    </w:tbl>
    <w:p w14:paraId="22BE40B2">
      <w:r>
        <w:br w:type="page"/>
      </w:r>
    </w:p>
    <w:p w14:paraId="12C46515">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75"/>
        <w:gridCol w:w="575"/>
        <w:gridCol w:w="575"/>
        <w:gridCol w:w="575"/>
        <w:gridCol w:w="593"/>
        <w:gridCol w:w="589"/>
        <w:gridCol w:w="589"/>
        <w:gridCol w:w="702"/>
        <w:gridCol w:w="612"/>
        <w:gridCol w:w="575"/>
        <w:gridCol w:w="589"/>
        <w:gridCol w:w="583"/>
        <w:gridCol w:w="580"/>
        <w:gridCol w:w="594"/>
      </w:tblGrid>
      <w:tr w14:paraId="7CDF635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70FF15">
            <w:pPr>
              <w:spacing w:before="0" w:after="0" w:line="240" w:lineRule="auto"/>
              <w:jc w:val="center"/>
            </w:pPr>
            <w:r>
              <w:rPr>
                <w:rFonts w:ascii="宋体" w:hAnsi="宋体" w:eastAsia="宋体" w:cs="宋体"/>
                <w:b/>
                <w:i w:val="0"/>
                <w:sz w:val="18"/>
              </w:rPr>
              <w:t>项目支出绩效自评表</w:t>
            </w:r>
          </w:p>
        </w:tc>
      </w:tr>
      <w:tr w14:paraId="66E5CF5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ABB08F">
            <w:pPr>
              <w:spacing w:before="0" w:after="0" w:line="240" w:lineRule="auto"/>
              <w:jc w:val="center"/>
            </w:pPr>
            <w:r>
              <w:rPr>
                <w:rFonts w:ascii="宋体" w:hAnsi="宋体" w:eastAsia="宋体" w:cs="宋体"/>
                <w:b w:val="0"/>
                <w:i w:val="0"/>
                <w:sz w:val="18"/>
              </w:rPr>
              <w:t>(2025年度)</w:t>
            </w:r>
          </w:p>
        </w:tc>
      </w:tr>
      <w:tr w14:paraId="03D318F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FC1C7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5A96EC3">
            <w:pPr>
              <w:spacing w:before="0" w:after="0" w:line="240" w:lineRule="auto"/>
              <w:jc w:val="center"/>
            </w:pPr>
            <w:r>
              <w:rPr>
                <w:rFonts w:ascii="宋体" w:hAnsi="宋体" w:eastAsia="宋体" w:cs="宋体"/>
                <w:b w:val="0"/>
                <w:i w:val="0"/>
                <w:sz w:val="18"/>
              </w:rPr>
              <w:t>2025年人才工作经费</w:t>
            </w:r>
          </w:p>
        </w:tc>
      </w:tr>
      <w:tr w14:paraId="65DD9DB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E261A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5CBF14">
            <w:pPr>
              <w:spacing w:before="0" w:after="0" w:line="240" w:lineRule="auto"/>
              <w:jc w:val="center"/>
            </w:pPr>
            <w:r>
              <w:rPr>
                <w:rFonts w:ascii="宋体" w:hAnsi="宋体" w:eastAsia="宋体" w:cs="宋体"/>
                <w:b w:val="0"/>
                <w:i w:val="0"/>
                <w:sz w:val="18"/>
              </w:rPr>
              <w:t>新疆维吾尔自治区昌吉回族自治州中级人民法院</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F0CF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E60617">
            <w:pPr>
              <w:spacing w:before="0" w:after="0" w:line="240" w:lineRule="auto"/>
              <w:jc w:val="center"/>
            </w:pPr>
            <w:r>
              <w:rPr>
                <w:rFonts w:ascii="宋体" w:hAnsi="宋体" w:eastAsia="宋体" w:cs="宋体"/>
                <w:b w:val="0"/>
                <w:i w:val="0"/>
                <w:sz w:val="18"/>
              </w:rPr>
              <w:t>新疆维吾尔自治区昌吉回族自治州中级人民法院</w:t>
            </w:r>
          </w:p>
        </w:tc>
      </w:tr>
      <w:tr w14:paraId="7F5BE63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FB795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66B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2BDA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4AFBD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8FF1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13A32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0C28E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51BCC">
            <w:pPr>
              <w:spacing w:before="0" w:after="0" w:line="240" w:lineRule="auto"/>
              <w:jc w:val="center"/>
            </w:pPr>
            <w:r>
              <w:rPr>
                <w:rFonts w:ascii="宋体" w:hAnsi="宋体" w:eastAsia="宋体" w:cs="宋体"/>
                <w:b/>
                <w:i w:val="0"/>
                <w:sz w:val="18"/>
              </w:rPr>
              <w:t>得分</w:t>
            </w:r>
          </w:p>
        </w:tc>
      </w:tr>
      <w:tr w14:paraId="6308EC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EBD8B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36BF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F9761">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7EDC2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D23D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04535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48820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D8C2E6">
            <w:pPr>
              <w:spacing w:before="0" w:after="0" w:line="240" w:lineRule="auto"/>
              <w:jc w:val="center"/>
            </w:pPr>
            <w:r>
              <w:rPr>
                <w:rFonts w:ascii="宋体" w:hAnsi="宋体" w:eastAsia="宋体" w:cs="宋体"/>
                <w:b w:val="0"/>
                <w:i w:val="0"/>
                <w:sz w:val="18"/>
              </w:rPr>
              <w:t>10</w:t>
            </w:r>
          </w:p>
        </w:tc>
      </w:tr>
      <w:tr w14:paraId="354ED0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52AD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4E574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D15B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B3CE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A90C23">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55FB3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3DDC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2ADBCF">
            <w:pPr>
              <w:spacing w:before="0" w:after="0" w:line="240" w:lineRule="auto"/>
              <w:jc w:val="center"/>
            </w:pPr>
            <w:r>
              <w:rPr>
                <w:rFonts w:ascii="宋体" w:hAnsi="宋体" w:eastAsia="宋体" w:cs="宋体"/>
                <w:b w:val="0"/>
                <w:i w:val="0"/>
                <w:sz w:val="18"/>
              </w:rPr>
              <w:t>—</w:t>
            </w:r>
          </w:p>
        </w:tc>
      </w:tr>
      <w:tr w14:paraId="7C0711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02A3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D1291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0BF0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C3EE9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F19AF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5F98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2A9D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7F8F2">
            <w:pPr>
              <w:spacing w:before="0" w:after="0" w:line="240" w:lineRule="auto"/>
              <w:jc w:val="center"/>
            </w:pPr>
            <w:r>
              <w:rPr>
                <w:rFonts w:ascii="宋体" w:hAnsi="宋体" w:eastAsia="宋体" w:cs="宋体"/>
                <w:b w:val="0"/>
                <w:i w:val="0"/>
                <w:sz w:val="18"/>
              </w:rPr>
              <w:t>—</w:t>
            </w:r>
          </w:p>
        </w:tc>
      </w:tr>
      <w:tr w14:paraId="5DBAE1C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AADE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52094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00EFCD2">
            <w:pPr>
              <w:spacing w:before="0" w:after="0" w:line="240" w:lineRule="auto"/>
              <w:jc w:val="center"/>
            </w:pPr>
            <w:r>
              <w:rPr>
                <w:rFonts w:ascii="宋体" w:hAnsi="宋体" w:eastAsia="宋体" w:cs="宋体"/>
                <w:b/>
                <w:i w:val="0"/>
                <w:sz w:val="18"/>
              </w:rPr>
              <w:t>实际完成情况</w:t>
            </w:r>
          </w:p>
        </w:tc>
      </w:tr>
      <w:tr w14:paraId="103FFDB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B221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88321B">
            <w:pPr>
              <w:spacing w:before="0" w:after="0" w:line="240" w:lineRule="auto"/>
              <w:jc w:val="center"/>
            </w:pPr>
            <w:r>
              <w:rPr>
                <w:rFonts w:ascii="宋体" w:hAnsi="宋体" w:eastAsia="宋体" w:cs="宋体"/>
                <w:b w:val="0"/>
                <w:i w:val="0"/>
                <w:sz w:val="18"/>
              </w:rPr>
              <w:t>2025年该项目计划向3位庭州英才发放人才补助工作经费。一次性发放，资金发放准确率达到100%，项目拟在2025年12月10日前完成。通过该项目的实施，显著提升单位法治人才质量与法治工作水平。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CA9471">
            <w:pPr>
              <w:spacing w:before="0" w:after="0" w:line="240" w:lineRule="auto"/>
              <w:jc w:val="center"/>
            </w:pPr>
            <w:r>
              <w:rPr>
                <w:rFonts w:ascii="宋体" w:hAnsi="宋体" w:eastAsia="宋体" w:cs="宋体"/>
                <w:b w:val="0"/>
                <w:i w:val="0"/>
                <w:sz w:val="18"/>
              </w:rPr>
              <w:t>截至2025年12月31日，本项目支出资金3万元，资金执行率100%，本项目实际完成已向3位庭州英才发放人才补助工作经费，一次性发放。通过本项目的实施，显著提升单位法治人才质量与法治工作水平。</w:t>
            </w:r>
          </w:p>
        </w:tc>
      </w:tr>
      <w:tr w14:paraId="0021AB4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5FCE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2976F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D0988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BD0AE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920CE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D72CD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F19CA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AC95B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D75356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76FB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F5B9F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8FA35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C067D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744B81">
            <w:pPr>
              <w:keepNext/>
              <w:spacing w:before="0" w:after="0" w:line="240" w:lineRule="auto"/>
              <w:jc w:val="center"/>
            </w:pPr>
            <w:r>
              <w:rPr>
                <w:rFonts w:ascii="宋体" w:hAnsi="宋体" w:eastAsia="宋体" w:cs="宋体"/>
                <w:b/>
                <w:i w:val="0"/>
                <w:sz w:val="18"/>
              </w:rPr>
              <w:t>偏差原因分析及改进措施</w:t>
            </w:r>
          </w:p>
        </w:tc>
      </w:tr>
      <w:tr w14:paraId="3142E16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1D0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EC6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19B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2BB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8CB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01E9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50C6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1BAB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8F94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0F78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6562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927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38F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8A74AA"/>
        </w:tc>
      </w:tr>
      <w:tr w14:paraId="2377E1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2D1F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0094F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EBD9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0623B">
            <w:pPr>
              <w:spacing w:before="0" w:after="0" w:line="240" w:lineRule="auto"/>
              <w:jc w:val="center"/>
            </w:pPr>
            <w:r>
              <w:rPr>
                <w:rFonts w:ascii="宋体" w:hAnsi="宋体" w:eastAsia="宋体" w:cs="宋体"/>
                <w:b w:val="0"/>
                <w:i w:val="0"/>
                <w:sz w:val="18"/>
              </w:rPr>
              <w:t>发放补助次数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E018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800F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C9E8A">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45E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7F007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4E1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9ADF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634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1A7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E6A6E">
            <w:pPr>
              <w:spacing w:before="0" w:after="0" w:line="240" w:lineRule="auto"/>
              <w:jc w:val="center"/>
            </w:pPr>
          </w:p>
        </w:tc>
      </w:tr>
      <w:tr w14:paraId="2CC142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104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1F0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7C12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7D170">
            <w:pPr>
              <w:spacing w:before="0" w:after="0" w:line="240" w:lineRule="auto"/>
              <w:jc w:val="center"/>
            </w:pPr>
            <w:r>
              <w:rPr>
                <w:rFonts w:ascii="宋体" w:hAnsi="宋体" w:eastAsia="宋体" w:cs="宋体"/>
                <w:b w:val="0"/>
                <w:i w:val="0"/>
                <w:sz w:val="18"/>
              </w:rPr>
              <w:t>补助发放人数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908D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5A173">
            <w:pPr>
              <w:spacing w:before="0" w:after="0" w:line="240" w:lineRule="auto"/>
              <w:jc w:val="center"/>
            </w:pPr>
            <w:r>
              <w:rPr>
                <w:rFonts w:ascii="宋体" w:hAnsi="宋体" w:eastAsia="宋体" w:cs="宋体"/>
                <w:b w:val="0"/>
                <w:i w:val="0"/>
                <w:sz w:val="18"/>
              </w:rPr>
              <w:t>&gt;=3人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F0D94">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FDB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02A0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E6D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A30C9">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BD1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6A2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21DDC">
            <w:pPr>
              <w:spacing w:before="0" w:after="0" w:line="240" w:lineRule="auto"/>
              <w:jc w:val="center"/>
            </w:pPr>
          </w:p>
        </w:tc>
      </w:tr>
      <w:tr w14:paraId="357D8A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4BE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5872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CADE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CE868">
            <w:pPr>
              <w:spacing w:before="0" w:after="0" w:line="240" w:lineRule="auto"/>
              <w:jc w:val="center"/>
            </w:pPr>
            <w:r>
              <w:rPr>
                <w:rFonts w:ascii="宋体" w:hAnsi="宋体" w:eastAsia="宋体" w:cs="宋体"/>
                <w:b w:val="0"/>
                <w:i w:val="0"/>
                <w:sz w:val="18"/>
              </w:rPr>
              <w:t>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214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9BD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9BB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13EC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CFA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92B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021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FFB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F02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BC06D">
            <w:pPr>
              <w:spacing w:before="0" w:after="0" w:line="240" w:lineRule="auto"/>
              <w:jc w:val="center"/>
            </w:pPr>
          </w:p>
        </w:tc>
      </w:tr>
      <w:tr w14:paraId="5CAC99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5B40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4AB23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CC51A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FF01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A88E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BEF3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9D485">
            <w:pPr>
              <w:spacing w:before="0" w:after="0" w:line="240" w:lineRule="auto"/>
              <w:jc w:val="center"/>
            </w:pPr>
            <w:r>
              <w:rPr>
                <w:rFonts w:ascii="宋体" w:hAnsi="宋体" w:eastAsia="宋体" w:cs="宋体"/>
                <w:b w:val="0"/>
                <w:i w:val="0"/>
                <w:sz w:val="18"/>
              </w:rPr>
              <w:t>2025年7月18日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9B96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A24A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17B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0037E">
            <w:pPr>
              <w:spacing w:before="0" w:after="0" w:line="240" w:lineRule="auto"/>
              <w:jc w:val="center"/>
            </w:pPr>
            <w:r>
              <w:rPr>
                <w:rFonts w:ascii="宋体" w:hAnsi="宋体" w:eastAsia="宋体" w:cs="宋体"/>
                <w:b w:val="0"/>
                <w:i w:val="0"/>
                <w:sz w:val="18"/>
              </w:rPr>
              <w:t>2024年11月30日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83E0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68F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47F1C">
            <w:pPr>
              <w:spacing w:before="0" w:after="0" w:line="240" w:lineRule="auto"/>
              <w:jc w:val="center"/>
            </w:pPr>
          </w:p>
        </w:tc>
      </w:tr>
      <w:tr w14:paraId="3656BB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239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87D0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6904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A4033">
            <w:pPr>
              <w:spacing w:before="0" w:after="0" w:line="240" w:lineRule="auto"/>
              <w:jc w:val="center"/>
            </w:pPr>
            <w:r>
              <w:rPr>
                <w:rFonts w:ascii="宋体" w:hAnsi="宋体" w:eastAsia="宋体" w:cs="宋体"/>
                <w:b w:val="0"/>
                <w:i w:val="0"/>
                <w:sz w:val="18"/>
              </w:rPr>
              <w:t>人才补助标准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F41C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AB08D">
            <w:pPr>
              <w:spacing w:before="0" w:after="0" w:line="240" w:lineRule="auto"/>
              <w:jc w:val="center"/>
            </w:pPr>
            <w:r>
              <w:rPr>
                <w:rFonts w:ascii="宋体" w:hAnsi="宋体" w:eastAsia="宋体" w:cs="宋体"/>
                <w:b w:val="0"/>
                <w:i w:val="0"/>
                <w:sz w:val="18"/>
              </w:rPr>
              <w:t>=1万元/人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AB3E9">
            <w:pPr>
              <w:spacing w:before="0" w:after="0" w:line="240" w:lineRule="auto"/>
              <w:jc w:val="center"/>
            </w:pPr>
            <w:r>
              <w:rPr>
                <w:rFonts w:ascii="宋体" w:hAnsi="宋体" w:eastAsia="宋体" w:cs="宋体"/>
                <w:b w:val="0"/>
                <w:i w:val="0"/>
                <w:sz w:val="18"/>
              </w:rPr>
              <w:t>=1万元/人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4072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A678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F01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7F6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71B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D86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F9FF4">
            <w:pPr>
              <w:spacing w:before="0" w:after="0" w:line="240" w:lineRule="auto"/>
              <w:jc w:val="center"/>
            </w:pPr>
          </w:p>
        </w:tc>
      </w:tr>
      <w:tr w14:paraId="521B4F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4E86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84EB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1F56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8729A">
            <w:pPr>
              <w:spacing w:before="0" w:after="0" w:line="240" w:lineRule="auto"/>
              <w:jc w:val="center"/>
            </w:pPr>
            <w:r>
              <w:rPr>
                <w:rFonts w:ascii="宋体" w:hAnsi="宋体" w:eastAsia="宋体" w:cs="宋体"/>
                <w:b w:val="0"/>
                <w:i w:val="0"/>
                <w:sz w:val="18"/>
              </w:rPr>
              <w:t>提升单位法治人才质量与法治工作水平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4CB7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51A64">
            <w:pPr>
              <w:spacing w:before="0" w:after="0" w:line="240" w:lineRule="auto"/>
              <w:jc w:val="center"/>
            </w:pPr>
            <w:r>
              <w:rPr>
                <w:rFonts w:ascii="宋体" w:hAnsi="宋体" w:eastAsia="宋体" w:cs="宋体"/>
                <w:b w:val="0"/>
                <w:i w:val="0"/>
                <w:sz w:val="18"/>
              </w:rPr>
              <w:t>显著提升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479A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9F2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6AE6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C9C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B38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CA73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56F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8F297">
            <w:pPr>
              <w:spacing w:before="0" w:after="0" w:line="240" w:lineRule="auto"/>
              <w:jc w:val="center"/>
            </w:pPr>
          </w:p>
        </w:tc>
      </w:tr>
      <w:tr w14:paraId="7DEEF7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7A0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FEC3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0DF0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8E0CF">
            <w:pPr>
              <w:spacing w:before="0" w:after="0" w:line="240" w:lineRule="auto"/>
              <w:jc w:val="center"/>
            </w:pPr>
            <w:r>
              <w:rPr>
                <w:rFonts w:ascii="宋体" w:hAnsi="宋体" w:eastAsia="宋体" w:cs="宋体"/>
                <w:b w:val="0"/>
                <w:i w:val="0"/>
                <w:sz w:val="18"/>
              </w:rPr>
              <w:t>补助人员满意度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E32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AE05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41B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35128">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972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B5F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CEA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D0CF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CAF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1D2CF">
            <w:pPr>
              <w:spacing w:before="0" w:after="0" w:line="240" w:lineRule="auto"/>
              <w:jc w:val="center"/>
            </w:pPr>
            <w:r>
              <w:rPr>
                <w:rFonts w:ascii="宋体" w:hAnsi="宋体" w:eastAsia="宋体" w:cs="宋体"/>
                <w:b w:val="0"/>
                <w:i w:val="0"/>
                <w:sz w:val="18"/>
              </w:rPr>
              <w:t>偏差原因为：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14:paraId="1F7364A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69A306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2B6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F6E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1EA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A5E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E695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8B5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E0F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61C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0CC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48D2C">
            <w:pPr>
              <w:spacing w:before="0" w:after="0" w:line="240" w:lineRule="auto"/>
              <w:jc w:val="center"/>
            </w:pPr>
          </w:p>
        </w:tc>
      </w:tr>
    </w:tbl>
    <w:p w14:paraId="7AE1B5CB">
      <w:r>
        <w:br w:type="page"/>
      </w:r>
    </w:p>
    <w:p w14:paraId="5D1A78C0">
      <w:pPr>
        <w:sectPr>
          <w:type w:val="continuous"/>
          <w:pgSz w:w="11906" w:h="16838"/>
          <w:pgMar w:top="1440" w:right="1800" w:bottom="1440" w:left="1800" w:header="851" w:footer="992" w:gutter="0"/>
          <w:cols w:space="720" w:num="1"/>
          <w:docGrid w:type="lines" w:linePitch="312" w:charSpace="0"/>
        </w:sectPr>
      </w:pPr>
    </w:p>
    <w:p w14:paraId="47DAEB27">
      <w:pPr>
        <w:spacing w:line="640" w:lineRule="exact"/>
        <w:ind w:firstLine="640"/>
        <w:jc w:val="both"/>
        <w:outlineLvl w:val="2"/>
      </w:pPr>
      <w:r>
        <w:rPr>
          <w:rFonts w:ascii="黑体" w:hAnsi="黑体" w:eastAsia="黑体"/>
          <w:sz w:val="32"/>
        </w:rPr>
        <w:t>十二、其他需说明的事项</w:t>
      </w:r>
    </w:p>
    <w:p w14:paraId="55CB6414">
      <w:pPr>
        <w:spacing w:line="580" w:lineRule="exact"/>
        <w:ind w:firstLine="640"/>
        <w:jc w:val="both"/>
      </w:pPr>
      <w:r>
        <w:rPr>
          <w:rFonts w:ascii="仿宋_GB2312" w:hAnsi="仿宋_GB2312" w:eastAsia="仿宋_GB2312"/>
          <w:b w:val="0"/>
          <w:sz w:val="32"/>
        </w:rPr>
        <w:t>本年本单位其他项目4个，全年预算数802万元，全年执行数802万元。</w:t>
      </w:r>
    </w:p>
    <w:p w14:paraId="03A7B861">
      <w:r>
        <w:br w:type="page"/>
      </w:r>
    </w:p>
    <w:p w14:paraId="2F93B041">
      <w:pPr>
        <w:spacing w:line="600" w:lineRule="exact"/>
        <w:jc w:val="center"/>
        <w:outlineLvl w:val="0"/>
      </w:pPr>
      <w:r>
        <w:rPr>
          <w:rFonts w:ascii="黑体" w:hAnsi="黑体" w:eastAsia="黑体"/>
          <w:sz w:val="32"/>
        </w:rPr>
        <w:t>第三部分 专业名词解释</w:t>
      </w:r>
    </w:p>
    <w:p w14:paraId="10B43D51">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EEAAC92">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F918D8B">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2E5A631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194FCFA0">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E16A7D8">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5CF6281">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88E5E1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D214CE9">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7BB14A2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2E9199D">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C96F36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DC8B990">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238470E">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02C992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E8DE008">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56CE91D">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45AC0D0">
      <w:r>
        <w:br w:type="page"/>
      </w:r>
    </w:p>
    <w:p w14:paraId="29E439D7">
      <w:pPr>
        <w:spacing w:line="240" w:lineRule="auto"/>
        <w:jc w:val="center"/>
        <w:outlineLvl w:val="1"/>
      </w:pPr>
      <w:r>
        <w:rPr>
          <w:rFonts w:ascii="黑体" w:hAnsi="黑体" w:eastAsia="黑体"/>
          <w:sz w:val="32"/>
        </w:rPr>
        <w:t>第四部分 部门决算报表（见附表）</w:t>
      </w:r>
    </w:p>
    <w:p w14:paraId="4462460C">
      <w:pPr>
        <w:autoSpaceDE w:val="0"/>
        <w:autoSpaceDN w:val="0"/>
        <w:spacing w:line="600" w:lineRule="exact"/>
        <w:ind w:firstLine="640" w:firstLineChars="200"/>
      </w:pPr>
      <w:r>
        <w:rPr>
          <w:rFonts w:ascii="仿宋_GB2312" w:hAnsi="仿宋_GB2312" w:eastAsia="仿宋_GB2312"/>
          <w:b w:val="0"/>
          <w:sz w:val="32"/>
        </w:rPr>
        <w:t>一、《收入支出决算总表》</w:t>
      </w:r>
    </w:p>
    <w:p w14:paraId="261FC0C4">
      <w:pPr>
        <w:autoSpaceDE w:val="0"/>
        <w:autoSpaceDN w:val="0"/>
        <w:spacing w:line="600" w:lineRule="exact"/>
        <w:ind w:firstLine="640" w:firstLineChars="200"/>
      </w:pPr>
      <w:r>
        <w:rPr>
          <w:rFonts w:ascii="仿宋_GB2312" w:hAnsi="仿宋_GB2312" w:eastAsia="仿宋_GB2312"/>
          <w:b w:val="0"/>
          <w:sz w:val="32"/>
        </w:rPr>
        <w:t>二、《收入决算表》</w:t>
      </w:r>
    </w:p>
    <w:p w14:paraId="39DCBA1B">
      <w:pPr>
        <w:autoSpaceDE w:val="0"/>
        <w:autoSpaceDN w:val="0"/>
        <w:spacing w:line="600" w:lineRule="exact"/>
        <w:ind w:firstLine="640" w:firstLineChars="200"/>
      </w:pPr>
      <w:r>
        <w:rPr>
          <w:rFonts w:ascii="仿宋_GB2312" w:hAnsi="仿宋_GB2312" w:eastAsia="仿宋_GB2312"/>
          <w:b w:val="0"/>
          <w:sz w:val="32"/>
        </w:rPr>
        <w:t>三、《支出决算表》</w:t>
      </w:r>
    </w:p>
    <w:p w14:paraId="6CF28950">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56A9598">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5D422E8">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9CBF5D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E7FDEA9">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8B92BAB">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405DD99">
      <w:pPr>
        <w:autoSpaceDE w:val="0"/>
        <w:autoSpaceDN w:val="0"/>
        <w:spacing w:line="600" w:lineRule="exact"/>
        <w:ind w:firstLine="640" w:firstLineChars="200"/>
      </w:pPr>
    </w:p>
    <w:p w14:paraId="78F3B24C">
      <w:pPr>
        <w:autoSpaceDE w:val="0"/>
        <w:autoSpaceDN w:val="0"/>
        <w:spacing w:line="600" w:lineRule="exact"/>
        <w:ind w:firstLine="640" w:firstLineChars="200"/>
      </w:pPr>
    </w:p>
    <w:p w14:paraId="5AA9B0CA">
      <w:pPr>
        <w:autoSpaceDE w:val="0"/>
        <w:autoSpaceDN w:val="0"/>
        <w:spacing w:line="600" w:lineRule="exact"/>
        <w:ind w:firstLine="640" w:firstLineChars="200"/>
      </w:pPr>
    </w:p>
    <w:p w14:paraId="14909480">
      <w:pPr>
        <w:autoSpaceDE w:val="0"/>
        <w:autoSpaceDN w:val="0"/>
        <w:spacing w:line="600" w:lineRule="exact"/>
        <w:ind w:firstLine="640" w:firstLineChars="200"/>
      </w:pPr>
    </w:p>
    <w:p w14:paraId="35CFEECD">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930B18-83E8-4258-9239-662A862390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9737878D-7F4B-476C-8DA2-AB0B964711F5}"/>
  </w:font>
  <w:font w:name="仿宋_GB2312">
    <w:panose1 w:val="02010609030101010101"/>
    <w:charset w:val="86"/>
    <w:family w:val="modern"/>
    <w:pitch w:val="default"/>
    <w:sig w:usb0="00000001" w:usb1="080E0000" w:usb2="00000000" w:usb3="00000000" w:csb0="00040000" w:csb1="00000000"/>
    <w:embedRegular r:id="rId3" w:fontKey="{949A0BA7-36D2-4A29-B08E-0A5F9C88D0B4}"/>
  </w:font>
  <w:font w:name="楷体_GB2312">
    <w:panose1 w:val="02010609030101010101"/>
    <w:charset w:val="86"/>
    <w:family w:val="auto"/>
    <w:pitch w:val="default"/>
    <w:sig w:usb0="00000001" w:usb1="080E0000" w:usb2="00000000" w:usb3="00000000" w:csb0="00040000" w:csb1="00000000"/>
    <w:embedRegular r:id="rId4" w:fontKey="{346DCC7A-1F4D-4E7B-86B3-0D62D4B5E3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A24412A"/>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74F0F94"/>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34</Words>
  <Characters>37</Characters>
  <Lines>10</Lines>
  <Paragraphs>2</Paragraphs>
  <TotalTime>7</TotalTime>
  <ScaleCrop>false</ScaleCrop>
  <LinksUpToDate>false</LinksUpToDate>
  <CharactersWithSpaces>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2026-10-19T04:02:31Z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