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中共昌吉回族自治州委员会政法委员会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2557BC2">
      <w:r>
        <w:br w:type="page"/>
      </w:r>
    </w:p>
    <w:p w14:paraId="1D686E40">
      <w:pPr>
        <w:spacing w:line="640" w:lineRule="exact"/>
        <w:jc w:val="center"/>
        <w:outlineLvl w:val="1"/>
      </w:pPr>
      <w:r>
        <w:rPr>
          <w:rFonts w:ascii="黑体" w:hAnsi="黑体" w:eastAsia="黑体"/>
          <w:sz w:val="32"/>
        </w:rPr>
        <w:t>第一部分 单位概况</w:t>
      </w:r>
    </w:p>
    <w:p w14:paraId="41936913">
      <w:pPr>
        <w:spacing w:line="640" w:lineRule="exact"/>
        <w:ind w:firstLine="640"/>
        <w:jc w:val="both"/>
        <w:outlineLvl w:val="2"/>
      </w:pPr>
      <w:r>
        <w:rPr>
          <w:rFonts w:ascii="黑体" w:hAnsi="黑体" w:eastAsia="黑体"/>
          <w:sz w:val="32"/>
        </w:rPr>
        <w:t>一、主要职能</w:t>
      </w:r>
    </w:p>
    <w:p w14:paraId="773F11D4">
      <w:pPr>
        <w:spacing w:line="580" w:lineRule="exact"/>
        <w:ind w:firstLine="640"/>
        <w:jc w:val="both"/>
      </w:pPr>
      <w:r>
        <w:rPr>
          <w:rFonts w:ascii="仿宋_GB2312" w:hAnsi="仿宋_GB2312" w:eastAsia="仿宋_GB2312"/>
          <w:sz w:val="32"/>
        </w:rPr>
        <w:t>本单位主要职能SM不予公开。</w:t>
      </w:r>
    </w:p>
    <w:p w14:paraId="5FC305FE">
      <w:pPr>
        <w:spacing w:line="640" w:lineRule="exact"/>
        <w:ind w:firstLine="640"/>
        <w:jc w:val="both"/>
        <w:outlineLvl w:val="2"/>
      </w:pPr>
      <w:r>
        <w:rPr>
          <w:rFonts w:ascii="黑体" w:hAnsi="黑体" w:eastAsia="黑体"/>
          <w:sz w:val="32"/>
        </w:rPr>
        <w:t>二、机构设置</w:t>
      </w:r>
    </w:p>
    <w:p w14:paraId="6D2D6C7A">
      <w:pPr>
        <w:spacing w:line="580" w:lineRule="exact"/>
        <w:ind w:firstLine="640"/>
        <w:jc w:val="both"/>
      </w:pPr>
      <w:r>
        <w:rPr>
          <w:rFonts w:ascii="仿宋_GB2312" w:hAnsi="仿宋_GB2312" w:eastAsia="仿宋_GB2312"/>
          <w:sz w:val="32"/>
        </w:rPr>
        <w:t>中共昌吉回族自治州委员会政法委员会无下属预算单位。</w:t>
      </w:r>
    </w:p>
    <w:p w14:paraId="30E4CFF5">
      <w:r>
        <w:br w:type="page"/>
      </w:r>
    </w:p>
    <w:p w14:paraId="5D59D5EF">
      <w:pPr>
        <w:spacing w:line="240" w:lineRule="auto"/>
        <w:jc w:val="center"/>
        <w:outlineLvl w:val="1"/>
      </w:pPr>
      <w:r>
        <w:rPr>
          <w:rFonts w:ascii="黑体" w:hAnsi="黑体" w:eastAsia="黑体"/>
          <w:sz w:val="32"/>
        </w:rPr>
        <w:t>第二部分 部门决算情况说明</w:t>
      </w:r>
    </w:p>
    <w:p w14:paraId="17850DE6">
      <w:pPr>
        <w:spacing w:line="640" w:lineRule="exact"/>
        <w:ind w:firstLine="640"/>
        <w:jc w:val="both"/>
        <w:outlineLvl w:val="2"/>
      </w:pPr>
      <w:r>
        <w:rPr>
          <w:rFonts w:ascii="黑体" w:hAnsi="黑体" w:eastAsia="黑体"/>
          <w:sz w:val="32"/>
        </w:rPr>
        <w:t>一、收入支出决算总体情况说明</w:t>
      </w:r>
    </w:p>
    <w:p w14:paraId="41A079FE">
      <w:pPr>
        <w:spacing w:line="580" w:lineRule="exact"/>
        <w:ind w:firstLine="640"/>
        <w:jc w:val="both"/>
      </w:pPr>
      <w:r>
        <w:rPr>
          <w:rFonts w:ascii="仿宋_GB2312" w:hAnsi="仿宋_GB2312" w:eastAsia="仿宋_GB2312"/>
          <w:b/>
          <w:sz w:val="32"/>
        </w:rPr>
        <w:t>2025年度收入总计2,540.70万元，</w:t>
      </w:r>
      <w:r>
        <w:rPr>
          <w:rFonts w:ascii="仿宋_GB2312" w:hAnsi="仿宋_GB2312" w:eastAsia="仿宋_GB2312"/>
          <w:b w:val="0"/>
          <w:sz w:val="32"/>
        </w:rPr>
        <w:t>其中：本年收入合计2,112.00万元，使用非财政拨款结余（含专用结余）0.00万元，年初结转和结余428.70万元。</w:t>
      </w:r>
    </w:p>
    <w:p w14:paraId="62D3EE50">
      <w:pPr>
        <w:spacing w:line="580" w:lineRule="exact"/>
        <w:ind w:firstLine="640"/>
        <w:jc w:val="both"/>
      </w:pPr>
      <w:r>
        <w:rPr>
          <w:rFonts w:ascii="仿宋_GB2312" w:hAnsi="仿宋_GB2312" w:eastAsia="仿宋_GB2312"/>
          <w:b/>
          <w:sz w:val="32"/>
        </w:rPr>
        <w:t>2025年度支出总计2,540.70万元，</w:t>
      </w:r>
      <w:r>
        <w:rPr>
          <w:rFonts w:ascii="仿宋_GB2312" w:hAnsi="仿宋_GB2312" w:eastAsia="仿宋_GB2312"/>
          <w:b w:val="0"/>
          <w:sz w:val="32"/>
        </w:rPr>
        <w:t>其中：本年支出合计2,134.91万元，结余分配0.00万元，年末结转和结余405.79万元。</w:t>
      </w:r>
    </w:p>
    <w:p w14:paraId="77440476">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减少716.43万元，下降22.00%，主要原因是：2023年度"雪亮工程"租赁费在2024年度支付完毕，本年减少该项目支出。本年机关运行补助经费项目资金较上年减少。</w:t>
      </w:r>
    </w:p>
    <w:p w14:paraId="7D034938">
      <w:pPr>
        <w:spacing w:line="640" w:lineRule="exact"/>
        <w:ind w:firstLine="640"/>
        <w:jc w:val="both"/>
        <w:outlineLvl w:val="2"/>
      </w:pPr>
      <w:r>
        <w:rPr>
          <w:rFonts w:ascii="黑体" w:hAnsi="黑体" w:eastAsia="黑体"/>
          <w:sz w:val="32"/>
        </w:rPr>
        <w:t>二、收入决算情况说明</w:t>
      </w:r>
    </w:p>
    <w:p w14:paraId="41BF86BF">
      <w:pPr>
        <w:spacing w:line="580" w:lineRule="exact"/>
        <w:ind w:firstLine="640"/>
        <w:jc w:val="both"/>
      </w:pPr>
      <w:r>
        <w:rPr>
          <w:rFonts w:ascii="仿宋_GB2312" w:hAnsi="仿宋_GB2312" w:eastAsia="仿宋_GB2312"/>
          <w:b/>
          <w:sz w:val="32"/>
        </w:rPr>
        <w:t>本年收入2,112.00万元，</w:t>
      </w:r>
      <w:r>
        <w:rPr>
          <w:rFonts w:ascii="仿宋_GB2312" w:hAnsi="仿宋_GB2312" w:eastAsia="仿宋_GB2312"/>
          <w:b w:val="0"/>
          <w:sz w:val="32"/>
        </w:rPr>
        <w:t>其中：财政拨款收入2,075.72万元，占98.28%；上级补助收入0.00万元，占0.00%；事业收入0.00万元，占0.00%；经营收入0.00万元，占0.00%；附属单位上缴收入0.00万元，占0.00%；其他收入36.28万元，占1.72%。</w:t>
      </w:r>
    </w:p>
    <w:p w14:paraId="69E8F24F">
      <w:pPr>
        <w:spacing w:line="640" w:lineRule="exact"/>
        <w:ind w:firstLine="640"/>
        <w:jc w:val="both"/>
        <w:outlineLvl w:val="2"/>
      </w:pPr>
      <w:r>
        <w:rPr>
          <w:rFonts w:ascii="黑体" w:hAnsi="黑体" w:eastAsia="黑体"/>
          <w:sz w:val="32"/>
        </w:rPr>
        <w:t>三、支出决算情况说明</w:t>
      </w:r>
    </w:p>
    <w:p w14:paraId="412D0A03">
      <w:pPr>
        <w:spacing w:line="580" w:lineRule="exact"/>
        <w:ind w:firstLine="640"/>
        <w:jc w:val="both"/>
      </w:pPr>
      <w:r>
        <w:rPr>
          <w:rFonts w:ascii="仿宋_GB2312" w:hAnsi="仿宋_GB2312" w:eastAsia="仿宋_GB2312"/>
          <w:b/>
          <w:sz w:val="32"/>
        </w:rPr>
        <w:t>本年支出2,134.91万元，</w:t>
      </w:r>
      <w:r>
        <w:rPr>
          <w:rFonts w:ascii="仿宋_GB2312" w:hAnsi="仿宋_GB2312" w:eastAsia="仿宋_GB2312"/>
          <w:b w:val="0"/>
          <w:sz w:val="32"/>
        </w:rPr>
        <w:t>其中：基本支出1,210.68万元，占56.71%；项目支出924.23万元，占43.29%；上缴上级支出0.00万元，占0.00%；经营支出0.00万元，占0.00%；对附属单位补助支出0.00万元，占0.00%。</w:t>
      </w:r>
    </w:p>
    <w:p w14:paraId="147AFAE8">
      <w:pPr>
        <w:spacing w:line="640" w:lineRule="exact"/>
        <w:ind w:firstLine="640"/>
        <w:jc w:val="both"/>
        <w:outlineLvl w:val="2"/>
      </w:pPr>
      <w:r>
        <w:rPr>
          <w:rFonts w:ascii="黑体" w:hAnsi="黑体" w:eastAsia="黑体"/>
          <w:sz w:val="32"/>
        </w:rPr>
        <w:t>四、财政拨款收入支出决算总体情况说明</w:t>
      </w:r>
    </w:p>
    <w:p w14:paraId="1CF6375C">
      <w:pPr>
        <w:spacing w:line="580" w:lineRule="exact"/>
        <w:ind w:firstLine="640"/>
        <w:jc w:val="both"/>
      </w:pPr>
      <w:r>
        <w:rPr>
          <w:rFonts w:ascii="仿宋_GB2312" w:hAnsi="仿宋_GB2312" w:eastAsia="仿宋_GB2312"/>
          <w:b/>
          <w:sz w:val="32"/>
        </w:rPr>
        <w:t>2025年度财政拨款收入总计2,075.72万元，</w:t>
      </w:r>
      <w:r>
        <w:rPr>
          <w:rFonts w:ascii="仿宋_GB2312" w:hAnsi="仿宋_GB2312" w:eastAsia="仿宋_GB2312"/>
          <w:b w:val="0"/>
          <w:sz w:val="32"/>
        </w:rPr>
        <w:t>其中：年初财政拨款结转和结余0.00万元，本年财政拨款收入2,075.72万元。</w:t>
      </w:r>
      <w:r>
        <w:rPr>
          <w:rFonts w:ascii="仿宋_GB2312" w:hAnsi="仿宋_GB2312" w:eastAsia="仿宋_GB2312"/>
          <w:b/>
          <w:sz w:val="32"/>
        </w:rPr>
        <w:t>财政拨款支出总计2,075.72万元，</w:t>
      </w:r>
      <w:r>
        <w:rPr>
          <w:rFonts w:ascii="仿宋_GB2312" w:hAnsi="仿宋_GB2312" w:eastAsia="仿宋_GB2312"/>
          <w:b w:val="0"/>
          <w:sz w:val="32"/>
        </w:rPr>
        <w:t>其中：年末财政拨款结转和结余0.00万元，本年财政拨款支出2,075.72万元。</w:t>
      </w:r>
    </w:p>
    <w:p w14:paraId="62D9E6AF">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减少733.81万元，下降26.12%，主要原因是：2023年度"雪亮工程"租赁费在2024年度支付完毕，本年减少该项目支出。本年机关运行补助经费项目资金较上年减少。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年初预算数1,950.81万元，决算数2,075.72万元，预决算差异率6.40%，主要原因是：年中追加人员工资、社保、公积金基数调增部分资金，导致预决算存在差异。</w:t>
      </w:r>
    </w:p>
    <w:p w14:paraId="3C807938">
      <w:pPr>
        <w:spacing w:line="640" w:lineRule="exact"/>
        <w:ind w:firstLine="640"/>
        <w:jc w:val="both"/>
        <w:outlineLvl w:val="2"/>
      </w:pPr>
      <w:r>
        <w:rPr>
          <w:rFonts w:ascii="黑体" w:hAnsi="黑体" w:eastAsia="黑体"/>
          <w:sz w:val="32"/>
        </w:rPr>
        <w:t>五、一般公共预算财政拨款支出决算情况说明</w:t>
      </w:r>
    </w:p>
    <w:p w14:paraId="201B2F51">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事业发展，民生保障等重点支出，体现在有关支出科目中。</w:t>
      </w:r>
    </w:p>
    <w:p w14:paraId="4FD7B11E">
      <w:pPr>
        <w:spacing w:line="580" w:lineRule="exact"/>
        <w:ind w:firstLine="640"/>
        <w:jc w:val="both"/>
      </w:pPr>
      <w:r>
        <w:rPr>
          <w:rFonts w:ascii="仿宋_GB2312" w:hAnsi="仿宋_GB2312" w:eastAsia="仿宋_GB2312"/>
          <w:b w:val="0"/>
          <w:sz w:val="32"/>
        </w:rPr>
        <w:t>按照支出功能分类，一般公共服务支出（类）其他共产党事务支出（款）一般行政管理事务（项）的支出占本年财政拨款支出总额的比重最高，2025年度决算数为865.04万元，占比41.67%，主要用于专项项目经费。</w:t>
      </w:r>
    </w:p>
    <w:p w14:paraId="4398B17E">
      <w:pPr>
        <w:spacing w:line="640" w:lineRule="exact"/>
        <w:ind w:firstLine="640"/>
        <w:jc w:val="both"/>
        <w:outlineLvl w:val="3"/>
      </w:pPr>
      <w:r>
        <w:rPr>
          <w:rFonts w:ascii="楷体_GB2312" w:hAnsi="楷体_GB2312" w:eastAsia="楷体_GB2312"/>
          <w:b/>
          <w:sz w:val="32"/>
        </w:rPr>
        <w:t>（一）一般公共预算财政拨款支出决算总体情况</w:t>
      </w:r>
    </w:p>
    <w:p w14:paraId="65FC5F67">
      <w:pPr>
        <w:spacing w:line="580" w:lineRule="exact"/>
        <w:ind w:firstLine="640"/>
        <w:jc w:val="both"/>
      </w:pPr>
      <w:r>
        <w:rPr>
          <w:rFonts w:ascii="仿宋_GB2312" w:hAnsi="仿宋_GB2312" w:eastAsia="仿宋_GB2312"/>
          <w:b/>
          <w:sz w:val="32"/>
        </w:rPr>
        <w:t>2025年度一般公共预算财政拨款支出2,075.72万元，</w:t>
      </w:r>
      <w:r>
        <w:rPr>
          <w:rFonts w:ascii="仿宋_GB2312" w:hAnsi="仿宋_GB2312" w:eastAsia="仿宋_GB2312"/>
          <w:b w:val="0"/>
          <w:sz w:val="32"/>
        </w:rPr>
        <w:t>占本年支出合计的97.23%。</w:t>
      </w:r>
      <w:r>
        <w:rPr>
          <w:rFonts w:ascii="仿宋_GB2312" w:hAnsi="仿宋_GB2312" w:eastAsia="仿宋_GB2312"/>
          <w:b/>
          <w:sz w:val="32"/>
        </w:rPr>
        <w:t>与上年相比，</w:t>
      </w:r>
      <w:r>
        <w:rPr>
          <w:rFonts w:ascii="仿宋_GB2312" w:hAnsi="仿宋_GB2312" w:eastAsia="仿宋_GB2312"/>
          <w:b w:val="0"/>
          <w:sz w:val="32"/>
        </w:rPr>
        <w:t>减少733.81万元，下降26.12%，主要原因是：2023年度"雪亮工程"租赁费在2024年度支付完毕，本年减少该项目支出。本年机关运行补助经费项目资金较上年减少。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年初预算数1,950.81万元，决算数2,075.72万元，预决算差异率6.40%，主要原因是：年中追加人员工资、社保、公积金基数调增部分资金，导致预决算存在差异。</w:t>
      </w:r>
    </w:p>
    <w:p w14:paraId="1A334F47">
      <w:pPr>
        <w:spacing w:line="640" w:lineRule="exact"/>
        <w:ind w:firstLine="640"/>
        <w:jc w:val="both"/>
        <w:outlineLvl w:val="3"/>
      </w:pPr>
      <w:r>
        <w:rPr>
          <w:rFonts w:ascii="楷体_GB2312" w:hAnsi="楷体_GB2312" w:eastAsia="楷体_GB2312"/>
          <w:b/>
          <w:sz w:val="32"/>
        </w:rPr>
        <w:t>（二）一般公共预算财政拨款支出决算结构情况</w:t>
      </w:r>
    </w:p>
    <w:p w14:paraId="1C84479A">
      <w:pPr>
        <w:spacing w:line="580" w:lineRule="exact"/>
        <w:ind w:firstLine="640"/>
        <w:jc w:val="both"/>
      </w:pPr>
      <w:r>
        <w:rPr>
          <w:rFonts w:ascii="仿宋_GB2312" w:hAnsi="仿宋_GB2312" w:eastAsia="仿宋_GB2312"/>
          <w:b w:val="0"/>
          <w:sz w:val="32"/>
        </w:rPr>
        <w:t>1.一般公共服务支出（类）1,762.36万元，占84.90%。</w:t>
      </w:r>
    </w:p>
    <w:p w14:paraId="2B1967D9">
      <w:pPr>
        <w:spacing w:line="580" w:lineRule="exact"/>
        <w:ind w:firstLine="640"/>
        <w:jc w:val="both"/>
      </w:pPr>
      <w:r>
        <w:rPr>
          <w:rFonts w:ascii="仿宋_GB2312" w:hAnsi="仿宋_GB2312" w:eastAsia="仿宋_GB2312"/>
          <w:b w:val="0"/>
          <w:sz w:val="32"/>
        </w:rPr>
        <w:t>2.社会保障和就业支出（类）161.62万元，占7.79%。</w:t>
      </w:r>
    </w:p>
    <w:p w14:paraId="34097594">
      <w:pPr>
        <w:spacing w:line="580" w:lineRule="exact"/>
        <w:ind w:firstLine="640"/>
        <w:jc w:val="both"/>
      </w:pPr>
      <w:r>
        <w:rPr>
          <w:rFonts w:ascii="仿宋_GB2312" w:hAnsi="仿宋_GB2312" w:eastAsia="仿宋_GB2312"/>
          <w:b w:val="0"/>
          <w:sz w:val="32"/>
        </w:rPr>
        <w:t>3.卫生健康支出（类）77.86万元，占3.75%。</w:t>
      </w:r>
    </w:p>
    <w:p w14:paraId="66ABAC80">
      <w:pPr>
        <w:spacing w:line="580" w:lineRule="exact"/>
        <w:ind w:firstLine="640"/>
        <w:jc w:val="both"/>
      </w:pPr>
      <w:r>
        <w:rPr>
          <w:rFonts w:ascii="仿宋_GB2312" w:hAnsi="仿宋_GB2312" w:eastAsia="仿宋_GB2312"/>
          <w:b w:val="0"/>
          <w:sz w:val="32"/>
        </w:rPr>
        <w:t>4.住房保障支出（类）73.88万元，占3.56%。</w:t>
      </w:r>
    </w:p>
    <w:p w14:paraId="24592F60">
      <w:pPr>
        <w:spacing w:line="640" w:lineRule="exact"/>
        <w:ind w:firstLine="640"/>
        <w:jc w:val="both"/>
        <w:outlineLvl w:val="3"/>
      </w:pPr>
      <w:r>
        <w:rPr>
          <w:rFonts w:ascii="楷体_GB2312" w:hAnsi="楷体_GB2312" w:eastAsia="楷体_GB2312"/>
          <w:b/>
          <w:sz w:val="32"/>
        </w:rPr>
        <w:t>（三）一般公共预算财政拨款支出决算具体情况</w:t>
      </w:r>
    </w:p>
    <w:p w14:paraId="2602C5FD">
      <w:pPr>
        <w:spacing w:line="580" w:lineRule="exact"/>
        <w:ind w:firstLine="640"/>
        <w:jc w:val="both"/>
      </w:pPr>
      <w:r>
        <w:rPr>
          <w:rFonts w:ascii="仿宋_GB2312" w:hAnsi="仿宋_GB2312" w:eastAsia="仿宋_GB2312"/>
          <w:b w:val="0"/>
          <w:sz w:val="32"/>
        </w:rPr>
        <w:t>1.一般公共服务支出（类）组织事务（款）其他组织事务支出（项）：支出决算数为0.00万元，比上年决算减少2.50万元，下降100.00%，主要原因是：上年度有州机关工委对创建的五好党支部给予奖励经费支出，2025年度减少该项支出。</w:t>
      </w:r>
    </w:p>
    <w:p w14:paraId="40965F7B">
      <w:pPr>
        <w:spacing w:line="580" w:lineRule="exact"/>
        <w:ind w:firstLine="640"/>
        <w:jc w:val="both"/>
      </w:pPr>
      <w:r>
        <w:rPr>
          <w:rFonts w:ascii="仿宋_GB2312" w:hAnsi="仿宋_GB2312" w:eastAsia="仿宋_GB2312"/>
          <w:b w:val="0"/>
          <w:sz w:val="32"/>
        </w:rPr>
        <w:t>2.一般公共服务支出（类）其他共产党事务支出（款）行政运行（项）：支出决算数为625.31万元，比上年决算增加117.73万元，增长23.19%，主要原因是：本年新增其他类财政供养人员3人，在职人员工资调增，导致相关人员经费较上年有所增加。</w:t>
      </w:r>
    </w:p>
    <w:p w14:paraId="0F9036DE">
      <w:pPr>
        <w:spacing w:line="580" w:lineRule="exact"/>
        <w:ind w:firstLine="640"/>
        <w:jc w:val="both"/>
      </w:pPr>
      <w:r>
        <w:rPr>
          <w:rFonts w:ascii="仿宋_GB2312" w:hAnsi="仿宋_GB2312" w:eastAsia="仿宋_GB2312"/>
          <w:b w:val="0"/>
          <w:sz w:val="32"/>
        </w:rPr>
        <w:t>3.一般公共服务支出（类）其他共产党事务支出（款）一般行政管理事务（项）：支出决算数为865.04万元，比上年决算减少860.49万元，下降49.87%，主要原因是：2023年度"雪亮工程"租赁费在2024年度支付完毕，本年减少该项目支出。”过紧日子“，机关运行补助经费项目大力压减。</w:t>
      </w:r>
    </w:p>
    <w:p w14:paraId="6DAB490D">
      <w:pPr>
        <w:spacing w:line="580" w:lineRule="exact"/>
        <w:ind w:firstLine="640"/>
        <w:jc w:val="both"/>
      </w:pPr>
      <w:r>
        <w:rPr>
          <w:rFonts w:ascii="仿宋_GB2312" w:hAnsi="仿宋_GB2312" w:eastAsia="仿宋_GB2312"/>
          <w:b w:val="0"/>
          <w:sz w:val="32"/>
        </w:rPr>
        <w:t>4.一般公共服务支出（类）其他共产党事务支出（款）事业运行（项）：支出决算数为272.01万元，比上年决算减少16.02万元，下降5.56%，主要原因是：本年在职人员事业编减少1人，相应人员经费较上年减少。</w:t>
      </w:r>
    </w:p>
    <w:p w14:paraId="1F25648B">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5.社会保障和就业支出（类）行政事业单位养老支出（款）行政单位离退休（项）：支出决算数为21.35万元，比上年决算增加8.39万元，增长64.74%，主要原因是：本年增加退休人员基础绩效奖，退休费支出增加。</w:t>
      </w:r>
    </w:p>
    <w:p w14:paraId="69ABB6C6">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93.52万元，比上年决算增加2.73万元，增长3.01%，主要原因是：本年在职人员工资基数调增，养老缴费基数上涨，相应支出增加。</w:t>
      </w:r>
    </w:p>
    <w:p w14:paraId="12161170">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46.76万元，比上年决算减少15.30万元，下降24.65%，主要原因是：本年新增退休人员较上年减少，职业年金缴费较上年减少。</w:t>
      </w:r>
    </w:p>
    <w:p w14:paraId="364428DF">
      <w:pPr>
        <w:spacing w:line="580" w:lineRule="exact"/>
        <w:ind w:firstLine="640"/>
        <w:jc w:val="both"/>
      </w:pPr>
      <w:r>
        <w:rPr>
          <w:rFonts w:ascii="仿宋_GB2312" w:hAnsi="仿宋_GB2312" w:eastAsia="仿宋_GB2312"/>
          <w:b w:val="0"/>
          <w:sz w:val="32"/>
        </w:rPr>
        <w:t>8.卫生健康支出（类）行政事业单位医疗（款）行政单位医疗（项）：支出决算数为33.44万元，比上年决算增加12.39万元，增长58.86%，主要原因是：本年行政在职人员工资基数调增，医疗缴费基数上涨，相应支出增加。</w:t>
      </w:r>
    </w:p>
    <w:p w14:paraId="1645E8D7">
      <w:pPr>
        <w:spacing w:line="580" w:lineRule="exact"/>
        <w:ind w:firstLine="640"/>
        <w:jc w:val="both"/>
      </w:pPr>
      <w:r>
        <w:rPr>
          <w:rFonts w:ascii="仿宋_GB2312" w:hAnsi="仿宋_GB2312" w:eastAsia="仿宋_GB2312"/>
          <w:b w:val="0"/>
          <w:sz w:val="32"/>
        </w:rPr>
        <w:t>9.卫生健康支出（类）行政事业单位医疗（款）事业单位医疗（项）：支出决算数为20.73万元，比上年决算减少4.23万元，下降16.95%，主要原因是：本年事业在职人员减少1人，事业单位医疗支出较上年减少。</w:t>
      </w:r>
    </w:p>
    <w:p w14:paraId="5D6BCB9F">
      <w:pPr>
        <w:spacing w:line="580" w:lineRule="exact"/>
        <w:ind w:firstLine="640"/>
        <w:jc w:val="both"/>
      </w:pPr>
      <w:r>
        <w:rPr>
          <w:rFonts w:ascii="仿宋_GB2312" w:hAnsi="仿宋_GB2312" w:eastAsia="仿宋_GB2312"/>
          <w:b w:val="0"/>
          <w:sz w:val="32"/>
        </w:rPr>
        <w:t>10.卫生健康支出（类）行政事业单位医疗（款）公务员医疗补助（项）：支出决算数为23.24万元，比上年决算增加20.38万元，增长712.59%，主要原因是：本年在职人员工资基数调增，医疗缴费基数上涨，相应支出增加。</w:t>
      </w:r>
    </w:p>
    <w:p w14:paraId="6E89A499">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0.45万元，比上年决算增加0.09万元，增长25.00%，主要原因是：本年在职人员工资基数调增，医疗缴费基数上涨，相应支出增加。</w:t>
      </w:r>
    </w:p>
    <w:p w14:paraId="64E81E57">
      <w:pPr>
        <w:spacing w:line="580" w:lineRule="exact"/>
        <w:ind w:firstLine="640"/>
        <w:jc w:val="both"/>
      </w:pPr>
      <w:r>
        <w:rPr>
          <w:rFonts w:ascii="仿宋_GB2312" w:hAnsi="仿宋_GB2312" w:eastAsia="仿宋_GB2312"/>
          <w:b w:val="0"/>
          <w:sz w:val="32"/>
        </w:rPr>
        <w:t>12.住房保障支出（类）住房改革支出（款）住房公积金（项）：支出决算数为73.88万元，比上年决算增加3.00万元，增长4.23%，主要原因是：本年在职人员工资基数调增，公积金缴费基数上涨，相应支出增加。</w:t>
      </w:r>
    </w:p>
    <w:p w14:paraId="20B86407">
      <w:pPr>
        <w:spacing w:line="640" w:lineRule="exact"/>
        <w:ind w:firstLine="640"/>
        <w:jc w:val="both"/>
        <w:outlineLvl w:val="2"/>
      </w:pPr>
      <w:r>
        <w:rPr>
          <w:rFonts w:ascii="黑体" w:hAnsi="黑体" w:eastAsia="黑体"/>
          <w:sz w:val="32"/>
        </w:rPr>
        <w:t>六、一般公共预算财政拨款基本支出决算情况说明</w:t>
      </w:r>
    </w:p>
    <w:p w14:paraId="0DBB8A70">
      <w:pPr>
        <w:spacing w:line="580" w:lineRule="exact"/>
        <w:ind w:firstLine="640"/>
        <w:jc w:val="both"/>
      </w:pPr>
      <w:r>
        <w:rPr>
          <w:rFonts w:ascii="仿宋_GB2312" w:hAnsi="仿宋_GB2312" w:eastAsia="仿宋_GB2312"/>
          <w:b w:val="0"/>
          <w:sz w:val="32"/>
        </w:rPr>
        <w:t>2025年度一般公共预算财政拨款基本支出1,210.68万元，其中：</w:t>
      </w:r>
      <w:r>
        <w:rPr>
          <w:rFonts w:ascii="仿宋_GB2312" w:hAnsi="仿宋_GB2312" w:eastAsia="仿宋_GB2312"/>
          <w:b/>
          <w:sz w:val="32"/>
        </w:rPr>
        <w:t>人员经费1,033.39万元，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14:paraId="41E54C6E">
      <w:pPr>
        <w:spacing w:line="580" w:lineRule="exact"/>
        <w:ind w:firstLine="640"/>
        <w:jc w:val="both"/>
      </w:pPr>
      <w:r>
        <w:rPr>
          <w:rFonts w:ascii="仿宋_GB2312" w:hAnsi="仿宋_GB2312" w:eastAsia="仿宋_GB2312"/>
          <w:b/>
          <w:sz w:val="32"/>
        </w:rPr>
        <w:t>公用经费177.29万元，</w:t>
      </w:r>
      <w:r>
        <w:rPr>
          <w:rFonts w:ascii="仿宋_GB2312" w:hAnsi="仿宋_GB2312" w:eastAsia="仿宋_GB2312"/>
          <w:b w:val="0"/>
          <w:sz w:val="32"/>
        </w:rPr>
        <w:t>包括：办公费、印刷费、手续费、水费、电费、邮电费、取暖费、差旅费、培训费、公务接待费、劳务费、工会经费、福利费、公务用车运行维护费、税金及附加费用、其他商品和服务支出。</w:t>
      </w:r>
    </w:p>
    <w:p w14:paraId="10ADD963">
      <w:pPr>
        <w:spacing w:line="640" w:lineRule="exact"/>
        <w:ind w:firstLine="640"/>
        <w:jc w:val="both"/>
        <w:outlineLvl w:val="2"/>
      </w:pPr>
      <w:r>
        <w:rPr>
          <w:rFonts w:ascii="黑体" w:hAnsi="黑体" w:eastAsia="黑体"/>
          <w:sz w:val="32"/>
        </w:rPr>
        <w:t>七、政府性基金预算财政拨款收入支出决算情况说明</w:t>
      </w:r>
    </w:p>
    <w:p w14:paraId="790F9B9D">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CE4DF4B">
      <w:pPr>
        <w:spacing w:line="640" w:lineRule="exact"/>
        <w:ind w:firstLine="640"/>
        <w:jc w:val="both"/>
        <w:outlineLvl w:val="2"/>
      </w:pPr>
      <w:r>
        <w:rPr>
          <w:rFonts w:ascii="黑体" w:hAnsi="黑体" w:eastAsia="黑体"/>
          <w:sz w:val="32"/>
        </w:rPr>
        <w:t>八、国有资本经营预算财政拨款收入支出决算情况说明</w:t>
      </w:r>
    </w:p>
    <w:p w14:paraId="5214D42A">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3A81C2B1">
      <w:pPr>
        <w:spacing w:line="640" w:lineRule="exact"/>
        <w:ind w:firstLine="640"/>
        <w:jc w:val="both"/>
        <w:outlineLvl w:val="2"/>
      </w:pPr>
      <w:r>
        <w:rPr>
          <w:rFonts w:ascii="黑体" w:hAnsi="黑体" w:eastAsia="黑体"/>
          <w:sz w:val="32"/>
        </w:rPr>
        <w:t>九、财政拨款“三公”经费支出决算情况说明</w:t>
      </w:r>
    </w:p>
    <w:p w14:paraId="2ABC0B71">
      <w:pPr>
        <w:spacing w:line="580" w:lineRule="exact"/>
        <w:ind w:firstLine="640"/>
        <w:jc w:val="both"/>
      </w:pPr>
      <w:r>
        <w:rPr>
          <w:rFonts w:ascii="仿宋_GB2312" w:hAnsi="仿宋_GB2312" w:eastAsia="仿宋_GB2312"/>
          <w:b/>
          <w:sz w:val="32"/>
        </w:rPr>
        <w:t>2025年度财政拨款“三公”经费支出18.12万元，</w:t>
      </w:r>
      <w:r>
        <w:rPr>
          <w:rFonts w:ascii="仿宋_GB2312" w:hAnsi="仿宋_GB2312" w:eastAsia="仿宋_GB2312"/>
          <w:b w:val="0"/>
          <w:sz w:val="32"/>
        </w:rPr>
        <w:t>比上年减少0.11万元，下降0.60%，主要原因是：采取有效措施加强公务接待管理，严格控制公务接待活动，认真执行经费开支标准，减少公务接待运行成本费用。其中：因公出国（境）费用支出0.00万元，占0.00%，比上年增加0.00万元，增长0.00%，主要原因是：2024年与2025年均无因公出国（境）费用支出。公务用车购置及运行维护费支出18.00万元，占99.34%，比上年增加0.00万元，增长0.00%，主要原因是：本单位公务用车购置及运行维护费与上年一致无变化。公务接待费支出0.12万元，占0.66%，比上年减少0.11万元，下降47.83%，主要原因是：采取有效措施加强公务接待管理，严格控制公务接待活动，认真执行经费开支标准，减少公务接待运行成本费用。</w:t>
      </w:r>
    </w:p>
    <w:p w14:paraId="0E7D250D">
      <w:pPr>
        <w:spacing w:line="580" w:lineRule="exact"/>
        <w:ind w:firstLine="640"/>
        <w:jc w:val="both"/>
      </w:pPr>
      <w:r>
        <w:rPr>
          <w:rFonts w:ascii="仿宋_GB2312" w:hAnsi="仿宋_GB2312" w:eastAsia="仿宋_GB2312"/>
          <w:b/>
          <w:sz w:val="32"/>
        </w:rPr>
        <w:t>具体情况如下：</w:t>
      </w:r>
    </w:p>
    <w:p w14:paraId="34DC49CD">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5ADACF3A">
      <w:pPr>
        <w:spacing w:line="580" w:lineRule="exact"/>
        <w:ind w:firstLine="640"/>
        <w:jc w:val="both"/>
      </w:pPr>
      <w:r>
        <w:rPr>
          <w:rFonts w:ascii="仿宋_GB2312" w:hAnsi="仿宋_GB2312" w:eastAsia="仿宋_GB2312"/>
          <w:b w:val="0"/>
          <w:sz w:val="32"/>
        </w:rPr>
        <w:t>公务用车购置及运行维护费18.00万元，其中：公务用车购置费0.00万元，公务用车运行维护费18.00万元。公务用车运行维护费开支内容包括车辆加油费、维修费、保险费、审车费、过路费等。公务用车购置数0辆，公务用车保有量4辆。国有资产占用情况中固定资产车辆4辆，与公务用车保有量差异原因是：本单位公务用车保有量与固定资产车辆一致无差异。</w:t>
      </w:r>
    </w:p>
    <w:p w14:paraId="579DC86D">
      <w:pPr>
        <w:spacing w:line="580" w:lineRule="exact"/>
        <w:ind w:firstLine="640"/>
        <w:jc w:val="both"/>
      </w:pPr>
      <w:r>
        <w:rPr>
          <w:rFonts w:ascii="仿宋_GB2312" w:hAnsi="仿宋_GB2312" w:eastAsia="仿宋_GB2312"/>
          <w:b w:val="0"/>
          <w:sz w:val="32"/>
        </w:rPr>
        <w:t>公务接待费0.12万元，开支内容包括70年大庆，接待上级督导组产生的就餐费。单位全年安排的国内公务接待1批次，9人次。</w:t>
      </w:r>
    </w:p>
    <w:p w14:paraId="016266A3">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18.12万元，决算数18.12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18.00万元，决算数18.00万元，预决算差异率0.00%，主要原因是：严格按照预算执行，预决算无差异。公务接待费全年预算数0.12万元，决算数0.12万元，预决算差异率0.00%，主要原因是：严格按照预算执行，预决算无差异。</w:t>
      </w:r>
    </w:p>
    <w:p w14:paraId="3B21AD7B">
      <w:pPr>
        <w:spacing w:line="640" w:lineRule="exact"/>
        <w:ind w:firstLine="640"/>
        <w:jc w:val="both"/>
        <w:outlineLvl w:val="2"/>
      </w:pPr>
      <w:r>
        <w:rPr>
          <w:rFonts w:ascii="黑体" w:hAnsi="黑体" w:eastAsia="黑体"/>
          <w:sz w:val="32"/>
        </w:rPr>
        <w:t>十、其他重要事项的情况说明</w:t>
      </w:r>
    </w:p>
    <w:p w14:paraId="29B8E93F">
      <w:pPr>
        <w:spacing w:line="640" w:lineRule="exact"/>
        <w:ind w:firstLine="640"/>
        <w:jc w:val="both"/>
        <w:outlineLvl w:val="3"/>
      </w:pPr>
      <w:r>
        <w:rPr>
          <w:rFonts w:ascii="楷体_GB2312" w:hAnsi="楷体_GB2312" w:eastAsia="楷体_GB2312"/>
          <w:b/>
          <w:sz w:val="32"/>
        </w:rPr>
        <w:t>（一）机关运行经费及公用经费支出情况</w:t>
      </w:r>
    </w:p>
    <w:p w14:paraId="3C8371DE">
      <w:pPr>
        <w:spacing w:line="580" w:lineRule="exact"/>
        <w:ind w:firstLine="640"/>
        <w:jc w:val="both"/>
      </w:pPr>
      <w:r>
        <w:rPr>
          <w:rFonts w:ascii="仿宋_GB2312" w:hAnsi="仿宋_GB2312" w:eastAsia="仿宋_GB2312"/>
          <w:b w:val="0"/>
          <w:sz w:val="32"/>
        </w:rPr>
        <w:t>2025年度中共昌吉回族自治州委员会政法委员会（行政单位和参照公务员法管理事业单位）机关运行经费支出177.29万元，比上年增加49.05万元，增长38.25%，主要原因是：本年70大庆各项督导工作业务量增加，出差人数、出差频次都增加，故差旅费增加。本年将历年来在机关运行补助经费项目中列支了的单位办公楼采暖费改为在机关运行费中列支，相应支出增加。</w:t>
      </w:r>
    </w:p>
    <w:p w14:paraId="21A37E27">
      <w:pPr>
        <w:spacing w:line="640" w:lineRule="exact"/>
        <w:ind w:firstLine="640"/>
        <w:jc w:val="both"/>
        <w:outlineLvl w:val="3"/>
      </w:pPr>
      <w:r>
        <w:rPr>
          <w:rFonts w:ascii="楷体_GB2312" w:hAnsi="楷体_GB2312" w:eastAsia="楷体_GB2312"/>
          <w:b/>
          <w:sz w:val="32"/>
        </w:rPr>
        <w:t>（二）政府采购情况</w:t>
      </w:r>
    </w:p>
    <w:p w14:paraId="45578AAB">
      <w:pPr>
        <w:spacing w:line="580" w:lineRule="exact"/>
        <w:ind w:firstLine="640"/>
        <w:jc w:val="both"/>
      </w:pPr>
      <w:r>
        <w:rPr>
          <w:rFonts w:ascii="仿宋_GB2312" w:hAnsi="仿宋_GB2312" w:eastAsia="仿宋_GB2312"/>
          <w:b w:val="0"/>
          <w:sz w:val="32"/>
        </w:rPr>
        <w:t>2025年度政府采购支出总额20.65万元，其中：政府采购货物支出2.90万元、政府采购工程支出3.46万元、政府采购服务支出14.29万元。</w:t>
      </w:r>
    </w:p>
    <w:p w14:paraId="38F348FF">
      <w:pPr>
        <w:spacing w:line="580" w:lineRule="exact"/>
        <w:ind w:firstLine="640"/>
        <w:jc w:val="both"/>
      </w:pPr>
      <w:r>
        <w:rPr>
          <w:rFonts w:ascii="仿宋_GB2312" w:hAnsi="仿宋_GB2312" w:eastAsia="仿宋_GB2312"/>
          <w:b w:val="0"/>
          <w:sz w:val="32"/>
        </w:rPr>
        <w:t>授予中小企业合同金额17.16万元，占政府采购支出总额的83.10%，其中：授予小微企业合同金额9.40万元，占政府采购支出总额的45.52%。</w:t>
      </w:r>
    </w:p>
    <w:p w14:paraId="15DB38BD">
      <w:pPr>
        <w:spacing w:line="640" w:lineRule="exact"/>
        <w:ind w:firstLine="640"/>
        <w:jc w:val="both"/>
        <w:outlineLvl w:val="3"/>
      </w:pPr>
      <w:r>
        <w:rPr>
          <w:rFonts w:ascii="楷体_GB2312" w:hAnsi="楷体_GB2312" w:eastAsia="楷体_GB2312"/>
          <w:b/>
          <w:sz w:val="32"/>
        </w:rPr>
        <w:t>（三）国有资产占用情况说明</w:t>
      </w:r>
    </w:p>
    <w:p w14:paraId="1BAA7637">
      <w:pPr>
        <w:spacing w:line="580" w:lineRule="exact"/>
        <w:ind w:firstLine="640"/>
        <w:jc w:val="both"/>
      </w:pPr>
      <w:r>
        <w:rPr>
          <w:rFonts w:ascii="仿宋_GB2312" w:hAnsi="仿宋_GB2312" w:eastAsia="仿宋_GB2312"/>
          <w:b w:val="0"/>
          <w:sz w:val="32"/>
        </w:rPr>
        <w:t>截至2025年12月31日，房屋12,611.00平方米，价值6,399.39万元。车辆4辆，价值113.82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1台（套）。</w:t>
      </w:r>
    </w:p>
    <w:p w14:paraId="7EC6641E">
      <w:pPr>
        <w:spacing w:line="640" w:lineRule="exact"/>
        <w:ind w:firstLine="640"/>
        <w:jc w:val="both"/>
        <w:outlineLvl w:val="2"/>
      </w:pPr>
      <w:r>
        <w:rPr>
          <w:rFonts w:ascii="黑体" w:hAnsi="黑体" w:eastAsia="黑体"/>
          <w:sz w:val="32"/>
        </w:rPr>
        <w:t>十一、预算绩效的情况说明</w:t>
      </w:r>
    </w:p>
    <w:p w14:paraId="41589C14">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2,540.70万元，实际执行总额2,134.91万元；预算绩效评价项目0个，全年预算数0.00万元，全年执行数0.00万元。预算绩效管理取得的成效：一是预算绩效管理目前整体上实现了”花钱必问效“规范化运转；二是绩效目标全覆盖，将全部支出纳入绩效目标管理，并按照项目监督节点开展督促和监控；三是项目自评结果为”优'，年度内所有项目经自评获“优”等级，达到预期绩效目标。四是资金使用效果好，全州法治基石更加坚定、平安建设更加高效、护航发展更加有力，为推进社会稳定和长治久安作出了重要贡献。发现的问题及原因：一是绩效指标设定质量的待提升，存在绩效目标设定偏宏观、定性指标多、量化指标不足问题；二指标与具体业务工作的关联性还不够紧密，相关性还需进一步提升；三是人员更换，业务人员绩效管理培训工作需要及时学习补课，意识有待增强，绩效管理经验不足，预算绩效管理工作有待进一步落实。下一步改进措施：一是加强单位绩效管理组织工作，将绩效考评设为日常业务考核的一项重要内容；二是做好年度绩效管理培训工作，及时更新学习项目绩效新规定，始终将“花钱必问效，无效必问责“理念贯穿始终。三、完善绩效指标的设定，做到目标要编得准，指标要立得住，过程要管得住，提高整体绩效目标质量。具体附整体支出绩效自评表。</w:t>
      </w:r>
    </w:p>
    <w:p w14:paraId="2E8C3AF0">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5CF81B03">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C7055C0">
            <w:pPr>
              <w:spacing w:before="0" w:after="0" w:line="240" w:lineRule="auto"/>
              <w:jc w:val="center"/>
            </w:pPr>
            <w:r>
              <w:rPr>
                <w:rFonts w:ascii="宋体" w:hAnsi="宋体" w:eastAsia="宋体" w:cs="宋体"/>
                <w:b w:val="0"/>
                <w:i w:val="0"/>
                <w:sz w:val="18"/>
              </w:rPr>
              <w:t>部门（单位）整体支出绩效目标自评表</w:t>
            </w:r>
          </w:p>
        </w:tc>
      </w:tr>
      <w:tr w14:paraId="53AB95FA">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C19435D">
            <w:pPr>
              <w:spacing w:before="0" w:after="0" w:line="240" w:lineRule="auto"/>
              <w:jc w:val="center"/>
            </w:pPr>
            <w:r>
              <w:rPr>
                <w:rFonts w:ascii="宋体" w:hAnsi="宋体" w:eastAsia="宋体" w:cs="宋体"/>
                <w:b w:val="0"/>
                <w:i w:val="0"/>
                <w:sz w:val="18"/>
              </w:rPr>
              <w:t>（2025年度）</w:t>
            </w:r>
          </w:p>
        </w:tc>
      </w:tr>
      <w:tr w14:paraId="43418955">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FC9241">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01CF3AD">
            <w:pPr>
              <w:spacing w:before="0" w:after="0" w:line="240" w:lineRule="auto"/>
              <w:jc w:val="center"/>
            </w:pPr>
            <w:r>
              <w:rPr>
                <w:rFonts w:ascii="宋体" w:hAnsi="宋体" w:eastAsia="宋体" w:cs="宋体"/>
                <w:b w:val="0"/>
                <w:i w:val="0"/>
                <w:sz w:val="18"/>
              </w:rPr>
              <w:t>中共昌吉回族自治州委员会政法委员会</w:t>
            </w:r>
          </w:p>
        </w:tc>
      </w:tr>
      <w:tr w14:paraId="6FB5D8DA">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C08269">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C4FB45">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C7EA01">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8049B3">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549153">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FCAC54">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B91B5D">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E3DD03">
            <w:pPr>
              <w:spacing w:before="0" w:after="0" w:line="240" w:lineRule="auto"/>
              <w:jc w:val="center"/>
            </w:pPr>
            <w:r>
              <w:rPr>
                <w:rFonts w:ascii="宋体" w:hAnsi="宋体" w:eastAsia="宋体" w:cs="宋体"/>
                <w:b w:val="0"/>
                <w:i w:val="0"/>
                <w:sz w:val="18"/>
              </w:rPr>
              <w:t>得分</w:t>
            </w:r>
          </w:p>
        </w:tc>
      </w:tr>
      <w:tr w14:paraId="6A8D5C6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ED7F0D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C28161">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C66BBD">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4C7DCE">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6720C5">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E86A3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1EB98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2A05B4">
            <w:pPr>
              <w:spacing w:before="0" w:after="0" w:line="240" w:lineRule="auto"/>
              <w:jc w:val="center"/>
            </w:pPr>
            <w:r>
              <w:rPr>
                <w:rFonts w:ascii="宋体" w:hAnsi="宋体" w:eastAsia="宋体" w:cs="宋体"/>
                <w:b w:val="0"/>
                <w:i w:val="0"/>
                <w:sz w:val="18"/>
              </w:rPr>
              <w:t>-</w:t>
            </w:r>
          </w:p>
        </w:tc>
      </w:tr>
      <w:tr w14:paraId="1D5176F5">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57404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D134D8">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628A15">
            <w:pPr>
              <w:spacing w:before="0" w:after="0" w:line="240" w:lineRule="auto"/>
              <w:jc w:val="center"/>
            </w:pPr>
            <w:r>
              <w:rPr>
                <w:rFonts w:ascii="宋体" w:hAnsi="宋体" w:eastAsia="宋体" w:cs="宋体"/>
                <w:b w:val="0"/>
                <w:i w:val="0"/>
                <w:sz w:val="18"/>
              </w:rPr>
              <w:t>1,950.81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C24EBB">
            <w:pPr>
              <w:spacing w:before="0" w:after="0" w:line="240" w:lineRule="auto"/>
              <w:jc w:val="center"/>
            </w:pPr>
            <w:r>
              <w:rPr>
                <w:rFonts w:ascii="宋体" w:hAnsi="宋体" w:eastAsia="宋体" w:cs="宋体"/>
                <w:b w:val="0"/>
                <w:i w:val="0"/>
                <w:sz w:val="18"/>
              </w:rPr>
              <w:t>2,479.42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E77E44">
            <w:pPr>
              <w:spacing w:before="0" w:after="0" w:line="240" w:lineRule="auto"/>
              <w:jc w:val="center"/>
            </w:pPr>
            <w:r>
              <w:rPr>
                <w:rFonts w:ascii="宋体" w:hAnsi="宋体" w:eastAsia="宋体" w:cs="宋体"/>
                <w:b w:val="0"/>
                <w:i w:val="0"/>
                <w:sz w:val="18"/>
              </w:rPr>
              <w:t>2,075.73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F7540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72EE7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01A417">
            <w:pPr>
              <w:spacing w:before="0" w:after="0" w:line="240" w:lineRule="auto"/>
              <w:jc w:val="center"/>
            </w:pPr>
            <w:r>
              <w:rPr>
                <w:rFonts w:ascii="宋体" w:hAnsi="宋体" w:eastAsia="宋体" w:cs="宋体"/>
                <w:b w:val="0"/>
                <w:i w:val="0"/>
                <w:sz w:val="18"/>
              </w:rPr>
              <w:t>-</w:t>
            </w:r>
          </w:p>
        </w:tc>
      </w:tr>
      <w:tr w14:paraId="4509ED1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3C83DE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BD5D40">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2AD68D">
            <w:pPr>
              <w:spacing w:before="0" w:after="0" w:line="240" w:lineRule="auto"/>
              <w:jc w:val="center"/>
            </w:pPr>
            <w:r>
              <w:rPr>
                <w:rFonts w:ascii="宋体" w:hAnsi="宋体" w:eastAsia="宋体" w:cs="宋体"/>
                <w:b w:val="0"/>
                <w:i w:val="0"/>
                <w:sz w:val="18"/>
              </w:rPr>
              <w:t>25.00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4FE76D">
            <w:pPr>
              <w:spacing w:before="0" w:after="0" w:line="240" w:lineRule="auto"/>
              <w:jc w:val="center"/>
            </w:pPr>
            <w:r>
              <w:rPr>
                <w:rFonts w:ascii="宋体" w:hAnsi="宋体" w:eastAsia="宋体" w:cs="宋体"/>
                <w:b w:val="0"/>
                <w:i w:val="0"/>
                <w:sz w:val="18"/>
              </w:rPr>
              <w:t>61.28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832061">
            <w:pPr>
              <w:spacing w:before="0" w:after="0" w:line="240" w:lineRule="auto"/>
              <w:jc w:val="center"/>
            </w:pPr>
            <w:r>
              <w:rPr>
                <w:rFonts w:ascii="宋体" w:hAnsi="宋体" w:eastAsia="宋体" w:cs="宋体"/>
                <w:b w:val="0"/>
                <w:i w:val="0"/>
                <w:sz w:val="18"/>
              </w:rPr>
              <w:t>59.18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29952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A6961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C8E6FE">
            <w:pPr>
              <w:spacing w:before="0" w:after="0" w:line="240" w:lineRule="auto"/>
              <w:jc w:val="center"/>
            </w:pPr>
            <w:r>
              <w:rPr>
                <w:rFonts w:ascii="宋体" w:hAnsi="宋体" w:eastAsia="宋体" w:cs="宋体"/>
                <w:b w:val="0"/>
                <w:i w:val="0"/>
                <w:sz w:val="18"/>
              </w:rPr>
              <w:t>-</w:t>
            </w:r>
          </w:p>
        </w:tc>
      </w:tr>
      <w:tr w14:paraId="34FD2FB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9DCBF8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085964">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88299E">
            <w:pPr>
              <w:spacing w:before="0" w:after="0" w:line="240" w:lineRule="auto"/>
              <w:jc w:val="center"/>
            </w:pPr>
            <w:r>
              <w:rPr>
                <w:rFonts w:ascii="宋体" w:hAnsi="宋体" w:eastAsia="宋体" w:cs="宋体"/>
                <w:b w:val="0"/>
                <w:i w:val="0"/>
                <w:sz w:val="18"/>
              </w:rPr>
              <w:t>1,975.81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B0E265">
            <w:pPr>
              <w:spacing w:before="0" w:after="0" w:line="240" w:lineRule="auto"/>
              <w:jc w:val="center"/>
            </w:pPr>
            <w:r>
              <w:rPr>
                <w:rFonts w:ascii="宋体" w:hAnsi="宋体" w:eastAsia="宋体" w:cs="宋体"/>
                <w:b w:val="0"/>
                <w:i w:val="0"/>
                <w:sz w:val="18"/>
              </w:rPr>
              <w:t>2,540.70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A30EF3">
            <w:pPr>
              <w:spacing w:before="0" w:after="0" w:line="240" w:lineRule="auto"/>
              <w:jc w:val="center"/>
            </w:pPr>
            <w:r>
              <w:rPr>
                <w:rFonts w:ascii="宋体" w:hAnsi="宋体" w:eastAsia="宋体" w:cs="宋体"/>
                <w:b w:val="0"/>
                <w:i w:val="0"/>
                <w:sz w:val="18"/>
              </w:rPr>
              <w:t>2,134.91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12A31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061DFC">
            <w:pPr>
              <w:spacing w:before="0" w:after="0" w:line="240" w:lineRule="auto"/>
              <w:jc w:val="center"/>
            </w:pPr>
            <w:r>
              <w:rPr>
                <w:rFonts w:ascii="宋体" w:hAnsi="宋体" w:eastAsia="宋体" w:cs="宋体"/>
                <w:b w:val="0"/>
                <w:i w:val="0"/>
                <w:sz w:val="18"/>
              </w:rPr>
              <w:t>84.03%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65E5BB">
            <w:pPr>
              <w:spacing w:before="0" w:after="0" w:line="240" w:lineRule="auto"/>
              <w:jc w:val="center"/>
            </w:pPr>
            <w:r>
              <w:rPr>
                <w:rFonts w:ascii="宋体" w:hAnsi="宋体" w:eastAsia="宋体" w:cs="宋体"/>
                <w:b w:val="0"/>
                <w:i w:val="0"/>
                <w:sz w:val="18"/>
              </w:rPr>
              <w:t>8.4</w:t>
            </w:r>
          </w:p>
        </w:tc>
      </w:tr>
      <w:tr w14:paraId="1F51F269">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9B03FB">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7E2A51F">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C8F010D">
            <w:pPr>
              <w:spacing w:before="0" w:after="0" w:line="240" w:lineRule="auto"/>
              <w:jc w:val="center"/>
            </w:pPr>
            <w:r>
              <w:rPr>
                <w:rFonts w:ascii="宋体" w:hAnsi="宋体" w:eastAsia="宋体" w:cs="宋体"/>
                <w:b w:val="0"/>
                <w:i w:val="0"/>
                <w:sz w:val="18"/>
              </w:rPr>
              <w:t>实际完成情况</w:t>
            </w:r>
          </w:p>
        </w:tc>
      </w:tr>
      <w:tr w14:paraId="791764A3">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9053985"/>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63F658E">
            <w:pPr>
              <w:spacing w:before="0" w:after="0" w:line="240" w:lineRule="auto"/>
              <w:jc w:val="center"/>
            </w:pPr>
            <w:r>
              <w:rPr>
                <w:rFonts w:ascii="宋体" w:hAnsi="宋体" w:eastAsia="宋体" w:cs="宋体"/>
                <w:b w:val="0"/>
                <w:i w:val="0"/>
                <w:sz w:val="18"/>
              </w:rPr>
              <w:t>坚持以习近平新时代中国特色社会主义思想为指导，深入学习贯彻习近平法治思想，深入学习贯彻落实党的二十大精神，</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，根据网格化条例及委机关工作计划开展“庭州网事”、网格化服务管理、平安昌吉建设等宣传直播开展新媒直播、征集平安昌吉优秀短视频或文稿、护路联防队慰问、 完成中央商务区8号楼物业及消防等工作，通过单位整体工作的开展，全力保障全州社会大局持续稳定。</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7DE4456">
            <w:pPr>
              <w:spacing w:before="0" w:after="0" w:line="240" w:lineRule="auto"/>
              <w:jc w:val="center"/>
            </w:pPr>
            <w:r>
              <w:rPr>
                <w:rFonts w:ascii="宋体" w:hAnsi="宋体" w:eastAsia="宋体" w:cs="宋体"/>
                <w:b w:val="0"/>
                <w:i w:val="0"/>
                <w:sz w:val="18"/>
              </w:rPr>
              <w:t>2025年我单位全年预算数为2540.70万元，全年执行数为2134.91万元，总预算执行率为84.03%。2024年我单位完成了以下工作内容：1.坚持以习近平新时代中国特色社会主义思想为指导，深入学习贯彻习近平法治思想，深入学习贯彻落实党的二十大精神，</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根据网格化条例及委机关工作计划开展“庭州网事”、网格化服务管理、平安昌吉建设等宣传直播开展新媒直播20场次、征集平安昌吉优秀短视频或文稿144部，提升群众对平安建设的知晓率、满意度。2.护路联防队慰问2次，加强对铁路护路联执执勤人员、巡防队员的关心关爱，结合慰问开展隐患排查、宣传提醒，推动沿线治安隐患、保障铁路运输安全畅通、有序稳定。3.完成中央商务区8号楼物业及消防工作，给干部营造良好的办公环境，保障职工正常开展工作，保障干部职工工资福利待遇。通过以上工作的实施，进一步提升了群众的获得感、幸福感，促进了社会大局持续稳定和经济社会健康发展 。</w:t>
            </w:r>
          </w:p>
        </w:tc>
      </w:tr>
      <w:tr w14:paraId="5D2E0845">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6AA4EC">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4042C4">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0A08AF">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24EBB3">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899D55">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C9621A">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EA7E87">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348D5D">
            <w:pPr>
              <w:keepNext/>
              <w:spacing w:before="0" w:after="0" w:line="240" w:lineRule="auto"/>
              <w:jc w:val="center"/>
            </w:pPr>
            <w:r>
              <w:rPr>
                <w:rFonts w:ascii="宋体" w:hAnsi="宋体" w:eastAsia="宋体" w:cs="宋体"/>
                <w:b w:val="0"/>
                <w:i w:val="0"/>
                <w:sz w:val="18"/>
              </w:rPr>
              <w:t>得分</w:t>
            </w:r>
          </w:p>
        </w:tc>
      </w:tr>
      <w:tr w14:paraId="01F8E290">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504A03">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32CF2B">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4A9731">
            <w:pPr>
              <w:spacing w:before="0" w:after="0" w:line="240" w:lineRule="auto"/>
              <w:jc w:val="center"/>
            </w:pPr>
            <w:r>
              <w:rPr>
                <w:rFonts w:ascii="宋体" w:hAnsi="宋体" w:eastAsia="宋体" w:cs="宋体"/>
                <w:b w:val="0"/>
                <w:i w:val="0"/>
                <w:sz w:val="18"/>
              </w:rPr>
              <w:t>开展新媒直播场次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8BF996">
            <w:pPr>
              <w:spacing w:before="0" w:after="0" w:line="240" w:lineRule="auto"/>
              <w:jc w:val="center"/>
            </w:pPr>
            <w:r>
              <w:rPr>
                <w:rFonts w:ascii="宋体" w:hAnsi="宋体" w:eastAsia="宋体" w:cs="宋体"/>
                <w:b w:val="0"/>
                <w:i w:val="0"/>
                <w:sz w:val="18"/>
              </w:rPr>
              <w:t>&gt;=20次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9B36A7">
            <w:pPr>
              <w:spacing w:before="0" w:after="0" w:line="240" w:lineRule="auto"/>
              <w:jc w:val="center"/>
            </w:pPr>
            <w:r>
              <w:rPr>
                <w:rFonts w:ascii="宋体" w:hAnsi="宋体" w:eastAsia="宋体" w:cs="宋体"/>
                <w:b w:val="0"/>
                <w:i w:val="0"/>
                <w:sz w:val="18"/>
              </w:rPr>
              <w:t>关于印发《2025年全区综治中心（网格中心）工作要点》的通知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746F22">
            <w:pPr>
              <w:spacing w:before="0" w:after="0" w:line="240" w:lineRule="auto"/>
              <w:jc w:val="center"/>
            </w:pPr>
            <w:r>
              <w:rPr>
                <w:rFonts w:ascii="宋体" w:hAnsi="宋体" w:eastAsia="宋体" w:cs="宋体"/>
                <w:b w:val="0"/>
                <w:i w:val="0"/>
                <w:sz w:val="18"/>
              </w:rPr>
              <w:t>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2AB74E">
            <w:pPr>
              <w:spacing w:before="0" w:after="0" w:line="240" w:lineRule="auto"/>
              <w:jc w:val="center"/>
            </w:pPr>
            <w:r>
              <w:rPr>
                <w:rFonts w:ascii="宋体" w:hAnsi="宋体" w:eastAsia="宋体" w:cs="宋体"/>
                <w:b w:val="0"/>
                <w:i w:val="0"/>
                <w:sz w:val="18"/>
              </w:rPr>
              <w:t>=20次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50D1EF">
            <w:pPr>
              <w:spacing w:before="0" w:after="0" w:line="240" w:lineRule="auto"/>
              <w:jc w:val="center"/>
            </w:pPr>
            <w:r>
              <w:rPr>
                <w:rFonts w:ascii="宋体" w:hAnsi="宋体" w:eastAsia="宋体" w:cs="宋体"/>
                <w:b w:val="0"/>
                <w:i w:val="0"/>
                <w:sz w:val="18"/>
              </w:rPr>
              <w:t>32</w:t>
            </w:r>
          </w:p>
        </w:tc>
      </w:tr>
      <w:tr w14:paraId="270B64F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7CBD07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2F34AE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7F46D6">
            <w:pPr>
              <w:spacing w:before="0" w:after="0" w:line="240" w:lineRule="auto"/>
              <w:jc w:val="center"/>
            </w:pPr>
            <w:r>
              <w:rPr>
                <w:rFonts w:ascii="宋体" w:hAnsi="宋体" w:eastAsia="宋体" w:cs="宋体"/>
                <w:b w:val="0"/>
                <w:i w:val="0"/>
                <w:sz w:val="18"/>
              </w:rPr>
              <w:t>打造反邪警示宣传阵地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9EC249">
            <w:pPr>
              <w:spacing w:before="0" w:after="0" w:line="240" w:lineRule="auto"/>
              <w:jc w:val="center"/>
            </w:pPr>
            <w:r>
              <w:rPr>
                <w:rFonts w:ascii="宋体" w:hAnsi="宋体" w:eastAsia="宋体" w:cs="宋体"/>
                <w:b w:val="0"/>
                <w:i w:val="0"/>
                <w:sz w:val="18"/>
              </w:rPr>
              <w:t>&gt;=1个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7384C8">
            <w:pPr>
              <w:spacing w:before="0" w:after="0" w:line="240" w:lineRule="auto"/>
              <w:jc w:val="center"/>
            </w:pPr>
            <w:r>
              <w:rPr>
                <w:rFonts w:ascii="宋体" w:hAnsi="宋体" w:eastAsia="宋体" w:cs="宋体"/>
                <w:b w:val="0"/>
                <w:i w:val="0"/>
                <w:sz w:val="18"/>
              </w:rPr>
              <w:t>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897E0D">
            <w:pPr>
              <w:spacing w:before="0" w:after="0" w:line="240" w:lineRule="auto"/>
              <w:jc w:val="center"/>
            </w:pPr>
            <w:r>
              <w:rPr>
                <w:rFonts w:ascii="宋体" w:hAnsi="宋体" w:eastAsia="宋体" w:cs="宋体"/>
                <w:b w:val="0"/>
                <w:i w:val="0"/>
                <w:sz w:val="18"/>
              </w:rPr>
              <w:t>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50195B">
            <w:pPr>
              <w:spacing w:before="0" w:after="0" w:line="240" w:lineRule="auto"/>
              <w:jc w:val="center"/>
            </w:pPr>
            <w:r>
              <w:rPr>
                <w:rFonts w:ascii="宋体" w:hAnsi="宋体" w:eastAsia="宋体" w:cs="宋体"/>
                <w:b w:val="0"/>
                <w:i w:val="0"/>
                <w:sz w:val="18"/>
              </w:rPr>
              <w: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780CC0">
            <w:pPr>
              <w:spacing w:before="0" w:after="0" w:line="240" w:lineRule="auto"/>
              <w:jc w:val="center"/>
            </w:pPr>
            <w:r>
              <w:rPr>
                <w:rFonts w:ascii="宋体" w:hAnsi="宋体" w:eastAsia="宋体" w:cs="宋体"/>
                <w:b w:val="0"/>
                <w:i w:val="0"/>
                <w:sz w:val="18"/>
              </w:rPr>
              <w:t>28</w:t>
            </w:r>
          </w:p>
        </w:tc>
      </w:tr>
      <w:tr w14:paraId="61C0B70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192CAC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F1D1C7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3EFB24">
            <w:pPr>
              <w:spacing w:before="0" w:after="0" w:line="240" w:lineRule="auto"/>
              <w:jc w:val="center"/>
            </w:pPr>
            <w:r>
              <w:rPr>
                <w:rFonts w:ascii="宋体" w:hAnsi="宋体" w:eastAsia="宋体" w:cs="宋体"/>
                <w:b w:val="0"/>
                <w:i w:val="0"/>
                <w:sz w:val="18"/>
              </w:rPr>
              <w:t>护路联防队慰问次数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3DC91E">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EA5259">
            <w:pPr>
              <w:spacing w:before="0" w:after="0" w:line="240" w:lineRule="auto"/>
              <w:jc w:val="center"/>
            </w:pPr>
            <w:r>
              <w:rPr>
                <w:rFonts w:ascii="宋体" w:hAnsi="宋体" w:eastAsia="宋体" w:cs="宋体"/>
                <w:b w:val="0"/>
                <w:i w:val="0"/>
                <w:sz w:val="18"/>
              </w:rPr>
              <w:t>2025年综治工作计划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E8B079">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F8EA6E">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C02570">
            <w:pPr>
              <w:spacing w:before="0" w:after="0" w:line="240" w:lineRule="auto"/>
              <w:jc w:val="center"/>
            </w:pPr>
            <w:r>
              <w:rPr>
                <w:rFonts w:ascii="宋体" w:hAnsi="宋体" w:eastAsia="宋体" w:cs="宋体"/>
                <w:b w:val="0"/>
                <w:i w:val="0"/>
                <w:sz w:val="18"/>
              </w:rPr>
              <w:t>30</w:t>
            </w:r>
          </w:p>
        </w:tc>
      </w:tr>
    </w:tbl>
    <w:p w14:paraId="4FD617B0">
      <w:r>
        <w:br w:type="page"/>
      </w:r>
    </w:p>
    <w:p w14:paraId="1F42FB46">
      <w:pPr>
        <w:spacing w:line="640" w:lineRule="exact"/>
        <w:ind w:firstLine="640"/>
        <w:jc w:val="both"/>
        <w:outlineLvl w:val="2"/>
      </w:pPr>
      <w:r>
        <w:rPr>
          <w:rFonts w:ascii="黑体" w:hAnsi="黑体" w:eastAsia="黑体"/>
          <w:sz w:val="32"/>
        </w:rPr>
        <w:t>十二、其他需说明的事项</w:t>
      </w:r>
    </w:p>
    <w:p w14:paraId="52D7B4B4">
      <w:pPr>
        <w:spacing w:line="580" w:lineRule="exact"/>
        <w:ind w:firstLine="640"/>
        <w:jc w:val="both"/>
      </w:pPr>
      <w:r>
        <w:rPr>
          <w:rFonts w:ascii="仿宋_GB2312" w:hAnsi="仿宋_GB2312" w:eastAsia="仿宋_GB2312"/>
          <w:b w:val="0"/>
          <w:sz w:val="32"/>
        </w:rPr>
        <w:t>本年本单位其他项目7个，全年预算数926.33万元，全年执行数926.33万元。</w:t>
      </w:r>
    </w:p>
    <w:p w14:paraId="59C70C7B">
      <w:r>
        <w:br w:type="page"/>
      </w:r>
    </w:p>
    <w:p w14:paraId="45BD9899">
      <w:pPr>
        <w:spacing w:line="600" w:lineRule="exact"/>
        <w:jc w:val="center"/>
        <w:outlineLvl w:val="0"/>
      </w:pPr>
      <w:r>
        <w:rPr>
          <w:rFonts w:ascii="黑体" w:hAnsi="黑体" w:eastAsia="黑体"/>
          <w:sz w:val="32"/>
        </w:rPr>
        <w:t>第三部分 专业名词解释</w:t>
      </w:r>
    </w:p>
    <w:p w14:paraId="39DB7B46">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76A9B88C">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40C506EB">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3224E1DF">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485D603">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149C821B">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1641AB34">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6A24FD63">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0B002BF8">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476FA1CE">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0E81F0FA">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0444BFD2">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037FB756">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188F245C">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621CA476">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2AD3F73B">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3E1D1340">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748AE8B8">
      <w:r>
        <w:br w:type="page"/>
      </w:r>
    </w:p>
    <w:p w14:paraId="5D0B5BBD">
      <w:pPr>
        <w:spacing w:line="240" w:lineRule="auto"/>
        <w:jc w:val="center"/>
        <w:outlineLvl w:val="1"/>
      </w:pPr>
      <w:r>
        <w:rPr>
          <w:rFonts w:ascii="黑体" w:hAnsi="黑体" w:eastAsia="黑体"/>
          <w:sz w:val="32"/>
        </w:rPr>
        <w:t>第四部分 部门决算报表（见附表）</w:t>
      </w:r>
    </w:p>
    <w:p w14:paraId="77A4712A">
      <w:pPr>
        <w:autoSpaceDE w:val="0"/>
        <w:autoSpaceDN w:val="0"/>
        <w:spacing w:line="600" w:lineRule="exact"/>
        <w:ind w:firstLine="640" w:firstLineChars="200"/>
      </w:pPr>
      <w:r>
        <w:rPr>
          <w:rFonts w:ascii="仿宋_GB2312" w:hAnsi="仿宋_GB2312" w:eastAsia="仿宋_GB2312"/>
          <w:b w:val="0"/>
          <w:sz w:val="32"/>
        </w:rPr>
        <w:t>一、《收入支出决算总表》</w:t>
      </w:r>
    </w:p>
    <w:p w14:paraId="600DC6E8">
      <w:pPr>
        <w:autoSpaceDE w:val="0"/>
        <w:autoSpaceDN w:val="0"/>
        <w:spacing w:line="600" w:lineRule="exact"/>
        <w:ind w:firstLine="640" w:firstLineChars="200"/>
      </w:pPr>
      <w:r>
        <w:rPr>
          <w:rFonts w:ascii="仿宋_GB2312" w:hAnsi="仿宋_GB2312" w:eastAsia="仿宋_GB2312"/>
          <w:b w:val="0"/>
          <w:sz w:val="32"/>
        </w:rPr>
        <w:t>二、《收入决算表》</w:t>
      </w:r>
    </w:p>
    <w:p w14:paraId="0E51DB96">
      <w:pPr>
        <w:autoSpaceDE w:val="0"/>
        <w:autoSpaceDN w:val="0"/>
        <w:spacing w:line="600" w:lineRule="exact"/>
        <w:ind w:firstLine="640" w:firstLineChars="200"/>
      </w:pPr>
      <w:r>
        <w:rPr>
          <w:rFonts w:ascii="仿宋_GB2312" w:hAnsi="仿宋_GB2312" w:eastAsia="仿宋_GB2312"/>
          <w:b w:val="0"/>
          <w:sz w:val="32"/>
        </w:rPr>
        <w:t>三、《支出决算表》</w:t>
      </w:r>
    </w:p>
    <w:p w14:paraId="650E7BB2">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4E16A484">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66D4706B">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1C8EE1FF">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3B0DF195">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049B4538">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09B2A641">
      <w:pPr>
        <w:autoSpaceDE w:val="0"/>
        <w:autoSpaceDN w:val="0"/>
        <w:spacing w:line="600" w:lineRule="exact"/>
        <w:ind w:firstLine="640" w:firstLineChars="200"/>
      </w:pPr>
    </w:p>
    <w:p w14:paraId="537AFC28">
      <w:pPr>
        <w:autoSpaceDE w:val="0"/>
        <w:autoSpaceDN w:val="0"/>
        <w:spacing w:line="600" w:lineRule="exact"/>
        <w:ind w:firstLine="640" w:firstLineChars="200"/>
      </w:pPr>
    </w:p>
    <w:p w14:paraId="589E1631">
      <w:pPr>
        <w:autoSpaceDE w:val="0"/>
        <w:autoSpaceDN w:val="0"/>
        <w:spacing w:line="600" w:lineRule="exact"/>
        <w:ind w:firstLine="640" w:firstLineChars="200"/>
      </w:pPr>
    </w:p>
    <w:p w14:paraId="6725FA5F">
      <w:pPr>
        <w:autoSpaceDE w:val="0"/>
        <w:autoSpaceDN w:val="0"/>
        <w:spacing w:line="600" w:lineRule="exact"/>
        <w:ind w:firstLine="640" w:firstLineChars="200"/>
      </w:pPr>
    </w:p>
    <w:p w14:paraId="7B54F2F9">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B56512-6556-4DB1-A658-F2F682A5FB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0375B297-29BF-4930-8A3E-260A8D2A53D5}"/>
  </w:font>
  <w:font w:name="仿宋_GB2312">
    <w:panose1 w:val="02010609030101010101"/>
    <w:charset w:val="86"/>
    <w:family w:val="modern"/>
    <w:pitch w:val="default"/>
    <w:sig w:usb0="00000001" w:usb1="080E0000" w:usb2="00000000" w:usb3="00000000" w:csb0="00040000" w:csb1="00000000"/>
    <w:embedRegular r:id="rId3" w:fontKey="{0208669F-5780-42B1-958E-4CEA986C5EBE}"/>
  </w:font>
  <w:font w:name="楷体_GB2312">
    <w:panose1 w:val="02010609030101010101"/>
    <w:charset w:val="86"/>
    <w:family w:val="auto"/>
    <w:pitch w:val="default"/>
    <w:sig w:usb0="00000001" w:usb1="080E0000" w:usb2="00000000" w:usb3="00000000" w:csb0="00040000" w:csb1="00000000"/>
    <w:embedRegular r:id="rId4" w:fontKey="{17080B15-9DC8-4510-B064-EBB3EAE0E0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0EBF2B62"/>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21</Pages>
  <Words>30</Words>
  <Characters>33</Characters>
  <Lines>10</Lines>
  <Paragraphs>2</Paragraphs>
  <TotalTime>7</TotalTime>
  <ScaleCrop>false</ScaleCrop>
  <LinksUpToDate>false</LinksUpToDate>
  <CharactersWithSpaces>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2026-10-15T11:12:10Z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