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中共昌吉回族自治州委员会政策研究室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6B68691">
      <w:r>
        <w:br w:type="page"/>
      </w:r>
    </w:p>
    <w:p w14:paraId="59523938">
      <w:pPr>
        <w:spacing w:line="640" w:lineRule="exact"/>
        <w:jc w:val="center"/>
        <w:outlineLvl w:val="1"/>
      </w:pPr>
      <w:r>
        <w:rPr>
          <w:rFonts w:ascii="黑体" w:hAnsi="黑体" w:eastAsia="黑体"/>
          <w:sz w:val="32"/>
        </w:rPr>
        <w:t>第一部分 单位概况</w:t>
      </w:r>
    </w:p>
    <w:p w14:paraId="10E640A2">
      <w:pPr>
        <w:spacing w:line="640" w:lineRule="exact"/>
        <w:ind w:firstLine="640"/>
        <w:jc w:val="both"/>
        <w:outlineLvl w:val="2"/>
      </w:pPr>
      <w:r>
        <w:rPr>
          <w:rFonts w:ascii="黑体" w:hAnsi="黑体" w:eastAsia="黑体"/>
          <w:sz w:val="32"/>
        </w:rPr>
        <w:t>一、主要职能</w:t>
      </w:r>
    </w:p>
    <w:p w14:paraId="72BF6E7A">
      <w:pPr>
        <w:spacing w:line="580" w:lineRule="exact"/>
        <w:ind w:firstLine="640"/>
        <w:jc w:val="both"/>
      </w:pPr>
      <w:r>
        <w:rPr>
          <w:rFonts w:ascii="仿宋_GB2312" w:hAnsi="仿宋_GB2312" w:eastAsia="仿宋_GB2312"/>
          <w:sz w:val="32"/>
        </w:rPr>
        <w:t>中共昌吉回族自治州委员会政策研究室是昌吉州党委工作机关，为正处级，对外加挂自治州人民政府研究室牌子。昌吉州党委全面深化改革委员会办公室设在自治州党委政策研究室。</w:t>
      </w:r>
    </w:p>
    <w:p w14:paraId="0BC4328E">
      <w:pPr>
        <w:spacing w:line="640" w:lineRule="exact"/>
        <w:ind w:firstLine="640"/>
        <w:jc w:val="both"/>
        <w:outlineLvl w:val="2"/>
      </w:pPr>
      <w:r>
        <w:rPr>
          <w:rFonts w:ascii="黑体" w:hAnsi="黑体" w:eastAsia="黑体"/>
          <w:sz w:val="32"/>
        </w:rPr>
        <w:t>二、机构设置</w:t>
      </w:r>
    </w:p>
    <w:p w14:paraId="6730DB36">
      <w:pPr>
        <w:spacing w:line="580" w:lineRule="exact"/>
        <w:ind w:firstLine="640"/>
        <w:jc w:val="both"/>
      </w:pPr>
      <w:r>
        <w:rPr>
          <w:rFonts w:ascii="仿宋_GB2312" w:hAnsi="仿宋_GB2312" w:eastAsia="仿宋_GB2312"/>
          <w:sz w:val="32"/>
        </w:rPr>
        <w:t>中共昌吉回族自治州委员会政策研究室无下属预算单位。</w:t>
      </w:r>
    </w:p>
    <w:p w14:paraId="248AB483">
      <w:r>
        <w:br w:type="page"/>
      </w:r>
    </w:p>
    <w:p w14:paraId="4FE9C650">
      <w:pPr>
        <w:spacing w:line="240" w:lineRule="auto"/>
        <w:jc w:val="center"/>
        <w:outlineLvl w:val="1"/>
      </w:pPr>
      <w:r>
        <w:rPr>
          <w:rFonts w:ascii="黑体" w:hAnsi="黑体" w:eastAsia="黑体"/>
          <w:sz w:val="32"/>
        </w:rPr>
        <w:t>第二部分 部门决算情况说明</w:t>
      </w:r>
    </w:p>
    <w:p w14:paraId="405FC48D">
      <w:pPr>
        <w:spacing w:line="640" w:lineRule="exact"/>
        <w:ind w:firstLine="640"/>
        <w:jc w:val="both"/>
        <w:outlineLvl w:val="2"/>
      </w:pPr>
      <w:r>
        <w:rPr>
          <w:rFonts w:ascii="黑体" w:hAnsi="黑体" w:eastAsia="黑体"/>
          <w:sz w:val="32"/>
        </w:rPr>
        <w:t>一、收入支出决算总体情况说明</w:t>
      </w:r>
    </w:p>
    <w:p w14:paraId="692EF40C">
      <w:pPr>
        <w:spacing w:line="580" w:lineRule="exact"/>
        <w:ind w:firstLine="640"/>
        <w:jc w:val="both"/>
      </w:pPr>
      <w:r>
        <w:rPr>
          <w:rFonts w:ascii="仿宋_GB2312" w:hAnsi="仿宋_GB2312" w:eastAsia="仿宋_GB2312"/>
          <w:b/>
          <w:sz w:val="32"/>
        </w:rPr>
        <w:t>2025年度收入总计538.39万元，</w:t>
      </w:r>
      <w:r>
        <w:rPr>
          <w:rFonts w:ascii="仿宋_GB2312" w:hAnsi="仿宋_GB2312" w:eastAsia="仿宋_GB2312"/>
          <w:b w:val="0"/>
          <w:sz w:val="32"/>
        </w:rPr>
        <w:t>其中：本年收入合计518.57万元，使用非财政拨款结余（含专用结余）0.00万元，年初结转和结余19.82万元。</w:t>
      </w:r>
    </w:p>
    <w:p w14:paraId="405282F7">
      <w:pPr>
        <w:spacing w:line="580" w:lineRule="exact"/>
        <w:ind w:firstLine="640"/>
        <w:jc w:val="both"/>
      </w:pPr>
      <w:r>
        <w:rPr>
          <w:rFonts w:ascii="仿宋_GB2312" w:hAnsi="仿宋_GB2312" w:eastAsia="仿宋_GB2312"/>
          <w:b/>
          <w:sz w:val="32"/>
        </w:rPr>
        <w:t>2025年度支出总计538.39万元，</w:t>
      </w:r>
      <w:r>
        <w:rPr>
          <w:rFonts w:ascii="仿宋_GB2312" w:hAnsi="仿宋_GB2312" w:eastAsia="仿宋_GB2312"/>
          <w:b w:val="0"/>
          <w:sz w:val="32"/>
        </w:rPr>
        <w:t>其中：本年支出合计520.18万元，结余分配0.00万元，年末结转和结余18.21万元。</w:t>
      </w:r>
    </w:p>
    <w:p w14:paraId="3A94C595">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增加79.39万元，增长17.30%，主要原因是：本年在职人员增加，在职人员工资调增、社保、公积金基数调增，人员经费增加。</w:t>
      </w:r>
    </w:p>
    <w:p w14:paraId="4C3EAB7A">
      <w:pPr>
        <w:spacing w:line="640" w:lineRule="exact"/>
        <w:ind w:firstLine="640"/>
        <w:jc w:val="both"/>
        <w:outlineLvl w:val="2"/>
      </w:pPr>
      <w:r>
        <w:rPr>
          <w:rFonts w:ascii="黑体" w:hAnsi="黑体" w:eastAsia="黑体"/>
          <w:sz w:val="32"/>
        </w:rPr>
        <w:t>二、收入决算情况说明</w:t>
      </w:r>
    </w:p>
    <w:p w14:paraId="62B04008">
      <w:pPr>
        <w:spacing w:line="580" w:lineRule="exact"/>
        <w:ind w:firstLine="640"/>
        <w:jc w:val="both"/>
      </w:pPr>
      <w:r>
        <w:rPr>
          <w:rFonts w:ascii="仿宋_GB2312" w:hAnsi="仿宋_GB2312" w:eastAsia="仿宋_GB2312"/>
          <w:b/>
          <w:sz w:val="32"/>
        </w:rPr>
        <w:t>本年收入518.57万元，</w:t>
      </w:r>
      <w:r>
        <w:rPr>
          <w:rFonts w:ascii="仿宋_GB2312" w:hAnsi="仿宋_GB2312" w:eastAsia="仿宋_GB2312"/>
          <w:b w:val="0"/>
          <w:sz w:val="32"/>
        </w:rPr>
        <w:t>其中：财政拨款收入518.35万元，占99.96%；上级补助收入0.00万元，占0.00%；事业收入0.00万元，占0.00%；经营收入0.00万元，占0.00%；附属单位上缴收入0.00万元，占0.00%；其他收入0.21万元，占0.04%。</w:t>
      </w:r>
    </w:p>
    <w:p w14:paraId="69772FC0">
      <w:pPr>
        <w:spacing w:line="640" w:lineRule="exact"/>
        <w:ind w:firstLine="640"/>
        <w:jc w:val="both"/>
        <w:outlineLvl w:val="2"/>
      </w:pPr>
      <w:r>
        <w:rPr>
          <w:rFonts w:ascii="黑体" w:hAnsi="黑体" w:eastAsia="黑体"/>
          <w:sz w:val="32"/>
        </w:rPr>
        <w:t>三、支出决算情况说明</w:t>
      </w:r>
    </w:p>
    <w:p w14:paraId="60265DFC">
      <w:pPr>
        <w:spacing w:line="580" w:lineRule="exact"/>
        <w:ind w:firstLine="640"/>
        <w:jc w:val="both"/>
      </w:pPr>
      <w:r>
        <w:rPr>
          <w:rFonts w:ascii="仿宋_GB2312" w:hAnsi="仿宋_GB2312" w:eastAsia="仿宋_GB2312"/>
          <w:b/>
          <w:sz w:val="32"/>
        </w:rPr>
        <w:t>本年支出520.18万元，</w:t>
      </w:r>
      <w:r>
        <w:rPr>
          <w:rFonts w:ascii="仿宋_GB2312" w:hAnsi="仿宋_GB2312" w:eastAsia="仿宋_GB2312"/>
          <w:b w:val="0"/>
          <w:sz w:val="32"/>
        </w:rPr>
        <w:t>其中：基本支出485.57万元，占93.35%；项目支出34.61万元，占6.65%；上缴上级支出0.00万元，占0.00%；经营支出0.00万元，占0.00%；对附属单位补助支出0.00万元，占0.00%。</w:t>
      </w:r>
    </w:p>
    <w:p w14:paraId="3F688B14">
      <w:pPr>
        <w:spacing w:line="640" w:lineRule="exact"/>
        <w:ind w:firstLine="640"/>
        <w:jc w:val="both"/>
        <w:outlineLvl w:val="2"/>
      </w:pPr>
      <w:r>
        <w:rPr>
          <w:rFonts w:ascii="黑体" w:hAnsi="黑体" w:eastAsia="黑体"/>
          <w:sz w:val="32"/>
        </w:rPr>
        <w:t>四、财政拨款收入支出决算总体情况说明</w:t>
      </w:r>
    </w:p>
    <w:p w14:paraId="3A6AAFD5">
      <w:pPr>
        <w:spacing w:line="580" w:lineRule="exact"/>
        <w:ind w:firstLine="640"/>
        <w:jc w:val="both"/>
      </w:pPr>
      <w:r>
        <w:rPr>
          <w:rFonts w:ascii="仿宋_GB2312" w:hAnsi="仿宋_GB2312" w:eastAsia="仿宋_GB2312"/>
          <w:b/>
          <w:sz w:val="32"/>
        </w:rPr>
        <w:t>2025年度财政拨款收入总计518.35万元，</w:t>
      </w:r>
      <w:r>
        <w:rPr>
          <w:rFonts w:ascii="仿宋_GB2312" w:hAnsi="仿宋_GB2312" w:eastAsia="仿宋_GB2312"/>
          <w:b w:val="0"/>
          <w:sz w:val="32"/>
        </w:rPr>
        <w:t>其中：年初财政拨款结转和结余0.00万元，本年财政拨款收入518.35万元。</w:t>
      </w:r>
      <w:r>
        <w:rPr>
          <w:rFonts w:ascii="仿宋_GB2312" w:hAnsi="仿宋_GB2312" w:eastAsia="仿宋_GB2312"/>
          <w:b/>
          <w:sz w:val="32"/>
        </w:rPr>
        <w:t>财政拨款支出总计518.35万元，</w:t>
      </w:r>
      <w:r>
        <w:rPr>
          <w:rFonts w:ascii="仿宋_GB2312" w:hAnsi="仿宋_GB2312" w:eastAsia="仿宋_GB2312"/>
          <w:b w:val="0"/>
          <w:sz w:val="32"/>
        </w:rPr>
        <w:t>其中：年末财政拨款结转和结余0.00万元，本年财政拨款支出518.35万元。</w:t>
      </w:r>
    </w:p>
    <w:p w14:paraId="156FBC68">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增加65.97万元，增长14.58%，主要原因是：本年在职人员增加，在职人员工资调增、社保、公积金基数调增，人员经费增加。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年初预算数400.02万元，决算数518.35万元，预决算差异率29.58%，主要原因是：年中追加人员工资、社保、公积金基数调增部分资金，导致预决算存在差异。</w:t>
      </w:r>
    </w:p>
    <w:p w14:paraId="37F83A09">
      <w:pPr>
        <w:spacing w:line="640" w:lineRule="exact"/>
        <w:ind w:firstLine="640"/>
        <w:jc w:val="both"/>
        <w:outlineLvl w:val="2"/>
      </w:pPr>
      <w:r>
        <w:rPr>
          <w:rFonts w:ascii="黑体" w:hAnsi="黑体" w:eastAsia="黑体"/>
          <w:sz w:val="32"/>
        </w:rPr>
        <w:t>五、一般公共预算财政拨款支出决算情况说明</w:t>
      </w:r>
    </w:p>
    <w:p w14:paraId="3FD6DD42">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1CDE181D">
      <w:pPr>
        <w:spacing w:line="580" w:lineRule="exact"/>
        <w:ind w:firstLine="640"/>
        <w:jc w:val="both"/>
      </w:pPr>
      <w:r>
        <w:rPr>
          <w:rFonts w:ascii="仿宋_GB2312" w:hAnsi="仿宋_GB2312" w:eastAsia="仿宋_GB2312"/>
          <w:b w:val="0"/>
          <w:sz w:val="32"/>
        </w:rPr>
        <w:t>按照支出功能分类，一般公共服务支出（类）其他共产党事务支出（款）行政运行（项）的支出占本年财政拨款支出总额的比重最高，2025年度决算数为273.73万元，占比52.81%，主要用于人员工资福利支出、日常公用经费支出。</w:t>
      </w:r>
    </w:p>
    <w:p w14:paraId="343FB123">
      <w:pPr>
        <w:spacing w:line="640" w:lineRule="exact"/>
        <w:ind w:firstLine="640"/>
        <w:jc w:val="both"/>
        <w:outlineLvl w:val="3"/>
      </w:pPr>
      <w:r>
        <w:rPr>
          <w:rFonts w:ascii="楷体_GB2312" w:hAnsi="楷体_GB2312" w:eastAsia="楷体_GB2312"/>
          <w:b/>
          <w:sz w:val="32"/>
        </w:rPr>
        <w:t>（一）一般公共预算财政拨款支出决算总体情况</w:t>
      </w:r>
    </w:p>
    <w:p w14:paraId="76C0A284">
      <w:pPr>
        <w:spacing w:line="580" w:lineRule="exact"/>
        <w:ind w:firstLine="640"/>
        <w:jc w:val="both"/>
      </w:pPr>
      <w:r>
        <w:rPr>
          <w:rFonts w:ascii="仿宋_GB2312" w:hAnsi="仿宋_GB2312" w:eastAsia="仿宋_GB2312"/>
          <w:b/>
          <w:sz w:val="32"/>
        </w:rPr>
        <w:t>2025年度一般公共预算财政拨款支出518.35万元，</w:t>
      </w:r>
      <w:r>
        <w:rPr>
          <w:rFonts w:ascii="仿宋_GB2312" w:hAnsi="仿宋_GB2312" w:eastAsia="仿宋_GB2312"/>
          <w:b w:val="0"/>
          <w:sz w:val="32"/>
        </w:rPr>
        <w:t>占本年支出合计的99.65%。</w:t>
      </w:r>
      <w:r>
        <w:rPr>
          <w:rFonts w:ascii="仿宋_GB2312" w:hAnsi="仿宋_GB2312" w:eastAsia="仿宋_GB2312"/>
          <w:b/>
          <w:sz w:val="32"/>
        </w:rPr>
        <w:t>与上年相比，</w:t>
      </w:r>
      <w:r>
        <w:rPr>
          <w:rFonts w:ascii="仿宋_GB2312" w:hAnsi="仿宋_GB2312" w:eastAsia="仿宋_GB2312"/>
          <w:b w:val="0"/>
          <w:sz w:val="32"/>
        </w:rPr>
        <w:t>增加65.97万元，增长14.58%，主要原因是：本年在职人员增加，在职人员工资调增、社保、公积金基数调增，人员经费增加。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年初预算数400.02万元，决算数518.35万元，预决算差异率29.58%，主要原因是：年中追加人员工资、社保、公积金基数调增部分资金，导致预决算存在差异。</w:t>
      </w:r>
    </w:p>
    <w:p w14:paraId="73DA8BFC">
      <w:pPr>
        <w:spacing w:line="640" w:lineRule="exact"/>
        <w:ind w:firstLine="640"/>
        <w:jc w:val="both"/>
        <w:outlineLvl w:val="3"/>
      </w:pPr>
      <w:r>
        <w:rPr>
          <w:rFonts w:ascii="楷体_GB2312" w:hAnsi="楷体_GB2312" w:eastAsia="楷体_GB2312"/>
          <w:b/>
          <w:sz w:val="32"/>
        </w:rPr>
        <w:t>（二）一般公共预算财政拨款支出决算结构情况</w:t>
      </w:r>
    </w:p>
    <w:p w14:paraId="71C8A435">
      <w:pPr>
        <w:spacing w:line="580" w:lineRule="exact"/>
        <w:ind w:firstLine="640"/>
        <w:jc w:val="both"/>
      </w:pPr>
      <w:r>
        <w:rPr>
          <w:rFonts w:ascii="仿宋_GB2312" w:hAnsi="仿宋_GB2312" w:eastAsia="仿宋_GB2312"/>
          <w:b w:val="0"/>
          <w:sz w:val="32"/>
        </w:rPr>
        <w:t>1.一般公共服务支出（类）398.21万元，占76.82%。</w:t>
      </w:r>
    </w:p>
    <w:p w14:paraId="65CFE57E">
      <w:pPr>
        <w:spacing w:line="580" w:lineRule="exact"/>
        <w:ind w:firstLine="640"/>
        <w:jc w:val="both"/>
      </w:pPr>
      <w:r>
        <w:rPr>
          <w:rFonts w:ascii="仿宋_GB2312" w:hAnsi="仿宋_GB2312" w:eastAsia="仿宋_GB2312"/>
          <w:b w:val="0"/>
          <w:sz w:val="32"/>
        </w:rPr>
        <w:t>2.社会保障和就业支出（类）62.82万元，占12.12%。</w:t>
      </w:r>
    </w:p>
    <w:p w14:paraId="5025A689">
      <w:pPr>
        <w:spacing w:line="580" w:lineRule="exact"/>
        <w:ind w:firstLine="640"/>
        <w:jc w:val="both"/>
      </w:pPr>
      <w:r>
        <w:rPr>
          <w:rFonts w:ascii="仿宋_GB2312" w:hAnsi="仿宋_GB2312" w:eastAsia="仿宋_GB2312"/>
          <w:b w:val="0"/>
          <w:sz w:val="32"/>
        </w:rPr>
        <w:t>3.卫生健康支出（类）30.47万元，占5.88%。</w:t>
      </w:r>
    </w:p>
    <w:p w14:paraId="4A7A6911">
      <w:pPr>
        <w:spacing w:line="580" w:lineRule="exact"/>
        <w:ind w:firstLine="640"/>
        <w:jc w:val="both"/>
      </w:pPr>
      <w:r>
        <w:rPr>
          <w:rFonts w:ascii="仿宋_GB2312" w:hAnsi="仿宋_GB2312" w:eastAsia="仿宋_GB2312"/>
          <w:b w:val="0"/>
          <w:sz w:val="32"/>
        </w:rPr>
        <w:t>4.住房保障支出（类）26.85万元，占5.18%。</w:t>
      </w:r>
    </w:p>
    <w:p w14:paraId="6100F8C5">
      <w:pPr>
        <w:spacing w:line="640" w:lineRule="exact"/>
        <w:ind w:firstLine="640"/>
        <w:jc w:val="both"/>
        <w:outlineLvl w:val="3"/>
      </w:pPr>
      <w:r>
        <w:rPr>
          <w:rFonts w:ascii="楷体_GB2312" w:hAnsi="楷体_GB2312" w:eastAsia="楷体_GB2312"/>
          <w:b/>
          <w:sz w:val="32"/>
        </w:rPr>
        <w:t>（三）一般公共预算财政拨款支出决算具体情况</w:t>
      </w:r>
    </w:p>
    <w:p w14:paraId="20F466B6">
      <w:pPr>
        <w:spacing w:line="580" w:lineRule="exact"/>
        <w:ind w:firstLine="640"/>
        <w:jc w:val="both"/>
      </w:pPr>
      <w:r>
        <w:rPr>
          <w:rFonts w:ascii="仿宋_GB2312" w:hAnsi="仿宋_GB2312" w:eastAsia="仿宋_GB2312"/>
          <w:b w:val="0"/>
          <w:sz w:val="32"/>
        </w:rPr>
        <w:t>1.一般公共服务支出（类）党委办公厅（室）及相关机构事务（款）事业运行（项）：支出决算数为0.00万元，比上年决算减少3.60万元，下降100.00%，主要原因是：本年减少引进高层次人才补助经费，导致经费支出减少。</w:t>
      </w:r>
    </w:p>
    <w:p w14:paraId="4FAD778C">
      <w:pPr>
        <w:spacing w:line="580" w:lineRule="exact"/>
        <w:ind w:firstLine="640"/>
        <w:jc w:val="both"/>
      </w:pPr>
      <w:r>
        <w:rPr>
          <w:rFonts w:ascii="仿宋_GB2312" w:hAnsi="仿宋_GB2312" w:eastAsia="仿宋_GB2312"/>
          <w:b w:val="0"/>
          <w:sz w:val="32"/>
        </w:rPr>
        <w:t>2.一般公共服务支出（类）其他共产党事务支出（款）行政运行（项）：支出决算数为273.73万元，比上年决算增加33.66万元，增长14.02%，主要原因是：本年在职人员工资调增，导致相关人员经费较上年有所增加。</w:t>
      </w:r>
    </w:p>
    <w:p w14:paraId="16DEA7A1">
      <w:pPr>
        <w:spacing w:line="580" w:lineRule="exact"/>
        <w:ind w:firstLine="640"/>
        <w:jc w:val="both"/>
      </w:pPr>
      <w:r>
        <w:rPr>
          <w:rFonts w:ascii="仿宋_GB2312" w:hAnsi="仿宋_GB2312" w:eastAsia="仿宋_GB2312"/>
          <w:b w:val="0"/>
          <w:sz w:val="32"/>
        </w:rPr>
        <w:t>3.一般公共服务支出（类）其他共产党事务支出（款）一般行政管理事务（项）：支出决算数为33.39万元，比上年决算减少4.18万元，下降11.13%，主要原因是：本年机关运行补助经费减少，导致经费支出减少。</w:t>
      </w:r>
    </w:p>
    <w:p w14:paraId="22BE6A9D">
      <w:pPr>
        <w:spacing w:line="580" w:lineRule="exact"/>
        <w:ind w:firstLine="640"/>
        <w:jc w:val="both"/>
      </w:pPr>
      <w:r>
        <w:rPr>
          <w:rFonts w:ascii="仿宋_GB2312" w:hAnsi="仿宋_GB2312" w:eastAsia="仿宋_GB2312"/>
          <w:b w:val="0"/>
          <w:sz w:val="32"/>
        </w:rPr>
        <w:t>4.一般公共服务支出（类）其他共产党事务支出（款）事业运行（项）：支出决算数为91.09万元，比上年决算增加50.00万元，增长121.68%，主要原因是：本年新增在职人员，人员经费增加，导致经费较上年有所增加。</w:t>
      </w:r>
    </w:p>
    <w:p w14:paraId="212FC6D8">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5.社会保障和就业支出（类）行政事业单位养老支出（款）行政单位离退休（项）：支出决算数为12.95万元，比上年决算增加3.96万元，增长44.05%，主要原因是：本年增加退休人员基础绩效奖，退休费支出增加。</w:t>
      </w:r>
    </w:p>
    <w:p w14:paraId="26B8509D">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33.25万元，比上年决算减少0.75万元，下降2.21%，主要原因是：本年在职人员调入调出，人员职级不同，缴费基数不同，导致养老保险缴费较上年减少。</w:t>
      </w:r>
    </w:p>
    <w:p w14:paraId="546FB1D1">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16.62万元，比上年决算减少25.22万元，下降60.28%，主要原因是：本年新增退休人员较上年减少，职业年金缴费较上年减少。</w:t>
      </w:r>
    </w:p>
    <w:p w14:paraId="4025EA33">
      <w:pPr>
        <w:spacing w:line="580" w:lineRule="exact"/>
        <w:ind w:firstLine="640"/>
        <w:jc w:val="both"/>
      </w:pPr>
      <w:r>
        <w:rPr>
          <w:rFonts w:ascii="仿宋_GB2312" w:hAnsi="仿宋_GB2312" w:eastAsia="仿宋_GB2312"/>
          <w:b w:val="0"/>
          <w:sz w:val="32"/>
        </w:rPr>
        <w:t>8.卫生健康支出（类）行政事业单位医疗（款）行政单位医疗（项）：支出决算数为18.00万元，比上年决算增加3.21万元，增长21.70%，主要原因是：本年在职人员工资基数调增，医疗缴费基数上涨，相应支出增加。</w:t>
      </w:r>
    </w:p>
    <w:p w14:paraId="48D052E2">
      <w:pPr>
        <w:spacing w:line="580" w:lineRule="exact"/>
        <w:ind w:firstLine="640"/>
        <w:jc w:val="both"/>
      </w:pPr>
      <w:r>
        <w:rPr>
          <w:rFonts w:ascii="仿宋_GB2312" w:hAnsi="仿宋_GB2312" w:eastAsia="仿宋_GB2312"/>
          <w:b w:val="0"/>
          <w:sz w:val="32"/>
        </w:rPr>
        <w:t>9.卫生健康支出（类）行政事业单位医疗（款）事业单位医疗（项）：支出决算数为2.85万元，比上年决算增加0.01万元，增长0.35%，主要原因是：本年在职人员工资基数调增，医疗缴费基数上涨，相应支出增加。</w:t>
      </w:r>
    </w:p>
    <w:p w14:paraId="1302E274">
      <w:pPr>
        <w:spacing w:line="580" w:lineRule="exact"/>
        <w:ind w:firstLine="640"/>
        <w:jc w:val="both"/>
      </w:pPr>
      <w:r>
        <w:rPr>
          <w:rFonts w:ascii="仿宋_GB2312" w:hAnsi="仿宋_GB2312" w:eastAsia="仿宋_GB2312"/>
          <w:b w:val="0"/>
          <w:sz w:val="32"/>
        </w:rPr>
        <w:t>10.卫生健康支出（类）行政事业单位医疗（款）公务员医疗补助（项）：支出决算数为9.39万元，比上年决算增加8.30万元，增长761.47%，主要原因是：本年在职人员工资基数调增，医疗缴费基数上涨，相应支出增加。</w:t>
      </w:r>
    </w:p>
    <w:p w14:paraId="6D2DEB42">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0.23万元，比上年决算增加0.12万元，增长109.09%，主要原因是：本年在职人员工资基数调增，医疗缴费基数上涨，相应支出增加。</w:t>
      </w:r>
    </w:p>
    <w:p w14:paraId="2B3C1AA3">
      <w:pPr>
        <w:spacing w:line="580" w:lineRule="exact"/>
        <w:ind w:firstLine="640"/>
        <w:jc w:val="both"/>
      </w:pPr>
      <w:r>
        <w:rPr>
          <w:rFonts w:ascii="仿宋_GB2312" w:hAnsi="仿宋_GB2312" w:eastAsia="仿宋_GB2312"/>
          <w:b w:val="0"/>
          <w:sz w:val="32"/>
        </w:rPr>
        <w:t>12.住房保障支出（类）住房改革支出（款）住房公积金（项）：支出决算数为26.85万元，比上年决算增加0.46万元，增长1.74%，主要原因是：本年在职人员工资基数调增，公积金缴费基数上涨，相应支出增加。</w:t>
      </w:r>
    </w:p>
    <w:p w14:paraId="2BA0A9E9">
      <w:pPr>
        <w:spacing w:line="640" w:lineRule="exact"/>
        <w:ind w:firstLine="640"/>
        <w:jc w:val="both"/>
        <w:outlineLvl w:val="2"/>
      </w:pPr>
      <w:r>
        <w:rPr>
          <w:rFonts w:ascii="黑体" w:hAnsi="黑体" w:eastAsia="黑体"/>
          <w:sz w:val="32"/>
        </w:rPr>
        <w:t>六、一般公共预算财政拨款基本支出决算情况说明</w:t>
      </w:r>
    </w:p>
    <w:p w14:paraId="16EAE3FB">
      <w:pPr>
        <w:spacing w:line="580" w:lineRule="exact"/>
        <w:ind w:firstLine="640"/>
        <w:jc w:val="both"/>
      </w:pPr>
      <w:r>
        <w:rPr>
          <w:rFonts w:ascii="仿宋_GB2312" w:hAnsi="仿宋_GB2312" w:eastAsia="仿宋_GB2312"/>
          <w:b w:val="0"/>
          <w:sz w:val="32"/>
        </w:rPr>
        <w:t>2025年度一般公共预算财政拨款基本支出484.96万元，其中：</w:t>
      </w:r>
      <w:r>
        <w:rPr>
          <w:rFonts w:ascii="仿宋_GB2312" w:hAnsi="仿宋_GB2312" w:eastAsia="仿宋_GB2312"/>
          <w:b/>
          <w:sz w:val="32"/>
        </w:rPr>
        <w:t>人员经费455.63万元，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5431CEF6">
      <w:pPr>
        <w:spacing w:line="580" w:lineRule="exact"/>
        <w:ind w:firstLine="640"/>
        <w:jc w:val="both"/>
      </w:pPr>
      <w:r>
        <w:rPr>
          <w:rFonts w:ascii="仿宋_GB2312" w:hAnsi="仿宋_GB2312" w:eastAsia="仿宋_GB2312"/>
          <w:b/>
          <w:sz w:val="32"/>
        </w:rPr>
        <w:t>公用经费29.33万元，</w:t>
      </w:r>
      <w:r>
        <w:rPr>
          <w:rFonts w:ascii="仿宋_GB2312" w:hAnsi="仿宋_GB2312" w:eastAsia="仿宋_GB2312"/>
          <w:b w:val="0"/>
          <w:sz w:val="32"/>
        </w:rPr>
        <w:t>包括：办公费、印刷费、手续费、水费、电费、邮电费、取暖费、培训费、劳务费、工会经费、福利费、公务用车运行维护费、其他商品和服务支出。</w:t>
      </w:r>
    </w:p>
    <w:p w14:paraId="6F1651E7">
      <w:pPr>
        <w:spacing w:line="640" w:lineRule="exact"/>
        <w:ind w:firstLine="640"/>
        <w:jc w:val="both"/>
        <w:outlineLvl w:val="2"/>
      </w:pPr>
      <w:r>
        <w:rPr>
          <w:rFonts w:ascii="黑体" w:hAnsi="黑体" w:eastAsia="黑体"/>
          <w:sz w:val="32"/>
        </w:rPr>
        <w:t>七、政府性基金预算财政拨款收入支出决算情况说明</w:t>
      </w:r>
    </w:p>
    <w:p w14:paraId="56BFC1BE">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D4A6FFF">
      <w:pPr>
        <w:spacing w:line="640" w:lineRule="exact"/>
        <w:ind w:firstLine="640"/>
        <w:jc w:val="both"/>
        <w:outlineLvl w:val="2"/>
      </w:pPr>
      <w:r>
        <w:rPr>
          <w:rFonts w:ascii="黑体" w:hAnsi="黑体" w:eastAsia="黑体"/>
          <w:sz w:val="32"/>
        </w:rPr>
        <w:t>八、国有资本经营预算财政拨款收入支出决算情况说明</w:t>
      </w:r>
    </w:p>
    <w:p w14:paraId="33F99C7F">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7CB4681">
      <w:pPr>
        <w:spacing w:line="640" w:lineRule="exact"/>
        <w:ind w:firstLine="640"/>
        <w:jc w:val="both"/>
        <w:outlineLvl w:val="2"/>
      </w:pPr>
      <w:r>
        <w:rPr>
          <w:rFonts w:ascii="黑体" w:hAnsi="黑体" w:eastAsia="黑体"/>
          <w:sz w:val="32"/>
        </w:rPr>
        <w:t>九、财政拨款“三公”经费支出决算情况说明</w:t>
      </w:r>
    </w:p>
    <w:p w14:paraId="75CB2A8D">
      <w:pPr>
        <w:spacing w:line="580" w:lineRule="exact"/>
        <w:ind w:firstLine="640"/>
        <w:jc w:val="both"/>
      </w:pPr>
      <w:r>
        <w:rPr>
          <w:rFonts w:ascii="仿宋_GB2312" w:hAnsi="仿宋_GB2312" w:eastAsia="仿宋_GB2312"/>
          <w:b/>
          <w:sz w:val="32"/>
        </w:rPr>
        <w:t>2025年度财政拨款“三公”经费支出6.28万元，</w:t>
      </w:r>
      <w:r>
        <w:rPr>
          <w:rFonts w:ascii="仿宋_GB2312" w:hAnsi="仿宋_GB2312" w:eastAsia="仿宋_GB2312"/>
          <w:b w:val="0"/>
          <w:sz w:val="32"/>
        </w:rPr>
        <w:t>比上年减少1.30万元，下降17.15%，主要原因是：本年未安排公务接待工作，导致公务接待费较上年减少。其中：因公出国（境）费用支出0.00万元，占0.00%，比上年增加0.00万元，增长0.00%，主要原因是：2024年与2025年均无因公出国（境）费用支出。公务用车购置及运行维护费支出6.28万元，占100.00%，比上年减少0.85万元，下降11.92%，主要原因是：严格落实中央八项规定精神，厉行节约，减少公务用车运行维护费。公务接待费支出0.00万元，占0.00%，比上年减少0.45万元，下降100.00%，主要原因是：本年严格执行中央八项规定，厉行节约，无公务接待费支出。</w:t>
      </w:r>
    </w:p>
    <w:p w14:paraId="66BA14D3">
      <w:pPr>
        <w:spacing w:line="580" w:lineRule="exact"/>
        <w:ind w:firstLine="640"/>
        <w:jc w:val="both"/>
      </w:pPr>
      <w:r>
        <w:rPr>
          <w:rFonts w:ascii="仿宋_GB2312" w:hAnsi="仿宋_GB2312" w:eastAsia="仿宋_GB2312"/>
          <w:b/>
          <w:sz w:val="32"/>
        </w:rPr>
        <w:t>具体情况如下：</w:t>
      </w:r>
    </w:p>
    <w:p w14:paraId="23D167E4">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8448B66">
      <w:pPr>
        <w:spacing w:line="580" w:lineRule="exact"/>
        <w:ind w:firstLine="640"/>
        <w:jc w:val="both"/>
      </w:pPr>
      <w:r>
        <w:rPr>
          <w:rFonts w:ascii="仿宋_GB2312" w:hAnsi="仿宋_GB2312" w:eastAsia="仿宋_GB2312"/>
          <w:b w:val="0"/>
          <w:sz w:val="32"/>
        </w:rPr>
        <w:t>公务用车购置及运行维护费6.28万元，其中：公务用车购置费0.00万元，公务用车运行维护费6.28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14:paraId="626D5A01">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39B158E7">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6.28万元，决算数6.28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6.28万元，决算数6.28万元，预决算差异率0.00%，主要原因是：严格按照预算执行，预决算无差异。公务接待费全年预算数0.00万元，决算数0.00万元，预决算差异率0.00%，主要原因是：本单位无公务接待费。</w:t>
      </w:r>
    </w:p>
    <w:p w14:paraId="269D03CA">
      <w:pPr>
        <w:spacing w:line="640" w:lineRule="exact"/>
        <w:ind w:firstLine="640"/>
        <w:jc w:val="both"/>
        <w:outlineLvl w:val="2"/>
      </w:pPr>
      <w:r>
        <w:rPr>
          <w:rFonts w:ascii="黑体" w:hAnsi="黑体" w:eastAsia="黑体"/>
          <w:sz w:val="32"/>
        </w:rPr>
        <w:t>十、其他重要事项的情况说明</w:t>
      </w:r>
    </w:p>
    <w:p w14:paraId="50A889DE">
      <w:pPr>
        <w:spacing w:line="640" w:lineRule="exact"/>
        <w:ind w:firstLine="640"/>
        <w:jc w:val="both"/>
        <w:outlineLvl w:val="3"/>
      </w:pPr>
      <w:r>
        <w:rPr>
          <w:rFonts w:ascii="楷体_GB2312" w:hAnsi="楷体_GB2312" w:eastAsia="楷体_GB2312"/>
          <w:b/>
          <w:sz w:val="32"/>
        </w:rPr>
        <w:t>（一）机关运行经费及公用经费支出情况</w:t>
      </w:r>
    </w:p>
    <w:p w14:paraId="01EEBC66">
      <w:pPr>
        <w:spacing w:line="580" w:lineRule="exact"/>
        <w:ind w:firstLine="640"/>
        <w:jc w:val="both"/>
      </w:pPr>
      <w:r>
        <w:rPr>
          <w:rFonts w:ascii="仿宋_GB2312" w:hAnsi="仿宋_GB2312" w:eastAsia="仿宋_GB2312"/>
          <w:b w:val="0"/>
          <w:sz w:val="32"/>
        </w:rPr>
        <w:t>2025年度中共昌吉回族自治州委员会政策研究室（行政单位和参照公务员法管理事业单位）机关运行经费支出29.33万元，比上年增加6.26万元，增长27.13%，主要原因是：本年更新、维护补充办公用品，导致机关运行经费较上年增加。</w:t>
      </w:r>
    </w:p>
    <w:p w14:paraId="6DA67F33">
      <w:pPr>
        <w:spacing w:line="640" w:lineRule="exact"/>
        <w:ind w:firstLine="640"/>
        <w:jc w:val="both"/>
        <w:outlineLvl w:val="3"/>
      </w:pPr>
      <w:r>
        <w:rPr>
          <w:rFonts w:ascii="楷体_GB2312" w:hAnsi="楷体_GB2312" w:eastAsia="楷体_GB2312"/>
          <w:b/>
          <w:sz w:val="32"/>
        </w:rPr>
        <w:t>（二）政府采购情况</w:t>
      </w:r>
    </w:p>
    <w:p w14:paraId="2184A6D1">
      <w:pPr>
        <w:spacing w:line="580" w:lineRule="exact"/>
        <w:ind w:firstLine="640"/>
        <w:jc w:val="both"/>
      </w:pPr>
      <w:r>
        <w:rPr>
          <w:rFonts w:ascii="仿宋_GB2312" w:hAnsi="仿宋_GB2312" w:eastAsia="仿宋_GB2312"/>
          <w:b w:val="0"/>
          <w:sz w:val="32"/>
        </w:rPr>
        <w:t>2025年度政府采购支出总额16.08万元，其中：政府采购货物支出1.32万元、政府采购工程支出0.00万元、政府采购服务支出14.76万元。</w:t>
      </w:r>
    </w:p>
    <w:p w14:paraId="19797623">
      <w:pPr>
        <w:spacing w:line="580" w:lineRule="exact"/>
        <w:ind w:firstLine="640"/>
        <w:jc w:val="both"/>
      </w:pPr>
      <w:r>
        <w:rPr>
          <w:rFonts w:ascii="仿宋_GB2312" w:hAnsi="仿宋_GB2312" w:eastAsia="仿宋_GB2312"/>
          <w:b w:val="0"/>
          <w:sz w:val="32"/>
        </w:rPr>
        <w:t>授予中小企业合同金额8.04万元，占政府采购支出总额的50.00%，其中：授予小微企业合同金额8.04万元，占政府采购支出总额的50.00%。</w:t>
      </w:r>
    </w:p>
    <w:p w14:paraId="0C19F901">
      <w:pPr>
        <w:spacing w:line="640" w:lineRule="exact"/>
        <w:ind w:firstLine="640"/>
        <w:jc w:val="both"/>
        <w:outlineLvl w:val="3"/>
      </w:pPr>
      <w:r>
        <w:rPr>
          <w:rFonts w:ascii="楷体_GB2312" w:hAnsi="楷体_GB2312" w:eastAsia="楷体_GB2312"/>
          <w:b/>
          <w:sz w:val="32"/>
        </w:rPr>
        <w:t>（三）国有资产占用情况说明</w:t>
      </w:r>
    </w:p>
    <w:p w14:paraId="2FC8E50A">
      <w:pPr>
        <w:spacing w:line="580" w:lineRule="exact"/>
        <w:ind w:firstLine="640"/>
        <w:jc w:val="both"/>
      </w:pPr>
      <w:r>
        <w:rPr>
          <w:rFonts w:ascii="仿宋_GB2312" w:hAnsi="仿宋_GB2312" w:eastAsia="仿宋_GB2312"/>
          <w:b w:val="0"/>
          <w:sz w:val="32"/>
        </w:rPr>
        <w:t>截至2025年12月31日，房屋0.00平方米，价值0.00万元。车辆1辆，价值21.49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52B9614B">
      <w:pPr>
        <w:spacing w:line="640" w:lineRule="exact"/>
        <w:ind w:firstLine="640"/>
        <w:jc w:val="both"/>
        <w:outlineLvl w:val="2"/>
      </w:pPr>
      <w:r>
        <w:rPr>
          <w:rFonts w:ascii="黑体" w:hAnsi="黑体" w:eastAsia="黑体"/>
          <w:sz w:val="32"/>
        </w:rPr>
        <w:t>十一、预算绩效的情况说明</w:t>
      </w:r>
    </w:p>
    <w:p w14:paraId="1F5BF086">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538.39万元，实际执行总额520.18万元；预算绩效评价项目2个，全年预算数36.05万元，全年执行数34.61万元。预算绩效管理取得的成效：一是项目内容分类管理：州党委政策研究室根据政策研究特点，将项目分为常规课题与每年特色调研，确保重点任务优先保障；二是课题负责人制：州党委政策研究室实行“谁牵头、谁负责”，课题负责人参与预算编制及年中财务支出，确保课题与财务同步进行。发现的问题及原因：一是预算编制前瞻性不足，与实际需求脱节。政研室作为政策研究机构，临时性、突发性工作任务较多，年初预算往常难以全面覆盖全年实际需求。例如，部分重大课题研究、专项调研等任务因上级临时部署而增加，导致原预算资金无法有效匹配新任务需求。政研室工作受政策环境变化影响大，如突发政策调研、紧急课题研究等任务无法在年初精准预测，预算调整机制未能及时跟进。同时，预算编制时对政策研究领域的动态变化预判不足，部分资金安排过于刚性，缺乏弹性调整机制，使得预算执行率偏低。二是预算调整机制不灵活，影响资金使用效率。由于政研室工作具有较强的动态性，年中新增任务常需调整预算，但现行财政管理制度对预算调整的审批流程较长、限制较多，导致部分资金无法及时调配至急需领域。例如，部分已安排预算的项目因政策变化或任务取消，资金未能及时盘活，形成低效结余。此外，未设立机动经费或专项调剂资金，临时性任务只能通过挤占原有项目预算，加剧执行偏差。下一步改进措施：一是预算编制前瞻性不足，与实际需求脱节的问题。1、推行“零基预算+滚动预算”相结合的模式。摒弃传统的编制方法，每年重新评估项目必要性，优先保障重点任务。同时，采用“滚动预算”方式，按季度或半年度动态调整预算安排，增强对临时性工作的适应性。例如，可设立“政策研究应急专项资金”，按年度预算总额的5%-10%预留，用于突发课题或调研任务。2、建立“业财联动”预算编制机制。财务部门应提前介入业务规划，与各研究处室共同制定年度任务清单，明确资金需求。可引入“项目库”管理，将课题研究、调研活动等分类入库，按优先级排序，确保预算与业务精准匹配。对重大政策变化（如新出台的改革方案）建立快速响应机制，允许年中申报新增预算需求。二是预算调整机制不灵活，影响资金使用效率的问题。1、优化预算调整审批流程，建立“绿色通道”机制。对确需调整的预算项目，区分“紧急”与“一般”两类。前者（如临时部署的重大课题）可简化审批环节，由室务会直接审议后报财政部门备案；后者仍按常规程序报批。同时，推行电子化审批系统，缩短流转时间，确保调整效率。2、设立“预算调剂资金池”，盘活沉淀资金。在年度预算中单列一定比例（如5%-10%）作为机动经费，由政研室自主统筹用于临时任务。对因政策变化或任务取消形成的结余资金，允许按“同类用途”原则调剂至其他急需项目，避免资金闲置。例如，某课题结余经费可转入另一项关联调研，无需退回财政。具体附整体支出绩效自评表、项目支出绩效自评表及项目支出绩效评价报告。</w:t>
      </w:r>
    </w:p>
    <w:p w14:paraId="3FB4A499">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0A4498EA">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37D12A6">
            <w:pPr>
              <w:spacing w:before="0" w:after="0" w:line="240" w:lineRule="auto"/>
              <w:jc w:val="center"/>
            </w:pPr>
            <w:r>
              <w:rPr>
                <w:rFonts w:ascii="宋体" w:hAnsi="宋体" w:eastAsia="宋体" w:cs="宋体"/>
                <w:b w:val="0"/>
                <w:i w:val="0"/>
                <w:sz w:val="18"/>
              </w:rPr>
              <w:t>部门（单位）整体支出绩效目标自评表</w:t>
            </w:r>
          </w:p>
        </w:tc>
      </w:tr>
      <w:tr w14:paraId="48ADAEB8">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D94BD85">
            <w:pPr>
              <w:spacing w:before="0" w:after="0" w:line="240" w:lineRule="auto"/>
              <w:jc w:val="center"/>
            </w:pPr>
            <w:r>
              <w:rPr>
                <w:rFonts w:ascii="宋体" w:hAnsi="宋体" w:eastAsia="宋体" w:cs="宋体"/>
                <w:b w:val="0"/>
                <w:i w:val="0"/>
                <w:sz w:val="18"/>
              </w:rPr>
              <w:t>（2025年度）</w:t>
            </w:r>
          </w:p>
        </w:tc>
      </w:tr>
      <w:tr w14:paraId="632F04CA">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DC3FC7">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0B24C06">
            <w:pPr>
              <w:spacing w:before="0" w:after="0" w:line="240" w:lineRule="auto"/>
              <w:jc w:val="center"/>
            </w:pPr>
            <w:r>
              <w:rPr>
                <w:rFonts w:ascii="宋体" w:hAnsi="宋体" w:eastAsia="宋体" w:cs="宋体"/>
                <w:b w:val="0"/>
                <w:i w:val="0"/>
                <w:sz w:val="18"/>
              </w:rPr>
              <w:t>中共昌吉回族自治州委员会政策研究室</w:t>
            </w:r>
          </w:p>
        </w:tc>
      </w:tr>
      <w:tr w14:paraId="0C1DC295">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18030E">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63B610">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C27785">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DAE16C">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F078C3">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BA006C">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71BAFB">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BD369B">
            <w:pPr>
              <w:spacing w:before="0" w:after="0" w:line="240" w:lineRule="auto"/>
              <w:jc w:val="center"/>
            </w:pPr>
            <w:r>
              <w:rPr>
                <w:rFonts w:ascii="宋体" w:hAnsi="宋体" w:eastAsia="宋体" w:cs="宋体"/>
                <w:b w:val="0"/>
                <w:i w:val="0"/>
                <w:sz w:val="18"/>
              </w:rPr>
              <w:t>得分</w:t>
            </w:r>
          </w:p>
        </w:tc>
      </w:tr>
      <w:tr w14:paraId="6D730A2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6E9EC3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B2AF63">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DACA50">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55AB5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3ACB6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A2B2D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C6BF3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69F3CD">
            <w:pPr>
              <w:spacing w:before="0" w:after="0" w:line="240" w:lineRule="auto"/>
              <w:jc w:val="center"/>
            </w:pPr>
            <w:r>
              <w:rPr>
                <w:rFonts w:ascii="宋体" w:hAnsi="宋体" w:eastAsia="宋体" w:cs="宋体"/>
                <w:b w:val="0"/>
                <w:i w:val="0"/>
                <w:sz w:val="18"/>
              </w:rPr>
              <w:t>-</w:t>
            </w:r>
          </w:p>
        </w:tc>
      </w:tr>
      <w:tr w14:paraId="234338F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548464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7CA322">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76F61D">
            <w:pPr>
              <w:spacing w:before="0" w:after="0" w:line="240" w:lineRule="auto"/>
              <w:jc w:val="center"/>
            </w:pPr>
            <w:r>
              <w:rPr>
                <w:rFonts w:ascii="宋体" w:hAnsi="宋体" w:eastAsia="宋体" w:cs="宋体"/>
                <w:b w:val="0"/>
                <w:i w:val="0"/>
                <w:sz w:val="18"/>
              </w:rPr>
              <w:t>400.02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6CF07B">
            <w:pPr>
              <w:spacing w:before="0" w:after="0" w:line="240" w:lineRule="auto"/>
              <w:jc w:val="center"/>
            </w:pPr>
            <w:r>
              <w:rPr>
                <w:rFonts w:ascii="宋体" w:hAnsi="宋体" w:eastAsia="宋体" w:cs="宋体"/>
                <w:b w:val="0"/>
                <w:i w:val="0"/>
                <w:sz w:val="18"/>
              </w:rPr>
              <w:t>518.96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ADA1C0">
            <w:pPr>
              <w:spacing w:before="0" w:after="0" w:line="240" w:lineRule="auto"/>
              <w:jc w:val="center"/>
            </w:pPr>
            <w:r>
              <w:rPr>
                <w:rFonts w:ascii="宋体" w:hAnsi="宋体" w:eastAsia="宋体" w:cs="宋体"/>
                <w:b w:val="0"/>
                <w:i w:val="0"/>
                <w:sz w:val="18"/>
              </w:rPr>
              <w:t>518.96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8FEB8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93A1D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15791B">
            <w:pPr>
              <w:spacing w:before="0" w:after="0" w:line="240" w:lineRule="auto"/>
              <w:jc w:val="center"/>
            </w:pPr>
            <w:r>
              <w:rPr>
                <w:rFonts w:ascii="宋体" w:hAnsi="宋体" w:eastAsia="宋体" w:cs="宋体"/>
                <w:b w:val="0"/>
                <w:i w:val="0"/>
                <w:sz w:val="18"/>
              </w:rPr>
              <w:t>-</w:t>
            </w:r>
          </w:p>
        </w:tc>
      </w:tr>
      <w:tr w14:paraId="275EF4B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FFE9A1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C6C5F5">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E9292D">
            <w:pPr>
              <w:spacing w:before="0" w:after="0" w:line="240" w:lineRule="auto"/>
              <w:jc w:val="center"/>
            </w:pPr>
            <w:r>
              <w:rPr>
                <w:rFonts w:ascii="宋体" w:hAnsi="宋体" w:eastAsia="宋体" w:cs="宋体"/>
                <w:b w:val="0"/>
                <w:i w:val="0"/>
                <w:sz w:val="18"/>
              </w:rPr>
              <w:t>17.00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B22D4D">
            <w:pPr>
              <w:spacing w:before="0" w:after="0" w:line="240" w:lineRule="auto"/>
              <w:jc w:val="center"/>
            </w:pPr>
            <w:r>
              <w:rPr>
                <w:rFonts w:ascii="宋体" w:hAnsi="宋体" w:eastAsia="宋体" w:cs="宋体"/>
                <w:b w:val="0"/>
                <w:i w:val="0"/>
                <w:sz w:val="18"/>
              </w:rPr>
              <w:t>19.43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0C7D01">
            <w:pPr>
              <w:spacing w:before="0" w:after="0" w:line="240" w:lineRule="auto"/>
              <w:jc w:val="center"/>
            </w:pPr>
            <w:r>
              <w:rPr>
                <w:rFonts w:ascii="宋体" w:hAnsi="宋体" w:eastAsia="宋体" w:cs="宋体"/>
                <w:b w:val="0"/>
                <w:i w:val="0"/>
                <w:sz w:val="18"/>
              </w:rPr>
              <w:t>1.22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B88CA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722CC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7B0756">
            <w:pPr>
              <w:spacing w:before="0" w:after="0" w:line="240" w:lineRule="auto"/>
              <w:jc w:val="center"/>
            </w:pPr>
            <w:r>
              <w:rPr>
                <w:rFonts w:ascii="宋体" w:hAnsi="宋体" w:eastAsia="宋体" w:cs="宋体"/>
                <w:b w:val="0"/>
                <w:i w:val="0"/>
                <w:sz w:val="18"/>
              </w:rPr>
              <w:t>-</w:t>
            </w:r>
          </w:p>
        </w:tc>
      </w:tr>
      <w:tr w14:paraId="161074D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0763B4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5C8DE8">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D104C7">
            <w:pPr>
              <w:spacing w:before="0" w:after="0" w:line="240" w:lineRule="auto"/>
              <w:jc w:val="center"/>
            </w:pPr>
            <w:r>
              <w:rPr>
                <w:rFonts w:ascii="宋体" w:hAnsi="宋体" w:eastAsia="宋体" w:cs="宋体"/>
                <w:b w:val="0"/>
                <w:i w:val="0"/>
                <w:sz w:val="18"/>
              </w:rPr>
              <w:t>417.02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C30F36">
            <w:pPr>
              <w:spacing w:before="0" w:after="0" w:line="240" w:lineRule="auto"/>
              <w:jc w:val="center"/>
            </w:pPr>
            <w:r>
              <w:rPr>
                <w:rFonts w:ascii="宋体" w:hAnsi="宋体" w:eastAsia="宋体" w:cs="宋体"/>
                <w:b w:val="0"/>
                <w:i w:val="0"/>
                <w:sz w:val="18"/>
              </w:rPr>
              <w:t>538.39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C74AB3">
            <w:pPr>
              <w:spacing w:before="0" w:after="0" w:line="240" w:lineRule="auto"/>
              <w:jc w:val="center"/>
            </w:pPr>
            <w:r>
              <w:rPr>
                <w:rFonts w:ascii="宋体" w:hAnsi="宋体" w:eastAsia="宋体" w:cs="宋体"/>
                <w:b w:val="0"/>
                <w:i w:val="0"/>
                <w:sz w:val="18"/>
              </w:rPr>
              <w:t>520.18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00470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01A38F">
            <w:pPr>
              <w:spacing w:before="0" w:after="0" w:line="240" w:lineRule="auto"/>
              <w:jc w:val="center"/>
            </w:pPr>
            <w:r>
              <w:rPr>
                <w:rFonts w:ascii="宋体" w:hAnsi="宋体" w:eastAsia="宋体" w:cs="宋体"/>
                <w:b w:val="0"/>
                <w:i w:val="0"/>
                <w:sz w:val="18"/>
              </w:rPr>
              <w:t>96.62%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67B5DB">
            <w:pPr>
              <w:spacing w:before="0" w:after="0" w:line="240" w:lineRule="auto"/>
              <w:jc w:val="center"/>
            </w:pPr>
            <w:r>
              <w:rPr>
                <w:rFonts w:ascii="宋体" w:hAnsi="宋体" w:eastAsia="宋体" w:cs="宋体"/>
                <w:b w:val="0"/>
                <w:i w:val="0"/>
                <w:sz w:val="18"/>
              </w:rPr>
              <w:t>9.66</w:t>
            </w:r>
          </w:p>
        </w:tc>
      </w:tr>
      <w:tr w14:paraId="5FE33B16">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91A327">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FBF116B">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3BDDAED">
            <w:pPr>
              <w:spacing w:before="0" w:after="0" w:line="240" w:lineRule="auto"/>
              <w:jc w:val="center"/>
            </w:pPr>
            <w:r>
              <w:rPr>
                <w:rFonts w:ascii="宋体" w:hAnsi="宋体" w:eastAsia="宋体" w:cs="宋体"/>
                <w:b w:val="0"/>
                <w:i w:val="0"/>
                <w:sz w:val="18"/>
              </w:rPr>
              <w:t>实际完成情况</w:t>
            </w:r>
          </w:p>
        </w:tc>
      </w:tr>
      <w:tr w14:paraId="637736E0">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CB3370"/>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71F1923">
            <w:pPr>
              <w:spacing w:before="0" w:after="0" w:line="240" w:lineRule="auto"/>
              <w:jc w:val="center"/>
            </w:pPr>
            <w:r>
              <w:rPr>
                <w:rFonts w:ascii="宋体" w:hAnsi="宋体" w:eastAsia="宋体" w:cs="宋体"/>
                <w:b w:val="0"/>
                <w:i w:val="0"/>
                <w:sz w:val="18"/>
              </w:rPr>
              <w:t>坚持以习近平新时代中国特色社会主义思想为指导，全面贯彻落实党的二十大精神和习近平总书记视察新疆重要讲话重要指示以及中央经济工作会议、中央农村工作会精神，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深入贯彻落实自治区党委会议精神，坚持问题导向、目标导向和结果导向，增强“四个意识”、坚定“四个自信”、做到“两个维护”，以改革创新为根本动力，统筹疫情防控和经济社会发展，推进治理体系和治理能力现代化。承担自治州改革发展政策研究和决策咨询研究工作的组织、协调和指导，组织有关部门、专家团队、社会力量开展重大课题的联合调研和重大决策的前期调研，提出工作建议。全年召开深改会议，编辑印刷领导参阅期刊，审议改革方案，深入基层扎实开展调研指导，形成调查研究报告。持续全面深化改革工作，坚持问题导向，推出一批改革举措，为昌吉州经济社会注入活力和动力，不断增强各民族群众的获得感、幸福感和安全感。保障全年深化改革、政策研究业务正常运行。</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B648400">
            <w:pPr>
              <w:spacing w:before="0" w:after="0" w:line="240" w:lineRule="auto"/>
              <w:jc w:val="center"/>
            </w:pPr>
            <w:r>
              <w:rPr>
                <w:rFonts w:ascii="宋体" w:hAnsi="宋体" w:eastAsia="宋体" w:cs="宋体"/>
                <w:b w:val="0"/>
                <w:i w:val="0"/>
                <w:sz w:val="18"/>
              </w:rPr>
              <w:t>2025年我单位全年预算数为538.39万元，全年执行数为520.18万元，总预算执行率为96.62%。承担自治州改革发展政策研究和决策咨询研究工作的组织、协调和指导，组织有关部门、专家团队、社会力量开展重大课题的联合调研和重大决策的前期调研，提出工作建议，深入基层开展调查研究3次，形成调查研究报告3份，完成《领导参阅》32期。召开深化改革会议3次，审议研究改革议案8个，持续全面深化改革工作，坚持问题导向，推出一批改革举措，为昌吉州经济社会注入活力和动力，不断增强各民族群众的获得感、幸福感和安全感。保障全年深化改革、政策研究业务正常运行。</w:t>
            </w:r>
          </w:p>
        </w:tc>
      </w:tr>
      <w:tr w14:paraId="7E75A83E">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C4997A">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3325B0">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D6C44E">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829F42">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8DD910">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12C8F7">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EE618B">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ECE4A8">
            <w:pPr>
              <w:keepNext/>
              <w:spacing w:before="0" w:after="0" w:line="240" w:lineRule="auto"/>
              <w:jc w:val="center"/>
            </w:pPr>
            <w:r>
              <w:rPr>
                <w:rFonts w:ascii="宋体" w:hAnsi="宋体" w:eastAsia="宋体" w:cs="宋体"/>
                <w:b w:val="0"/>
                <w:i w:val="0"/>
                <w:sz w:val="18"/>
              </w:rPr>
              <w:t>得分</w:t>
            </w:r>
          </w:p>
        </w:tc>
      </w:tr>
      <w:tr w14:paraId="6778D158">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DBA216">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207148">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511C33">
            <w:pPr>
              <w:spacing w:before="0" w:after="0" w:line="240" w:lineRule="auto"/>
              <w:jc w:val="center"/>
            </w:pPr>
            <w:r>
              <w:rPr>
                <w:rFonts w:ascii="宋体" w:hAnsi="宋体" w:eastAsia="宋体" w:cs="宋体"/>
                <w:b w:val="0"/>
                <w:i w:val="0"/>
                <w:sz w:val="18"/>
              </w:rPr>
              <w:t>召开深改会议次数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FC500B">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A67C94">
            <w:pPr>
              <w:spacing w:before="0" w:after="0" w:line="240" w:lineRule="auto"/>
              <w:jc w:val="center"/>
            </w:pPr>
            <w:r>
              <w:rPr>
                <w:rFonts w:ascii="宋体" w:hAnsi="宋体" w:eastAsia="宋体" w:cs="宋体"/>
                <w:b w:val="0"/>
                <w:i w:val="0"/>
                <w:sz w:val="18"/>
              </w:rPr>
              <w:t>州党委政策研究室2025年工作计划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314AE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93B2CD">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B3EA17">
            <w:pPr>
              <w:spacing w:before="0" w:after="0" w:line="240" w:lineRule="auto"/>
              <w:jc w:val="center"/>
            </w:pPr>
            <w:r>
              <w:rPr>
                <w:rFonts w:ascii="宋体" w:hAnsi="宋体" w:eastAsia="宋体" w:cs="宋体"/>
                <w:b w:val="0"/>
                <w:i w:val="0"/>
                <w:sz w:val="18"/>
              </w:rPr>
              <w:t>20</w:t>
            </w:r>
          </w:p>
        </w:tc>
      </w:tr>
      <w:tr w14:paraId="1B54CD1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BF597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17572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0B2BFE">
            <w:pPr>
              <w:spacing w:before="0" w:after="0" w:line="240" w:lineRule="auto"/>
              <w:jc w:val="center"/>
            </w:pPr>
            <w:r>
              <w:rPr>
                <w:rFonts w:ascii="宋体" w:hAnsi="宋体" w:eastAsia="宋体" w:cs="宋体"/>
                <w:b w:val="0"/>
                <w:i w:val="0"/>
                <w:sz w:val="18"/>
              </w:rPr>
              <w:t>编辑领导参阅期刊数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C838EE">
            <w:pPr>
              <w:spacing w:before="0" w:after="0" w:line="240" w:lineRule="auto"/>
              <w:jc w:val="center"/>
            </w:pPr>
            <w:r>
              <w:rPr>
                <w:rFonts w:ascii="宋体" w:hAnsi="宋体" w:eastAsia="宋体" w:cs="宋体"/>
                <w:b w:val="0"/>
                <w:i w:val="0"/>
                <w:sz w:val="18"/>
              </w:rPr>
              <w:t>&gt;=32期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EE31DE">
            <w:pPr>
              <w:spacing w:before="0" w:after="0" w:line="240" w:lineRule="auto"/>
              <w:jc w:val="center"/>
            </w:pPr>
            <w:r>
              <w:rPr>
                <w:rFonts w:ascii="宋体" w:hAnsi="宋体" w:eastAsia="宋体" w:cs="宋体"/>
                <w:b w:val="0"/>
                <w:i w:val="0"/>
                <w:sz w:val="18"/>
              </w:rPr>
              <w:t>州党委政策研究室2025年工作计划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E423EA">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030F87">
            <w:pPr>
              <w:spacing w:before="0" w:after="0" w:line="240" w:lineRule="auto"/>
              <w:jc w:val="center"/>
            </w:pPr>
            <w:r>
              <w:rPr>
                <w:rFonts w:ascii="宋体" w:hAnsi="宋体" w:eastAsia="宋体" w:cs="宋体"/>
                <w:b w:val="0"/>
                <w:i w:val="0"/>
                <w:sz w:val="18"/>
              </w:rPr>
              <w:t>=32期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D89104">
            <w:pPr>
              <w:spacing w:before="0" w:after="0" w:line="240" w:lineRule="auto"/>
              <w:jc w:val="center"/>
            </w:pPr>
            <w:r>
              <w:rPr>
                <w:rFonts w:ascii="宋体" w:hAnsi="宋体" w:eastAsia="宋体" w:cs="宋体"/>
                <w:b w:val="0"/>
                <w:i w:val="0"/>
                <w:sz w:val="18"/>
              </w:rPr>
              <w:t>20</w:t>
            </w:r>
          </w:p>
        </w:tc>
      </w:tr>
      <w:tr w14:paraId="5EA1DAA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745DFF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9531C1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642053">
            <w:pPr>
              <w:spacing w:before="0" w:after="0" w:line="240" w:lineRule="auto"/>
              <w:jc w:val="center"/>
            </w:pPr>
            <w:r>
              <w:rPr>
                <w:rFonts w:ascii="宋体" w:hAnsi="宋体" w:eastAsia="宋体" w:cs="宋体"/>
                <w:b w:val="0"/>
                <w:i w:val="0"/>
                <w:sz w:val="18"/>
              </w:rPr>
              <w:t>审议改革方案个数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5BDCFF">
            <w:pPr>
              <w:spacing w:before="0" w:after="0" w:line="240" w:lineRule="auto"/>
              <w:jc w:val="center"/>
            </w:pPr>
            <w:r>
              <w:rPr>
                <w:rFonts w:ascii="宋体" w:hAnsi="宋体" w:eastAsia="宋体" w:cs="宋体"/>
                <w:b w:val="0"/>
                <w:i w:val="0"/>
                <w:sz w:val="18"/>
              </w:rPr>
              <w:t>&gt;=8个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17AA11">
            <w:pPr>
              <w:spacing w:before="0" w:after="0" w:line="240" w:lineRule="auto"/>
              <w:jc w:val="center"/>
            </w:pPr>
            <w:r>
              <w:rPr>
                <w:rFonts w:ascii="宋体" w:hAnsi="宋体" w:eastAsia="宋体" w:cs="宋体"/>
                <w:b w:val="0"/>
                <w:i w:val="0"/>
                <w:sz w:val="18"/>
              </w:rPr>
              <w:t>州党委政策研究室2025年工作计划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23F794">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1BCECE">
            <w:pPr>
              <w:spacing w:before="0" w:after="0" w:line="240" w:lineRule="auto"/>
              <w:jc w:val="center"/>
            </w:pPr>
            <w:r>
              <w:rPr>
                <w:rFonts w:ascii="宋体" w:hAnsi="宋体" w:eastAsia="宋体" w:cs="宋体"/>
                <w:b w:val="0"/>
                <w:i w:val="0"/>
                <w:sz w:val="18"/>
              </w:rPr>
              <w:t>=8个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973F40">
            <w:pPr>
              <w:spacing w:before="0" w:after="0" w:line="240" w:lineRule="auto"/>
              <w:jc w:val="center"/>
            </w:pPr>
            <w:r>
              <w:rPr>
                <w:rFonts w:ascii="宋体" w:hAnsi="宋体" w:eastAsia="宋体" w:cs="宋体"/>
                <w:b w:val="0"/>
                <w:i w:val="0"/>
                <w:sz w:val="18"/>
              </w:rPr>
              <w:t>20</w:t>
            </w:r>
          </w:p>
        </w:tc>
      </w:tr>
      <w:tr w14:paraId="2931C0A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FE44EE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BF288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74DE90">
            <w:pPr>
              <w:spacing w:before="0" w:after="0" w:line="240" w:lineRule="auto"/>
              <w:jc w:val="center"/>
            </w:pPr>
            <w:r>
              <w:rPr>
                <w:rFonts w:ascii="宋体" w:hAnsi="宋体" w:eastAsia="宋体" w:cs="宋体"/>
                <w:b w:val="0"/>
                <w:i w:val="0"/>
                <w:sz w:val="18"/>
              </w:rPr>
              <w:t>深入基层扎实开展调研指导次数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3566EA">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6444B9">
            <w:pPr>
              <w:spacing w:before="0" w:after="0" w:line="240" w:lineRule="auto"/>
              <w:jc w:val="center"/>
            </w:pPr>
            <w:r>
              <w:rPr>
                <w:rFonts w:ascii="宋体" w:hAnsi="宋体" w:eastAsia="宋体" w:cs="宋体"/>
                <w:b w:val="0"/>
                <w:i w:val="0"/>
                <w:sz w:val="18"/>
              </w:rPr>
              <w:t>州党委政策研究室2025年工作计划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89B500">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BA817E">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DE8870">
            <w:pPr>
              <w:spacing w:before="0" w:after="0" w:line="240" w:lineRule="auto"/>
              <w:jc w:val="center"/>
            </w:pPr>
            <w:r>
              <w:rPr>
                <w:rFonts w:ascii="宋体" w:hAnsi="宋体" w:eastAsia="宋体" w:cs="宋体"/>
                <w:b w:val="0"/>
                <w:i w:val="0"/>
                <w:sz w:val="18"/>
              </w:rPr>
              <w:t>15</w:t>
            </w:r>
          </w:p>
        </w:tc>
      </w:tr>
      <w:tr w14:paraId="478FC42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B03ED1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8CCD27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C27C67">
            <w:pPr>
              <w:spacing w:before="0" w:after="0" w:line="240" w:lineRule="auto"/>
              <w:jc w:val="center"/>
            </w:pPr>
            <w:r>
              <w:rPr>
                <w:rFonts w:ascii="宋体" w:hAnsi="宋体" w:eastAsia="宋体" w:cs="宋体"/>
                <w:b w:val="0"/>
                <w:i w:val="0"/>
                <w:sz w:val="18"/>
              </w:rPr>
              <w:t>形成调查研究报告份数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DE480D">
            <w:pPr>
              <w:spacing w:before="0" w:after="0" w:line="240" w:lineRule="auto"/>
              <w:jc w:val="center"/>
            </w:pPr>
            <w:r>
              <w:rPr>
                <w:rFonts w:ascii="宋体" w:hAnsi="宋体" w:eastAsia="宋体" w:cs="宋体"/>
                <w:b w:val="0"/>
                <w:i w:val="0"/>
                <w:sz w:val="18"/>
              </w:rPr>
              <w:t>&gt;=3份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E4A2F8">
            <w:pPr>
              <w:spacing w:before="0" w:after="0" w:line="240" w:lineRule="auto"/>
              <w:jc w:val="center"/>
            </w:pPr>
            <w:r>
              <w:rPr>
                <w:rFonts w:ascii="宋体" w:hAnsi="宋体" w:eastAsia="宋体" w:cs="宋体"/>
                <w:b w:val="0"/>
                <w:i w:val="0"/>
                <w:sz w:val="18"/>
              </w:rPr>
              <w:t>州党委政策研究室2025年工作计划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AE7B88">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EEAE1E">
            <w:pPr>
              <w:spacing w:before="0" w:after="0" w:line="240" w:lineRule="auto"/>
              <w:jc w:val="center"/>
            </w:pPr>
            <w:r>
              <w:rPr>
                <w:rFonts w:ascii="宋体" w:hAnsi="宋体" w:eastAsia="宋体" w:cs="宋体"/>
                <w:b w:val="0"/>
                <w:i w:val="0"/>
                <w:sz w:val="18"/>
              </w:rPr>
              <w:t>=3份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65452C">
            <w:pPr>
              <w:spacing w:before="0" w:after="0" w:line="240" w:lineRule="auto"/>
              <w:jc w:val="center"/>
            </w:pPr>
            <w:r>
              <w:rPr>
                <w:rFonts w:ascii="宋体" w:hAnsi="宋体" w:eastAsia="宋体" w:cs="宋体"/>
                <w:b w:val="0"/>
                <w:i w:val="0"/>
                <w:sz w:val="18"/>
              </w:rPr>
              <w:t>15</w:t>
            </w:r>
          </w:p>
        </w:tc>
      </w:tr>
    </w:tbl>
    <w:p w14:paraId="4BB6D124">
      <w:r>
        <w:br w:type="page"/>
      </w:r>
    </w:p>
    <w:p w14:paraId="7CA7ABB0">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71"/>
        <w:gridCol w:w="571"/>
        <w:gridCol w:w="571"/>
        <w:gridCol w:w="583"/>
        <w:gridCol w:w="593"/>
        <w:gridCol w:w="612"/>
        <w:gridCol w:w="588"/>
        <w:gridCol w:w="702"/>
        <w:gridCol w:w="612"/>
        <w:gridCol w:w="571"/>
        <w:gridCol w:w="583"/>
        <w:gridCol w:w="579"/>
        <w:gridCol w:w="576"/>
        <w:gridCol w:w="594"/>
      </w:tblGrid>
      <w:tr w14:paraId="36303C0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4B5B2BE">
            <w:pPr>
              <w:spacing w:before="0" w:after="0" w:line="240" w:lineRule="auto"/>
              <w:jc w:val="center"/>
            </w:pPr>
            <w:r>
              <w:rPr>
                <w:rFonts w:ascii="宋体" w:hAnsi="宋体" w:eastAsia="宋体" w:cs="宋体"/>
                <w:b/>
                <w:i w:val="0"/>
                <w:sz w:val="18"/>
              </w:rPr>
              <w:t>项目支出绩效自评表</w:t>
            </w:r>
          </w:p>
        </w:tc>
      </w:tr>
      <w:tr w14:paraId="577E6E4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FC3157">
            <w:pPr>
              <w:spacing w:before="0" w:after="0" w:line="240" w:lineRule="auto"/>
              <w:jc w:val="center"/>
            </w:pPr>
            <w:r>
              <w:rPr>
                <w:rFonts w:ascii="宋体" w:hAnsi="宋体" w:eastAsia="宋体" w:cs="宋体"/>
                <w:b w:val="0"/>
                <w:i w:val="0"/>
                <w:sz w:val="18"/>
              </w:rPr>
              <w:t>(2025年度)</w:t>
            </w:r>
          </w:p>
        </w:tc>
      </w:tr>
      <w:tr w14:paraId="37CCD3A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4902E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2634FEC">
            <w:pPr>
              <w:spacing w:before="0" w:after="0" w:line="240" w:lineRule="auto"/>
              <w:jc w:val="center"/>
            </w:pPr>
            <w:r>
              <w:rPr>
                <w:rFonts w:ascii="宋体" w:hAnsi="宋体" w:eastAsia="宋体" w:cs="宋体"/>
                <w:b w:val="0"/>
                <w:i w:val="0"/>
                <w:sz w:val="18"/>
              </w:rPr>
              <w:t>政研改革经费</w:t>
            </w:r>
          </w:p>
        </w:tc>
      </w:tr>
      <w:tr w14:paraId="10CEF6F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5B0FC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BF867A8">
            <w:pPr>
              <w:spacing w:before="0" w:after="0" w:line="240" w:lineRule="auto"/>
              <w:jc w:val="center"/>
            </w:pPr>
            <w:r>
              <w:rPr>
                <w:rFonts w:ascii="宋体" w:hAnsi="宋体" w:eastAsia="宋体" w:cs="宋体"/>
                <w:b w:val="0"/>
                <w:i w:val="0"/>
                <w:sz w:val="18"/>
              </w:rPr>
              <w:t>中共昌吉回族自治州委员会政策研究室</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A2F45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BA96D3B">
            <w:pPr>
              <w:spacing w:before="0" w:after="0" w:line="240" w:lineRule="auto"/>
              <w:jc w:val="center"/>
            </w:pPr>
            <w:r>
              <w:rPr>
                <w:rFonts w:ascii="宋体" w:hAnsi="宋体" w:eastAsia="宋体" w:cs="宋体"/>
                <w:b w:val="0"/>
                <w:i w:val="0"/>
                <w:sz w:val="18"/>
              </w:rPr>
              <w:t>中共昌吉回族自治州委员会政策研究室</w:t>
            </w:r>
          </w:p>
        </w:tc>
      </w:tr>
      <w:tr w14:paraId="242BC36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4DC89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DB96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5E7B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2AB1D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7CC85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4B3D8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41C0D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B5F64">
            <w:pPr>
              <w:spacing w:before="0" w:after="0" w:line="240" w:lineRule="auto"/>
              <w:jc w:val="center"/>
            </w:pPr>
            <w:r>
              <w:rPr>
                <w:rFonts w:ascii="宋体" w:hAnsi="宋体" w:eastAsia="宋体" w:cs="宋体"/>
                <w:b/>
                <w:i w:val="0"/>
                <w:sz w:val="18"/>
              </w:rPr>
              <w:t>得分</w:t>
            </w:r>
          </w:p>
        </w:tc>
      </w:tr>
      <w:tr w14:paraId="4BE9B63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E2962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563C2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C1556">
            <w:pPr>
              <w:spacing w:before="0" w:after="0" w:line="240" w:lineRule="auto"/>
              <w:jc w:val="center"/>
            </w:pPr>
            <w:r>
              <w:rPr>
                <w:rFonts w:ascii="宋体" w:hAnsi="宋体" w:eastAsia="宋体" w:cs="宋体"/>
                <w:b w:val="0"/>
                <w:i w:val="0"/>
                <w:sz w:val="18"/>
              </w:rPr>
              <w:t>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22B890">
            <w:pPr>
              <w:spacing w:before="0" w:after="0" w:line="240" w:lineRule="auto"/>
              <w:jc w:val="center"/>
            </w:pPr>
            <w:r>
              <w:rPr>
                <w:rFonts w:ascii="宋体" w:hAnsi="宋体" w:eastAsia="宋体" w:cs="宋体"/>
                <w:b w:val="0"/>
                <w:i w:val="0"/>
                <w:sz w:val="18"/>
              </w:rPr>
              <w:t>2.60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87F0BD">
            <w:pPr>
              <w:spacing w:before="0" w:after="0" w:line="240" w:lineRule="auto"/>
              <w:jc w:val="center"/>
            </w:pPr>
            <w:r>
              <w:rPr>
                <w:rFonts w:ascii="宋体" w:hAnsi="宋体" w:eastAsia="宋体" w:cs="宋体"/>
                <w:b w:val="0"/>
                <w:i w:val="0"/>
                <w:sz w:val="18"/>
              </w:rPr>
              <w:t>2.60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C0440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9F772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B22BF">
            <w:pPr>
              <w:spacing w:before="0" w:after="0" w:line="240" w:lineRule="auto"/>
              <w:jc w:val="center"/>
            </w:pPr>
            <w:r>
              <w:rPr>
                <w:rFonts w:ascii="宋体" w:hAnsi="宋体" w:eastAsia="宋体" w:cs="宋体"/>
                <w:b w:val="0"/>
                <w:i w:val="0"/>
                <w:sz w:val="18"/>
              </w:rPr>
              <w:t>10</w:t>
            </w:r>
          </w:p>
        </w:tc>
      </w:tr>
      <w:tr w14:paraId="7E31C32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815069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410D0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E77D9">
            <w:pPr>
              <w:spacing w:before="0" w:after="0" w:line="240" w:lineRule="auto"/>
              <w:jc w:val="center"/>
            </w:pPr>
            <w:r>
              <w:rPr>
                <w:rFonts w:ascii="宋体" w:hAnsi="宋体" w:eastAsia="宋体" w:cs="宋体"/>
                <w:b w:val="0"/>
                <w:i w:val="0"/>
                <w:sz w:val="18"/>
              </w:rPr>
              <w:t>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916980">
            <w:pPr>
              <w:spacing w:before="0" w:after="0" w:line="240" w:lineRule="auto"/>
              <w:jc w:val="center"/>
            </w:pPr>
            <w:r>
              <w:rPr>
                <w:rFonts w:ascii="宋体" w:hAnsi="宋体" w:eastAsia="宋体" w:cs="宋体"/>
                <w:b w:val="0"/>
                <w:i w:val="0"/>
                <w:sz w:val="18"/>
              </w:rPr>
              <w:t>2.60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46E0B4">
            <w:pPr>
              <w:spacing w:before="0" w:after="0" w:line="240" w:lineRule="auto"/>
              <w:jc w:val="center"/>
            </w:pPr>
            <w:r>
              <w:rPr>
                <w:rFonts w:ascii="宋体" w:hAnsi="宋体" w:eastAsia="宋体" w:cs="宋体"/>
                <w:b w:val="0"/>
                <w:i w:val="0"/>
                <w:sz w:val="18"/>
              </w:rPr>
              <w:t>2.60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0071B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66B2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C0007E">
            <w:pPr>
              <w:spacing w:before="0" w:after="0" w:line="240" w:lineRule="auto"/>
              <w:jc w:val="center"/>
            </w:pPr>
            <w:r>
              <w:rPr>
                <w:rFonts w:ascii="宋体" w:hAnsi="宋体" w:eastAsia="宋体" w:cs="宋体"/>
                <w:b w:val="0"/>
                <w:i w:val="0"/>
                <w:sz w:val="18"/>
              </w:rPr>
              <w:t>—</w:t>
            </w:r>
          </w:p>
        </w:tc>
      </w:tr>
      <w:tr w14:paraId="05807D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0512B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AC72D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2BA2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2392B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18DF2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46EB8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D1A8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56E49F">
            <w:pPr>
              <w:spacing w:before="0" w:after="0" w:line="240" w:lineRule="auto"/>
              <w:jc w:val="center"/>
            </w:pPr>
            <w:r>
              <w:rPr>
                <w:rFonts w:ascii="宋体" w:hAnsi="宋体" w:eastAsia="宋体" w:cs="宋体"/>
                <w:b w:val="0"/>
                <w:i w:val="0"/>
                <w:sz w:val="18"/>
              </w:rPr>
              <w:t>—</w:t>
            </w:r>
          </w:p>
        </w:tc>
      </w:tr>
      <w:tr w14:paraId="2D5026B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DC930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AC30E7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04552E0">
            <w:pPr>
              <w:spacing w:before="0" w:after="0" w:line="240" w:lineRule="auto"/>
              <w:jc w:val="center"/>
            </w:pPr>
            <w:r>
              <w:rPr>
                <w:rFonts w:ascii="宋体" w:hAnsi="宋体" w:eastAsia="宋体" w:cs="宋体"/>
                <w:b/>
                <w:i w:val="0"/>
                <w:sz w:val="18"/>
              </w:rPr>
              <w:t>实际完成情况</w:t>
            </w:r>
          </w:p>
        </w:tc>
      </w:tr>
      <w:tr w14:paraId="5FF9202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ADE9D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63CB64">
            <w:pPr>
              <w:spacing w:before="0" w:after="0" w:line="240" w:lineRule="auto"/>
              <w:jc w:val="center"/>
            </w:pPr>
            <w:r>
              <w:rPr>
                <w:rFonts w:ascii="宋体" w:hAnsi="宋体" w:eastAsia="宋体" w:cs="宋体"/>
                <w:b w:val="0"/>
                <w:i w:val="0"/>
                <w:sz w:val="18"/>
              </w:rPr>
              <w:t>持续全面深化改革工作，召开深改会议3次，坚持问题导向，推出一批改革举措；聚焦国家及地方各项重大改革举措，深入分析各地改革发展典型经验做法，完成《领导参阅》32期。</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F564FF3">
            <w:pPr>
              <w:spacing w:before="0" w:after="0" w:line="240" w:lineRule="auto"/>
              <w:jc w:val="center"/>
            </w:pPr>
            <w:r>
              <w:rPr>
                <w:rFonts w:ascii="宋体" w:hAnsi="宋体" w:eastAsia="宋体" w:cs="宋体"/>
                <w:b w:val="0"/>
                <w:i w:val="0"/>
                <w:sz w:val="18"/>
              </w:rPr>
              <w:t>截至2025年12月31日，本项目支出资金2.6万元，资金执行率100%，本项目实际完成持续全面深化改革工作，召开深改会议3次，坚持问题导向，推出一批改革举措；聚焦国家及地方各项重大改革举措，深入分析各地改革发展典型经验做法，完成《领导参阅》32期；通过本项目的实施，顺应自治州发展新阶段要求，提升治理能力、破解改革难题、推动高质量发展的重要支撑性工作，对于科学规范、运行有效的政策研究与改革推进体系具有重要的现实意义。</w:t>
            </w:r>
          </w:p>
        </w:tc>
      </w:tr>
      <w:tr w14:paraId="5F97539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B6F19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A57BC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76DC6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9ECFB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D3430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89418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2023F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8033F7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452EC1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CF82B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3CE92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8108A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7C08B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A19167">
            <w:pPr>
              <w:keepNext/>
              <w:spacing w:before="0" w:after="0" w:line="240" w:lineRule="auto"/>
              <w:jc w:val="center"/>
            </w:pPr>
            <w:r>
              <w:rPr>
                <w:rFonts w:ascii="宋体" w:hAnsi="宋体" w:eastAsia="宋体" w:cs="宋体"/>
                <w:b/>
                <w:i w:val="0"/>
                <w:sz w:val="18"/>
              </w:rPr>
              <w:t>偏差原因分析及改进措施</w:t>
            </w:r>
          </w:p>
        </w:tc>
      </w:tr>
      <w:tr w14:paraId="72BC844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E4A2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F57D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8DA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71DB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659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C68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A45B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5E82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34CB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3ED8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D5D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2CB9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FCC8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D25021"/>
        </w:tc>
      </w:tr>
      <w:tr w14:paraId="083BF7C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497F9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CA898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D419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34959">
            <w:pPr>
              <w:spacing w:before="0" w:after="0" w:line="240" w:lineRule="auto"/>
              <w:jc w:val="center"/>
            </w:pPr>
            <w:r>
              <w:rPr>
                <w:rFonts w:ascii="宋体" w:hAnsi="宋体" w:eastAsia="宋体" w:cs="宋体"/>
                <w:b w:val="0"/>
                <w:i w:val="0"/>
                <w:sz w:val="18"/>
              </w:rPr>
              <w:t>召开深改会议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BA83E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8AAB5">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6ECC0">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5A7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95F81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2BD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3FDFF">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48B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5F4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A02D5">
            <w:pPr>
              <w:spacing w:before="0" w:after="0" w:line="240" w:lineRule="auto"/>
              <w:jc w:val="center"/>
            </w:pPr>
          </w:p>
        </w:tc>
      </w:tr>
      <w:tr w14:paraId="1F68FF8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CA7B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39CF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DB9B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8B8C3">
            <w:pPr>
              <w:spacing w:before="0" w:after="0" w:line="240" w:lineRule="auto"/>
              <w:jc w:val="center"/>
            </w:pPr>
            <w:r>
              <w:rPr>
                <w:rFonts w:ascii="宋体" w:hAnsi="宋体" w:eastAsia="宋体" w:cs="宋体"/>
                <w:b w:val="0"/>
                <w:i w:val="0"/>
                <w:sz w:val="18"/>
              </w:rPr>
              <w:t>编辑领导参阅期刊数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8E7DC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071E5">
            <w:pPr>
              <w:spacing w:before="0" w:after="0" w:line="240" w:lineRule="auto"/>
              <w:jc w:val="center"/>
            </w:pPr>
            <w:r>
              <w:rPr>
                <w:rFonts w:ascii="宋体" w:hAnsi="宋体" w:eastAsia="宋体" w:cs="宋体"/>
                <w:b w:val="0"/>
                <w:i w:val="0"/>
                <w:sz w:val="18"/>
              </w:rPr>
              <w:t>&gt;=32期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C0CF2">
            <w:pPr>
              <w:spacing w:before="0" w:after="0" w:line="240" w:lineRule="auto"/>
              <w:jc w:val="center"/>
            </w:pPr>
            <w:r>
              <w:rPr>
                <w:rFonts w:ascii="宋体" w:hAnsi="宋体" w:eastAsia="宋体" w:cs="宋体"/>
                <w:b w:val="0"/>
                <w:i w:val="0"/>
                <w:sz w:val="18"/>
              </w:rPr>
              <w:t>=32期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DE88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07015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961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EBD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9D0D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315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C63BC">
            <w:pPr>
              <w:spacing w:before="0" w:after="0" w:line="240" w:lineRule="auto"/>
              <w:jc w:val="center"/>
            </w:pPr>
          </w:p>
        </w:tc>
      </w:tr>
      <w:tr w14:paraId="6588E5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73DB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4540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53B0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EC0C1">
            <w:pPr>
              <w:spacing w:before="0" w:after="0" w:line="240" w:lineRule="auto"/>
              <w:jc w:val="center"/>
            </w:pPr>
            <w:r>
              <w:rPr>
                <w:rFonts w:ascii="宋体" w:hAnsi="宋体" w:eastAsia="宋体" w:cs="宋体"/>
                <w:b w:val="0"/>
                <w:i w:val="0"/>
                <w:sz w:val="18"/>
              </w:rPr>
              <w:t>内部期刊完结率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EDA4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69A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CE7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6FF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9DA22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AB5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D37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2BF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766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9D7F7">
            <w:pPr>
              <w:spacing w:before="0" w:after="0" w:line="240" w:lineRule="auto"/>
              <w:jc w:val="center"/>
            </w:pPr>
          </w:p>
        </w:tc>
      </w:tr>
      <w:tr w14:paraId="2A7EC6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8FD3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674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8BF4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6CE75">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54F5D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33E9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C975B">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6946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36111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8B7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3ED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A1B9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F91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84407">
            <w:pPr>
              <w:spacing w:before="0" w:after="0" w:line="240" w:lineRule="auto"/>
              <w:jc w:val="center"/>
            </w:pPr>
          </w:p>
        </w:tc>
      </w:tr>
      <w:tr w14:paraId="56F5FE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AE138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01B26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7218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2B6DF">
            <w:pPr>
              <w:spacing w:before="0" w:after="0" w:line="240" w:lineRule="auto"/>
              <w:jc w:val="center"/>
            </w:pPr>
            <w:r>
              <w:rPr>
                <w:rFonts w:ascii="宋体" w:hAnsi="宋体" w:eastAsia="宋体" w:cs="宋体"/>
                <w:b w:val="0"/>
                <w:i w:val="0"/>
                <w:sz w:val="18"/>
              </w:rPr>
              <w:t>资料购置费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12CA7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522C4">
            <w:pPr>
              <w:spacing w:before="0" w:after="0" w:line="240" w:lineRule="auto"/>
              <w:jc w:val="center"/>
            </w:pPr>
            <w:r>
              <w:rPr>
                <w:rFonts w:ascii="宋体" w:hAnsi="宋体" w:eastAsia="宋体" w:cs="宋体"/>
                <w:b w:val="0"/>
                <w:i w:val="0"/>
                <w:sz w:val="18"/>
              </w:rPr>
              <w:t>&lt;=1.50万元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000E5">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B3D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955ED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F46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BCA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964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EE59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E8432">
            <w:pPr>
              <w:spacing w:before="0" w:after="0" w:line="240" w:lineRule="auto"/>
              <w:jc w:val="center"/>
            </w:pPr>
          </w:p>
        </w:tc>
      </w:tr>
      <w:tr w14:paraId="7B69E50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829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4F682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916C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0D54A">
            <w:pPr>
              <w:spacing w:before="0" w:after="0" w:line="240" w:lineRule="auto"/>
              <w:jc w:val="center"/>
            </w:pPr>
            <w:r>
              <w:rPr>
                <w:rFonts w:ascii="宋体" w:hAnsi="宋体" w:eastAsia="宋体" w:cs="宋体"/>
                <w:b w:val="0"/>
                <w:i w:val="0"/>
                <w:sz w:val="18"/>
              </w:rPr>
              <w:t>印刷费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8DD60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0AFC2">
            <w:pPr>
              <w:spacing w:before="0" w:after="0" w:line="240" w:lineRule="auto"/>
              <w:jc w:val="center"/>
            </w:pPr>
            <w:r>
              <w:rPr>
                <w:rFonts w:ascii="宋体" w:hAnsi="宋体" w:eastAsia="宋体" w:cs="宋体"/>
                <w:b w:val="0"/>
                <w:i w:val="0"/>
                <w:sz w:val="18"/>
              </w:rPr>
              <w:t>&lt;=1.1万元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B4E88">
            <w:pPr>
              <w:spacing w:before="0" w:after="0" w:line="240" w:lineRule="auto"/>
              <w:jc w:val="center"/>
            </w:pPr>
            <w:r>
              <w:rPr>
                <w:rFonts w:ascii="宋体" w:hAnsi="宋体" w:eastAsia="宋体" w:cs="宋体"/>
                <w:b w:val="0"/>
                <w:i w:val="0"/>
                <w:sz w:val="18"/>
              </w:rPr>
              <w:t>=1.1万元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052F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4B6AD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3B0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40C2C">
            <w:pPr>
              <w:spacing w:before="0" w:after="0" w:line="240" w:lineRule="auto"/>
              <w:jc w:val="center"/>
            </w:pPr>
            <w:r>
              <w:rPr>
                <w:rFonts w:ascii="宋体" w:hAnsi="宋体" w:eastAsia="宋体" w:cs="宋体"/>
                <w:b w:val="0"/>
                <w:i w:val="0"/>
                <w:sz w:val="18"/>
              </w:rPr>
              <w:t>3.83万元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9A8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3B50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AAEC6">
            <w:pPr>
              <w:spacing w:before="0" w:after="0" w:line="240" w:lineRule="auto"/>
              <w:jc w:val="center"/>
            </w:pPr>
          </w:p>
        </w:tc>
      </w:tr>
      <w:tr w14:paraId="40F8A4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AC39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0931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B311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6C1C4">
            <w:pPr>
              <w:spacing w:before="0" w:after="0" w:line="240" w:lineRule="auto"/>
              <w:jc w:val="center"/>
            </w:pPr>
            <w:r>
              <w:rPr>
                <w:rFonts w:ascii="宋体" w:hAnsi="宋体" w:eastAsia="宋体" w:cs="宋体"/>
                <w:b w:val="0"/>
                <w:i w:val="0"/>
                <w:sz w:val="18"/>
              </w:rPr>
              <w:t>不断增强各民族群众的获得感、幸福感和安全感。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AB0BE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78E69">
            <w:pPr>
              <w:spacing w:before="0" w:after="0" w:line="240" w:lineRule="auto"/>
              <w:jc w:val="center"/>
            </w:pPr>
            <w:r>
              <w:rPr>
                <w:rFonts w:ascii="宋体" w:hAnsi="宋体" w:eastAsia="宋体" w:cs="宋体"/>
                <w:b w:val="0"/>
                <w:i w:val="0"/>
                <w:sz w:val="18"/>
              </w:rPr>
              <w:t>不断增强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E3AF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52C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33B8E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8F7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8FE0F">
            <w:pPr>
              <w:spacing w:before="0" w:after="0" w:line="240" w:lineRule="auto"/>
              <w:jc w:val="center"/>
            </w:pPr>
            <w:r>
              <w:rPr>
                <w:rFonts w:ascii="宋体" w:hAnsi="宋体" w:eastAsia="宋体" w:cs="宋体"/>
                <w:b w:val="0"/>
                <w:i w:val="0"/>
                <w:sz w:val="18"/>
              </w:rPr>
              <w:t>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77CF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99B3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F170E">
            <w:pPr>
              <w:spacing w:before="0" w:after="0" w:line="240" w:lineRule="auto"/>
              <w:jc w:val="center"/>
            </w:pPr>
          </w:p>
        </w:tc>
      </w:tr>
      <w:tr w14:paraId="428116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CDF4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B46A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EB4C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D145E">
            <w:pPr>
              <w:spacing w:before="0" w:after="0" w:line="240" w:lineRule="auto"/>
              <w:jc w:val="center"/>
            </w:pPr>
            <w:r>
              <w:rPr>
                <w:rFonts w:ascii="宋体" w:hAnsi="宋体" w:eastAsia="宋体" w:cs="宋体"/>
                <w:b w:val="0"/>
                <w:i w:val="0"/>
                <w:sz w:val="18"/>
              </w:rPr>
              <w:t>参会人员满意度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6D3E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73B7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0CF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1D95D6">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D8C3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1C1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748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0F75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992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3AF35">
            <w:pPr>
              <w:spacing w:before="0" w:after="0" w:line="240" w:lineRule="auto"/>
              <w:jc w:val="center"/>
            </w:pPr>
          </w:p>
        </w:tc>
      </w:tr>
      <w:tr w14:paraId="4771E4F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515816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2625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681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B8B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DB3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F10C3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01F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B38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344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C333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3F61F">
            <w:pPr>
              <w:spacing w:before="0" w:after="0" w:line="240" w:lineRule="auto"/>
              <w:jc w:val="center"/>
            </w:pPr>
          </w:p>
        </w:tc>
      </w:tr>
    </w:tbl>
    <w:p w14:paraId="2ABDB9BB">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584"/>
        <w:gridCol w:w="593"/>
        <w:gridCol w:w="612"/>
        <w:gridCol w:w="589"/>
        <w:gridCol w:w="702"/>
        <w:gridCol w:w="593"/>
        <w:gridCol w:w="575"/>
        <w:gridCol w:w="584"/>
        <w:gridCol w:w="578"/>
        <w:gridCol w:w="577"/>
        <w:gridCol w:w="594"/>
      </w:tblGrid>
      <w:tr w14:paraId="7CF8231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4EA5B8B">
            <w:pPr>
              <w:spacing w:before="0" w:after="0" w:line="240" w:lineRule="auto"/>
              <w:jc w:val="center"/>
            </w:pPr>
            <w:r>
              <w:rPr>
                <w:rFonts w:ascii="宋体" w:hAnsi="宋体" w:eastAsia="宋体" w:cs="宋体"/>
                <w:b/>
                <w:i w:val="0"/>
                <w:sz w:val="18"/>
              </w:rPr>
              <w:t>项目支出绩效自评表</w:t>
            </w:r>
          </w:p>
        </w:tc>
      </w:tr>
      <w:tr w14:paraId="403876B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67C2C2">
            <w:pPr>
              <w:spacing w:before="0" w:after="0" w:line="240" w:lineRule="auto"/>
              <w:jc w:val="center"/>
            </w:pPr>
            <w:r>
              <w:rPr>
                <w:rFonts w:ascii="宋体" w:hAnsi="宋体" w:eastAsia="宋体" w:cs="宋体"/>
                <w:b w:val="0"/>
                <w:i w:val="0"/>
                <w:sz w:val="18"/>
              </w:rPr>
              <w:t>(2025年度)</w:t>
            </w:r>
          </w:p>
        </w:tc>
      </w:tr>
      <w:tr w14:paraId="607315F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01F7A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680CF3D">
            <w:pPr>
              <w:spacing w:before="0" w:after="0" w:line="240" w:lineRule="auto"/>
              <w:jc w:val="center"/>
            </w:pPr>
            <w:r>
              <w:rPr>
                <w:rFonts w:ascii="宋体" w:hAnsi="宋体" w:eastAsia="宋体" w:cs="宋体"/>
                <w:b w:val="0"/>
                <w:i w:val="0"/>
                <w:sz w:val="18"/>
              </w:rPr>
              <w:t>机关运行补助经费</w:t>
            </w:r>
          </w:p>
        </w:tc>
      </w:tr>
      <w:tr w14:paraId="184A7D5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B331B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33AACEB">
            <w:pPr>
              <w:spacing w:before="0" w:after="0" w:line="240" w:lineRule="auto"/>
              <w:jc w:val="center"/>
            </w:pPr>
            <w:r>
              <w:rPr>
                <w:rFonts w:ascii="宋体" w:hAnsi="宋体" w:eastAsia="宋体" w:cs="宋体"/>
                <w:b w:val="0"/>
                <w:i w:val="0"/>
                <w:sz w:val="18"/>
              </w:rPr>
              <w:t>中共昌吉回族自治州委员会政策研究室</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99B41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7C7706B">
            <w:pPr>
              <w:spacing w:before="0" w:after="0" w:line="240" w:lineRule="auto"/>
              <w:jc w:val="center"/>
            </w:pPr>
            <w:r>
              <w:rPr>
                <w:rFonts w:ascii="宋体" w:hAnsi="宋体" w:eastAsia="宋体" w:cs="宋体"/>
                <w:b w:val="0"/>
                <w:i w:val="0"/>
                <w:sz w:val="18"/>
              </w:rPr>
              <w:t>中共昌吉回族自治州委员会政策研究室</w:t>
            </w:r>
          </w:p>
        </w:tc>
      </w:tr>
      <w:tr w14:paraId="67477AF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90D50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D94C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66FD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59A6D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46B34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4DAFC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331FA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9F5F01">
            <w:pPr>
              <w:spacing w:before="0" w:after="0" w:line="240" w:lineRule="auto"/>
              <w:jc w:val="center"/>
            </w:pPr>
            <w:r>
              <w:rPr>
                <w:rFonts w:ascii="宋体" w:hAnsi="宋体" w:eastAsia="宋体" w:cs="宋体"/>
                <w:b/>
                <w:i w:val="0"/>
                <w:sz w:val="18"/>
              </w:rPr>
              <w:t>得分</w:t>
            </w:r>
          </w:p>
        </w:tc>
      </w:tr>
      <w:tr w14:paraId="24AFC2B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499C8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8F0E2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2A142">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40CA81">
            <w:pPr>
              <w:spacing w:before="0" w:after="0" w:line="240" w:lineRule="auto"/>
              <w:jc w:val="center"/>
            </w:pPr>
            <w:r>
              <w:rPr>
                <w:rFonts w:ascii="宋体" w:hAnsi="宋体" w:eastAsia="宋体" w:cs="宋体"/>
                <w:b w:val="0"/>
                <w:i w:val="0"/>
                <w:sz w:val="18"/>
              </w:rPr>
              <w:t>33.45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5DA783">
            <w:pPr>
              <w:spacing w:before="0" w:after="0" w:line="240" w:lineRule="auto"/>
              <w:jc w:val="center"/>
            </w:pPr>
            <w:r>
              <w:rPr>
                <w:rFonts w:ascii="宋体" w:hAnsi="宋体" w:eastAsia="宋体" w:cs="宋体"/>
                <w:b w:val="0"/>
                <w:i w:val="0"/>
                <w:sz w:val="18"/>
              </w:rPr>
              <w:t>32.01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68EB3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EA8330">
            <w:pPr>
              <w:spacing w:before="0" w:after="0" w:line="240" w:lineRule="auto"/>
              <w:jc w:val="center"/>
            </w:pPr>
            <w:r>
              <w:rPr>
                <w:rFonts w:ascii="宋体" w:hAnsi="宋体" w:eastAsia="宋体" w:cs="宋体"/>
                <w:b w:val="0"/>
                <w:i w:val="0"/>
                <w:sz w:val="18"/>
              </w:rPr>
              <w:t>95.70%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FC4A48">
            <w:pPr>
              <w:spacing w:before="0" w:after="0" w:line="240" w:lineRule="auto"/>
              <w:jc w:val="center"/>
            </w:pPr>
            <w:r>
              <w:rPr>
                <w:rFonts w:ascii="宋体" w:hAnsi="宋体" w:eastAsia="宋体" w:cs="宋体"/>
                <w:b w:val="0"/>
                <w:i w:val="0"/>
                <w:sz w:val="18"/>
              </w:rPr>
              <w:t>10</w:t>
            </w:r>
          </w:p>
        </w:tc>
      </w:tr>
      <w:tr w14:paraId="0743680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676C3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67E1C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83775">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B76E78">
            <w:pPr>
              <w:spacing w:before="0" w:after="0" w:line="240" w:lineRule="auto"/>
              <w:jc w:val="center"/>
            </w:pPr>
            <w:r>
              <w:rPr>
                <w:rFonts w:ascii="宋体" w:hAnsi="宋体" w:eastAsia="宋体" w:cs="宋体"/>
                <w:b w:val="0"/>
                <w:i w:val="0"/>
                <w:sz w:val="18"/>
              </w:rPr>
              <w:t>32.23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033747">
            <w:pPr>
              <w:spacing w:before="0" w:after="0" w:line="240" w:lineRule="auto"/>
              <w:jc w:val="center"/>
            </w:pPr>
            <w:r>
              <w:rPr>
                <w:rFonts w:ascii="宋体" w:hAnsi="宋体" w:eastAsia="宋体" w:cs="宋体"/>
                <w:b w:val="0"/>
                <w:i w:val="0"/>
                <w:sz w:val="18"/>
              </w:rPr>
              <w:t>30.79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3755B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5481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14B02">
            <w:pPr>
              <w:spacing w:before="0" w:after="0" w:line="240" w:lineRule="auto"/>
              <w:jc w:val="center"/>
            </w:pPr>
            <w:r>
              <w:rPr>
                <w:rFonts w:ascii="宋体" w:hAnsi="宋体" w:eastAsia="宋体" w:cs="宋体"/>
                <w:b w:val="0"/>
                <w:i w:val="0"/>
                <w:sz w:val="18"/>
              </w:rPr>
              <w:t>—</w:t>
            </w:r>
          </w:p>
        </w:tc>
      </w:tr>
      <w:tr w14:paraId="227EBC8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62B9F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E5FE1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6241C">
            <w:pPr>
              <w:spacing w:before="0" w:after="0" w:line="240" w:lineRule="auto"/>
              <w:jc w:val="center"/>
            </w:pPr>
            <w:r>
              <w:rPr>
                <w:rFonts w:ascii="宋体" w:hAnsi="宋体" w:eastAsia="宋体" w:cs="宋体"/>
                <w:b w:val="0"/>
                <w:i w:val="0"/>
                <w:sz w:val="18"/>
              </w:rPr>
              <w:t>17.00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18D7E">
            <w:pPr>
              <w:spacing w:before="0" w:after="0" w:line="240" w:lineRule="auto"/>
              <w:jc w:val="center"/>
            </w:pPr>
            <w:r>
              <w:rPr>
                <w:rFonts w:ascii="宋体" w:hAnsi="宋体" w:eastAsia="宋体" w:cs="宋体"/>
                <w:b w:val="0"/>
                <w:i w:val="0"/>
                <w:sz w:val="18"/>
              </w:rPr>
              <w:t>1.22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89ECB2">
            <w:pPr>
              <w:spacing w:before="0" w:after="0" w:line="240" w:lineRule="auto"/>
              <w:jc w:val="center"/>
            </w:pPr>
            <w:r>
              <w:rPr>
                <w:rFonts w:ascii="宋体" w:hAnsi="宋体" w:eastAsia="宋体" w:cs="宋体"/>
                <w:b w:val="0"/>
                <w:i w:val="0"/>
                <w:sz w:val="18"/>
              </w:rPr>
              <w:t>1.22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C9A15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7B4E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2040BF">
            <w:pPr>
              <w:spacing w:before="0" w:after="0" w:line="240" w:lineRule="auto"/>
              <w:jc w:val="center"/>
            </w:pPr>
            <w:r>
              <w:rPr>
                <w:rFonts w:ascii="宋体" w:hAnsi="宋体" w:eastAsia="宋体" w:cs="宋体"/>
                <w:b w:val="0"/>
                <w:i w:val="0"/>
                <w:sz w:val="18"/>
              </w:rPr>
              <w:t>—</w:t>
            </w:r>
          </w:p>
        </w:tc>
      </w:tr>
      <w:tr w14:paraId="0C8BDF2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60BED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ACC1AF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077C029">
            <w:pPr>
              <w:spacing w:before="0" w:after="0" w:line="240" w:lineRule="auto"/>
              <w:jc w:val="center"/>
            </w:pPr>
            <w:r>
              <w:rPr>
                <w:rFonts w:ascii="宋体" w:hAnsi="宋体" w:eastAsia="宋体" w:cs="宋体"/>
                <w:b/>
                <w:i w:val="0"/>
                <w:sz w:val="18"/>
              </w:rPr>
              <w:t>实际完成情况</w:t>
            </w:r>
          </w:p>
        </w:tc>
      </w:tr>
      <w:tr w14:paraId="650EB94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14E26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CCE0566">
            <w:pPr>
              <w:spacing w:before="0" w:after="0" w:line="240" w:lineRule="auto"/>
              <w:jc w:val="center"/>
            </w:pPr>
            <w:r>
              <w:rPr>
                <w:rFonts w:ascii="宋体" w:hAnsi="宋体" w:eastAsia="宋体" w:cs="宋体"/>
                <w:b w:val="0"/>
                <w:i w:val="0"/>
                <w:sz w:val="18"/>
              </w:rPr>
              <w:t>采购办公用品次数1次，保障办公人员数量22人，做好全年物业管理服务，保障单位正常运转，为机关办公提供有效支撑。为业务工作做好差旅费发放、调研车辆租赁等，保障全年深化改革、政策研究业务正常运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52C6C8F">
            <w:pPr>
              <w:spacing w:before="0" w:after="0" w:line="240" w:lineRule="auto"/>
              <w:jc w:val="center"/>
            </w:pPr>
            <w:r>
              <w:rPr>
                <w:rFonts w:ascii="宋体" w:hAnsi="宋体" w:eastAsia="宋体" w:cs="宋体"/>
                <w:b w:val="0"/>
                <w:i w:val="0"/>
                <w:sz w:val="18"/>
              </w:rPr>
              <w:t>截至2025年12月31日，本项目支出资金32.01万元，资金执行率95.70%，本项目实际完成采购办公用品次数2次，保障办公人员数量22人，做好全年物业管理服务，为业务工作做好差旅费发放、调研车辆租赁等；通过本项目的实施，保障单位正常运转，为机关办公提供有效支撑，保障全年深化改革、政策研究业务正常运行。</w:t>
            </w:r>
          </w:p>
        </w:tc>
      </w:tr>
      <w:tr w14:paraId="7B53B5A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AE139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960D4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651C9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A6ADF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27BAD0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E9243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520A1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54FB18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4966A5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8AF2B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24F6A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86B7E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88B2D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D8BD1C">
            <w:pPr>
              <w:keepNext/>
              <w:spacing w:before="0" w:after="0" w:line="240" w:lineRule="auto"/>
              <w:jc w:val="center"/>
            </w:pPr>
            <w:r>
              <w:rPr>
                <w:rFonts w:ascii="宋体" w:hAnsi="宋体" w:eastAsia="宋体" w:cs="宋体"/>
                <w:b/>
                <w:i w:val="0"/>
                <w:sz w:val="18"/>
              </w:rPr>
              <w:t>偏差原因分析及改进措施</w:t>
            </w:r>
          </w:p>
        </w:tc>
      </w:tr>
      <w:tr w14:paraId="1A884F3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1E6D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F08A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16BF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B167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E9D5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5BB1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C422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F5B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A505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B35C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49F6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A846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30CA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0B3B24"/>
        </w:tc>
      </w:tr>
      <w:tr w14:paraId="5B37A80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5340D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13E1F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AA7B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B4D76">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EA0A3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66DD0">
            <w:pPr>
              <w:spacing w:before="0" w:after="0" w:line="240" w:lineRule="auto"/>
              <w:jc w:val="center"/>
            </w:pPr>
            <w:r>
              <w:rPr>
                <w:rFonts w:ascii="宋体" w:hAnsi="宋体" w:eastAsia="宋体" w:cs="宋体"/>
                <w:b w:val="0"/>
                <w:i w:val="0"/>
                <w:sz w:val="18"/>
              </w:rPr>
              <w:t>&gt;=22人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2CDF5">
            <w:pPr>
              <w:spacing w:before="0" w:after="0" w:line="240" w:lineRule="auto"/>
              <w:jc w:val="center"/>
            </w:pPr>
            <w:r>
              <w:rPr>
                <w:rFonts w:ascii="宋体" w:hAnsi="宋体" w:eastAsia="宋体" w:cs="宋体"/>
                <w:b w:val="0"/>
                <w:i w:val="0"/>
                <w:sz w:val="18"/>
              </w:rPr>
              <w:t>=22人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A72D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96F54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C73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4FF2F">
            <w:pPr>
              <w:spacing w:before="0" w:after="0" w:line="240" w:lineRule="auto"/>
              <w:jc w:val="center"/>
            </w:pPr>
            <w:r>
              <w:rPr>
                <w:rFonts w:ascii="宋体" w:hAnsi="宋体" w:eastAsia="宋体" w:cs="宋体"/>
                <w:b w:val="0"/>
                <w:i w:val="0"/>
                <w:sz w:val="18"/>
              </w:rPr>
              <w:t>20人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A672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0687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C495D">
            <w:pPr>
              <w:spacing w:before="0" w:after="0" w:line="240" w:lineRule="auto"/>
              <w:jc w:val="center"/>
            </w:pPr>
          </w:p>
        </w:tc>
      </w:tr>
      <w:tr w14:paraId="5B85E8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B34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3224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2384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1ED29">
            <w:pPr>
              <w:spacing w:before="0" w:after="0" w:line="240" w:lineRule="auto"/>
              <w:jc w:val="center"/>
            </w:pPr>
            <w:r>
              <w:rPr>
                <w:rFonts w:ascii="宋体" w:hAnsi="宋体" w:eastAsia="宋体" w:cs="宋体"/>
                <w:b w:val="0"/>
                <w:i w:val="0"/>
                <w:sz w:val="18"/>
              </w:rPr>
              <w:t>办公用品采购完成率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B2643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6FD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272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998E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05337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0A9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5DF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2F39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ABDF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7E529">
            <w:pPr>
              <w:spacing w:before="0" w:after="0" w:line="240" w:lineRule="auto"/>
              <w:jc w:val="center"/>
            </w:pPr>
          </w:p>
        </w:tc>
      </w:tr>
      <w:tr w14:paraId="265234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3CCC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B954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FE3B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1A352">
            <w:pPr>
              <w:spacing w:before="0" w:after="0" w:line="240" w:lineRule="auto"/>
              <w:jc w:val="center"/>
            </w:pPr>
            <w:r>
              <w:rPr>
                <w:rFonts w:ascii="宋体" w:hAnsi="宋体" w:eastAsia="宋体" w:cs="宋体"/>
                <w:b w:val="0"/>
                <w:i w:val="0"/>
                <w:sz w:val="18"/>
              </w:rPr>
              <w:t>办公用品政府采购率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95CB8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F82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6A9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6F63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079C3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E76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2B3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2FAC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BBC7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62C01">
            <w:pPr>
              <w:spacing w:before="0" w:after="0" w:line="240" w:lineRule="auto"/>
              <w:jc w:val="center"/>
            </w:pPr>
          </w:p>
        </w:tc>
      </w:tr>
      <w:tr w14:paraId="02CAE3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F30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E022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58A0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DCDB9">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38673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65E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D38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817A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BD9A2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341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4C6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CC7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9F30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AE72E">
            <w:pPr>
              <w:spacing w:before="0" w:after="0" w:line="240" w:lineRule="auto"/>
              <w:jc w:val="center"/>
            </w:pPr>
          </w:p>
        </w:tc>
      </w:tr>
      <w:tr w14:paraId="3421A7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338C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F011D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CD25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C2F4C">
            <w:pPr>
              <w:spacing w:before="0" w:after="0" w:line="240" w:lineRule="auto"/>
              <w:jc w:val="center"/>
            </w:pPr>
            <w:r>
              <w:rPr>
                <w:rFonts w:ascii="宋体" w:hAnsi="宋体" w:eastAsia="宋体" w:cs="宋体"/>
                <w:b w:val="0"/>
                <w:i w:val="0"/>
                <w:sz w:val="18"/>
              </w:rPr>
              <w:t>差旅费用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3B1F6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55030">
            <w:pPr>
              <w:spacing w:before="0" w:after="0" w:line="240" w:lineRule="auto"/>
              <w:jc w:val="center"/>
            </w:pPr>
            <w:r>
              <w:rPr>
                <w:rFonts w:ascii="宋体" w:hAnsi="宋体" w:eastAsia="宋体" w:cs="宋体"/>
                <w:b w:val="0"/>
                <w:i w:val="0"/>
                <w:sz w:val="18"/>
              </w:rPr>
              <w:t>&lt;=9.99万元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2DC70">
            <w:pPr>
              <w:spacing w:before="0" w:after="0" w:line="240" w:lineRule="auto"/>
              <w:jc w:val="center"/>
            </w:pPr>
            <w:r>
              <w:rPr>
                <w:rFonts w:ascii="宋体" w:hAnsi="宋体" w:eastAsia="宋体" w:cs="宋体"/>
                <w:b w:val="0"/>
                <w:i w:val="0"/>
                <w:sz w:val="18"/>
              </w:rPr>
              <w:t>=9.99万元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5F8A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473BE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EA0C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32D50">
            <w:pPr>
              <w:spacing w:before="0" w:after="0" w:line="240" w:lineRule="auto"/>
              <w:jc w:val="center"/>
            </w:pPr>
            <w:r>
              <w:rPr>
                <w:rFonts w:ascii="宋体" w:hAnsi="宋体" w:eastAsia="宋体" w:cs="宋体"/>
                <w:b w:val="0"/>
                <w:i w:val="0"/>
                <w:sz w:val="18"/>
              </w:rPr>
              <w:t>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78BB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48DD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D09D7">
            <w:pPr>
              <w:spacing w:before="0" w:after="0" w:line="240" w:lineRule="auto"/>
              <w:jc w:val="center"/>
            </w:pPr>
          </w:p>
        </w:tc>
      </w:tr>
      <w:tr w14:paraId="3050D5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2D5C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C06B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ADFB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08045">
            <w:pPr>
              <w:spacing w:before="0" w:after="0" w:line="240" w:lineRule="auto"/>
              <w:jc w:val="center"/>
            </w:pPr>
            <w:r>
              <w:rPr>
                <w:rFonts w:ascii="宋体" w:hAnsi="宋体" w:eastAsia="宋体" w:cs="宋体"/>
                <w:b w:val="0"/>
                <w:i w:val="0"/>
                <w:sz w:val="18"/>
              </w:rPr>
              <w:t>租赁车辆费用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A28AB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79396">
            <w:pPr>
              <w:spacing w:before="0" w:after="0" w:line="240" w:lineRule="auto"/>
              <w:jc w:val="center"/>
            </w:pPr>
            <w:r>
              <w:rPr>
                <w:rFonts w:ascii="宋体" w:hAnsi="宋体" w:eastAsia="宋体" w:cs="宋体"/>
                <w:b w:val="0"/>
                <w:i w:val="0"/>
                <w:sz w:val="18"/>
              </w:rPr>
              <w:t>&lt;=2.47万元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17FD8">
            <w:pPr>
              <w:spacing w:before="0" w:after="0" w:line="240" w:lineRule="auto"/>
              <w:jc w:val="center"/>
            </w:pPr>
            <w:r>
              <w:rPr>
                <w:rFonts w:ascii="宋体" w:hAnsi="宋体" w:eastAsia="宋体" w:cs="宋体"/>
                <w:b w:val="0"/>
                <w:i w:val="0"/>
                <w:sz w:val="18"/>
              </w:rPr>
              <w:t>=3.65万元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393164">
            <w:pPr>
              <w:spacing w:before="0" w:after="0" w:line="240" w:lineRule="auto"/>
              <w:jc w:val="center"/>
            </w:pPr>
            <w:r>
              <w:rPr>
                <w:rFonts w:ascii="宋体" w:hAnsi="宋体" w:eastAsia="宋体" w:cs="宋体"/>
                <w:b w:val="0"/>
                <w:i w:val="0"/>
                <w:sz w:val="18"/>
              </w:rPr>
              <w:t>147.77%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95CD3">
            <w:pPr>
              <w:spacing w:before="0" w:after="0" w:line="240" w:lineRule="auto"/>
              <w:jc w:val="center"/>
            </w:pPr>
            <w:r>
              <w:rPr>
                <w:rFonts w:ascii="宋体" w:hAnsi="宋体" w:eastAsia="宋体" w:cs="宋体"/>
                <w:b w:val="0"/>
                <w:i w:val="0"/>
                <w:sz w:val="18"/>
              </w:rPr>
              <w:t>1.04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25F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6FAC1">
            <w:pPr>
              <w:spacing w:before="0" w:after="0" w:line="240" w:lineRule="auto"/>
              <w:jc w:val="center"/>
            </w:pPr>
            <w:r>
              <w:rPr>
                <w:rFonts w:ascii="宋体" w:hAnsi="宋体" w:eastAsia="宋体" w:cs="宋体"/>
                <w:b w:val="0"/>
                <w:i w:val="0"/>
                <w:sz w:val="18"/>
              </w:rPr>
              <w:t>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7E0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6817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FC947">
            <w:pPr>
              <w:spacing w:before="0" w:after="0" w:line="240" w:lineRule="auto"/>
              <w:jc w:val="center"/>
            </w:pPr>
            <w:r>
              <w:rPr>
                <w:rFonts w:ascii="宋体" w:hAnsi="宋体" w:eastAsia="宋体" w:cs="宋体"/>
                <w:b w:val="0"/>
                <w:i w:val="0"/>
                <w:sz w:val="18"/>
              </w:rPr>
              <w:t>偏差原因是：部分项目在前期谋划阶段绩效目标谋划工作落实不到位，目标制定缺乏细致全面的统筹考量，指标覆盖范围存在缺漏，部分目标数值与项目实际业务需求存在明显偏差。前期预算编制依托不完善的目标测算，数据参考不够精准，项目落地实施后各项实际开支持续超出初始预算额度，造成资金管控压力。下一步将严格规范项目全流程支出标准，细化预算编制测算依据，搭建资金支出动态监测台账，全程跟踪资金使用进度，一旦发现支出偏离预算立即开展纠偏整改，切实规范资金使用行为，全面提高财政资金使用效益。</w:t>
            </w:r>
          </w:p>
        </w:tc>
      </w:tr>
      <w:tr w14:paraId="6F4D86D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8902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D22D2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32DD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EA5E5">
            <w:pPr>
              <w:spacing w:before="0" w:after="0" w:line="240" w:lineRule="auto"/>
              <w:jc w:val="center"/>
            </w:pPr>
            <w:r>
              <w:rPr>
                <w:rFonts w:ascii="宋体" w:hAnsi="宋体" w:eastAsia="宋体" w:cs="宋体"/>
                <w:b w:val="0"/>
                <w:i w:val="0"/>
                <w:sz w:val="18"/>
              </w:rPr>
              <w:t>办公费用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FF91F8">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650CC">
            <w:pPr>
              <w:spacing w:before="0" w:after="0" w:line="240" w:lineRule="auto"/>
              <w:jc w:val="center"/>
            </w:pPr>
            <w:r>
              <w:rPr>
                <w:rFonts w:ascii="宋体" w:hAnsi="宋体" w:eastAsia="宋体" w:cs="宋体"/>
                <w:b w:val="0"/>
                <w:i w:val="0"/>
                <w:sz w:val="18"/>
              </w:rPr>
              <w:t>&lt;=9万元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D7BAF">
            <w:pPr>
              <w:spacing w:before="0" w:after="0" w:line="240" w:lineRule="auto"/>
              <w:jc w:val="center"/>
            </w:pPr>
            <w:r>
              <w:rPr>
                <w:rFonts w:ascii="宋体" w:hAnsi="宋体" w:eastAsia="宋体" w:cs="宋体"/>
                <w:b w:val="0"/>
                <w:i w:val="0"/>
                <w:sz w:val="18"/>
              </w:rPr>
              <w:t>=9万元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010A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8A8E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4CFE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8BFE8">
            <w:pPr>
              <w:spacing w:before="0" w:after="0" w:line="240" w:lineRule="auto"/>
              <w:jc w:val="center"/>
            </w:pPr>
            <w:r>
              <w:rPr>
                <w:rFonts w:ascii="宋体" w:hAnsi="宋体" w:eastAsia="宋体" w:cs="宋体"/>
                <w:b w:val="0"/>
                <w:i w:val="0"/>
                <w:sz w:val="18"/>
              </w:rPr>
              <w: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064F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FD37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4E0B7">
            <w:pPr>
              <w:spacing w:before="0" w:after="0" w:line="240" w:lineRule="auto"/>
              <w:jc w:val="center"/>
            </w:pPr>
          </w:p>
        </w:tc>
      </w:tr>
      <w:tr w14:paraId="6B56665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2355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48DF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37D2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74EDC">
            <w:pPr>
              <w:spacing w:before="0" w:after="0" w:line="240" w:lineRule="auto"/>
              <w:jc w:val="center"/>
            </w:pPr>
            <w:r>
              <w:rPr>
                <w:rFonts w:ascii="宋体" w:hAnsi="宋体" w:eastAsia="宋体" w:cs="宋体"/>
                <w:b w:val="0"/>
                <w:i w:val="0"/>
                <w:sz w:val="18"/>
              </w:rPr>
              <w:t>物业管理费用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E8A871">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0E3B6">
            <w:pPr>
              <w:spacing w:before="0" w:after="0" w:line="240" w:lineRule="auto"/>
              <w:jc w:val="center"/>
            </w:pPr>
            <w:r>
              <w:rPr>
                <w:rFonts w:ascii="宋体" w:hAnsi="宋体" w:eastAsia="宋体" w:cs="宋体"/>
                <w:b w:val="0"/>
                <w:i w:val="0"/>
                <w:sz w:val="18"/>
              </w:rPr>
              <w:t>&lt;=4.80万元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D3BEE">
            <w:pPr>
              <w:spacing w:before="0" w:after="0" w:line="240" w:lineRule="auto"/>
              <w:jc w:val="center"/>
            </w:pPr>
            <w:r>
              <w:rPr>
                <w:rFonts w:ascii="宋体" w:hAnsi="宋体" w:eastAsia="宋体" w:cs="宋体"/>
                <w:b w:val="0"/>
                <w:i w:val="0"/>
                <w:sz w:val="18"/>
              </w:rPr>
              <w:t>=4.8万元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C0A2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9C2C2">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95D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2BC84">
            <w:pPr>
              <w:spacing w:before="0" w:after="0" w:line="240" w:lineRule="auto"/>
              <w:jc w:val="center"/>
            </w:pPr>
            <w:r>
              <w:rPr>
                <w:rFonts w:ascii="宋体" w:hAnsi="宋体" w:eastAsia="宋体" w:cs="宋体"/>
                <w:b w:val="0"/>
                <w:i w:val="0"/>
                <w:sz w:val="18"/>
              </w:rPr>
              <w:t>4.8万元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4B1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44B0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DD88D">
            <w:pPr>
              <w:spacing w:before="0" w:after="0" w:line="240" w:lineRule="auto"/>
              <w:jc w:val="center"/>
            </w:pPr>
          </w:p>
        </w:tc>
      </w:tr>
      <w:tr w14:paraId="0CCF1A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33D9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D82C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E5BF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FD8C6">
            <w:pPr>
              <w:spacing w:before="0" w:after="0" w:line="240" w:lineRule="auto"/>
              <w:jc w:val="center"/>
            </w:pPr>
            <w:r>
              <w:rPr>
                <w:rFonts w:ascii="宋体" w:hAnsi="宋体" w:eastAsia="宋体" w:cs="宋体"/>
                <w:b w:val="0"/>
                <w:i w:val="0"/>
                <w:sz w:val="18"/>
              </w:rPr>
              <w:t>其他运行费用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6BA8A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4A703">
            <w:pPr>
              <w:spacing w:before="0" w:after="0" w:line="240" w:lineRule="auto"/>
              <w:jc w:val="center"/>
            </w:pPr>
            <w:r>
              <w:rPr>
                <w:rFonts w:ascii="宋体" w:hAnsi="宋体" w:eastAsia="宋体" w:cs="宋体"/>
                <w:b w:val="0"/>
                <w:i w:val="0"/>
                <w:sz w:val="18"/>
              </w:rPr>
              <w:t>&lt;=4.57万元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49B02">
            <w:pPr>
              <w:spacing w:before="0" w:after="0" w:line="240" w:lineRule="auto"/>
              <w:jc w:val="center"/>
            </w:pPr>
            <w:r>
              <w:rPr>
                <w:rFonts w:ascii="宋体" w:hAnsi="宋体" w:eastAsia="宋体" w:cs="宋体"/>
                <w:b w:val="0"/>
                <w:i w:val="0"/>
                <w:sz w:val="18"/>
              </w:rPr>
              <w:t>=4.57万元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D4F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D6A4A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854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B703A">
            <w:pPr>
              <w:spacing w:before="0" w:after="0" w:line="240" w:lineRule="auto"/>
              <w:jc w:val="center"/>
            </w:pPr>
            <w:r>
              <w:rPr>
                <w:rFonts w:ascii="宋体" w:hAnsi="宋体" w:eastAsia="宋体" w:cs="宋体"/>
                <w:b w:val="0"/>
                <w:i w:val="0"/>
                <w:sz w:val="18"/>
              </w:rPr>
              <w:t>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774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B567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239DF">
            <w:pPr>
              <w:spacing w:before="0" w:after="0" w:line="240" w:lineRule="auto"/>
              <w:jc w:val="center"/>
            </w:pPr>
          </w:p>
        </w:tc>
      </w:tr>
      <w:tr w14:paraId="32AC49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BAF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8363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6C79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93A22">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BAA7E3">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FD748">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B5E76">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A37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C7C573">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E59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81E91">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3E0C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414F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50689">
            <w:pPr>
              <w:spacing w:before="0" w:after="0" w:line="240" w:lineRule="auto"/>
              <w:jc w:val="center"/>
            </w:pPr>
          </w:p>
        </w:tc>
      </w:tr>
      <w:tr w14:paraId="4216C74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6B4DA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06FD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A4D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7A7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AC4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810088">
            <w:pPr>
              <w:spacing w:before="0" w:after="0" w:line="240" w:lineRule="auto"/>
              <w:jc w:val="center"/>
            </w:pPr>
            <w:r>
              <w:rPr>
                <w:rFonts w:ascii="宋体" w:hAnsi="宋体" w:eastAsia="宋体" w:cs="宋体"/>
                <w:b w:val="0"/>
                <w:i w:val="0"/>
                <w:sz w:val="18"/>
              </w:rPr>
              <w:t>99.04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A96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7EC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E09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D4C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EABE9">
            <w:pPr>
              <w:spacing w:before="0" w:after="0" w:line="240" w:lineRule="auto"/>
              <w:jc w:val="center"/>
            </w:pPr>
          </w:p>
        </w:tc>
      </w:tr>
    </w:tbl>
    <w:p w14:paraId="16296661">
      <w:r>
        <w:br w:type="page"/>
      </w:r>
    </w:p>
    <w:p w14:paraId="6E851B9A">
      <w:pPr>
        <w:sectPr>
          <w:type w:val="continuous"/>
          <w:pgSz w:w="11906" w:h="16838"/>
          <w:pgMar w:top="1440" w:right="1800" w:bottom="1440" w:left="1800" w:header="851" w:footer="992" w:gutter="0"/>
          <w:cols w:space="720" w:num="1"/>
          <w:docGrid w:type="lines" w:linePitch="312" w:charSpace="0"/>
        </w:sectPr>
      </w:pPr>
    </w:p>
    <w:p w14:paraId="53542E2E">
      <w:pPr>
        <w:spacing w:line="640" w:lineRule="exact"/>
        <w:ind w:firstLine="640"/>
        <w:jc w:val="both"/>
        <w:outlineLvl w:val="2"/>
      </w:pPr>
      <w:r>
        <w:rPr>
          <w:rFonts w:ascii="黑体" w:hAnsi="黑体" w:eastAsia="黑体"/>
          <w:sz w:val="32"/>
        </w:rPr>
        <w:t>十二、其他需说明的事项</w:t>
      </w:r>
    </w:p>
    <w:p w14:paraId="7AD7A7E0">
      <w:pPr>
        <w:spacing w:line="580" w:lineRule="exact"/>
        <w:ind w:firstLine="640"/>
        <w:jc w:val="both"/>
      </w:pPr>
      <w:r>
        <w:rPr>
          <w:rFonts w:ascii="仿宋_GB2312" w:hAnsi="仿宋_GB2312" w:eastAsia="仿宋_GB2312"/>
          <w:b w:val="0"/>
          <w:sz w:val="32"/>
        </w:rPr>
        <w:t>本单位无其他需说明的事项。</w:t>
      </w:r>
    </w:p>
    <w:p w14:paraId="7B553F82">
      <w:r>
        <w:br w:type="page"/>
      </w:r>
    </w:p>
    <w:p w14:paraId="79D7EF7E">
      <w:pPr>
        <w:spacing w:line="600" w:lineRule="exact"/>
        <w:jc w:val="center"/>
        <w:outlineLvl w:val="0"/>
      </w:pPr>
      <w:r>
        <w:rPr>
          <w:rFonts w:ascii="黑体" w:hAnsi="黑体" w:eastAsia="黑体"/>
          <w:sz w:val="32"/>
        </w:rPr>
        <w:t>第三部分 专业名词解释</w:t>
      </w:r>
    </w:p>
    <w:p w14:paraId="2ED0A8BB">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38A71073">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09DE8E4A">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3185E6E6">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32972E69">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5603641">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1A77DD6A">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4DA72268">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62F95BC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DBCD53E">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22C3BA2A">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D97F7E2">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3618F374">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55F27525">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1EF35163">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04C6E477">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F57EBA4">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966521B">
      <w:r>
        <w:br w:type="page"/>
      </w:r>
    </w:p>
    <w:p w14:paraId="1E53A586">
      <w:pPr>
        <w:spacing w:line="240" w:lineRule="auto"/>
        <w:jc w:val="center"/>
        <w:outlineLvl w:val="1"/>
      </w:pPr>
      <w:r>
        <w:rPr>
          <w:rFonts w:ascii="黑体" w:hAnsi="黑体" w:eastAsia="黑体"/>
          <w:sz w:val="32"/>
        </w:rPr>
        <w:t>第四部分 部门决算报表（见附表）</w:t>
      </w:r>
    </w:p>
    <w:p w14:paraId="73245683">
      <w:pPr>
        <w:autoSpaceDE w:val="0"/>
        <w:autoSpaceDN w:val="0"/>
        <w:spacing w:line="600" w:lineRule="exact"/>
        <w:ind w:firstLine="640" w:firstLineChars="200"/>
      </w:pPr>
      <w:r>
        <w:rPr>
          <w:rFonts w:ascii="仿宋_GB2312" w:hAnsi="仿宋_GB2312" w:eastAsia="仿宋_GB2312"/>
          <w:b w:val="0"/>
          <w:sz w:val="32"/>
        </w:rPr>
        <w:t>一、《收入支出决算总表》</w:t>
      </w:r>
    </w:p>
    <w:p w14:paraId="466ECA42">
      <w:pPr>
        <w:autoSpaceDE w:val="0"/>
        <w:autoSpaceDN w:val="0"/>
        <w:spacing w:line="600" w:lineRule="exact"/>
        <w:ind w:firstLine="640" w:firstLineChars="200"/>
      </w:pPr>
      <w:r>
        <w:rPr>
          <w:rFonts w:ascii="仿宋_GB2312" w:hAnsi="仿宋_GB2312" w:eastAsia="仿宋_GB2312"/>
          <w:b w:val="0"/>
          <w:sz w:val="32"/>
        </w:rPr>
        <w:t>二、《收入决算表》</w:t>
      </w:r>
    </w:p>
    <w:p w14:paraId="75E1B048">
      <w:pPr>
        <w:autoSpaceDE w:val="0"/>
        <w:autoSpaceDN w:val="0"/>
        <w:spacing w:line="600" w:lineRule="exact"/>
        <w:ind w:firstLine="640" w:firstLineChars="200"/>
      </w:pPr>
      <w:r>
        <w:rPr>
          <w:rFonts w:ascii="仿宋_GB2312" w:hAnsi="仿宋_GB2312" w:eastAsia="仿宋_GB2312"/>
          <w:b w:val="0"/>
          <w:sz w:val="32"/>
        </w:rPr>
        <w:t>三、《支出决算表》</w:t>
      </w:r>
    </w:p>
    <w:p w14:paraId="59AA2640">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1DD8F2E">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01B2621F">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63F7A86D">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44E33520">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CFB565D">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139881DC">
      <w:pPr>
        <w:autoSpaceDE w:val="0"/>
        <w:autoSpaceDN w:val="0"/>
        <w:spacing w:line="600" w:lineRule="exact"/>
        <w:ind w:firstLine="640" w:firstLineChars="200"/>
      </w:pPr>
    </w:p>
    <w:p w14:paraId="77347074">
      <w:pPr>
        <w:autoSpaceDE w:val="0"/>
        <w:autoSpaceDN w:val="0"/>
        <w:spacing w:line="600" w:lineRule="exact"/>
        <w:ind w:firstLine="640" w:firstLineChars="200"/>
      </w:pPr>
    </w:p>
    <w:p w14:paraId="29D6FFB6">
      <w:pPr>
        <w:autoSpaceDE w:val="0"/>
        <w:autoSpaceDN w:val="0"/>
        <w:spacing w:line="600" w:lineRule="exact"/>
        <w:ind w:firstLine="640" w:firstLineChars="200"/>
      </w:pPr>
    </w:p>
    <w:p w14:paraId="56F1D947">
      <w:pPr>
        <w:autoSpaceDE w:val="0"/>
        <w:autoSpaceDN w:val="0"/>
        <w:spacing w:line="600" w:lineRule="exact"/>
        <w:ind w:firstLine="640" w:firstLineChars="200"/>
      </w:pPr>
    </w:p>
    <w:p w14:paraId="568C35B5">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5731B0-BAD0-4FDF-8A9D-B64057D8F3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2F552277-FE96-41C5-A387-C44F617D150A}"/>
  </w:font>
  <w:font w:name="仿宋_GB2312">
    <w:panose1 w:val="02010609030101010101"/>
    <w:charset w:val="86"/>
    <w:family w:val="modern"/>
    <w:pitch w:val="default"/>
    <w:sig w:usb0="00000001" w:usb1="080E0000" w:usb2="00000000" w:usb3="00000000" w:csb0="00040000" w:csb1="00000000"/>
    <w:embedRegular r:id="rId3" w:fontKey="{49DC05AA-6611-4542-8FD0-F54F5C857EC3}"/>
  </w:font>
  <w:font w:name="楷体_GB2312">
    <w:panose1 w:val="02010609030101010101"/>
    <w:charset w:val="86"/>
    <w:family w:val="auto"/>
    <w:pitch w:val="default"/>
    <w:sig w:usb0="00000001" w:usb1="080E0000" w:usb2="00000000" w:usb3="00000000" w:csb0="00040000" w:csb1="00000000"/>
    <w:embedRegular r:id="rId4" w:fontKey="{EF82F84A-85E7-4AEF-BDF7-BE12D9DF31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0012854"/>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30</Words>
  <Characters>33</Characters>
  <Lines>10</Lines>
  <Paragraphs>2</Paragraphs>
  <TotalTime>7</TotalTime>
  <ScaleCrop>false</ScaleCrop>
  <LinksUpToDate>false</LinksUpToDate>
  <CharactersWithSpaces>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2026-10-15T11:11:00Z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