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中共昌吉回族自治州委员会统一战线工作部</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D4B4C71">
      <w:r>
        <w:br w:type="page"/>
      </w:r>
    </w:p>
    <w:p w14:paraId="16D22EC1">
      <w:pPr>
        <w:spacing w:line="640" w:lineRule="exact"/>
        <w:jc w:val="center"/>
        <w:outlineLvl w:val="1"/>
      </w:pPr>
      <w:r>
        <w:rPr>
          <w:rFonts w:ascii="黑体" w:hAnsi="黑体" w:eastAsia="黑体"/>
          <w:sz w:val="32"/>
        </w:rPr>
        <w:t>第一部分 单位概况</w:t>
      </w:r>
    </w:p>
    <w:p w14:paraId="4F8F5809">
      <w:pPr>
        <w:spacing w:line="640" w:lineRule="exact"/>
        <w:ind w:firstLine="640"/>
        <w:jc w:val="both"/>
        <w:outlineLvl w:val="2"/>
      </w:pPr>
      <w:r>
        <w:rPr>
          <w:rFonts w:ascii="黑体" w:hAnsi="黑体" w:eastAsia="黑体"/>
          <w:sz w:val="32"/>
        </w:rPr>
        <w:t>一、主要职能</w:t>
      </w:r>
    </w:p>
    <w:p w14:paraId="44E575C0">
      <w:pPr>
        <w:spacing w:line="580" w:lineRule="exact"/>
        <w:ind w:firstLine="640"/>
        <w:jc w:val="both"/>
      </w:pPr>
      <w:r>
        <w:rPr>
          <w:rFonts w:ascii="仿宋_GB2312" w:hAnsi="仿宋_GB2312" w:eastAsia="仿宋_GB2312"/>
          <w:sz w:val="32"/>
        </w:rPr>
        <w:t>本单位主要职能SM不予公开。</w:t>
      </w:r>
    </w:p>
    <w:p w14:paraId="3A0ADCDC">
      <w:pPr>
        <w:spacing w:line="640" w:lineRule="exact"/>
        <w:ind w:firstLine="640"/>
        <w:jc w:val="both"/>
        <w:outlineLvl w:val="2"/>
      </w:pPr>
      <w:r>
        <w:rPr>
          <w:rFonts w:ascii="黑体" w:hAnsi="黑体" w:eastAsia="黑体"/>
          <w:sz w:val="32"/>
        </w:rPr>
        <w:t>二、机构设置</w:t>
      </w:r>
    </w:p>
    <w:p w14:paraId="24190BDA">
      <w:pPr>
        <w:spacing w:line="580" w:lineRule="exact"/>
        <w:ind w:firstLine="640"/>
        <w:jc w:val="both"/>
      </w:pPr>
      <w:r>
        <w:rPr>
          <w:rFonts w:ascii="仿宋_GB2312" w:hAnsi="仿宋_GB2312" w:eastAsia="仿宋_GB2312"/>
          <w:sz w:val="32"/>
        </w:rPr>
        <w:t>中共昌吉回族自治州委员会统一战线工作部无下属预算单位。</w:t>
      </w:r>
    </w:p>
    <w:p w14:paraId="5F779202">
      <w:r>
        <w:br w:type="page"/>
      </w:r>
    </w:p>
    <w:p w14:paraId="23D6478E">
      <w:pPr>
        <w:spacing w:line="240" w:lineRule="auto"/>
        <w:jc w:val="center"/>
        <w:outlineLvl w:val="1"/>
      </w:pPr>
      <w:r>
        <w:rPr>
          <w:rFonts w:ascii="黑体" w:hAnsi="黑体" w:eastAsia="黑体"/>
          <w:sz w:val="32"/>
        </w:rPr>
        <w:t>第二部分 部门决算情况说明</w:t>
      </w:r>
    </w:p>
    <w:p w14:paraId="092459A0">
      <w:pPr>
        <w:spacing w:line="640" w:lineRule="exact"/>
        <w:ind w:firstLine="640"/>
        <w:jc w:val="both"/>
        <w:outlineLvl w:val="2"/>
      </w:pPr>
      <w:r>
        <w:rPr>
          <w:rFonts w:ascii="黑体" w:hAnsi="黑体" w:eastAsia="黑体"/>
          <w:sz w:val="32"/>
        </w:rPr>
        <w:t>一、收入支出决算总体情况说明</w:t>
      </w:r>
    </w:p>
    <w:p w14:paraId="0AD0CAB7">
      <w:pPr>
        <w:spacing w:line="580" w:lineRule="exact"/>
        <w:ind w:firstLine="640"/>
        <w:jc w:val="both"/>
      </w:pPr>
      <w:r>
        <w:rPr>
          <w:rFonts w:ascii="仿宋_GB2312" w:hAnsi="仿宋_GB2312" w:eastAsia="仿宋_GB2312"/>
          <w:b/>
          <w:sz w:val="32"/>
        </w:rPr>
        <w:t>2025年度收入总计1,154.75万元，</w:t>
      </w:r>
      <w:r>
        <w:rPr>
          <w:rFonts w:ascii="仿宋_GB2312" w:hAnsi="仿宋_GB2312" w:eastAsia="仿宋_GB2312"/>
          <w:b w:val="0"/>
          <w:sz w:val="32"/>
        </w:rPr>
        <w:t>其中：本年收入合计1,072.04万元，使用非财政拨款结余（含专用结余）0.00万元，年初结转和结余82.71万元。</w:t>
      </w:r>
    </w:p>
    <w:p w14:paraId="0A60654E">
      <w:pPr>
        <w:spacing w:line="580" w:lineRule="exact"/>
        <w:ind w:firstLine="640"/>
        <w:jc w:val="both"/>
      </w:pPr>
      <w:r>
        <w:rPr>
          <w:rFonts w:ascii="仿宋_GB2312" w:hAnsi="仿宋_GB2312" w:eastAsia="仿宋_GB2312"/>
          <w:b/>
          <w:sz w:val="32"/>
        </w:rPr>
        <w:t>2025年度支出总计1,154.75万元，</w:t>
      </w:r>
      <w:r>
        <w:rPr>
          <w:rFonts w:ascii="仿宋_GB2312" w:hAnsi="仿宋_GB2312" w:eastAsia="仿宋_GB2312"/>
          <w:b w:val="0"/>
          <w:sz w:val="32"/>
        </w:rPr>
        <w:t>其中：本年支出合计1,082.11万元，结余分配0.00万元，年末结转和结余72.64万元。</w:t>
      </w:r>
    </w:p>
    <w:p w14:paraId="7CF0A4AF">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减少881.53万元，下降43.29%，主要原因是：本年因机构改革单位拆分，人员减少，相关人员经费较上年减少。本年项目重新核定，州庆活动经费取消，经费较上年减少。</w:t>
      </w:r>
    </w:p>
    <w:p w14:paraId="362335A2">
      <w:pPr>
        <w:spacing w:line="640" w:lineRule="exact"/>
        <w:ind w:firstLine="640"/>
        <w:jc w:val="both"/>
        <w:outlineLvl w:val="2"/>
      </w:pPr>
      <w:r>
        <w:rPr>
          <w:rFonts w:ascii="黑体" w:hAnsi="黑体" w:eastAsia="黑体"/>
          <w:sz w:val="32"/>
        </w:rPr>
        <w:t>二、收入决算情况说明</w:t>
      </w:r>
    </w:p>
    <w:p w14:paraId="1B858E62">
      <w:pPr>
        <w:spacing w:line="580" w:lineRule="exact"/>
        <w:ind w:firstLine="640"/>
        <w:jc w:val="both"/>
      </w:pPr>
      <w:r>
        <w:rPr>
          <w:rFonts w:ascii="仿宋_GB2312" w:hAnsi="仿宋_GB2312" w:eastAsia="仿宋_GB2312"/>
          <w:b/>
          <w:sz w:val="32"/>
        </w:rPr>
        <w:t>本年收入1,072.04万元，</w:t>
      </w:r>
      <w:r>
        <w:rPr>
          <w:rFonts w:ascii="仿宋_GB2312" w:hAnsi="仿宋_GB2312" w:eastAsia="仿宋_GB2312"/>
          <w:b w:val="0"/>
          <w:sz w:val="32"/>
        </w:rPr>
        <w:t>其中：财政拨款收入905.35万元，占84.45%；上级补助收入0.00万元，占0.00%；事业收入0.00万元，占0.00%；经营收入0.00万元，占0.00%；附属单位上缴收入0.00万元，占0.00%；其他收入166.70万元，占15.55%。</w:t>
      </w:r>
    </w:p>
    <w:p w14:paraId="402090D5">
      <w:pPr>
        <w:spacing w:line="640" w:lineRule="exact"/>
        <w:ind w:firstLine="640"/>
        <w:jc w:val="both"/>
        <w:outlineLvl w:val="2"/>
      </w:pPr>
      <w:r>
        <w:rPr>
          <w:rFonts w:ascii="黑体" w:hAnsi="黑体" w:eastAsia="黑体"/>
          <w:sz w:val="32"/>
        </w:rPr>
        <w:t>三、支出决算情况说明</w:t>
      </w:r>
    </w:p>
    <w:p w14:paraId="2DBE7B87">
      <w:pPr>
        <w:spacing w:line="580" w:lineRule="exact"/>
        <w:ind w:firstLine="640"/>
        <w:jc w:val="both"/>
      </w:pPr>
      <w:r>
        <w:rPr>
          <w:rFonts w:ascii="仿宋_GB2312" w:hAnsi="仿宋_GB2312" w:eastAsia="仿宋_GB2312"/>
          <w:b/>
          <w:sz w:val="32"/>
        </w:rPr>
        <w:t>本年支出1,082.11万元，</w:t>
      </w:r>
      <w:r>
        <w:rPr>
          <w:rFonts w:ascii="仿宋_GB2312" w:hAnsi="仿宋_GB2312" w:eastAsia="仿宋_GB2312"/>
          <w:b w:val="0"/>
          <w:sz w:val="32"/>
        </w:rPr>
        <w:t>其中：基本支出679.06万元，占62.75%；项目支出403.05万元，占37.25%；上缴上级支出0.00万元，占0.00%；经营支出0.00万元，占0.00%；对附属单位补助支出0.00万元，占0.00%。</w:t>
      </w:r>
    </w:p>
    <w:p w14:paraId="049B31E5">
      <w:pPr>
        <w:spacing w:line="640" w:lineRule="exact"/>
        <w:ind w:firstLine="640"/>
        <w:jc w:val="both"/>
        <w:outlineLvl w:val="2"/>
      </w:pPr>
      <w:r>
        <w:rPr>
          <w:rFonts w:ascii="黑体" w:hAnsi="黑体" w:eastAsia="黑体"/>
          <w:sz w:val="32"/>
        </w:rPr>
        <w:t>四、财政拨款收入支出决算总体情况说明</w:t>
      </w:r>
    </w:p>
    <w:p w14:paraId="48228DF2">
      <w:pPr>
        <w:spacing w:line="580" w:lineRule="exact"/>
        <w:ind w:firstLine="640"/>
        <w:jc w:val="both"/>
      </w:pPr>
      <w:r>
        <w:rPr>
          <w:rFonts w:ascii="仿宋_GB2312" w:hAnsi="仿宋_GB2312" w:eastAsia="仿宋_GB2312"/>
          <w:b/>
          <w:sz w:val="32"/>
        </w:rPr>
        <w:t>2025年度财政拨款收入总计905.35万元，</w:t>
      </w:r>
      <w:r>
        <w:rPr>
          <w:rFonts w:ascii="仿宋_GB2312" w:hAnsi="仿宋_GB2312" w:eastAsia="仿宋_GB2312"/>
          <w:b w:val="0"/>
          <w:sz w:val="32"/>
        </w:rPr>
        <w:t>其中：年初财政拨款结转和结余0.00万元，本年财政拨款收入905.35万元。</w:t>
      </w:r>
      <w:r>
        <w:rPr>
          <w:rFonts w:ascii="仿宋_GB2312" w:hAnsi="仿宋_GB2312" w:eastAsia="仿宋_GB2312"/>
          <w:b/>
          <w:sz w:val="32"/>
        </w:rPr>
        <w:t>财政拨款支出总计905.35万元，</w:t>
      </w:r>
      <w:r>
        <w:rPr>
          <w:rFonts w:ascii="仿宋_GB2312" w:hAnsi="仿宋_GB2312" w:eastAsia="仿宋_GB2312"/>
          <w:b w:val="0"/>
          <w:sz w:val="32"/>
        </w:rPr>
        <w:t>其中：年末财政拨款结转和结余0.00万元，本年财政拨款支出905.35万元。</w:t>
      </w:r>
    </w:p>
    <w:p w14:paraId="218A7A58">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减少809.53万元，下降47.21%，主要原因是：本年因机构改革单位拆分，人员减少，相关人员经费较上年减少。本年项目重新核定，州庆活动经费取消，经费较上年减少。</w:t>
      </w:r>
      <w:r>
        <w:rPr>
          <w:rFonts w:ascii="仿宋_GB2312" w:hAnsi="仿宋_GB2312" w:eastAsia="仿宋_GB2312"/>
          <w:b/>
          <w:sz w:val="32"/>
        </w:rPr>
        <w:t>与年初预算相比，</w:t>
      </w:r>
      <w:r>
        <w:rPr>
          <w:rFonts w:ascii="仿宋_GB2312" w:hAnsi="仿宋_GB2312" w:eastAsia="仿宋_GB2312"/>
          <w:b w:val="0"/>
          <w:sz w:val="32"/>
        </w:rPr>
        <w:t>年初预算数819.45万元，决算数905.35万元，预决算差异率10.48%，主要原因是：年中追加人员工资、社保、公积金基数调增部分资金，导致预决算存在差异。</w:t>
      </w:r>
    </w:p>
    <w:p w14:paraId="30EFD665">
      <w:pPr>
        <w:spacing w:line="640" w:lineRule="exact"/>
        <w:ind w:firstLine="640"/>
        <w:jc w:val="both"/>
        <w:outlineLvl w:val="2"/>
      </w:pPr>
      <w:r>
        <w:rPr>
          <w:rFonts w:ascii="黑体" w:hAnsi="黑体" w:eastAsia="黑体"/>
          <w:sz w:val="32"/>
        </w:rPr>
        <w:t>五、一般公共预算财政拨款支出决算情况说明</w:t>
      </w:r>
    </w:p>
    <w:p w14:paraId="4F4B7EA9">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265985C0">
      <w:pPr>
        <w:spacing w:line="580" w:lineRule="exact"/>
        <w:ind w:firstLine="640"/>
        <w:jc w:val="both"/>
      </w:pPr>
      <w:r>
        <w:rPr>
          <w:rFonts w:ascii="仿宋_GB2312" w:hAnsi="仿宋_GB2312" w:eastAsia="仿宋_GB2312"/>
          <w:b w:val="0"/>
          <w:sz w:val="32"/>
        </w:rPr>
        <w:t>按照支出功能分类，一般公共服务支出（类）统战事务（款）行政运行（项）的支出占本年财政拨款支出总额的比重最高，2025年度决算数为356.40万元，占比39.37%，主要用于人员工资福利、日常公用经费。</w:t>
      </w:r>
    </w:p>
    <w:p w14:paraId="15672C63">
      <w:pPr>
        <w:spacing w:line="640" w:lineRule="exact"/>
        <w:ind w:firstLine="640"/>
        <w:jc w:val="both"/>
        <w:outlineLvl w:val="3"/>
      </w:pPr>
      <w:r>
        <w:rPr>
          <w:rFonts w:ascii="楷体_GB2312" w:hAnsi="楷体_GB2312" w:eastAsia="楷体_GB2312"/>
          <w:b/>
          <w:sz w:val="32"/>
        </w:rPr>
        <w:t>（一）一般公共预算财政拨款支出决算总体情况</w:t>
      </w:r>
    </w:p>
    <w:p w14:paraId="7A7DE350">
      <w:pPr>
        <w:spacing w:line="580" w:lineRule="exact"/>
        <w:ind w:firstLine="640"/>
        <w:jc w:val="both"/>
      </w:pPr>
      <w:r>
        <w:rPr>
          <w:rFonts w:ascii="仿宋_GB2312" w:hAnsi="仿宋_GB2312" w:eastAsia="仿宋_GB2312"/>
          <w:b/>
          <w:sz w:val="32"/>
        </w:rPr>
        <w:t>2025年度一般公共预算财政拨款支出905.35万元，</w:t>
      </w:r>
      <w:r>
        <w:rPr>
          <w:rFonts w:ascii="仿宋_GB2312" w:hAnsi="仿宋_GB2312" w:eastAsia="仿宋_GB2312"/>
          <w:b w:val="0"/>
          <w:sz w:val="32"/>
        </w:rPr>
        <w:t>占本年支出合计的83.67%。</w:t>
      </w:r>
      <w:r>
        <w:rPr>
          <w:rFonts w:ascii="仿宋_GB2312" w:hAnsi="仿宋_GB2312" w:eastAsia="仿宋_GB2312"/>
          <w:b/>
          <w:sz w:val="32"/>
        </w:rPr>
        <w:t>与上年相比，</w:t>
      </w:r>
      <w:r>
        <w:rPr>
          <w:rFonts w:ascii="仿宋_GB2312" w:hAnsi="仿宋_GB2312" w:eastAsia="仿宋_GB2312"/>
          <w:b w:val="0"/>
          <w:sz w:val="32"/>
        </w:rPr>
        <w:t>减少809.53万元，下降47.21%，主要原因是：本年因机构改革单位拆分，人员减少，相关人员经费较上年减少。本年项目重新核定，州庆活动经费取消，经费较上年减少。</w:t>
      </w:r>
      <w:r>
        <w:rPr>
          <w:rFonts w:ascii="仿宋_GB2312" w:hAnsi="仿宋_GB2312" w:eastAsia="仿宋_GB2312"/>
          <w:b/>
          <w:sz w:val="32"/>
        </w:rPr>
        <w:t>与年初预算相比，</w:t>
      </w:r>
      <w:r>
        <w:rPr>
          <w:rFonts w:ascii="仿宋_GB2312" w:hAnsi="仿宋_GB2312" w:eastAsia="仿宋_GB2312"/>
          <w:b w:val="0"/>
          <w:sz w:val="32"/>
        </w:rPr>
        <w:t>年初预算数819.45万元，决算数905.35万元，预决算差异率10.48%，主要原因是：年中追加人员工资、社保、公积金基数调增部分资金，导致预决算存在差异。</w:t>
      </w:r>
    </w:p>
    <w:p w14:paraId="628B3139">
      <w:pPr>
        <w:spacing w:line="640" w:lineRule="exact"/>
        <w:ind w:firstLine="640"/>
        <w:jc w:val="both"/>
        <w:outlineLvl w:val="3"/>
      </w:pPr>
      <w:r>
        <w:rPr>
          <w:rFonts w:ascii="楷体_GB2312" w:hAnsi="楷体_GB2312" w:eastAsia="楷体_GB2312"/>
          <w:b/>
          <w:sz w:val="32"/>
        </w:rPr>
        <w:t>（二）一般公共预算财政拨款支出决算结构情况</w:t>
      </w:r>
    </w:p>
    <w:p w14:paraId="6E802A5A">
      <w:pPr>
        <w:spacing w:line="580" w:lineRule="exact"/>
        <w:ind w:firstLine="640"/>
        <w:jc w:val="both"/>
      </w:pPr>
      <w:r>
        <w:rPr>
          <w:rFonts w:ascii="仿宋_GB2312" w:hAnsi="仿宋_GB2312" w:eastAsia="仿宋_GB2312"/>
          <w:b w:val="0"/>
          <w:sz w:val="32"/>
        </w:rPr>
        <w:t>1.一般公共服务支出（类）726.69万元，占80.27%。</w:t>
      </w:r>
    </w:p>
    <w:p w14:paraId="733BBD81">
      <w:pPr>
        <w:spacing w:line="580" w:lineRule="exact"/>
        <w:ind w:firstLine="640"/>
        <w:jc w:val="both"/>
      </w:pPr>
      <w:r>
        <w:rPr>
          <w:rFonts w:ascii="仿宋_GB2312" w:hAnsi="仿宋_GB2312" w:eastAsia="仿宋_GB2312"/>
          <w:b w:val="0"/>
          <w:sz w:val="32"/>
        </w:rPr>
        <w:t>2.社会保障和就业支出（类）103.40万元，占11.42%。</w:t>
      </w:r>
    </w:p>
    <w:p w14:paraId="21B1B9D8">
      <w:pPr>
        <w:spacing w:line="580" w:lineRule="exact"/>
        <w:ind w:firstLine="640"/>
        <w:jc w:val="both"/>
      </w:pPr>
      <w:r>
        <w:rPr>
          <w:rFonts w:ascii="仿宋_GB2312" w:hAnsi="仿宋_GB2312" w:eastAsia="仿宋_GB2312"/>
          <w:b w:val="0"/>
          <w:sz w:val="32"/>
        </w:rPr>
        <w:t>3.卫生健康支出（类）36.46万元，占4.03%。</w:t>
      </w:r>
    </w:p>
    <w:p w14:paraId="1E3E5B5F">
      <w:pPr>
        <w:spacing w:line="580" w:lineRule="exact"/>
        <w:ind w:firstLine="640"/>
        <w:jc w:val="both"/>
      </w:pPr>
      <w:r>
        <w:rPr>
          <w:rFonts w:ascii="仿宋_GB2312" w:hAnsi="仿宋_GB2312" w:eastAsia="仿宋_GB2312"/>
          <w:b w:val="0"/>
          <w:sz w:val="32"/>
        </w:rPr>
        <w:t>4.住房保障支出（类）38.80万元，占4.29%。</w:t>
      </w:r>
    </w:p>
    <w:p w14:paraId="52DB34C9">
      <w:pPr>
        <w:spacing w:line="640" w:lineRule="exact"/>
        <w:ind w:firstLine="640"/>
        <w:jc w:val="both"/>
        <w:outlineLvl w:val="3"/>
      </w:pPr>
      <w:r>
        <w:rPr>
          <w:rFonts w:ascii="楷体_GB2312" w:hAnsi="楷体_GB2312" w:eastAsia="楷体_GB2312"/>
          <w:b/>
          <w:sz w:val="32"/>
        </w:rPr>
        <w:t>（三）一般公共预算财政拨款支出决算具体情况</w:t>
      </w:r>
    </w:p>
    <w:p w14:paraId="4E25A296">
      <w:pPr>
        <w:spacing w:line="580" w:lineRule="exact"/>
        <w:ind w:firstLine="640"/>
        <w:jc w:val="both"/>
      </w:pPr>
      <w:r>
        <w:rPr>
          <w:rFonts w:ascii="仿宋_GB2312" w:hAnsi="仿宋_GB2312" w:eastAsia="仿宋_GB2312"/>
          <w:b w:val="0"/>
          <w:sz w:val="32"/>
        </w:rPr>
        <w:t>1.一般公共服务支出（类）民族事务（款）一般行政管理事务（项）：支出决算数为0.00万元，比上年决算减少36.15万元，下降100.00%，主要原因是：本年减少州民委开办经费，导致经费支出减少。</w:t>
      </w:r>
    </w:p>
    <w:p w14:paraId="4C6E7B6C">
      <w:pPr>
        <w:spacing w:line="580" w:lineRule="exact"/>
        <w:ind w:firstLine="640"/>
        <w:jc w:val="both"/>
      </w:pPr>
      <w:r>
        <w:rPr>
          <w:rFonts w:ascii="仿宋_GB2312" w:hAnsi="仿宋_GB2312" w:eastAsia="仿宋_GB2312"/>
          <w:b w:val="0"/>
          <w:sz w:val="32"/>
        </w:rPr>
        <w:t>2.一般公共服务支出（类）统战事务（款）行政运行（项）：支出决算数为356.40万元，比上年决算减少146.90万元，下降29.19%，主要原因是：本年因机构改革单位拆分，人员减少，相关人员经费较上年减少。</w:t>
      </w:r>
    </w:p>
    <w:p w14:paraId="2574A7B4">
      <w:pPr>
        <w:spacing w:line="580" w:lineRule="exact"/>
        <w:ind w:firstLine="640"/>
        <w:jc w:val="both"/>
      </w:pPr>
      <w:r>
        <w:rPr>
          <w:rFonts w:ascii="仿宋_GB2312" w:hAnsi="仿宋_GB2312" w:eastAsia="仿宋_GB2312"/>
          <w:b w:val="0"/>
          <w:sz w:val="32"/>
        </w:rPr>
        <w:t>3.一般公共服务支出（类）统战事务（款）一般行政管理事务（项）：支出决算数为213.44万元，比上年决算增加12.28万元，增长6.10%，主要原因是：本年机关运行补助经费较上年增加。</w:t>
      </w:r>
    </w:p>
    <w:p w14:paraId="1AC0DFFB">
      <w:pPr>
        <w:spacing w:line="580" w:lineRule="exact"/>
        <w:ind w:firstLine="640"/>
        <w:jc w:val="both"/>
      </w:pPr>
      <w:r>
        <w:rPr>
          <w:rFonts w:ascii="仿宋_GB2312" w:hAnsi="仿宋_GB2312" w:eastAsia="仿宋_GB2312"/>
          <w:b w:val="0"/>
          <w:sz w:val="32"/>
        </w:rPr>
        <w:t>4.一般公共服务支出（类）统战事务（款）事业运行（项）：支出决算数为144.01万元，比上年决算减少12.72万元，下降8.12%，主要原因是：本年因机构改革单位拆分，人员减少，相关人员经费较上年减少。</w:t>
      </w:r>
    </w:p>
    <w:p w14:paraId="56FA6BA0">
      <w:pPr>
        <w:spacing w:line="580" w:lineRule="exact"/>
        <w:ind w:firstLine="640"/>
        <w:jc w:val="both"/>
      </w:pPr>
      <w:r>
        <w:rPr>
          <w:rFonts w:ascii="仿宋_GB2312" w:hAnsi="仿宋_GB2312" w:eastAsia="仿宋_GB2312"/>
          <w:b w:val="0"/>
          <w:sz w:val="32"/>
        </w:rPr>
        <w:t>5.一般公共服务支出（类）统战事务（款）其他统战事务支出（项）：支出决算数为12.85万元，比上年决算减少547.90万元，下降97.71%，主要原因是：本年因机构改革单位拆分，项目重新核定，州庆活动经费取消，经费较上年减少。</w:t>
      </w:r>
    </w:p>
    <w:p w14:paraId="34D46B7F">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6.社会保障和就业支出（类）行政事业单位养老支出（款）行政单位离退休（项）：支出决算数为31.80万元，比上年决算增加8.13万元，增长34.35%，主要原因是：本年增加退休人员基础绩效奖，退休费支出增加。</w:t>
      </w:r>
    </w:p>
    <w:p w14:paraId="080C21ED">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47.73万元，比上年决算减少23.11万元，下降32.62%，主要原因是：本年因单位机构改革单位拆分，人员减少，机关事业单位基本养老保险缴费支出较上年减少。</w:t>
      </w:r>
    </w:p>
    <w:p w14:paraId="7664FE41">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23.86万元，比上年决算减少34.72万元，下降59.27%，主要原因是：本年因单位机构改革单位拆分，人员减少，机关事业单位职业年金缴费支出较上年减少。</w:t>
      </w:r>
    </w:p>
    <w:p w14:paraId="475EA7DC">
      <w:pPr>
        <w:spacing w:line="580" w:lineRule="exact"/>
        <w:ind w:firstLine="640"/>
        <w:jc w:val="both"/>
      </w:pPr>
      <w:r>
        <w:rPr>
          <w:rFonts w:ascii="仿宋_GB2312" w:hAnsi="仿宋_GB2312" w:eastAsia="仿宋_GB2312"/>
          <w:b w:val="0"/>
          <w:sz w:val="32"/>
        </w:rPr>
        <w:t>9.卫生健康支出（类）行政事业单位医疗（款）行政单位医疗（项）：支出决算数为20.48万元，比上年决算减少4.44万元，下降17.82%，主要原因是：本年因单位机构改革单位拆分，人员减少，行政单位医疗较上年减少。</w:t>
      </w:r>
    </w:p>
    <w:p w14:paraId="27E1CF4D">
      <w:pPr>
        <w:spacing w:line="580" w:lineRule="exact"/>
        <w:ind w:firstLine="640"/>
        <w:jc w:val="both"/>
      </w:pPr>
      <w:r>
        <w:rPr>
          <w:rFonts w:ascii="仿宋_GB2312" w:hAnsi="仿宋_GB2312" w:eastAsia="仿宋_GB2312"/>
          <w:b w:val="0"/>
          <w:sz w:val="32"/>
        </w:rPr>
        <w:t>10.卫生健康支出（类）行政事业单位医疗（款）事业单位医疗（项）：支出决算数为4.93万元，比上年决算减少9.06万元，下降64.76%，主要原因是：本年因单位机构改革单位拆分，人员减少，事业单位医疗较上年减少。</w:t>
      </w:r>
    </w:p>
    <w:p w14:paraId="71C9B2C5">
      <w:pPr>
        <w:spacing w:line="580" w:lineRule="exact"/>
        <w:ind w:firstLine="640"/>
        <w:jc w:val="both"/>
      </w:pPr>
      <w:r>
        <w:rPr>
          <w:rFonts w:ascii="仿宋_GB2312" w:hAnsi="仿宋_GB2312" w:eastAsia="仿宋_GB2312"/>
          <w:b w:val="0"/>
          <w:sz w:val="32"/>
        </w:rPr>
        <w:t>11.卫生健康支出（类）行政事业单位医疗（款）公务员医疗补助（项）：支出决算数为10.70万元，比上年决算增加8.49万元，增长384.16%，主要原因是：本年在职人员工资基数调增，医疗缴费基数上涨，相应支出增加。</w:t>
      </w:r>
    </w:p>
    <w:p w14:paraId="0D0BCB39">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0.34万元，比上年决算减少0.09万元，下降20.93%，主要原因是：本年因机构改革单位拆分，人员减少，大病医疗保险支出较上年减少。</w:t>
      </w:r>
    </w:p>
    <w:p w14:paraId="3365455A">
      <w:pPr>
        <w:spacing w:line="580" w:lineRule="exact"/>
        <w:ind w:firstLine="640"/>
        <w:jc w:val="both"/>
      </w:pPr>
      <w:r>
        <w:rPr>
          <w:rFonts w:ascii="仿宋_GB2312" w:hAnsi="仿宋_GB2312" w:eastAsia="仿宋_GB2312"/>
          <w:b w:val="0"/>
          <w:sz w:val="32"/>
        </w:rPr>
        <w:t>13.住房保障支出（类）住房改革支出（款）住房公积金（项）：支出决算数为38.80万元，比上年决算减少18.06万元，下降31.76%，主要原因是：本年因机构改革单位拆分，人员减少，住房公积金较上年减少。</w:t>
      </w:r>
    </w:p>
    <w:p w14:paraId="107782C0">
      <w:pPr>
        <w:spacing w:line="580" w:lineRule="exact"/>
        <w:ind w:firstLine="640"/>
        <w:jc w:val="both"/>
      </w:pPr>
      <w:r>
        <w:rPr>
          <w:rFonts w:ascii="仿宋_GB2312" w:hAnsi="仿宋_GB2312" w:eastAsia="仿宋_GB2312"/>
          <w:b w:val="0"/>
          <w:sz w:val="32"/>
        </w:rPr>
        <w:t>14.其他支出（类）其他支出（款）其他支出（项）：支出决算数为0.00万元，比上年决算减少5.28万元，下降100.00%，主要原因是：本年减少为民办实事工作经费，导致经费支出减少。</w:t>
      </w:r>
    </w:p>
    <w:p w14:paraId="204943E8">
      <w:pPr>
        <w:spacing w:line="640" w:lineRule="exact"/>
        <w:ind w:firstLine="640"/>
        <w:jc w:val="both"/>
        <w:outlineLvl w:val="2"/>
      </w:pPr>
      <w:r>
        <w:rPr>
          <w:rFonts w:ascii="黑体" w:hAnsi="黑体" w:eastAsia="黑体"/>
          <w:sz w:val="32"/>
        </w:rPr>
        <w:t>六、一般公共预算财政拨款基本支出决算情况说明</w:t>
      </w:r>
    </w:p>
    <w:p w14:paraId="0071D067">
      <w:pPr>
        <w:spacing w:line="580" w:lineRule="exact"/>
        <w:ind w:firstLine="640"/>
        <w:jc w:val="both"/>
      </w:pPr>
      <w:r>
        <w:rPr>
          <w:rFonts w:ascii="仿宋_GB2312" w:hAnsi="仿宋_GB2312" w:eastAsia="仿宋_GB2312"/>
          <w:b w:val="0"/>
          <w:sz w:val="32"/>
        </w:rPr>
        <w:t>2025年度一般公共预算财政拨款基本支出679.06万元，其中：</w:t>
      </w:r>
      <w:r>
        <w:rPr>
          <w:rFonts w:ascii="仿宋_GB2312" w:hAnsi="仿宋_GB2312" w:eastAsia="仿宋_GB2312"/>
          <w:b/>
          <w:sz w:val="32"/>
        </w:rPr>
        <w:t>人员经费586.63万元，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169A23B7">
      <w:pPr>
        <w:spacing w:line="580" w:lineRule="exact"/>
        <w:ind w:firstLine="640"/>
        <w:jc w:val="both"/>
      </w:pPr>
      <w:r>
        <w:rPr>
          <w:rFonts w:ascii="仿宋_GB2312" w:hAnsi="仿宋_GB2312" w:eastAsia="仿宋_GB2312"/>
          <w:b/>
          <w:sz w:val="32"/>
        </w:rPr>
        <w:t>公用经费92.44万元，</w:t>
      </w:r>
      <w:r>
        <w:rPr>
          <w:rFonts w:ascii="仿宋_GB2312" w:hAnsi="仿宋_GB2312" w:eastAsia="仿宋_GB2312"/>
          <w:b w:val="0"/>
          <w:sz w:val="32"/>
        </w:rPr>
        <w:t>包括：办公费、印刷费、水费、电费、邮电费、取暖费、差旅费、维修（护）费、培训费、公务接待费、劳务费、委托业务费、工会经费、福利费、公务用车运行维护费、其他商品和服务支出。</w:t>
      </w:r>
    </w:p>
    <w:p w14:paraId="5065F8E2">
      <w:pPr>
        <w:spacing w:line="640" w:lineRule="exact"/>
        <w:ind w:firstLine="640"/>
        <w:jc w:val="both"/>
        <w:outlineLvl w:val="2"/>
      </w:pPr>
      <w:r>
        <w:rPr>
          <w:rFonts w:ascii="黑体" w:hAnsi="黑体" w:eastAsia="黑体"/>
          <w:sz w:val="32"/>
        </w:rPr>
        <w:t>七、政府性基金预算财政拨款收入支出决算情况说明</w:t>
      </w:r>
    </w:p>
    <w:p w14:paraId="2248AC75">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BC9E4E7">
      <w:pPr>
        <w:spacing w:line="640" w:lineRule="exact"/>
        <w:ind w:firstLine="640"/>
        <w:jc w:val="both"/>
        <w:outlineLvl w:val="2"/>
      </w:pPr>
      <w:r>
        <w:rPr>
          <w:rFonts w:ascii="黑体" w:hAnsi="黑体" w:eastAsia="黑体"/>
          <w:sz w:val="32"/>
        </w:rPr>
        <w:t>八、国有资本经营预算财政拨款收入支出决算情况说明</w:t>
      </w:r>
    </w:p>
    <w:p w14:paraId="1D733BBA">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9412B13">
      <w:pPr>
        <w:spacing w:line="640" w:lineRule="exact"/>
        <w:ind w:firstLine="640"/>
        <w:jc w:val="both"/>
        <w:outlineLvl w:val="2"/>
      </w:pPr>
      <w:r>
        <w:rPr>
          <w:rFonts w:ascii="黑体" w:hAnsi="黑体" w:eastAsia="黑体"/>
          <w:sz w:val="32"/>
        </w:rPr>
        <w:t>九、财政拨款“三公”经费支出决算情况说明</w:t>
      </w:r>
    </w:p>
    <w:p w14:paraId="6CF9FA8E">
      <w:pPr>
        <w:spacing w:line="580" w:lineRule="exact"/>
        <w:ind w:firstLine="640"/>
        <w:jc w:val="both"/>
      </w:pPr>
      <w:r>
        <w:rPr>
          <w:rFonts w:ascii="仿宋_GB2312" w:hAnsi="仿宋_GB2312" w:eastAsia="仿宋_GB2312"/>
          <w:b/>
          <w:sz w:val="32"/>
        </w:rPr>
        <w:t>2025年度财政拨款“三公”经费支出8.85万元，</w:t>
      </w:r>
      <w:r>
        <w:rPr>
          <w:rFonts w:ascii="仿宋_GB2312" w:hAnsi="仿宋_GB2312" w:eastAsia="仿宋_GB2312"/>
          <w:b w:val="0"/>
          <w:sz w:val="32"/>
        </w:rPr>
        <w:t>比上年减少4.34万元，下降32.90%，主要原因是：本年因单位机构改革单位拆分，公务用车购置及运行维护费、公务接待费较上年减少。其中：因公出国（境）费用支出0.00万元，占0.00%，比上年增加0.00万元，增长0.00%，主要原因是：2024年与2025年均无因公出国（境）费用支出。公务用车购置及运行维护费支出8.35万元，占94.35%，比上年减少3.70万元，下降30.71%，主要原因是：本年因单位机构改革单位拆分，公务用车购置及运行维护费较上年减少。公务接待费支出0.50万元，占5.65%，比上年减少0.64万元，下降56.14%，主要原因是：本年因单位机构改革单位拆分，公务接待费较上年减少。</w:t>
      </w:r>
    </w:p>
    <w:p w14:paraId="58609379">
      <w:pPr>
        <w:spacing w:line="580" w:lineRule="exact"/>
        <w:ind w:firstLine="640"/>
        <w:jc w:val="both"/>
      </w:pPr>
      <w:r>
        <w:rPr>
          <w:rFonts w:ascii="仿宋_GB2312" w:hAnsi="仿宋_GB2312" w:eastAsia="仿宋_GB2312"/>
          <w:b/>
          <w:sz w:val="32"/>
        </w:rPr>
        <w:t>具体情况如下：</w:t>
      </w:r>
    </w:p>
    <w:p w14:paraId="71F197E4">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013FF405">
      <w:pPr>
        <w:spacing w:line="580" w:lineRule="exact"/>
        <w:ind w:firstLine="640"/>
        <w:jc w:val="both"/>
      </w:pPr>
      <w:r>
        <w:rPr>
          <w:rFonts w:ascii="仿宋_GB2312" w:hAnsi="仿宋_GB2312" w:eastAsia="仿宋_GB2312"/>
          <w:b w:val="0"/>
          <w:sz w:val="32"/>
        </w:rPr>
        <w:t>公务用车购置及运行维护费8.35万元，其中：公务用车购置费0.00万元，公务用车运行维护费8.35万元。公务用车运行维护费开支内容包括车辆加油费、维修费、保险费、审车费、过路费等。公务用车购置数0辆，公务用车保有量2辆。国有资产占用情况中固定资产车辆1辆，与公务用车保有量差异原因是：借用其他单位车辆，车辆费用由本单位财政拨款公务用车运行维护费支付。</w:t>
      </w:r>
    </w:p>
    <w:p w14:paraId="6EBE9C3C">
      <w:pPr>
        <w:spacing w:line="580" w:lineRule="exact"/>
        <w:ind w:firstLine="640"/>
        <w:jc w:val="both"/>
      </w:pPr>
      <w:r>
        <w:rPr>
          <w:rFonts w:ascii="仿宋_GB2312" w:hAnsi="仿宋_GB2312" w:eastAsia="仿宋_GB2312"/>
          <w:b w:val="0"/>
          <w:sz w:val="32"/>
        </w:rPr>
        <w:t>公务接待费0.50万元，开支内容包括因民族文化宫展览馆、福建省民宗厅、自治区统战部工作小组考察产生的就餐费。单位全年安排的国内公务接待5批次，50人次。</w:t>
      </w:r>
    </w:p>
    <w:p w14:paraId="1EE17032">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8.85万元，决算数8.85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8.35万元，决算数8.35万元，预决算差异率0.00%，主要原因是：严格按照预算执行，预决算无差异。公务接待费全年预算数0.50万元，决算数0.50万元，预决算差异率0.00%，主要原因是：严格按照预算执行，预决算无差异。</w:t>
      </w:r>
    </w:p>
    <w:p w14:paraId="67A72781">
      <w:pPr>
        <w:spacing w:line="640" w:lineRule="exact"/>
        <w:ind w:firstLine="640"/>
        <w:jc w:val="both"/>
        <w:outlineLvl w:val="2"/>
      </w:pPr>
      <w:r>
        <w:rPr>
          <w:rFonts w:ascii="黑体" w:hAnsi="黑体" w:eastAsia="黑体"/>
          <w:sz w:val="32"/>
        </w:rPr>
        <w:t>十、其他重要事项的情况说明</w:t>
      </w:r>
    </w:p>
    <w:p w14:paraId="6E0218DC">
      <w:pPr>
        <w:spacing w:line="640" w:lineRule="exact"/>
        <w:ind w:firstLine="640"/>
        <w:jc w:val="both"/>
        <w:outlineLvl w:val="3"/>
      </w:pPr>
      <w:r>
        <w:rPr>
          <w:rFonts w:ascii="楷体_GB2312" w:hAnsi="楷体_GB2312" w:eastAsia="楷体_GB2312"/>
          <w:b/>
          <w:sz w:val="32"/>
        </w:rPr>
        <w:t>（一）机关运行经费及公用经费支出情况</w:t>
      </w:r>
    </w:p>
    <w:p w14:paraId="241273AB">
      <w:pPr>
        <w:spacing w:line="580" w:lineRule="exact"/>
        <w:ind w:firstLine="640"/>
        <w:jc w:val="both"/>
      </w:pPr>
      <w:r>
        <w:rPr>
          <w:rFonts w:ascii="仿宋_GB2312" w:hAnsi="仿宋_GB2312" w:eastAsia="仿宋_GB2312"/>
          <w:b w:val="0"/>
          <w:sz w:val="32"/>
        </w:rPr>
        <w:t>2025年度中共昌吉回族自治州委员会统一战线工作部（行政单位和参照公务员法管理事业单位）机关运行经费支出92.44万元，比上年增加2.62万元，增长2.92%，主要原因是：本年更新、维护补充办公用品，导致机关运行经费较上年增加。</w:t>
      </w:r>
    </w:p>
    <w:p w14:paraId="1D681D5A">
      <w:pPr>
        <w:spacing w:line="640" w:lineRule="exact"/>
        <w:ind w:firstLine="640"/>
        <w:jc w:val="both"/>
        <w:outlineLvl w:val="3"/>
      </w:pPr>
      <w:r>
        <w:rPr>
          <w:rFonts w:ascii="楷体_GB2312" w:hAnsi="楷体_GB2312" w:eastAsia="楷体_GB2312"/>
          <w:b/>
          <w:sz w:val="32"/>
        </w:rPr>
        <w:t>（二）政府采购情况</w:t>
      </w:r>
    </w:p>
    <w:p w14:paraId="70AD7985">
      <w:pPr>
        <w:spacing w:line="580" w:lineRule="exact"/>
        <w:ind w:firstLine="640"/>
        <w:jc w:val="both"/>
      </w:pPr>
      <w:r>
        <w:rPr>
          <w:rFonts w:ascii="仿宋_GB2312" w:hAnsi="仿宋_GB2312" w:eastAsia="仿宋_GB2312"/>
          <w:b w:val="0"/>
          <w:sz w:val="32"/>
        </w:rPr>
        <w:t>2025年度政府采购支出总额194.96万元，其中：政府采购货物支出51.45万元、政府采购工程支出0.00万元、政府采购服务支出143.51万元。</w:t>
      </w:r>
    </w:p>
    <w:p w14:paraId="2B1F6603">
      <w:pPr>
        <w:spacing w:line="580" w:lineRule="exact"/>
        <w:ind w:firstLine="640"/>
        <w:jc w:val="both"/>
      </w:pPr>
      <w:r>
        <w:rPr>
          <w:rFonts w:ascii="仿宋_GB2312" w:hAnsi="仿宋_GB2312" w:eastAsia="仿宋_GB2312"/>
          <w:b w:val="0"/>
          <w:sz w:val="32"/>
        </w:rPr>
        <w:t>授予中小企业合同金额194.96万元，占政府采购支出总额的100.00%，其中：授予小微企业合同金额194.96万元，占政府采购支出总额的100.00%。</w:t>
      </w:r>
    </w:p>
    <w:p w14:paraId="7FFED6F5">
      <w:pPr>
        <w:spacing w:line="640" w:lineRule="exact"/>
        <w:ind w:firstLine="640"/>
        <w:jc w:val="both"/>
        <w:outlineLvl w:val="3"/>
      </w:pPr>
      <w:r>
        <w:rPr>
          <w:rFonts w:ascii="楷体_GB2312" w:hAnsi="楷体_GB2312" w:eastAsia="楷体_GB2312"/>
          <w:b/>
          <w:sz w:val="32"/>
        </w:rPr>
        <w:t>（三）国有资产占用情况说明</w:t>
      </w:r>
    </w:p>
    <w:p w14:paraId="3A9CEAE8">
      <w:pPr>
        <w:spacing w:line="580" w:lineRule="exact"/>
        <w:ind w:firstLine="640"/>
        <w:jc w:val="both"/>
      </w:pPr>
      <w:r>
        <w:rPr>
          <w:rFonts w:ascii="仿宋_GB2312" w:hAnsi="仿宋_GB2312" w:eastAsia="仿宋_GB2312"/>
          <w:b w:val="0"/>
          <w:sz w:val="32"/>
        </w:rPr>
        <w:t>截至2025年12月31日，房屋90.00平方米，价值0.99万元。车辆1辆，价值24.98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438DFCDE">
      <w:pPr>
        <w:spacing w:line="640" w:lineRule="exact"/>
        <w:ind w:firstLine="640"/>
        <w:jc w:val="both"/>
        <w:outlineLvl w:val="2"/>
      </w:pPr>
      <w:r>
        <w:rPr>
          <w:rFonts w:ascii="黑体" w:hAnsi="黑体" w:eastAsia="黑体"/>
          <w:sz w:val="32"/>
        </w:rPr>
        <w:t>十一、预算绩效的情况说明</w:t>
      </w:r>
    </w:p>
    <w:p w14:paraId="421E858E">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1,154.75万元，实际执行总额1,082.11万元；预算绩效评价项目1个，全年预算数133.49万元，全年执行数129.55万元。预算绩效管理取得的成效：一是确保活动有序高效推进、成效显著，组织方面，坚持精准施策，前期广泛征求统战各界代表意见，科学筛选参访人员，结合昌吉州统战工作实际需求，精准对接北京、福建两地相关单位，精心规划参访路线和活动内容，兼顾学习性、实践性与融情性，确保交流活动贴合工作需求、贴合代表实际。管理方面，建立健全专人负责、分工协作的工作机制，明确各环节责任分工，提前开展安全、纪律等岗前培训，全程做好活动组织协调、服务保障和过程管控，及时解决活动中出现的各类问题，保障活动顺利开展；二是资金管理方面，严格执行经费使用相关规定，实行经费预算细化管控，专款专用、专款专管，建立经费使用台账，定期核对支出明细，杜绝违规使用情况，确保每一笔经费都用在实处，实现资金使用效益最大化，为项目高效实施提供了坚实保障。发现的问题及原因：一是交流学习的深度不足，成果转化效率有待提升。项目实施过程中，虽组织开展了实地参访、座谈交流等活动，但多数交流仍停留在“参观看、听介绍”的表层面，针对两地先进统战工作模式、民族团结创建具体举措的深度研讨不够充分，部分代表未能结合自身工作实际深入提问、交流探讨，导致对先进经验的理解不够透彻。同时，项目结束后未建立完善的成果转化跟踪机制，缺乏对参访代表学习成果的后续督促和指导，部分学到的先进做法未能及时结合昌吉州统战工作实际进行优化调整，难以快速转化为推动本地统战工作提质增效的具体举措。分析原因，主要是前期活动方案设计时，对交流深度的重视程度不足，未明确设置针对性的深度研讨环节和成果转化要求；同时，对参访代表的前期引导不够，部分代表缺乏主动交流、主动转化的意识，且后续跟踪问效机制不健全，未能形成“学习—研讨—转化—落实”的闭环管理。二是参访人员结构不够均衡，交流覆盖面存在局限。本次交流活动参访代表虽涵盖统战各界，但在人员结构分配上仍存在不合理之处，机关单位统战工作人员占比偏高，各层人士等基层一线统战代表占比相对较低，部分基层统战工作者和一线代表未能获得参与交流学习的机会。此外，参访代表的年龄、专业结构不够合理，青年代表和具备专业统战工作能力的代表占比不足，导致交流过程中难以充分兼顾不同领域、不同群体的统战工作需求，交流成果的辐射范围受到限制。分析原因，主要是前期人员筛选时，对“各界代表”的覆盖面考量不够全面，过于侧重机关单位工作人员的参与，对基层一线、不同领域代表的兼顾不足；同时，受经费预算、行程安排等客观因素限制，参访人数有限，只能优先安排机关核心工作人员，导致基层一线代表参与机会较少，难以实现交流学习的全面覆盖。下一步改进措施：一是针对交流学习深度不足、成果转化效率不高的问题，建议优化活动方案设计，强化成果转化闭环管理。在后续活动策划中，增加深度研讨环节，围绕昌吉州统战工作难点、重点问题，提前确定研讨议题，组织参访代表与北京、福建两地相关负责人、业务骨干开展一对一、点对点的精准交流，鼓励代表结合自身工作实际提问探讨，确保对先进经验学深悟透。同时，建立完善的成果转化跟踪机制，项目结束后，组织参访代表撰写学习心得和成果转化方案，明确转化目标、具体举措和完成时限；安排专人负责跟踪督促，定期召开成果转化推进会，对转化过程中遇到的问题及时协调解决，推动学到的先进经验与昌吉州统战工作实际深度结合，切实将学习成果转化为推动工作的具体成效；二是针对参访人员结构不均衡、交流覆盖面有限的问题，建议优化人员筛选机制，扩大交流覆盖面。后续组织此类活动时，合理分配参访人员比例，适当降低机关单位工作人员占比，重点增加各阶层人士等基层一线统战代表的名额，确保各领域、各层面统战代表都能获得交流学习机会。同时，兼顾年龄、专业结构，注重选拔青年统战工作者和具备专业能力的代表参与，充分发挥青年代表的活力和专业代表的优势。此外，可通过线上同步直播、学习资料共享等方式，让未能参与实地交流的基层代表也能学习相关经验，进一步扩大交流成果的辐射范围，切实现全员受益。具体附整体支出绩效自评表、项目支出绩效自评表及项目支出绩效评价报告。</w:t>
      </w:r>
    </w:p>
    <w:p w14:paraId="27A53996">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362B5DB1">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D792ED3">
            <w:pPr>
              <w:spacing w:before="0" w:after="0" w:line="240" w:lineRule="auto"/>
              <w:jc w:val="center"/>
            </w:pPr>
            <w:r>
              <w:rPr>
                <w:rFonts w:ascii="宋体" w:hAnsi="宋体" w:eastAsia="宋体" w:cs="宋体"/>
                <w:b w:val="0"/>
                <w:i w:val="0"/>
                <w:sz w:val="18"/>
              </w:rPr>
              <w:t>部门（单位）整体支出绩效目标自评表</w:t>
            </w:r>
          </w:p>
        </w:tc>
      </w:tr>
      <w:tr w14:paraId="4E4DADF6">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474B1A7">
            <w:pPr>
              <w:spacing w:before="0" w:after="0" w:line="240" w:lineRule="auto"/>
              <w:jc w:val="center"/>
            </w:pPr>
            <w:r>
              <w:rPr>
                <w:rFonts w:ascii="宋体" w:hAnsi="宋体" w:eastAsia="宋体" w:cs="宋体"/>
                <w:b w:val="0"/>
                <w:i w:val="0"/>
                <w:sz w:val="18"/>
              </w:rPr>
              <w:t>（2025年度）</w:t>
            </w:r>
          </w:p>
        </w:tc>
      </w:tr>
      <w:tr w14:paraId="3E4F1DF6">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8D6C8B">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4A0E8A6">
            <w:pPr>
              <w:spacing w:before="0" w:after="0" w:line="240" w:lineRule="auto"/>
              <w:jc w:val="center"/>
            </w:pPr>
            <w:r>
              <w:rPr>
                <w:rFonts w:ascii="宋体" w:hAnsi="宋体" w:eastAsia="宋体" w:cs="宋体"/>
                <w:b w:val="0"/>
                <w:i w:val="0"/>
                <w:sz w:val="18"/>
              </w:rPr>
              <w:t>中共昌吉回族自治州委员会统一战线工作部</w:t>
            </w:r>
          </w:p>
        </w:tc>
      </w:tr>
      <w:tr w14:paraId="2E993884">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FAB830">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5CB70E">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A343D4">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BB04B0">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09AFAD">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9EB824">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D6E5BA">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C229CC">
            <w:pPr>
              <w:spacing w:before="0" w:after="0" w:line="240" w:lineRule="auto"/>
              <w:jc w:val="center"/>
            </w:pPr>
            <w:r>
              <w:rPr>
                <w:rFonts w:ascii="宋体" w:hAnsi="宋体" w:eastAsia="宋体" w:cs="宋体"/>
                <w:b w:val="0"/>
                <w:i w:val="0"/>
                <w:sz w:val="18"/>
              </w:rPr>
              <w:t>得分</w:t>
            </w:r>
          </w:p>
        </w:tc>
      </w:tr>
      <w:tr w14:paraId="2E1F0A19">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41E639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F93A2C">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1D572C">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56F19C">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E2532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1BCB7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3E879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116C44">
            <w:pPr>
              <w:spacing w:before="0" w:after="0" w:line="240" w:lineRule="auto"/>
              <w:jc w:val="center"/>
            </w:pPr>
            <w:r>
              <w:rPr>
                <w:rFonts w:ascii="宋体" w:hAnsi="宋体" w:eastAsia="宋体" w:cs="宋体"/>
                <w:b w:val="0"/>
                <w:i w:val="0"/>
                <w:sz w:val="18"/>
              </w:rPr>
              <w:t>-</w:t>
            </w:r>
          </w:p>
        </w:tc>
      </w:tr>
      <w:tr w14:paraId="64D2962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ED7F89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1648CF">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51C573">
            <w:pPr>
              <w:spacing w:before="0" w:after="0" w:line="240" w:lineRule="auto"/>
              <w:jc w:val="center"/>
            </w:pPr>
            <w:r>
              <w:rPr>
                <w:rFonts w:ascii="宋体" w:hAnsi="宋体" w:eastAsia="宋体" w:cs="宋体"/>
                <w:b w:val="0"/>
                <w:i w:val="0"/>
                <w:sz w:val="18"/>
              </w:rPr>
              <w:t>819.45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29B899">
            <w:pPr>
              <w:spacing w:before="0" w:after="0" w:line="240" w:lineRule="auto"/>
              <w:jc w:val="center"/>
            </w:pPr>
            <w:r>
              <w:rPr>
                <w:rFonts w:ascii="宋体" w:hAnsi="宋体" w:eastAsia="宋体" w:cs="宋体"/>
                <w:b w:val="0"/>
                <w:i w:val="0"/>
                <w:sz w:val="18"/>
              </w:rPr>
              <w:t>905.34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017DFF">
            <w:pPr>
              <w:spacing w:before="0" w:after="0" w:line="240" w:lineRule="auto"/>
              <w:jc w:val="center"/>
            </w:pPr>
            <w:r>
              <w:rPr>
                <w:rFonts w:ascii="宋体" w:hAnsi="宋体" w:eastAsia="宋体" w:cs="宋体"/>
                <w:b w:val="0"/>
                <w:i w:val="0"/>
                <w:sz w:val="18"/>
              </w:rPr>
              <w:t>905.34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49425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886DC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0AA248">
            <w:pPr>
              <w:spacing w:before="0" w:after="0" w:line="240" w:lineRule="auto"/>
              <w:jc w:val="center"/>
            </w:pPr>
            <w:r>
              <w:rPr>
                <w:rFonts w:ascii="宋体" w:hAnsi="宋体" w:eastAsia="宋体" w:cs="宋体"/>
                <w:b w:val="0"/>
                <w:i w:val="0"/>
                <w:sz w:val="18"/>
              </w:rPr>
              <w:t>-</w:t>
            </w:r>
          </w:p>
        </w:tc>
      </w:tr>
      <w:tr w14:paraId="59D1B9E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AC0A4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505A48">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8A3166">
            <w:pPr>
              <w:spacing w:before="0" w:after="0" w:line="240" w:lineRule="auto"/>
              <w:jc w:val="center"/>
            </w:pPr>
            <w:r>
              <w:rPr>
                <w:rFonts w:ascii="宋体" w:hAnsi="宋体" w:eastAsia="宋体" w:cs="宋体"/>
                <w:b w:val="0"/>
                <w:i w:val="0"/>
                <w:sz w:val="18"/>
              </w:rPr>
              <w:t>24.77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CB13CA">
            <w:pPr>
              <w:spacing w:before="0" w:after="0" w:line="240" w:lineRule="auto"/>
              <w:jc w:val="center"/>
            </w:pPr>
            <w:r>
              <w:rPr>
                <w:rFonts w:ascii="宋体" w:hAnsi="宋体" w:eastAsia="宋体" w:cs="宋体"/>
                <w:b w:val="0"/>
                <w:i w:val="0"/>
                <w:sz w:val="18"/>
              </w:rPr>
              <w:t>249.41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1E03F6">
            <w:pPr>
              <w:spacing w:before="0" w:after="0" w:line="240" w:lineRule="auto"/>
              <w:jc w:val="center"/>
            </w:pPr>
            <w:r>
              <w:rPr>
                <w:rFonts w:ascii="宋体" w:hAnsi="宋体" w:eastAsia="宋体" w:cs="宋体"/>
                <w:b w:val="0"/>
                <w:i w:val="0"/>
                <w:sz w:val="18"/>
              </w:rPr>
              <w:t>176.77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DA25E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3DD53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03B6E6">
            <w:pPr>
              <w:spacing w:before="0" w:after="0" w:line="240" w:lineRule="auto"/>
              <w:jc w:val="center"/>
            </w:pPr>
            <w:r>
              <w:rPr>
                <w:rFonts w:ascii="宋体" w:hAnsi="宋体" w:eastAsia="宋体" w:cs="宋体"/>
                <w:b w:val="0"/>
                <w:i w:val="0"/>
                <w:sz w:val="18"/>
              </w:rPr>
              <w:t>-</w:t>
            </w:r>
          </w:p>
        </w:tc>
      </w:tr>
      <w:tr w14:paraId="4B1E454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B6952E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18C406">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46151C">
            <w:pPr>
              <w:spacing w:before="0" w:after="0" w:line="240" w:lineRule="auto"/>
              <w:jc w:val="center"/>
            </w:pPr>
            <w:r>
              <w:rPr>
                <w:rFonts w:ascii="宋体" w:hAnsi="宋体" w:eastAsia="宋体" w:cs="宋体"/>
                <w:b w:val="0"/>
                <w:i w:val="0"/>
                <w:sz w:val="18"/>
              </w:rPr>
              <w:t>844.22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EF780F">
            <w:pPr>
              <w:spacing w:before="0" w:after="0" w:line="240" w:lineRule="auto"/>
              <w:jc w:val="center"/>
            </w:pPr>
            <w:r>
              <w:rPr>
                <w:rFonts w:ascii="宋体" w:hAnsi="宋体" w:eastAsia="宋体" w:cs="宋体"/>
                <w:b w:val="0"/>
                <w:i w:val="0"/>
                <w:sz w:val="18"/>
              </w:rPr>
              <w:t>1,154.75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B88804">
            <w:pPr>
              <w:spacing w:before="0" w:after="0" w:line="240" w:lineRule="auto"/>
              <w:jc w:val="center"/>
            </w:pPr>
            <w:r>
              <w:rPr>
                <w:rFonts w:ascii="宋体" w:hAnsi="宋体" w:eastAsia="宋体" w:cs="宋体"/>
                <w:b w:val="0"/>
                <w:i w:val="0"/>
                <w:sz w:val="18"/>
              </w:rPr>
              <w:t>1,082.11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A401F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101488">
            <w:pPr>
              <w:spacing w:before="0" w:after="0" w:line="240" w:lineRule="auto"/>
              <w:jc w:val="center"/>
            </w:pPr>
            <w:r>
              <w:rPr>
                <w:rFonts w:ascii="宋体" w:hAnsi="宋体" w:eastAsia="宋体" w:cs="宋体"/>
                <w:b w:val="0"/>
                <w:i w:val="0"/>
                <w:sz w:val="18"/>
              </w:rPr>
              <w:t>93.71%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6D214A">
            <w:pPr>
              <w:spacing w:before="0" w:after="0" w:line="240" w:lineRule="auto"/>
              <w:jc w:val="center"/>
            </w:pPr>
            <w:r>
              <w:rPr>
                <w:rFonts w:ascii="宋体" w:hAnsi="宋体" w:eastAsia="宋体" w:cs="宋体"/>
                <w:b w:val="0"/>
                <w:i w:val="0"/>
                <w:sz w:val="18"/>
              </w:rPr>
              <w:t>9.37</w:t>
            </w:r>
          </w:p>
        </w:tc>
      </w:tr>
      <w:tr w14:paraId="22A43506">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495E85">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6BE722A">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D4727B">
            <w:pPr>
              <w:spacing w:before="0" w:after="0" w:line="240" w:lineRule="auto"/>
              <w:jc w:val="center"/>
            </w:pPr>
            <w:r>
              <w:rPr>
                <w:rFonts w:ascii="宋体" w:hAnsi="宋体" w:eastAsia="宋体" w:cs="宋体"/>
                <w:b w:val="0"/>
                <w:i w:val="0"/>
                <w:sz w:val="18"/>
              </w:rPr>
              <w:t>实际完成情况</w:t>
            </w:r>
          </w:p>
        </w:tc>
      </w:tr>
      <w:tr w14:paraId="5C8CEEBD">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02FED2"/>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65D54FD">
            <w:pPr>
              <w:spacing w:before="0" w:after="0" w:line="240" w:lineRule="auto"/>
              <w:jc w:val="center"/>
            </w:pPr>
            <w:r>
              <w:rPr>
                <w:rFonts w:ascii="宋体" w:hAnsi="宋体" w:eastAsia="宋体" w:cs="宋体"/>
                <w:b w:val="0"/>
                <w:i w:val="0"/>
                <w:sz w:val="18"/>
              </w:rPr>
              <w:t>根据《新疆维吾尔自治区民族团结进步工作条例》、《中国共产党统一战线工作条例》，开展全方位推动各民族交往交流交融，开展铸牢中华民族共同体意识各项工作，统一战线相关工作检查督导调研，以习近平新时代中国特色社会主义思想为指导，全面贯彻党的二十大精神，深入学习贯彻习近平总书记视察新疆重要讲话重要指示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把握团结奋斗的时代要求，着力抓好党中央关于统战工作各项决策、自治区党委工作部署和州党委工作要求的贯彻落实，有形有感有效铸牢中华民族共同体意识，稳步推进新疆伊斯兰教中国化，精心做好统一战线其他领域各项工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0A2F620">
            <w:pPr>
              <w:spacing w:before="0" w:after="0" w:line="240" w:lineRule="auto"/>
              <w:jc w:val="center"/>
            </w:pPr>
            <w:r>
              <w:rPr>
                <w:rFonts w:ascii="宋体" w:hAnsi="宋体" w:eastAsia="宋体" w:cs="宋体"/>
                <w:b w:val="0"/>
                <w:i w:val="0"/>
                <w:sz w:val="18"/>
              </w:rPr>
              <w:t>2025 年我单位全年预算数为1154.75 万元，全年执行数为1082.11万元，总预算执行率为 93.71%。2025 年我单位完成以下工作内容：1.全方位推动各民族交往交流交融；2.开展铸牢中华民族共同体意识各项工作；3.统一战线相关工作检查督导调研。通过以上工作的实施，推动民族交往交流交融，促进宗教和谐，化解基层矛盾，凝聚党外人士与新社会阶层力量。</w:t>
            </w:r>
          </w:p>
        </w:tc>
      </w:tr>
      <w:tr w14:paraId="27A9055C">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C4B235">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E66DB8">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8CF65F">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740348">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96E60C">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D7D73E">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2C093A">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AA126F">
            <w:pPr>
              <w:keepNext/>
              <w:spacing w:before="0" w:after="0" w:line="240" w:lineRule="auto"/>
              <w:jc w:val="center"/>
            </w:pPr>
            <w:r>
              <w:rPr>
                <w:rFonts w:ascii="宋体" w:hAnsi="宋体" w:eastAsia="宋体" w:cs="宋体"/>
                <w:b w:val="0"/>
                <w:i w:val="0"/>
                <w:sz w:val="18"/>
              </w:rPr>
              <w:t>得分</w:t>
            </w:r>
          </w:p>
        </w:tc>
      </w:tr>
      <w:tr w14:paraId="775F28EA">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18DF56">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35D207">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90650F">
            <w:pPr>
              <w:spacing w:before="0" w:after="0" w:line="240" w:lineRule="auto"/>
              <w:jc w:val="center"/>
            </w:pPr>
            <w:r>
              <w:rPr>
                <w:rFonts w:ascii="宋体" w:hAnsi="宋体" w:eastAsia="宋体" w:cs="宋体"/>
                <w:b w:val="0"/>
                <w:i w:val="0"/>
                <w:sz w:val="18"/>
              </w:rPr>
              <w:t>全方位推动各民族交往交流交融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552DA8">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A36D5C">
            <w:pPr>
              <w:spacing w:before="0" w:after="0" w:line="240" w:lineRule="auto"/>
              <w:jc w:val="center"/>
            </w:pPr>
            <w:r>
              <w:rPr>
                <w:rFonts w:ascii="宋体" w:hAnsi="宋体" w:eastAsia="宋体" w:cs="宋体"/>
                <w:b w:val="0"/>
                <w:i w:val="0"/>
                <w:sz w:val="18"/>
              </w:rPr>
              <w:t>《新疆维吾尔自治区民族团结进步工作条例》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408BA9">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552E39">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23680C">
            <w:pPr>
              <w:spacing w:before="0" w:after="0" w:line="240" w:lineRule="auto"/>
              <w:jc w:val="center"/>
            </w:pPr>
            <w:r>
              <w:rPr>
                <w:rFonts w:ascii="宋体" w:hAnsi="宋体" w:eastAsia="宋体" w:cs="宋体"/>
                <w:b w:val="0"/>
                <w:i w:val="0"/>
                <w:sz w:val="18"/>
              </w:rPr>
              <w:t>30</w:t>
            </w:r>
          </w:p>
        </w:tc>
      </w:tr>
      <w:tr w14:paraId="3A12FFE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1D27E2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AABAE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05A328">
            <w:pPr>
              <w:spacing w:before="0" w:after="0" w:line="240" w:lineRule="auto"/>
              <w:jc w:val="center"/>
            </w:pPr>
            <w:r>
              <w:rPr>
                <w:rFonts w:ascii="宋体" w:hAnsi="宋体" w:eastAsia="宋体" w:cs="宋体"/>
                <w:b w:val="0"/>
                <w:i w:val="0"/>
                <w:sz w:val="18"/>
              </w:rPr>
              <w:t>开展铸牢中华民族共同体意识各项工作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6B837B">
            <w:pPr>
              <w:spacing w:before="0" w:after="0" w:line="240" w:lineRule="auto"/>
              <w:jc w:val="center"/>
            </w:pPr>
            <w:r>
              <w:rPr>
                <w:rFonts w:ascii="宋体" w:hAnsi="宋体" w:eastAsia="宋体" w:cs="宋体"/>
                <w:b w:val="0"/>
                <w:i w:val="0"/>
                <w:sz w:val="18"/>
              </w:rPr>
              <w:t>&gt;=2项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5DF243">
            <w:pPr>
              <w:spacing w:before="0" w:after="0" w:line="240" w:lineRule="auto"/>
              <w:jc w:val="center"/>
            </w:pPr>
            <w:r>
              <w:rPr>
                <w:rFonts w:ascii="宋体" w:hAnsi="宋体" w:eastAsia="宋体" w:cs="宋体"/>
                <w:b w:val="0"/>
                <w:i w:val="0"/>
                <w:sz w:val="18"/>
              </w:rPr>
              <w:t>2025年工作安排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82ECE6">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8DD6A9">
            <w:pPr>
              <w:spacing w:before="0" w:after="0" w:line="240" w:lineRule="auto"/>
              <w:jc w:val="center"/>
            </w:pPr>
            <w:r>
              <w:rPr>
                <w:rFonts w:ascii="宋体" w:hAnsi="宋体" w:eastAsia="宋体" w:cs="宋体"/>
                <w:b w:val="0"/>
                <w:i w:val="0"/>
                <w:sz w:val="18"/>
              </w:rPr>
              <w:t>2项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42B74D">
            <w:pPr>
              <w:spacing w:before="0" w:after="0" w:line="240" w:lineRule="auto"/>
              <w:jc w:val="center"/>
            </w:pPr>
            <w:r>
              <w:rPr>
                <w:rFonts w:ascii="宋体" w:hAnsi="宋体" w:eastAsia="宋体" w:cs="宋体"/>
                <w:b w:val="0"/>
                <w:i w:val="0"/>
                <w:sz w:val="18"/>
              </w:rPr>
              <w:t>30</w:t>
            </w:r>
          </w:p>
        </w:tc>
      </w:tr>
      <w:tr w14:paraId="13A071A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70E52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55E718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579525">
            <w:pPr>
              <w:spacing w:before="0" w:after="0" w:line="240" w:lineRule="auto"/>
              <w:jc w:val="center"/>
            </w:pPr>
            <w:r>
              <w:rPr>
                <w:rFonts w:ascii="宋体" w:hAnsi="宋体" w:eastAsia="宋体" w:cs="宋体"/>
                <w:b w:val="0"/>
                <w:i w:val="0"/>
                <w:sz w:val="18"/>
              </w:rPr>
              <w:t>统一战线相关工作检查督导调研</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C9F3D7">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C55F38">
            <w:pPr>
              <w:spacing w:before="0" w:after="0" w:line="240" w:lineRule="auto"/>
              <w:jc w:val="center"/>
            </w:pPr>
            <w:r>
              <w:rPr>
                <w:rFonts w:ascii="宋体" w:hAnsi="宋体" w:eastAsia="宋体" w:cs="宋体"/>
                <w:b w:val="0"/>
                <w:i w:val="0"/>
                <w:sz w:val="18"/>
              </w:rPr>
              <w:t>《中国共产党统一战线工作条例》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F0F6D9">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0F64ED">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AA1494">
            <w:pPr>
              <w:spacing w:before="0" w:after="0" w:line="240" w:lineRule="auto"/>
              <w:jc w:val="center"/>
            </w:pPr>
            <w:r>
              <w:rPr>
                <w:rFonts w:ascii="宋体" w:hAnsi="宋体" w:eastAsia="宋体" w:cs="宋体"/>
                <w:b w:val="0"/>
                <w:i w:val="0"/>
                <w:sz w:val="18"/>
              </w:rPr>
              <w:t>30</w:t>
            </w:r>
          </w:p>
        </w:tc>
      </w:tr>
    </w:tbl>
    <w:p w14:paraId="19C7136C">
      <w:r>
        <w:br w:type="page"/>
      </w:r>
    </w:p>
    <w:p w14:paraId="221BD952">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54"/>
        <w:gridCol w:w="554"/>
        <w:gridCol w:w="554"/>
        <w:gridCol w:w="574"/>
        <w:gridCol w:w="612"/>
        <w:gridCol w:w="702"/>
        <w:gridCol w:w="612"/>
        <w:gridCol w:w="612"/>
        <w:gridCol w:w="593"/>
        <w:gridCol w:w="560"/>
        <w:gridCol w:w="558"/>
        <w:gridCol w:w="561"/>
        <w:gridCol w:w="558"/>
        <w:gridCol w:w="702"/>
      </w:tblGrid>
      <w:tr w14:paraId="338FFDF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837183F">
            <w:pPr>
              <w:spacing w:before="0" w:after="0" w:line="240" w:lineRule="auto"/>
              <w:jc w:val="center"/>
            </w:pPr>
            <w:r>
              <w:rPr>
                <w:rFonts w:ascii="宋体" w:hAnsi="宋体" w:eastAsia="宋体" w:cs="宋体"/>
                <w:b/>
                <w:i w:val="0"/>
                <w:sz w:val="18"/>
              </w:rPr>
              <w:t>项目支出绩效自评表</w:t>
            </w:r>
          </w:p>
        </w:tc>
      </w:tr>
      <w:tr w14:paraId="0E8C643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A28AD5D">
            <w:pPr>
              <w:spacing w:before="0" w:after="0" w:line="240" w:lineRule="auto"/>
              <w:jc w:val="center"/>
            </w:pPr>
            <w:r>
              <w:rPr>
                <w:rFonts w:ascii="宋体" w:hAnsi="宋体" w:eastAsia="宋体" w:cs="宋体"/>
                <w:b w:val="0"/>
                <w:i w:val="0"/>
                <w:sz w:val="18"/>
              </w:rPr>
              <w:t>(2025年度)</w:t>
            </w:r>
          </w:p>
        </w:tc>
      </w:tr>
      <w:tr w14:paraId="0409352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7F463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DFDE041">
            <w:pPr>
              <w:spacing w:before="0" w:after="0" w:line="240" w:lineRule="auto"/>
              <w:jc w:val="center"/>
            </w:pPr>
            <w:r>
              <w:rPr>
                <w:rFonts w:ascii="宋体" w:hAnsi="宋体" w:eastAsia="宋体" w:cs="宋体"/>
                <w:b w:val="0"/>
                <w:i w:val="0"/>
                <w:sz w:val="18"/>
              </w:rPr>
              <w:t>统战各界代表赴北京市、福建省开展融情交流活动项目</w:t>
            </w:r>
          </w:p>
        </w:tc>
      </w:tr>
      <w:tr w14:paraId="6AFD672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F3EB1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5F9B70B">
            <w:pPr>
              <w:spacing w:before="0" w:after="0" w:line="240" w:lineRule="auto"/>
              <w:jc w:val="center"/>
            </w:pPr>
            <w:r>
              <w:rPr>
                <w:rFonts w:ascii="宋体" w:hAnsi="宋体" w:eastAsia="宋体" w:cs="宋体"/>
                <w:b w:val="0"/>
                <w:i w:val="0"/>
                <w:sz w:val="18"/>
              </w:rPr>
              <w:t>中共昌吉回族自治州委员会统战部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8CC4A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4DAF5F">
            <w:pPr>
              <w:spacing w:before="0" w:after="0" w:line="240" w:lineRule="auto"/>
              <w:jc w:val="center"/>
            </w:pPr>
            <w:r>
              <w:rPr>
                <w:rFonts w:ascii="宋体" w:hAnsi="宋体" w:eastAsia="宋体" w:cs="宋体"/>
                <w:b w:val="0"/>
                <w:i w:val="0"/>
                <w:sz w:val="18"/>
              </w:rPr>
              <w:t>中共昌吉回族自治州委员会统一战线工作部</w:t>
            </w:r>
          </w:p>
        </w:tc>
      </w:tr>
      <w:tr w14:paraId="4330273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19AC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643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D0E4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C374B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36CF7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4E9EB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DB3CF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011BB">
            <w:pPr>
              <w:spacing w:before="0" w:after="0" w:line="240" w:lineRule="auto"/>
              <w:jc w:val="center"/>
            </w:pPr>
            <w:r>
              <w:rPr>
                <w:rFonts w:ascii="宋体" w:hAnsi="宋体" w:eastAsia="宋体" w:cs="宋体"/>
                <w:b/>
                <w:i w:val="0"/>
                <w:sz w:val="18"/>
              </w:rPr>
              <w:t>得分</w:t>
            </w:r>
          </w:p>
        </w:tc>
      </w:tr>
      <w:tr w14:paraId="151F7C3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531D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E2960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792C1">
            <w:pPr>
              <w:spacing w:before="0" w:after="0" w:line="240" w:lineRule="auto"/>
              <w:jc w:val="center"/>
            </w:pPr>
            <w:r>
              <w:rPr>
                <w:rFonts w:ascii="宋体" w:hAnsi="宋体" w:eastAsia="宋体" w:cs="宋体"/>
                <w:b w:val="0"/>
                <w:i w:val="0"/>
                <w:sz w:val="18"/>
              </w:rPr>
              <w:t>133.49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022BE1">
            <w:pPr>
              <w:spacing w:before="0" w:after="0" w:line="240" w:lineRule="auto"/>
              <w:jc w:val="center"/>
            </w:pPr>
            <w:r>
              <w:rPr>
                <w:rFonts w:ascii="宋体" w:hAnsi="宋体" w:eastAsia="宋体" w:cs="宋体"/>
                <w:b w:val="0"/>
                <w:i w:val="0"/>
                <w:sz w:val="18"/>
              </w:rPr>
              <w:t>133.49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17B39D">
            <w:pPr>
              <w:spacing w:before="0" w:after="0" w:line="240" w:lineRule="auto"/>
              <w:jc w:val="center"/>
            </w:pPr>
            <w:r>
              <w:rPr>
                <w:rFonts w:ascii="宋体" w:hAnsi="宋体" w:eastAsia="宋体" w:cs="宋体"/>
                <w:b w:val="0"/>
                <w:i w:val="0"/>
                <w:sz w:val="18"/>
              </w:rPr>
              <w:t>129.55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44206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F9B654">
            <w:pPr>
              <w:spacing w:before="0" w:after="0" w:line="240" w:lineRule="auto"/>
              <w:jc w:val="center"/>
            </w:pPr>
            <w:r>
              <w:rPr>
                <w:rFonts w:ascii="宋体" w:hAnsi="宋体" w:eastAsia="宋体" w:cs="宋体"/>
                <w:b w:val="0"/>
                <w:i w:val="0"/>
                <w:sz w:val="18"/>
              </w:rPr>
              <w:t>97.05%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9021A">
            <w:pPr>
              <w:spacing w:before="0" w:after="0" w:line="240" w:lineRule="auto"/>
              <w:jc w:val="center"/>
            </w:pPr>
            <w:r>
              <w:rPr>
                <w:rFonts w:ascii="宋体" w:hAnsi="宋体" w:eastAsia="宋体" w:cs="宋体"/>
                <w:b w:val="0"/>
                <w:i w:val="0"/>
                <w:sz w:val="18"/>
              </w:rPr>
              <w:t>9.26</w:t>
            </w:r>
          </w:p>
        </w:tc>
      </w:tr>
      <w:tr w14:paraId="42A6009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7CAE2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E530C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50D7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4E2F3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6D8A9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71670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7A1A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2A21FC">
            <w:pPr>
              <w:spacing w:before="0" w:after="0" w:line="240" w:lineRule="auto"/>
              <w:jc w:val="center"/>
            </w:pPr>
            <w:r>
              <w:rPr>
                <w:rFonts w:ascii="宋体" w:hAnsi="宋体" w:eastAsia="宋体" w:cs="宋体"/>
                <w:b w:val="0"/>
                <w:i w:val="0"/>
                <w:sz w:val="18"/>
              </w:rPr>
              <w:t>—</w:t>
            </w:r>
          </w:p>
        </w:tc>
      </w:tr>
      <w:tr w14:paraId="42EBB8E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1E7ED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63C5C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6C022">
            <w:pPr>
              <w:spacing w:before="0" w:after="0" w:line="240" w:lineRule="auto"/>
              <w:jc w:val="center"/>
            </w:pPr>
            <w:r>
              <w:rPr>
                <w:rFonts w:ascii="宋体" w:hAnsi="宋体" w:eastAsia="宋体" w:cs="宋体"/>
                <w:b w:val="0"/>
                <w:i w:val="0"/>
                <w:sz w:val="18"/>
              </w:rPr>
              <w:t>133.49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18C9FC">
            <w:pPr>
              <w:spacing w:before="0" w:after="0" w:line="240" w:lineRule="auto"/>
              <w:jc w:val="center"/>
            </w:pPr>
            <w:r>
              <w:rPr>
                <w:rFonts w:ascii="宋体" w:hAnsi="宋体" w:eastAsia="宋体" w:cs="宋体"/>
                <w:b w:val="0"/>
                <w:i w:val="0"/>
                <w:sz w:val="18"/>
              </w:rPr>
              <w:t>133.49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1CF871">
            <w:pPr>
              <w:spacing w:before="0" w:after="0" w:line="240" w:lineRule="auto"/>
              <w:jc w:val="center"/>
            </w:pPr>
            <w:r>
              <w:rPr>
                <w:rFonts w:ascii="宋体" w:hAnsi="宋体" w:eastAsia="宋体" w:cs="宋体"/>
                <w:b w:val="0"/>
                <w:i w:val="0"/>
                <w:sz w:val="18"/>
              </w:rPr>
              <w:t>129.55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9EFB4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5D84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E6B82B">
            <w:pPr>
              <w:spacing w:before="0" w:after="0" w:line="240" w:lineRule="auto"/>
              <w:jc w:val="center"/>
            </w:pPr>
            <w:r>
              <w:rPr>
                <w:rFonts w:ascii="宋体" w:hAnsi="宋体" w:eastAsia="宋体" w:cs="宋体"/>
                <w:b w:val="0"/>
                <w:i w:val="0"/>
                <w:sz w:val="18"/>
              </w:rPr>
              <w:t>—</w:t>
            </w:r>
          </w:p>
        </w:tc>
      </w:tr>
      <w:tr w14:paraId="0D220C7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40CFC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77AA8A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C7155EC">
            <w:pPr>
              <w:spacing w:before="0" w:after="0" w:line="240" w:lineRule="auto"/>
              <w:jc w:val="center"/>
            </w:pPr>
            <w:r>
              <w:rPr>
                <w:rFonts w:ascii="宋体" w:hAnsi="宋体" w:eastAsia="宋体" w:cs="宋体"/>
                <w:b/>
                <w:i w:val="0"/>
                <w:sz w:val="18"/>
              </w:rPr>
              <w:t>实际完成情况</w:t>
            </w:r>
          </w:p>
        </w:tc>
      </w:tr>
      <w:tr w14:paraId="41BEF49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9CD60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F7CD18D">
            <w:pPr>
              <w:spacing w:before="0" w:after="0" w:line="240" w:lineRule="auto"/>
              <w:jc w:val="center"/>
            </w:pPr>
            <w:r>
              <w:rPr>
                <w:rFonts w:ascii="宋体" w:hAnsi="宋体" w:eastAsia="宋体" w:cs="宋体"/>
                <w:b w:val="0"/>
                <w:i w:val="0"/>
                <w:sz w:val="18"/>
              </w:rPr>
              <w:t>2025年计划支出133.49万元，其中支付2024年5月至12月活动费用79.5万元（包括培训活动中交通费、餐饮住宿费等）。项目本年计划完成组织交融活动3次，参与人数合计为78人，分别赴北京市、福建省福州市、泉州市、厦门市、宁德市、山西等地参观当地爱国主义教育基地、传统文化历史遗迹、城市建设和社会主义新农村建设，2025年保障资金53.99万元，通过项目的实施引导各族干部群众进一步增强“五个认同”，做维护国家统一、民族团结、社会稳定的践行者、宣传员。</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1E7E355">
            <w:pPr>
              <w:spacing w:before="0" w:after="0" w:line="240" w:lineRule="auto"/>
              <w:jc w:val="center"/>
            </w:pPr>
            <w:r>
              <w:rPr>
                <w:rFonts w:ascii="宋体" w:hAnsi="宋体" w:eastAsia="宋体" w:cs="宋体"/>
                <w:b w:val="0"/>
                <w:i w:val="0"/>
                <w:sz w:val="18"/>
              </w:rPr>
              <w:t>截至2025年12月31日，本项目支出资金129.55万元，资金执行率97.05%，本项目实际完成开展融情交流活动3次，参加人数合计为78人，分别赴北京市、福建省福州市、泉州市、厦门市、宁德市、山西等地参观当地爱国主义教育基地、传统文化历史遗迹、城市建设和社会主义新农村建设，通过项目的实施引导各族干部群众进一步增强“五个认同”，做维护国家统一、民族团结、社会稳定的践行者、宣传员。</w:t>
            </w:r>
          </w:p>
        </w:tc>
      </w:tr>
      <w:tr w14:paraId="42BB1FB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BE637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71E44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BB72D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D0BA9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AD1A6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2CD5D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2B881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56B16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EAEA9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CADAD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5985D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0D72F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21841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282E0F">
            <w:pPr>
              <w:keepNext/>
              <w:spacing w:before="0" w:after="0" w:line="240" w:lineRule="auto"/>
              <w:jc w:val="center"/>
            </w:pPr>
            <w:r>
              <w:rPr>
                <w:rFonts w:ascii="宋体" w:hAnsi="宋体" w:eastAsia="宋体" w:cs="宋体"/>
                <w:b/>
                <w:i w:val="0"/>
                <w:sz w:val="18"/>
              </w:rPr>
              <w:t>偏差原因分析及改进措施</w:t>
            </w:r>
          </w:p>
        </w:tc>
      </w:tr>
      <w:tr w14:paraId="77E8052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BA32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DE15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69F9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E362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41C6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9512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6C5F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6740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86F0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6E95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001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2FF1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DFB8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5FE855"/>
        </w:tc>
      </w:tr>
      <w:tr w14:paraId="0B798EC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18AD6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0E0D6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8845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5C96B">
            <w:pPr>
              <w:spacing w:before="0" w:after="0" w:line="240" w:lineRule="auto"/>
              <w:jc w:val="center"/>
            </w:pPr>
            <w:r>
              <w:rPr>
                <w:rFonts w:ascii="宋体" w:hAnsi="宋体" w:eastAsia="宋体" w:cs="宋体"/>
                <w:b w:val="0"/>
                <w:i w:val="0"/>
                <w:sz w:val="18"/>
              </w:rPr>
              <w:t>活动参加人数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97DE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44A51">
            <w:pPr>
              <w:spacing w:before="0" w:after="0" w:line="240" w:lineRule="auto"/>
              <w:jc w:val="center"/>
            </w:pPr>
            <w:r>
              <w:rPr>
                <w:rFonts w:ascii="宋体" w:hAnsi="宋体" w:eastAsia="宋体" w:cs="宋体"/>
                <w:b w:val="0"/>
                <w:i w:val="0"/>
                <w:sz w:val="18"/>
              </w:rPr>
              <w:t>&gt;=78人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A882C">
            <w:pPr>
              <w:spacing w:before="0" w:after="0" w:line="240" w:lineRule="auto"/>
              <w:jc w:val="center"/>
            </w:pPr>
            <w:r>
              <w:rPr>
                <w:rFonts w:ascii="宋体" w:hAnsi="宋体" w:eastAsia="宋体" w:cs="宋体"/>
                <w:b w:val="0"/>
                <w:i w:val="0"/>
                <w:sz w:val="18"/>
              </w:rPr>
              <w:t>=78人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13D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043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1EE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F91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D8A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ACE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A2A13">
            <w:pPr>
              <w:spacing w:before="0" w:after="0" w:line="240" w:lineRule="auto"/>
              <w:jc w:val="center"/>
            </w:pPr>
          </w:p>
        </w:tc>
      </w:tr>
      <w:tr w14:paraId="2F6DE0E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6234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46393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1622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6C91D">
            <w:pPr>
              <w:spacing w:before="0" w:after="0" w:line="240" w:lineRule="auto"/>
              <w:jc w:val="center"/>
            </w:pPr>
            <w:r>
              <w:rPr>
                <w:rFonts w:ascii="宋体" w:hAnsi="宋体" w:eastAsia="宋体" w:cs="宋体"/>
                <w:b w:val="0"/>
                <w:i w:val="0"/>
                <w:sz w:val="18"/>
              </w:rPr>
              <w:t>开展融情交流活动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9DEC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5BA46">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01AEE">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CB09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1F4E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A24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ED3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BB1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46E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C8A09">
            <w:pPr>
              <w:spacing w:before="0" w:after="0" w:line="240" w:lineRule="auto"/>
              <w:jc w:val="center"/>
            </w:pPr>
          </w:p>
        </w:tc>
      </w:tr>
      <w:tr w14:paraId="3529F7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3E67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1EB4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CC40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CA55A">
            <w:pPr>
              <w:spacing w:before="0" w:after="0" w:line="240" w:lineRule="auto"/>
              <w:jc w:val="center"/>
            </w:pPr>
            <w:r>
              <w:rPr>
                <w:rFonts w:ascii="宋体" w:hAnsi="宋体" w:eastAsia="宋体" w:cs="宋体"/>
                <w:b w:val="0"/>
                <w:i w:val="0"/>
                <w:sz w:val="18"/>
              </w:rPr>
              <w:t>保障覆盖率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CF611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AA7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390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7255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282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4F2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ECC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C6FB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E0C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E6727">
            <w:pPr>
              <w:spacing w:before="0" w:after="0" w:line="240" w:lineRule="auto"/>
              <w:jc w:val="center"/>
            </w:pPr>
          </w:p>
        </w:tc>
      </w:tr>
      <w:tr w14:paraId="5BF7C6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3C53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E842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FBD0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61E57">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EFBB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050C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B315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DFA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24A85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D90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0C3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CE27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C51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7F3B4">
            <w:pPr>
              <w:spacing w:before="0" w:after="0" w:line="240" w:lineRule="auto"/>
              <w:jc w:val="center"/>
            </w:pPr>
          </w:p>
        </w:tc>
      </w:tr>
      <w:tr w14:paraId="01C51B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DB67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06776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F519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E5361">
            <w:pPr>
              <w:spacing w:before="0" w:after="0" w:line="240" w:lineRule="auto"/>
              <w:jc w:val="center"/>
            </w:pPr>
            <w:r>
              <w:rPr>
                <w:rFonts w:ascii="宋体" w:hAnsi="宋体" w:eastAsia="宋体" w:cs="宋体"/>
                <w:b w:val="0"/>
                <w:i w:val="0"/>
                <w:sz w:val="18"/>
              </w:rPr>
              <w:t>支付2024年保障活动资金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074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FBE52">
            <w:pPr>
              <w:spacing w:before="0" w:after="0" w:line="240" w:lineRule="auto"/>
              <w:jc w:val="center"/>
            </w:pPr>
            <w:r>
              <w:rPr>
                <w:rFonts w:ascii="宋体" w:hAnsi="宋体" w:eastAsia="宋体" w:cs="宋体"/>
                <w:b w:val="0"/>
                <w:i w:val="0"/>
                <w:sz w:val="18"/>
              </w:rPr>
              <w:t>&lt;=79.5万元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3C0D8">
            <w:pPr>
              <w:spacing w:before="0" w:after="0" w:line="240" w:lineRule="auto"/>
              <w:jc w:val="center"/>
            </w:pPr>
            <w:r>
              <w:rPr>
                <w:rFonts w:ascii="宋体" w:hAnsi="宋体" w:eastAsia="宋体" w:cs="宋体"/>
                <w:b w:val="0"/>
                <w:i w:val="0"/>
                <w:sz w:val="18"/>
              </w:rPr>
              <w:t>=75.56万元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B2FD07">
            <w:pPr>
              <w:spacing w:before="0" w:after="0" w:line="240" w:lineRule="auto"/>
              <w:jc w:val="center"/>
            </w:pPr>
            <w:r>
              <w:rPr>
                <w:rFonts w:ascii="宋体" w:hAnsi="宋体" w:eastAsia="宋体" w:cs="宋体"/>
                <w:b w:val="0"/>
                <w:i w:val="0"/>
                <w:sz w:val="18"/>
              </w:rPr>
              <w:t>95.04%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76A027">
            <w:pPr>
              <w:spacing w:before="0" w:after="0" w:line="240" w:lineRule="auto"/>
              <w:jc w:val="center"/>
            </w:pPr>
            <w:r>
              <w:rPr>
                <w:rFonts w:ascii="宋体" w:hAnsi="宋体" w:eastAsia="宋体" w:cs="宋体"/>
                <w:b w:val="0"/>
                <w:i w:val="0"/>
                <w:sz w:val="18"/>
              </w:rPr>
              <w:t>8.76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961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429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96D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27C5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6375B">
            <w:pPr>
              <w:spacing w:before="0" w:after="0" w:line="240" w:lineRule="auto"/>
              <w:jc w:val="center"/>
            </w:pPr>
            <w:r>
              <w:rPr>
                <w:rFonts w:ascii="宋体" w:hAnsi="宋体" w:eastAsia="宋体" w:cs="宋体"/>
                <w:b w:val="0"/>
                <w:i w:val="0"/>
                <w:sz w:val="18"/>
              </w:rPr>
              <w:t>此项指标已完成，偏差率为4.96%，存在偏差，偏差原因为： 我单位采用公开招标与竞争性谈判相结合的方式，引入了多家供应商竞争，大幅压低了活动费用单价；下一年度改进措施：在项目实施前，进行更充分的可行性研究和历史数据分析，避免目标设定过于保守或脱离实际，确保绩效目标的科学性和先进性。</w:t>
            </w:r>
          </w:p>
        </w:tc>
      </w:tr>
      <w:tr w14:paraId="147507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CBF6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A727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E572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6C652">
            <w:pPr>
              <w:spacing w:before="0" w:after="0" w:line="240" w:lineRule="auto"/>
              <w:jc w:val="center"/>
            </w:pPr>
            <w:r>
              <w:rPr>
                <w:rFonts w:ascii="宋体" w:hAnsi="宋体" w:eastAsia="宋体" w:cs="宋体"/>
                <w:b w:val="0"/>
                <w:i w:val="0"/>
                <w:sz w:val="18"/>
              </w:rPr>
              <w:t>支付2025年保障活动资金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52B9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54FB2">
            <w:pPr>
              <w:spacing w:before="0" w:after="0" w:line="240" w:lineRule="auto"/>
              <w:jc w:val="center"/>
            </w:pPr>
            <w:r>
              <w:rPr>
                <w:rFonts w:ascii="宋体" w:hAnsi="宋体" w:eastAsia="宋体" w:cs="宋体"/>
                <w:b w:val="0"/>
                <w:i w:val="0"/>
                <w:sz w:val="18"/>
              </w:rPr>
              <w:t>&lt;=53.99万元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C0DDA">
            <w:pPr>
              <w:spacing w:before="0" w:after="0" w:line="240" w:lineRule="auto"/>
              <w:jc w:val="center"/>
            </w:pPr>
            <w:r>
              <w:rPr>
                <w:rFonts w:ascii="宋体" w:hAnsi="宋体" w:eastAsia="宋体" w:cs="宋体"/>
                <w:b w:val="0"/>
                <w:i w:val="0"/>
                <w:sz w:val="18"/>
              </w:rPr>
              <w:t>=53.99万元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DD22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6B47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279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FC3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2BDD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8B94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29677">
            <w:pPr>
              <w:spacing w:before="0" w:after="0" w:line="240" w:lineRule="auto"/>
              <w:jc w:val="center"/>
            </w:pPr>
          </w:p>
        </w:tc>
      </w:tr>
      <w:tr w14:paraId="0C38DC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F14C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8266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6A99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E7186">
            <w:pPr>
              <w:spacing w:before="0" w:after="0" w:line="240" w:lineRule="auto"/>
              <w:jc w:val="center"/>
            </w:pPr>
            <w:r>
              <w:rPr>
                <w:rFonts w:ascii="宋体" w:hAnsi="宋体" w:eastAsia="宋体" w:cs="宋体"/>
                <w:b w:val="0"/>
                <w:i w:val="0"/>
                <w:sz w:val="18"/>
              </w:rPr>
              <w:t>增强“五个认同”意识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9BE9D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1222E">
            <w:pPr>
              <w:spacing w:before="0" w:after="0" w:line="240" w:lineRule="auto"/>
              <w:jc w:val="center"/>
            </w:pPr>
            <w:r>
              <w:rPr>
                <w:rFonts w:ascii="宋体" w:hAnsi="宋体" w:eastAsia="宋体" w:cs="宋体"/>
                <w:b w:val="0"/>
                <w:i w:val="0"/>
                <w:sz w:val="18"/>
              </w:rPr>
              <w:t>有效增强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A86A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8D1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C1E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611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AFCB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BF87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7AA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815AD">
            <w:pPr>
              <w:spacing w:before="0" w:after="0" w:line="240" w:lineRule="auto"/>
              <w:jc w:val="center"/>
            </w:pPr>
          </w:p>
        </w:tc>
      </w:tr>
      <w:tr w14:paraId="0F7610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0E79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4D0D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4185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E289F">
            <w:pPr>
              <w:spacing w:before="0" w:after="0" w:line="240" w:lineRule="auto"/>
              <w:jc w:val="center"/>
            </w:pPr>
            <w:r>
              <w:rPr>
                <w:rFonts w:ascii="宋体" w:hAnsi="宋体" w:eastAsia="宋体" w:cs="宋体"/>
                <w:b w:val="0"/>
                <w:i w:val="0"/>
                <w:sz w:val="18"/>
              </w:rPr>
              <w:t>参训人员满意度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273B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CD27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58148">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5DB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AB1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724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089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A21A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25C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3FCEC">
            <w:pPr>
              <w:spacing w:before="0" w:after="0" w:line="240" w:lineRule="auto"/>
              <w:jc w:val="center"/>
            </w:pPr>
          </w:p>
        </w:tc>
      </w:tr>
      <w:tr w14:paraId="770FEA4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E7D670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4C74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E18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E4F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834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5A47C">
            <w:pPr>
              <w:spacing w:before="0" w:after="0" w:line="240" w:lineRule="auto"/>
              <w:jc w:val="center"/>
            </w:pPr>
            <w:r>
              <w:rPr>
                <w:rFonts w:ascii="宋体" w:hAnsi="宋体" w:eastAsia="宋体" w:cs="宋体"/>
                <w:b w:val="0"/>
                <w:i w:val="0"/>
                <w:sz w:val="18"/>
              </w:rPr>
              <w:t>98.02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7A3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217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E4F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BFD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8F9DE">
            <w:pPr>
              <w:spacing w:before="0" w:after="0" w:line="240" w:lineRule="auto"/>
              <w:jc w:val="center"/>
            </w:pPr>
          </w:p>
        </w:tc>
      </w:tr>
    </w:tbl>
    <w:p w14:paraId="41AF8C1B">
      <w:r>
        <w:br w:type="page"/>
      </w:r>
    </w:p>
    <w:p w14:paraId="54E38BC1">
      <w:pPr>
        <w:sectPr>
          <w:type w:val="continuous"/>
          <w:pgSz w:w="11906" w:h="16838"/>
          <w:pgMar w:top="1440" w:right="1800" w:bottom="1440" w:left="1800" w:header="851" w:footer="992" w:gutter="0"/>
          <w:cols w:space="720" w:num="1"/>
          <w:docGrid w:type="lines" w:linePitch="312" w:charSpace="0"/>
        </w:sectPr>
      </w:pPr>
    </w:p>
    <w:p w14:paraId="79B54D6D">
      <w:pPr>
        <w:spacing w:line="640" w:lineRule="exact"/>
        <w:ind w:firstLine="640"/>
        <w:jc w:val="both"/>
        <w:outlineLvl w:val="2"/>
      </w:pPr>
      <w:r>
        <w:rPr>
          <w:rFonts w:ascii="黑体" w:hAnsi="黑体" w:eastAsia="黑体"/>
          <w:sz w:val="32"/>
        </w:rPr>
        <w:t>十二、其他需说明的事项</w:t>
      </w:r>
    </w:p>
    <w:p w14:paraId="370E59EC">
      <w:pPr>
        <w:spacing w:line="580" w:lineRule="exact"/>
        <w:ind w:firstLine="640"/>
        <w:jc w:val="both"/>
      </w:pPr>
      <w:r>
        <w:rPr>
          <w:rFonts w:ascii="仿宋_GB2312" w:hAnsi="仿宋_GB2312" w:eastAsia="仿宋_GB2312"/>
          <w:b w:val="0"/>
          <w:sz w:val="32"/>
        </w:rPr>
        <w:t>本年本单位其他项目2个，全年预算数226.28万元，全年执行数226.28万元。</w:t>
      </w:r>
    </w:p>
    <w:p w14:paraId="18EDA772">
      <w:r>
        <w:br w:type="page"/>
      </w:r>
    </w:p>
    <w:p w14:paraId="1BE534DA">
      <w:pPr>
        <w:spacing w:line="600" w:lineRule="exact"/>
        <w:jc w:val="center"/>
        <w:outlineLvl w:val="0"/>
      </w:pPr>
      <w:r>
        <w:rPr>
          <w:rFonts w:ascii="黑体" w:hAnsi="黑体" w:eastAsia="黑体"/>
          <w:sz w:val="32"/>
        </w:rPr>
        <w:t>第三部分 专业名词解释</w:t>
      </w:r>
    </w:p>
    <w:p w14:paraId="3AC7A515">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74562B0D">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BFC178E">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C3315B7">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6D1C20D">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6E50D24F">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18530A5">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6CEDE7B9">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EF53536">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8B6BA10">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28738E01">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67CE82E5">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656F26D8">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EF0C1B0">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7FCB6DE5">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5469304">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F598539">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927BAED">
      <w:r>
        <w:br w:type="page"/>
      </w:r>
    </w:p>
    <w:p w14:paraId="7FC058E5">
      <w:pPr>
        <w:spacing w:line="240" w:lineRule="auto"/>
        <w:jc w:val="center"/>
        <w:outlineLvl w:val="1"/>
      </w:pPr>
      <w:r>
        <w:rPr>
          <w:rFonts w:ascii="黑体" w:hAnsi="黑体" w:eastAsia="黑体"/>
          <w:sz w:val="32"/>
        </w:rPr>
        <w:t>第四部分 部门决算报表（见附表）</w:t>
      </w:r>
    </w:p>
    <w:p w14:paraId="31AE5DB7">
      <w:pPr>
        <w:autoSpaceDE w:val="0"/>
        <w:autoSpaceDN w:val="0"/>
        <w:spacing w:line="600" w:lineRule="exact"/>
        <w:ind w:firstLine="640" w:firstLineChars="200"/>
      </w:pPr>
      <w:r>
        <w:rPr>
          <w:rFonts w:ascii="仿宋_GB2312" w:hAnsi="仿宋_GB2312" w:eastAsia="仿宋_GB2312"/>
          <w:b w:val="0"/>
          <w:sz w:val="32"/>
        </w:rPr>
        <w:t>一、《收入支出决算总表》</w:t>
      </w:r>
    </w:p>
    <w:p w14:paraId="64849B3B">
      <w:pPr>
        <w:autoSpaceDE w:val="0"/>
        <w:autoSpaceDN w:val="0"/>
        <w:spacing w:line="600" w:lineRule="exact"/>
        <w:ind w:firstLine="640" w:firstLineChars="200"/>
      </w:pPr>
      <w:r>
        <w:rPr>
          <w:rFonts w:ascii="仿宋_GB2312" w:hAnsi="仿宋_GB2312" w:eastAsia="仿宋_GB2312"/>
          <w:b w:val="0"/>
          <w:sz w:val="32"/>
        </w:rPr>
        <w:t>二、《收入决算表》</w:t>
      </w:r>
    </w:p>
    <w:p w14:paraId="168F8FC2">
      <w:pPr>
        <w:autoSpaceDE w:val="0"/>
        <w:autoSpaceDN w:val="0"/>
        <w:spacing w:line="600" w:lineRule="exact"/>
        <w:ind w:firstLine="640" w:firstLineChars="200"/>
      </w:pPr>
      <w:r>
        <w:rPr>
          <w:rFonts w:ascii="仿宋_GB2312" w:hAnsi="仿宋_GB2312" w:eastAsia="仿宋_GB2312"/>
          <w:b w:val="0"/>
          <w:sz w:val="32"/>
        </w:rPr>
        <w:t>三、《支出决算表》</w:t>
      </w:r>
    </w:p>
    <w:p w14:paraId="38E4C98C">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60DAE8AC">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CFF3102">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F9C8EA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470344D6">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8D96DE1">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BE0DC7C">
      <w:pPr>
        <w:autoSpaceDE w:val="0"/>
        <w:autoSpaceDN w:val="0"/>
        <w:spacing w:line="600" w:lineRule="exact"/>
        <w:ind w:firstLine="640" w:firstLineChars="200"/>
      </w:pPr>
    </w:p>
    <w:p w14:paraId="349B1F1D">
      <w:pPr>
        <w:autoSpaceDE w:val="0"/>
        <w:autoSpaceDN w:val="0"/>
        <w:spacing w:line="600" w:lineRule="exact"/>
        <w:ind w:firstLine="640" w:firstLineChars="200"/>
      </w:pPr>
    </w:p>
    <w:p w14:paraId="61EAC4E5">
      <w:pPr>
        <w:autoSpaceDE w:val="0"/>
        <w:autoSpaceDN w:val="0"/>
        <w:spacing w:line="600" w:lineRule="exact"/>
        <w:ind w:firstLine="640" w:firstLineChars="200"/>
      </w:pPr>
    </w:p>
    <w:p w14:paraId="7B7B98A1">
      <w:pPr>
        <w:autoSpaceDE w:val="0"/>
        <w:autoSpaceDN w:val="0"/>
        <w:spacing w:line="600" w:lineRule="exact"/>
        <w:ind w:firstLine="640" w:firstLineChars="200"/>
      </w:pPr>
    </w:p>
    <w:p w14:paraId="135AC5A5">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6A793B-4961-4FB3-8601-4E9CDC01E5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5CDCFF41-9707-40F6-8BF1-13A26C83C4BF}"/>
  </w:font>
  <w:font w:name="仿宋_GB2312">
    <w:panose1 w:val="02010609030101010101"/>
    <w:charset w:val="86"/>
    <w:family w:val="modern"/>
    <w:pitch w:val="default"/>
    <w:sig w:usb0="00000001" w:usb1="080E0000" w:usb2="00000000" w:usb3="00000000" w:csb0="00040000" w:csb1="00000000"/>
    <w:embedRegular r:id="rId3" w:fontKey="{6FD6C407-3156-4850-98D0-2D72DCCA844E}"/>
  </w:font>
  <w:font w:name="楷体_GB2312">
    <w:panose1 w:val="02010609030101010101"/>
    <w:charset w:val="86"/>
    <w:family w:val="auto"/>
    <w:pitch w:val="default"/>
    <w:sig w:usb0="00000001" w:usb1="080E0000" w:usb2="00000000" w:usb3="00000000" w:csb0="00040000" w:csb1="00000000"/>
    <w:embedRegular r:id="rId4" w:fontKey="{DC73086A-D348-4C79-97F6-9155587AD4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1364766"/>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32</Words>
  <Characters>35</Characters>
  <Lines>10</Lines>
  <Paragraphs>2</Paragraphs>
  <TotalTime>7</TotalTime>
  <ScaleCrop>false</ScaleCrop>
  <LinksUpToDate>false</LinksUpToDate>
  <CharactersWithSpaces>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2026-10-15T11:07:52Z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