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中共昌吉回族自治州委员会机构编制委员会办公室</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741668A9">
      <w:r>
        <w:br w:type="page"/>
      </w:r>
    </w:p>
    <w:p w14:paraId="4B9FAF80">
      <w:pPr>
        <w:spacing w:line="640" w:lineRule="exact"/>
        <w:jc w:val="center"/>
        <w:outlineLvl w:val="1"/>
      </w:pPr>
      <w:r>
        <w:rPr>
          <w:rFonts w:ascii="黑体" w:hAnsi="黑体" w:eastAsia="黑体"/>
          <w:sz w:val="32"/>
        </w:rPr>
        <w:t>第一部分 单位概况</w:t>
      </w:r>
    </w:p>
    <w:p w14:paraId="46DC1B92">
      <w:pPr>
        <w:spacing w:line="640" w:lineRule="exact"/>
        <w:ind w:firstLine="640"/>
        <w:jc w:val="both"/>
        <w:outlineLvl w:val="2"/>
      </w:pPr>
      <w:r>
        <w:rPr>
          <w:rFonts w:ascii="黑体" w:hAnsi="黑体" w:eastAsia="黑体"/>
          <w:sz w:val="32"/>
        </w:rPr>
        <w:t>一、主要职能</w:t>
      </w:r>
    </w:p>
    <w:p w14:paraId="778B67D4">
      <w:pPr>
        <w:spacing w:line="580" w:lineRule="exact"/>
        <w:ind w:firstLine="640"/>
        <w:jc w:val="both"/>
      </w:pPr>
      <w:r>
        <w:rPr>
          <w:rFonts w:ascii="仿宋_GB2312" w:hAnsi="仿宋_GB2312" w:eastAsia="仿宋_GB2312"/>
          <w:sz w:val="32"/>
        </w:rPr>
        <w:t>1.贯彻执行党和国家以及自治区关于行政管理体制改革、机构改革、事业单位分类改革和机构编制管理的方针、政策和法律法规、规章、制度，研究自治州行政管理体制改革、机构改革、事业单位分类改革和机构编制管理有关问题，提出意见和建议。</w:t>
      </w:r>
    </w:p>
    <w:p w14:paraId="4D0E9848">
      <w:pPr>
        <w:spacing w:line="580" w:lineRule="exact"/>
        <w:ind w:firstLine="640"/>
        <w:jc w:val="both"/>
      </w:pPr>
      <w:r>
        <w:rPr>
          <w:rFonts w:ascii="仿宋_GB2312" w:hAnsi="仿宋_GB2312" w:eastAsia="仿宋_GB2312"/>
          <w:sz w:val="32"/>
        </w:rPr>
        <w:t>2.研究拟订自治州党政机构改革方案、事业单位改革方案并组织实施。审核自治州党政机构、人大和政协机关、法院和检察机关、各民主党派、人民团体和群众团体机关、各类开发区（园区）管理机构以及自治州党委、政府直属事业单位“三定”规定，负责自治州各部门“三定”规定的具体解释工作；审核自治州各部门所属事业单位机构改革方案。</w:t>
      </w:r>
    </w:p>
    <w:p w14:paraId="30D31D40">
      <w:pPr>
        <w:spacing w:line="580" w:lineRule="exact"/>
        <w:ind w:firstLine="640"/>
        <w:jc w:val="both"/>
      </w:pPr>
      <w:r>
        <w:rPr>
          <w:rFonts w:ascii="仿宋_GB2312" w:hAnsi="仿宋_GB2312" w:eastAsia="仿宋_GB2312"/>
          <w:sz w:val="32"/>
        </w:rPr>
        <w:t>3.指导协调县（市）、乡（镇）行政管理体制改革、机构改革、事业单位改革工作。指导县（市）拟订党政机构改革方案和事业单位改革方案，跟踪督促改革进展情况，协调解决改革共性问题。</w:t>
      </w:r>
    </w:p>
    <w:p w14:paraId="5791E4C1">
      <w:pPr>
        <w:spacing w:line="580" w:lineRule="exact"/>
        <w:ind w:firstLine="640"/>
        <w:jc w:val="both"/>
      </w:pPr>
      <w:r>
        <w:rPr>
          <w:rFonts w:ascii="仿宋_GB2312" w:hAnsi="仿宋_GB2312" w:eastAsia="仿宋_GB2312"/>
          <w:sz w:val="32"/>
        </w:rPr>
        <w:t>4.统一管理自治州各级党政机构、人大和政协机关、法院和检察机关、各民主党派、人民团体和群众团体机关、各类开发区（园区）管理机构以及各级各类事业单位职能职责配置、机构设置、人员编制和领导职数核定工作。审核并提出州本级各部门、各单位职能配置和职责调整意见，协调州本级各部门之间以及各部门与县（市）之间的职责分工；审核并提出州本级各部门、各单位机构设置、人员编制和领导职数调整意见；审核县（市）党政机构、有关人民团体和群众团体机关以及事业单位的机构设置。总量管理各县（市）机构、人员编制和领导职数；研究拟订自治州各类事业单位机构编制标准。</w:t>
      </w:r>
    </w:p>
    <w:p w14:paraId="3743648A">
      <w:pPr>
        <w:spacing w:line="580" w:lineRule="exact"/>
        <w:ind w:firstLine="640"/>
        <w:jc w:val="both"/>
      </w:pPr>
      <w:r>
        <w:rPr>
          <w:rFonts w:ascii="仿宋_GB2312" w:hAnsi="仿宋_GB2312" w:eastAsia="仿宋_GB2312"/>
          <w:sz w:val="32"/>
        </w:rPr>
        <w:t>5.监督检查各县（市）、各部门、各类开发区（园区）贯彻执行机构编制法律法规和有关机构编制政策、规定情况。监督检查州本级各部门、各类开发区（园区）管理机构“三定”规定执行情况；监督检查各县（市）党政机构改革方案和事业单位改革方案执行情况，监督检查各县（市）、各类开发区（园区）机构设置、编制总额和领导职数配备的执行情况；监督检查自治州各级各类事业单位机构编制事项的执行情况；受理违反机构编制法规、纪律的检举和投诉，进行调查核实并提出处理意见；指导各县（市）机构编制部门开展监督检查工作。</w:t>
      </w:r>
    </w:p>
    <w:p w14:paraId="13CF2C2C">
      <w:pPr>
        <w:spacing w:line="580" w:lineRule="exact"/>
        <w:ind w:firstLine="640"/>
        <w:jc w:val="both"/>
      </w:pPr>
      <w:r>
        <w:rPr>
          <w:rFonts w:ascii="仿宋_GB2312" w:hAnsi="仿宋_GB2312" w:eastAsia="仿宋_GB2312"/>
          <w:sz w:val="32"/>
        </w:rPr>
        <w:t>6.负责自治州事业单位登记管理工作。依法对州本级及授权登记的事业单位进行法人登记，组织实施年度报告公开工作，管理维护网上登记管理信息系统，依法保护事业单位有关登记事项的合法权益，依法处理违反《事业单位登记管理暂行条例》和《事业单位登记管理暂行条例实施细则》的行为。指导和监督检查县（市）事业单位登记管理工作。负责州本级党政机构、人大和政协机关、法院和检察机关、各民主党派、人民团体和群众团体机关、各类开发区（园区）管理机构统一社会信用代码赋码发证工作。</w:t>
      </w:r>
    </w:p>
    <w:p w14:paraId="714E67F8">
      <w:pPr>
        <w:spacing w:line="580" w:lineRule="exact"/>
        <w:ind w:firstLine="640"/>
        <w:jc w:val="both"/>
      </w:pPr>
      <w:r>
        <w:rPr>
          <w:rFonts w:ascii="仿宋_GB2312" w:hAnsi="仿宋_GB2312" w:eastAsia="仿宋_GB2312"/>
          <w:sz w:val="32"/>
        </w:rPr>
        <w:t>7.负责自治州机构编制统计工作。负责自治州各级各类机构编制统计、汇总、分析和上报工作，负责自治州机构编制实名制管理工作。</w:t>
      </w:r>
    </w:p>
    <w:p w14:paraId="0B043232">
      <w:pPr>
        <w:spacing w:line="580" w:lineRule="exact"/>
        <w:ind w:firstLine="640"/>
        <w:jc w:val="both"/>
      </w:pPr>
      <w:r>
        <w:rPr>
          <w:rFonts w:ascii="仿宋_GB2312" w:hAnsi="仿宋_GB2312" w:eastAsia="仿宋_GB2312"/>
          <w:sz w:val="32"/>
        </w:rPr>
        <w:t>8.完成自治州党委和自治州党委机构编制委员会交办的其他任务。</w:t>
      </w:r>
    </w:p>
    <w:p w14:paraId="515A15BD">
      <w:pPr>
        <w:spacing w:line="640" w:lineRule="exact"/>
        <w:ind w:firstLine="640"/>
        <w:jc w:val="both"/>
        <w:outlineLvl w:val="2"/>
      </w:pPr>
      <w:r>
        <w:rPr>
          <w:rFonts w:ascii="黑体" w:hAnsi="黑体" w:eastAsia="黑体"/>
          <w:sz w:val="32"/>
        </w:rPr>
        <w:t>二、机构设置</w:t>
      </w:r>
    </w:p>
    <w:p w14:paraId="5D869937">
      <w:pPr>
        <w:spacing w:line="580" w:lineRule="exact"/>
        <w:ind w:firstLine="640"/>
        <w:jc w:val="both"/>
      </w:pPr>
      <w:r>
        <w:rPr>
          <w:rFonts w:ascii="仿宋_GB2312" w:hAnsi="仿宋_GB2312" w:eastAsia="仿宋_GB2312"/>
          <w:sz w:val="32"/>
        </w:rPr>
        <w:t>中共昌吉回族自治州委员会机构编制委员会办公室无下属预算单位。</w:t>
      </w:r>
    </w:p>
    <w:p w14:paraId="6895BBB3">
      <w:r>
        <w:br w:type="page"/>
      </w:r>
    </w:p>
    <w:p w14:paraId="750AAED2">
      <w:pPr>
        <w:spacing w:line="240" w:lineRule="auto"/>
        <w:jc w:val="center"/>
        <w:outlineLvl w:val="1"/>
      </w:pPr>
      <w:r>
        <w:rPr>
          <w:rFonts w:ascii="黑体" w:hAnsi="黑体" w:eastAsia="黑体"/>
          <w:sz w:val="32"/>
        </w:rPr>
        <w:t>第二部分 部门决算情况说明</w:t>
      </w:r>
    </w:p>
    <w:p w14:paraId="51AF6557">
      <w:pPr>
        <w:spacing w:line="640" w:lineRule="exact"/>
        <w:ind w:firstLine="640"/>
        <w:jc w:val="both"/>
        <w:outlineLvl w:val="2"/>
      </w:pPr>
      <w:r>
        <w:rPr>
          <w:rFonts w:ascii="黑体" w:hAnsi="黑体" w:eastAsia="黑体"/>
          <w:sz w:val="32"/>
        </w:rPr>
        <w:t>一、收入支出决算总体情况说明</w:t>
      </w:r>
    </w:p>
    <w:p w14:paraId="1A59AFD9">
      <w:pPr>
        <w:spacing w:line="580" w:lineRule="exact"/>
        <w:ind w:firstLine="640"/>
        <w:jc w:val="both"/>
      </w:pPr>
      <w:r>
        <w:rPr>
          <w:rFonts w:ascii="仿宋_GB2312" w:hAnsi="仿宋_GB2312" w:eastAsia="仿宋_GB2312"/>
          <w:b/>
          <w:sz w:val="32"/>
        </w:rPr>
        <w:t>2025年度收入总计646.61万元，</w:t>
      </w:r>
      <w:r>
        <w:rPr>
          <w:rFonts w:ascii="仿宋_GB2312" w:hAnsi="仿宋_GB2312" w:eastAsia="仿宋_GB2312"/>
          <w:b w:val="0"/>
          <w:sz w:val="32"/>
        </w:rPr>
        <w:t>其中：本年收入合计639.25万元，使用非财政拨款结余（含专用结余）0.00万元，年初结转和结余7.36万元。</w:t>
      </w:r>
    </w:p>
    <w:p w14:paraId="42DD7921">
      <w:pPr>
        <w:spacing w:line="580" w:lineRule="exact"/>
        <w:ind w:firstLine="640"/>
        <w:jc w:val="both"/>
      </w:pPr>
      <w:r>
        <w:rPr>
          <w:rFonts w:ascii="仿宋_GB2312" w:hAnsi="仿宋_GB2312" w:eastAsia="仿宋_GB2312"/>
          <w:b/>
          <w:sz w:val="32"/>
        </w:rPr>
        <w:t>2025年度支出总计646.61万元，</w:t>
      </w:r>
      <w:r>
        <w:rPr>
          <w:rFonts w:ascii="仿宋_GB2312" w:hAnsi="仿宋_GB2312" w:eastAsia="仿宋_GB2312"/>
          <w:b w:val="0"/>
          <w:sz w:val="32"/>
        </w:rPr>
        <w:t>其中：本年支出合计636.53万元，结余分配0.00万元，年末结转和结余10.08万元。</w:t>
      </w:r>
    </w:p>
    <w:p w14:paraId="36B7DDAE">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减少0.73万元，下降0.11%，主要原因是：本年减少为民办实事经费项目。</w:t>
      </w:r>
    </w:p>
    <w:p w14:paraId="28547104">
      <w:pPr>
        <w:spacing w:line="640" w:lineRule="exact"/>
        <w:ind w:firstLine="640"/>
        <w:jc w:val="both"/>
        <w:outlineLvl w:val="2"/>
      </w:pPr>
      <w:r>
        <w:rPr>
          <w:rFonts w:ascii="黑体" w:hAnsi="黑体" w:eastAsia="黑体"/>
          <w:sz w:val="32"/>
        </w:rPr>
        <w:t>二、收入决算情况说明</w:t>
      </w:r>
    </w:p>
    <w:p w14:paraId="15F01209">
      <w:pPr>
        <w:spacing w:line="580" w:lineRule="exact"/>
        <w:ind w:firstLine="640"/>
        <w:jc w:val="both"/>
      </w:pPr>
      <w:r>
        <w:rPr>
          <w:rFonts w:ascii="仿宋_GB2312" w:hAnsi="仿宋_GB2312" w:eastAsia="仿宋_GB2312"/>
          <w:b/>
          <w:sz w:val="32"/>
        </w:rPr>
        <w:t>本年收入639.25万元，</w:t>
      </w:r>
      <w:r>
        <w:rPr>
          <w:rFonts w:ascii="仿宋_GB2312" w:hAnsi="仿宋_GB2312" w:eastAsia="仿宋_GB2312"/>
          <w:b w:val="0"/>
          <w:sz w:val="32"/>
        </w:rPr>
        <w:t>其中：财政拨款收入616.52万元，占96.44%；上级补助收入0.00万元，占0.00%；事业收入0.00万元，占0.00%；经营收入0.00万元，占0.00%；附属单位上缴收入0.00万元，占0.00%；其他收入22.73万元，占3.56%。</w:t>
      </w:r>
    </w:p>
    <w:p w14:paraId="507CAFF4">
      <w:pPr>
        <w:spacing w:line="640" w:lineRule="exact"/>
        <w:ind w:firstLine="640"/>
        <w:jc w:val="both"/>
        <w:outlineLvl w:val="2"/>
      </w:pPr>
      <w:r>
        <w:rPr>
          <w:rFonts w:ascii="黑体" w:hAnsi="黑体" w:eastAsia="黑体"/>
          <w:sz w:val="32"/>
        </w:rPr>
        <w:t>三、支出决算情况说明</w:t>
      </w:r>
    </w:p>
    <w:p w14:paraId="3C0E7024">
      <w:pPr>
        <w:spacing w:line="580" w:lineRule="exact"/>
        <w:ind w:firstLine="640"/>
        <w:jc w:val="both"/>
      </w:pPr>
      <w:r>
        <w:rPr>
          <w:rFonts w:ascii="仿宋_GB2312" w:hAnsi="仿宋_GB2312" w:eastAsia="仿宋_GB2312"/>
          <w:b/>
          <w:sz w:val="32"/>
        </w:rPr>
        <w:t>本年支出636.53万元，</w:t>
      </w:r>
      <w:r>
        <w:rPr>
          <w:rFonts w:ascii="仿宋_GB2312" w:hAnsi="仿宋_GB2312" w:eastAsia="仿宋_GB2312"/>
          <w:b w:val="0"/>
          <w:sz w:val="32"/>
        </w:rPr>
        <w:t>其中：基本支出596.12万元，占93.65%；项目支出40.40万元，占6.35%；上缴上级支出0.00万元，占0.00%；经营支出0.00万元，占0.00%；对附属单位补助支出0.00万元，占0.00%。</w:t>
      </w:r>
    </w:p>
    <w:p w14:paraId="5DE4D894">
      <w:pPr>
        <w:spacing w:line="640" w:lineRule="exact"/>
        <w:ind w:firstLine="640"/>
        <w:jc w:val="both"/>
        <w:outlineLvl w:val="2"/>
      </w:pPr>
      <w:r>
        <w:rPr>
          <w:rFonts w:ascii="黑体" w:hAnsi="黑体" w:eastAsia="黑体"/>
          <w:sz w:val="32"/>
        </w:rPr>
        <w:t>四、财政拨款收入支出决算总体情况说明</w:t>
      </w:r>
    </w:p>
    <w:p w14:paraId="53865C5E">
      <w:pPr>
        <w:spacing w:line="580" w:lineRule="exact"/>
        <w:ind w:firstLine="640"/>
        <w:jc w:val="both"/>
      </w:pPr>
      <w:r>
        <w:rPr>
          <w:rFonts w:ascii="仿宋_GB2312" w:hAnsi="仿宋_GB2312" w:eastAsia="仿宋_GB2312"/>
          <w:b/>
          <w:sz w:val="32"/>
        </w:rPr>
        <w:t>2025年度财政拨款收入总计616.52万元，</w:t>
      </w:r>
      <w:r>
        <w:rPr>
          <w:rFonts w:ascii="仿宋_GB2312" w:hAnsi="仿宋_GB2312" w:eastAsia="仿宋_GB2312"/>
          <w:b w:val="0"/>
          <w:sz w:val="32"/>
        </w:rPr>
        <w:t>其中：年初财政拨款结转和结余0.00万元，本年财政拨款收入616.52万元。</w:t>
      </w:r>
      <w:r>
        <w:rPr>
          <w:rFonts w:ascii="仿宋_GB2312" w:hAnsi="仿宋_GB2312" w:eastAsia="仿宋_GB2312"/>
          <w:b/>
          <w:sz w:val="32"/>
        </w:rPr>
        <w:t>财政拨款支出总计616.52万元，</w:t>
      </w:r>
      <w:r>
        <w:rPr>
          <w:rFonts w:ascii="仿宋_GB2312" w:hAnsi="仿宋_GB2312" w:eastAsia="仿宋_GB2312"/>
          <w:b w:val="0"/>
          <w:sz w:val="32"/>
        </w:rPr>
        <w:t>其中：年末财政拨款结转和结余0.00万元，本年财政拨款支出616.52万元。</w:t>
      </w:r>
    </w:p>
    <w:p w14:paraId="52DD1EB1">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减少22.51万元，下降3.52%，主要原因是：2024年补发基本工资调标，本年度正常列支，相关人员经费较上年减少。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年初预算数549.75万元，决算数616.52万元，预决算差异率12.15%，主要原因是：年中追加人员工资、社保、奖金、驻村人员生活补助调增部分资金，导致预决算存在差异。</w:t>
      </w:r>
    </w:p>
    <w:p w14:paraId="2182871E">
      <w:pPr>
        <w:spacing w:line="640" w:lineRule="exact"/>
        <w:ind w:firstLine="640"/>
        <w:jc w:val="both"/>
        <w:outlineLvl w:val="2"/>
      </w:pPr>
      <w:r>
        <w:rPr>
          <w:rFonts w:ascii="黑体" w:hAnsi="黑体" w:eastAsia="黑体"/>
          <w:sz w:val="32"/>
        </w:rPr>
        <w:t>五、一般公共预算财政拨款支出决算情况说明</w:t>
      </w:r>
    </w:p>
    <w:p w14:paraId="21A16CE4">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机构编制管理、事业单位登记管理等重点支出，体现在有关支出科目中。</w:t>
      </w:r>
    </w:p>
    <w:p w14:paraId="4578A423">
      <w:pPr>
        <w:spacing w:line="580" w:lineRule="exact"/>
        <w:ind w:firstLine="640"/>
        <w:jc w:val="both"/>
      </w:pPr>
      <w:r>
        <w:rPr>
          <w:rFonts w:ascii="仿宋_GB2312" w:hAnsi="仿宋_GB2312" w:eastAsia="仿宋_GB2312"/>
          <w:b w:val="0"/>
          <w:sz w:val="32"/>
        </w:rPr>
        <w:t>按照支出功能分类，一般公共服务支出（类）其他共产党事务支出（款）行政运行（项）的支出占本年财政拨款支出总额的比重最高，2025年度决算数为298.43万元，占比48.41%，主要用于人员工资福利、社保缴费、日常公用经费，保障单位机构正常运转，落实机构改革、机构编制督查、实名制管理、事业单位登记管理等业务工作。</w:t>
      </w:r>
    </w:p>
    <w:p w14:paraId="6F2F2F27">
      <w:pPr>
        <w:spacing w:line="640" w:lineRule="exact"/>
        <w:ind w:firstLine="640"/>
        <w:jc w:val="both"/>
        <w:outlineLvl w:val="3"/>
      </w:pPr>
      <w:r>
        <w:rPr>
          <w:rFonts w:ascii="楷体_GB2312" w:hAnsi="楷体_GB2312" w:eastAsia="楷体_GB2312"/>
          <w:b/>
          <w:sz w:val="32"/>
        </w:rPr>
        <w:t>（一）一般公共预算财政拨款支出决算总体情况</w:t>
      </w:r>
    </w:p>
    <w:p w14:paraId="0D3803E9">
      <w:pPr>
        <w:spacing w:line="580" w:lineRule="exact"/>
        <w:ind w:firstLine="640"/>
        <w:jc w:val="both"/>
      </w:pPr>
      <w:r>
        <w:rPr>
          <w:rFonts w:ascii="仿宋_GB2312" w:hAnsi="仿宋_GB2312" w:eastAsia="仿宋_GB2312"/>
          <w:b/>
          <w:sz w:val="32"/>
        </w:rPr>
        <w:t>2025年度一般公共预算财政拨款支出616.52万元，</w:t>
      </w:r>
      <w:r>
        <w:rPr>
          <w:rFonts w:ascii="仿宋_GB2312" w:hAnsi="仿宋_GB2312" w:eastAsia="仿宋_GB2312"/>
          <w:b w:val="0"/>
          <w:sz w:val="32"/>
        </w:rPr>
        <w:t>占本年支出合计的96.86%。</w:t>
      </w:r>
      <w:r>
        <w:rPr>
          <w:rFonts w:ascii="仿宋_GB2312" w:hAnsi="仿宋_GB2312" w:eastAsia="仿宋_GB2312"/>
          <w:b/>
          <w:sz w:val="32"/>
        </w:rPr>
        <w:t>与上年相比，</w:t>
      </w:r>
      <w:r>
        <w:rPr>
          <w:rFonts w:ascii="仿宋_GB2312" w:hAnsi="仿宋_GB2312" w:eastAsia="仿宋_GB2312"/>
          <w:b w:val="0"/>
          <w:sz w:val="32"/>
        </w:rPr>
        <w:t>减少22.51万元，下降3.52%，主要原因是：2024年补发基本工资调标，本年度正常列支，相关人员经费较上年减少。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年初预算数549.75万元，决算数616.52万元，预决算差异率12.15%，主要原因是：年中追加人员工资、社保、奖金、驻村人员补助调增部分资金，导致预决算存在差异。</w:t>
      </w:r>
    </w:p>
    <w:p w14:paraId="465F8A2F">
      <w:pPr>
        <w:spacing w:line="640" w:lineRule="exact"/>
        <w:ind w:firstLine="640"/>
        <w:jc w:val="both"/>
        <w:outlineLvl w:val="3"/>
      </w:pPr>
      <w:r>
        <w:rPr>
          <w:rFonts w:ascii="楷体_GB2312" w:hAnsi="楷体_GB2312" w:eastAsia="楷体_GB2312"/>
          <w:b/>
          <w:sz w:val="32"/>
        </w:rPr>
        <w:t>（二）一般公共预算财政拨款支出决算结构情况</w:t>
      </w:r>
    </w:p>
    <w:p w14:paraId="0513AAC7">
      <w:pPr>
        <w:spacing w:line="580" w:lineRule="exact"/>
        <w:ind w:firstLine="640"/>
        <w:jc w:val="both"/>
      </w:pPr>
      <w:r>
        <w:rPr>
          <w:rFonts w:ascii="仿宋_GB2312" w:hAnsi="仿宋_GB2312" w:eastAsia="仿宋_GB2312"/>
          <w:b w:val="0"/>
          <w:sz w:val="32"/>
        </w:rPr>
        <w:t>1.一般公共服务支出（类）434.66万元，占70.50%。</w:t>
      </w:r>
    </w:p>
    <w:p w14:paraId="7EFB9990">
      <w:pPr>
        <w:spacing w:line="580" w:lineRule="exact"/>
        <w:ind w:firstLine="640"/>
        <w:jc w:val="both"/>
      </w:pPr>
      <w:r>
        <w:rPr>
          <w:rFonts w:ascii="仿宋_GB2312" w:hAnsi="仿宋_GB2312" w:eastAsia="仿宋_GB2312"/>
          <w:b w:val="0"/>
          <w:sz w:val="32"/>
        </w:rPr>
        <w:t>2.社会保障和就业支出（类）95.00万元，占15.41%。</w:t>
      </w:r>
    </w:p>
    <w:p w14:paraId="3C23D6A6">
      <w:pPr>
        <w:spacing w:line="580" w:lineRule="exact"/>
        <w:ind w:firstLine="640"/>
        <w:jc w:val="both"/>
      </w:pPr>
      <w:r>
        <w:rPr>
          <w:rFonts w:ascii="仿宋_GB2312" w:hAnsi="仿宋_GB2312" w:eastAsia="仿宋_GB2312"/>
          <w:b w:val="0"/>
          <w:sz w:val="32"/>
        </w:rPr>
        <w:t>3.卫生健康支出（类）42.38万元，占6.87%。</w:t>
      </w:r>
    </w:p>
    <w:p w14:paraId="2215CD3E">
      <w:pPr>
        <w:spacing w:line="580" w:lineRule="exact"/>
        <w:ind w:firstLine="640"/>
        <w:jc w:val="both"/>
      </w:pPr>
      <w:r>
        <w:rPr>
          <w:rFonts w:ascii="仿宋_GB2312" w:hAnsi="仿宋_GB2312" w:eastAsia="仿宋_GB2312"/>
          <w:b w:val="0"/>
          <w:sz w:val="32"/>
        </w:rPr>
        <w:t>4.住房保障支出（类）42.05万元，占6.82%。</w:t>
      </w:r>
    </w:p>
    <w:p w14:paraId="341EAEA2">
      <w:pPr>
        <w:spacing w:line="580" w:lineRule="exact"/>
        <w:ind w:firstLine="640"/>
        <w:jc w:val="both"/>
      </w:pPr>
      <w:r>
        <w:rPr>
          <w:rFonts w:ascii="仿宋_GB2312" w:hAnsi="仿宋_GB2312" w:eastAsia="仿宋_GB2312"/>
          <w:b w:val="0"/>
          <w:sz w:val="32"/>
        </w:rPr>
        <w:t>5.其他支出（类）2.42万元，占0.39%。</w:t>
      </w:r>
    </w:p>
    <w:p w14:paraId="65821DE6">
      <w:pPr>
        <w:spacing w:line="640" w:lineRule="exact"/>
        <w:ind w:firstLine="640"/>
        <w:jc w:val="both"/>
        <w:outlineLvl w:val="3"/>
      </w:pPr>
      <w:r>
        <w:rPr>
          <w:rFonts w:ascii="楷体_GB2312" w:hAnsi="楷体_GB2312" w:eastAsia="楷体_GB2312"/>
          <w:b/>
          <w:sz w:val="32"/>
        </w:rPr>
        <w:t>（三）一般公共预算财政拨款支出决算具体情况</w:t>
      </w:r>
    </w:p>
    <w:p w14:paraId="42F427AF">
      <w:pPr>
        <w:spacing w:line="580" w:lineRule="exact"/>
        <w:ind w:firstLine="640"/>
        <w:jc w:val="both"/>
      </w:pPr>
      <w:r>
        <w:rPr>
          <w:rFonts w:ascii="仿宋_GB2312" w:hAnsi="仿宋_GB2312" w:eastAsia="仿宋_GB2312"/>
          <w:b w:val="0"/>
          <w:sz w:val="32"/>
        </w:rPr>
        <w:t>1.一般公共服务支出（类）其他共产党事务支出（款）行政运行（项）：支出决算数为298.43万元，比上年决算减少21.73万元，下降6.79%，主要原因是：2024年补发基本工资调标，本年度正常列支，相关人员经费较上年减少。</w:t>
      </w:r>
    </w:p>
    <w:p w14:paraId="273EC633">
      <w:pPr>
        <w:spacing w:line="580" w:lineRule="exact"/>
        <w:ind w:firstLine="640"/>
        <w:jc w:val="both"/>
      </w:pPr>
      <w:r>
        <w:rPr>
          <w:rFonts w:ascii="仿宋_GB2312" w:hAnsi="仿宋_GB2312" w:eastAsia="仿宋_GB2312"/>
          <w:b w:val="0"/>
          <w:sz w:val="32"/>
        </w:rPr>
        <w:t>2.一般公共服务支出（类）其他共产党事务支出（款）一般行政管理事务（项）：支出决算数为20.48万元，比上年决算增加11.60万元，增长130.63%，主要原因是：本年新增机构编制业务培训班项目，相关经费增加。</w:t>
      </w:r>
    </w:p>
    <w:p w14:paraId="78CFDA29">
      <w:pPr>
        <w:spacing w:line="580" w:lineRule="exact"/>
        <w:ind w:firstLine="640"/>
        <w:jc w:val="both"/>
      </w:pPr>
      <w:r>
        <w:rPr>
          <w:rFonts w:ascii="仿宋_GB2312" w:hAnsi="仿宋_GB2312" w:eastAsia="仿宋_GB2312"/>
          <w:b w:val="0"/>
          <w:sz w:val="32"/>
        </w:rPr>
        <w:t>3.一般公共服务支出（类）其他共产党事务支出（款）事业运行（项）：支出决算数为115.75万元，比上年决算减少20.54万元，下降15.07%，主要原因是：2024年补发基本工资调标，本年度正常列支，相关人员经费较上年减少。</w:t>
      </w:r>
    </w:p>
    <w:p w14:paraId="4A17FDC6">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4.社会保障和就业支出（类）行政事业单位养老支出（款）行政单位离退休（项）：支出决算数为7.98万元，比上年决算增加4.28万元，增长115.68%，主要原因是：本年增加退休人员基础绩效奖，退休费支出增加。</w:t>
      </w:r>
    </w:p>
    <w:p w14:paraId="7392B189">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51.75万元，比上年决算增加4.29万元，增长9.04%，主要原因是：本年在职人员工资基数调增，养老缴费基数上涨，相应支出增加。</w:t>
      </w:r>
    </w:p>
    <w:p w14:paraId="01A88061">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35.28万元，比上年决算减少16.22万元，下降31.50%，主要原因是：本年退休人员较上年减少，职业年金缴费较上年减少。</w:t>
      </w:r>
    </w:p>
    <w:p w14:paraId="26F795E4">
      <w:pPr>
        <w:spacing w:line="580" w:lineRule="exact"/>
        <w:ind w:firstLine="640"/>
        <w:jc w:val="both"/>
      </w:pPr>
      <w:r>
        <w:rPr>
          <w:rFonts w:ascii="仿宋_GB2312" w:hAnsi="仿宋_GB2312" w:eastAsia="仿宋_GB2312"/>
          <w:b w:val="0"/>
          <w:sz w:val="32"/>
        </w:rPr>
        <w:t>7.卫生健康支出（类）行政事业单位医疗（款）行政单位医疗（项）：支出决算数为19.95万元，比上年决算增加5.43万元，增长37.40%，主要原因是：本年在职人员工资基数调增，医疗缴费基数上涨，相应支出增加。</w:t>
      </w:r>
    </w:p>
    <w:p w14:paraId="6E847144">
      <w:pPr>
        <w:spacing w:line="580" w:lineRule="exact"/>
        <w:ind w:firstLine="640"/>
        <w:jc w:val="both"/>
      </w:pPr>
      <w:r>
        <w:rPr>
          <w:rFonts w:ascii="仿宋_GB2312" w:hAnsi="仿宋_GB2312" w:eastAsia="仿宋_GB2312"/>
          <w:b w:val="0"/>
          <w:sz w:val="32"/>
        </w:rPr>
        <w:t>8.卫生健康支出（类）行政事业单位医疗（款）事业单位医疗（项）：支出决算数为9.65万元，比上年决算增加0.16万元，增长1.69%，主要原因是：本年在职人员工资基数调增，医疗缴费基数上涨，相应支出增加。</w:t>
      </w:r>
    </w:p>
    <w:p w14:paraId="5ED0D940">
      <w:pPr>
        <w:spacing w:line="580" w:lineRule="exact"/>
        <w:ind w:firstLine="640"/>
        <w:jc w:val="both"/>
      </w:pPr>
      <w:r>
        <w:rPr>
          <w:rFonts w:ascii="仿宋_GB2312" w:hAnsi="仿宋_GB2312" w:eastAsia="仿宋_GB2312"/>
          <w:b w:val="0"/>
          <w:sz w:val="32"/>
        </w:rPr>
        <w:t>9.卫生健康支出（类）行政事业单位医疗（款）公务员医疗补助（项）：支出决算数为12.46万元，比上年决算增加10.82万元，增长659.76%，主要原因是：本年在职人员工资基数调增，医疗缴费基数上涨，相应支出增加。</w:t>
      </w:r>
    </w:p>
    <w:p w14:paraId="390E514A">
      <w:pPr>
        <w:spacing w:line="580" w:lineRule="exact"/>
        <w:ind w:firstLine="640"/>
        <w:jc w:val="both"/>
      </w:pPr>
      <w:r>
        <w:rPr>
          <w:rFonts w:ascii="仿宋_GB2312" w:hAnsi="仿宋_GB2312" w:eastAsia="仿宋_GB2312"/>
          <w:b w:val="0"/>
          <w:sz w:val="32"/>
        </w:rPr>
        <w:t>10.卫生健康支出（类）行政事业单位医疗（款）其他行政事业单位医疗支出（项）：支出决算数为0.31万元，比上年决算增加0.10万元，增长47.62%，主要原因是：本年在职人员工资基数调增，医疗缴费基数上涨，相应支出增加。</w:t>
      </w:r>
    </w:p>
    <w:p w14:paraId="5E969265">
      <w:pPr>
        <w:spacing w:line="580" w:lineRule="exact"/>
        <w:ind w:firstLine="640"/>
        <w:jc w:val="both"/>
      </w:pPr>
      <w:r>
        <w:rPr>
          <w:rFonts w:ascii="仿宋_GB2312" w:hAnsi="仿宋_GB2312" w:eastAsia="仿宋_GB2312"/>
          <w:b w:val="0"/>
          <w:sz w:val="32"/>
        </w:rPr>
        <w:t>11.住房保障支出（类）住房改革支出（款）住房公积金（项）：支出决算数为42.05万元，比上年决算增加2.84万元，增长7.24%，主要原因是：本年在职人员工资基数调增，公积金缴费基数上涨，相应支出增加。</w:t>
      </w:r>
    </w:p>
    <w:p w14:paraId="327CC8CC">
      <w:pPr>
        <w:spacing w:line="580" w:lineRule="exact"/>
        <w:ind w:firstLine="640"/>
        <w:jc w:val="both"/>
      </w:pPr>
      <w:r>
        <w:rPr>
          <w:rFonts w:ascii="仿宋_GB2312" w:hAnsi="仿宋_GB2312" w:eastAsia="仿宋_GB2312"/>
          <w:b w:val="0"/>
          <w:sz w:val="32"/>
        </w:rPr>
        <w:t>12.其他支出（类）其他支出（款）其他支出（项）：支出决算数为2.42万元，比上年决算减少3.57万元，下降59.60%，主要原因是：本年减少驻村人员生活补助支出。</w:t>
      </w:r>
    </w:p>
    <w:p w14:paraId="7A8BE579">
      <w:pPr>
        <w:spacing w:line="640" w:lineRule="exact"/>
        <w:ind w:firstLine="640"/>
        <w:jc w:val="both"/>
        <w:outlineLvl w:val="2"/>
      </w:pPr>
      <w:r>
        <w:rPr>
          <w:rFonts w:ascii="黑体" w:hAnsi="黑体" w:eastAsia="黑体"/>
          <w:sz w:val="32"/>
        </w:rPr>
        <w:t>六、一般公共预算财政拨款基本支出决算情况说明</w:t>
      </w:r>
    </w:p>
    <w:p w14:paraId="0F0895B1">
      <w:pPr>
        <w:spacing w:line="580" w:lineRule="exact"/>
        <w:ind w:firstLine="640"/>
        <w:jc w:val="both"/>
      </w:pPr>
      <w:r>
        <w:rPr>
          <w:rFonts w:ascii="仿宋_GB2312" w:hAnsi="仿宋_GB2312" w:eastAsia="仿宋_GB2312"/>
          <w:b w:val="0"/>
          <w:sz w:val="32"/>
        </w:rPr>
        <w:t>2025年度一般公共预算财政拨款基本支出596.04万元，其中：</w:t>
      </w:r>
      <w:r>
        <w:rPr>
          <w:rFonts w:ascii="仿宋_GB2312" w:hAnsi="仿宋_GB2312" w:eastAsia="仿宋_GB2312"/>
          <w:b/>
          <w:sz w:val="32"/>
        </w:rPr>
        <w:t>人员经费553.92万元，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生活补助、奖励金。</w:t>
      </w:r>
    </w:p>
    <w:p w14:paraId="71F537F9">
      <w:pPr>
        <w:spacing w:line="580" w:lineRule="exact"/>
        <w:ind w:firstLine="640"/>
        <w:jc w:val="both"/>
      </w:pPr>
      <w:r>
        <w:rPr>
          <w:rFonts w:ascii="仿宋_GB2312" w:hAnsi="仿宋_GB2312" w:eastAsia="仿宋_GB2312"/>
          <w:b/>
          <w:sz w:val="32"/>
        </w:rPr>
        <w:t>公用经费42.13万元，</w:t>
      </w:r>
      <w:r>
        <w:rPr>
          <w:rFonts w:ascii="仿宋_GB2312" w:hAnsi="仿宋_GB2312" w:eastAsia="仿宋_GB2312"/>
          <w:b w:val="0"/>
          <w:sz w:val="32"/>
        </w:rPr>
        <w:t>包括：办公费、印刷费、邮电费、差旅费、维修（护）费、劳务费、委托业务费、工会经费、福利费、公务用车运行维护费、其他交通费用、其他商品和服务支出。</w:t>
      </w:r>
    </w:p>
    <w:p w14:paraId="02FA9ACD">
      <w:pPr>
        <w:spacing w:line="640" w:lineRule="exact"/>
        <w:ind w:firstLine="640"/>
        <w:jc w:val="both"/>
        <w:outlineLvl w:val="2"/>
      </w:pPr>
      <w:r>
        <w:rPr>
          <w:rFonts w:ascii="黑体" w:hAnsi="黑体" w:eastAsia="黑体"/>
          <w:sz w:val="32"/>
        </w:rPr>
        <w:t>七、政府性基金预算财政拨款收入支出决算情况说明</w:t>
      </w:r>
    </w:p>
    <w:p w14:paraId="53AEA5F2">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7F1FDBE">
      <w:pPr>
        <w:spacing w:line="640" w:lineRule="exact"/>
        <w:ind w:firstLine="640"/>
        <w:jc w:val="both"/>
        <w:outlineLvl w:val="2"/>
      </w:pPr>
      <w:r>
        <w:rPr>
          <w:rFonts w:ascii="黑体" w:hAnsi="黑体" w:eastAsia="黑体"/>
          <w:sz w:val="32"/>
        </w:rPr>
        <w:t>八、国有资本经营预算财政拨款收入支出决算情况说明</w:t>
      </w:r>
    </w:p>
    <w:p w14:paraId="1FEE2137">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4175BED4">
      <w:pPr>
        <w:spacing w:line="640" w:lineRule="exact"/>
        <w:ind w:firstLine="640"/>
        <w:jc w:val="both"/>
        <w:outlineLvl w:val="2"/>
      </w:pPr>
      <w:r>
        <w:rPr>
          <w:rFonts w:ascii="黑体" w:hAnsi="黑体" w:eastAsia="黑体"/>
          <w:sz w:val="32"/>
        </w:rPr>
        <w:t>九、财政拨款“三公”经费支出决算情况说明</w:t>
      </w:r>
    </w:p>
    <w:p w14:paraId="4385270C">
      <w:pPr>
        <w:spacing w:line="580" w:lineRule="exact"/>
        <w:ind w:firstLine="640"/>
        <w:jc w:val="both"/>
      </w:pPr>
      <w:r>
        <w:rPr>
          <w:rFonts w:ascii="仿宋_GB2312" w:hAnsi="仿宋_GB2312" w:eastAsia="仿宋_GB2312"/>
          <w:b/>
          <w:sz w:val="32"/>
        </w:rPr>
        <w:t>2025年度财政拨款“三公”经费支出4.78万元，</w:t>
      </w:r>
      <w:r>
        <w:rPr>
          <w:rFonts w:ascii="仿宋_GB2312" w:hAnsi="仿宋_GB2312" w:eastAsia="仿宋_GB2312"/>
          <w:b w:val="0"/>
          <w:sz w:val="32"/>
        </w:rPr>
        <w:t>比上年增加3.15万元，增长193.25%，主要原因是：本单位公务用车日渐老化，维修维护成本增加，导致公务用车运行维护费较上年增加。其中：因公出国（境）费用支出0.00万元，占0.00%，比上年增加0.00万元，增长0.00%，主要原因是：2024年与2025年均无因公出国（境）费用支出。公务用车购置及运行维护费支出4.78万元，占100.00%，比上年增加3.22万元，增长206.41%，主要原因是：本单位公务用车日渐老化，维修维护成本增加，导致公务用车运行维护费较上年增加。公务接待费支出0.00万元，占0.00%，比上年减少0.07万元，下降100.00%，主要原因是：本年严格执行中央八项规定，厉行节约，无公务接待费支出。</w:t>
      </w:r>
    </w:p>
    <w:p w14:paraId="56DDA087">
      <w:pPr>
        <w:spacing w:line="580" w:lineRule="exact"/>
        <w:ind w:firstLine="640"/>
        <w:jc w:val="both"/>
      </w:pPr>
      <w:r>
        <w:rPr>
          <w:rFonts w:ascii="仿宋_GB2312" w:hAnsi="仿宋_GB2312" w:eastAsia="仿宋_GB2312"/>
          <w:b/>
          <w:sz w:val="32"/>
        </w:rPr>
        <w:t>具体情况如下：</w:t>
      </w:r>
    </w:p>
    <w:p w14:paraId="7FBC29DB">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7047E1FC">
      <w:pPr>
        <w:spacing w:line="580" w:lineRule="exact"/>
        <w:ind w:firstLine="640"/>
        <w:jc w:val="both"/>
      </w:pPr>
      <w:r>
        <w:rPr>
          <w:rFonts w:ascii="仿宋_GB2312" w:hAnsi="仿宋_GB2312" w:eastAsia="仿宋_GB2312"/>
          <w:b w:val="0"/>
          <w:sz w:val="32"/>
        </w:rPr>
        <w:t>公务用车购置及运行维护费4.78万元，其中：公务用车购置费0.00万元，公务用车运行维护费4.78万元。公务用车运行维护费开支内容包括车辆加油费、维修费、保险费、审车费、过路费等。公务用车购置数0辆，公务用车保有量2辆。国有资产占用情况中固定资产车辆2辆，与公务用车保有量差异原因是：本单位公务用车保有量与固定资产车辆一致无差异。</w:t>
      </w:r>
    </w:p>
    <w:p w14:paraId="035B3689">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3E9E96CF">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4.78万元，决算数4.78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4.78万元，决算数4.78万元，预决算差异率0.00%，主要原因是：严格按照预算执行，预决算无差异。公务接待费全年预算数0.00万元，决算数0.00万元，预决算差异率0.00%，主要原因是：本单位无公务接待费。</w:t>
      </w:r>
    </w:p>
    <w:p w14:paraId="12357B26">
      <w:pPr>
        <w:spacing w:line="640" w:lineRule="exact"/>
        <w:ind w:firstLine="640"/>
        <w:jc w:val="both"/>
        <w:outlineLvl w:val="2"/>
      </w:pPr>
      <w:r>
        <w:rPr>
          <w:rFonts w:ascii="黑体" w:hAnsi="黑体" w:eastAsia="黑体"/>
          <w:sz w:val="32"/>
        </w:rPr>
        <w:t>十、其他重要事项的情况说明</w:t>
      </w:r>
    </w:p>
    <w:p w14:paraId="1BC4C62A">
      <w:pPr>
        <w:spacing w:line="640" w:lineRule="exact"/>
        <w:ind w:firstLine="640"/>
        <w:jc w:val="both"/>
        <w:outlineLvl w:val="3"/>
      </w:pPr>
      <w:r>
        <w:rPr>
          <w:rFonts w:ascii="楷体_GB2312" w:hAnsi="楷体_GB2312" w:eastAsia="楷体_GB2312"/>
          <w:b/>
          <w:sz w:val="32"/>
        </w:rPr>
        <w:t>（一）机关运行经费及公用经费支出情况</w:t>
      </w:r>
    </w:p>
    <w:p w14:paraId="5BEE1011">
      <w:pPr>
        <w:spacing w:line="580" w:lineRule="exact"/>
        <w:ind w:firstLine="640"/>
        <w:jc w:val="both"/>
      </w:pPr>
      <w:r>
        <w:rPr>
          <w:rFonts w:ascii="仿宋_GB2312" w:hAnsi="仿宋_GB2312" w:eastAsia="仿宋_GB2312"/>
          <w:b w:val="0"/>
          <w:sz w:val="32"/>
        </w:rPr>
        <w:t>2025年度中共昌吉回族自治州委员会机构编制委员会办公室（行政单位和参照公务员法管理事业单位）机关运行经费支出42.13万元，比上年增加12.93万元，增长44.28%，主要原因是：本年业务量增加，劳务费等机关运行经费增加。</w:t>
      </w:r>
    </w:p>
    <w:p w14:paraId="6843709F">
      <w:pPr>
        <w:spacing w:line="640" w:lineRule="exact"/>
        <w:ind w:firstLine="640"/>
        <w:jc w:val="both"/>
        <w:outlineLvl w:val="3"/>
      </w:pPr>
      <w:r>
        <w:rPr>
          <w:rFonts w:ascii="楷体_GB2312" w:hAnsi="楷体_GB2312" w:eastAsia="楷体_GB2312"/>
          <w:b/>
          <w:sz w:val="32"/>
        </w:rPr>
        <w:t>（二）政府采购情况</w:t>
      </w:r>
    </w:p>
    <w:p w14:paraId="133635F1">
      <w:pPr>
        <w:spacing w:line="580" w:lineRule="exact"/>
        <w:ind w:firstLine="640"/>
        <w:jc w:val="both"/>
      </w:pPr>
      <w:r>
        <w:rPr>
          <w:rFonts w:ascii="仿宋_GB2312" w:hAnsi="仿宋_GB2312" w:eastAsia="仿宋_GB2312"/>
          <w:b w:val="0"/>
          <w:sz w:val="32"/>
        </w:rPr>
        <w:t>2025年度政府采购支出总额26.41万元，其中：政府采购货物支出14.24万元、政府采购工程支出0.00万元、政府采购服务支出12.17万元。</w:t>
      </w:r>
    </w:p>
    <w:p w14:paraId="50900020">
      <w:pPr>
        <w:spacing w:line="580" w:lineRule="exact"/>
        <w:ind w:firstLine="640"/>
        <w:jc w:val="both"/>
      </w:pPr>
      <w:r>
        <w:rPr>
          <w:rFonts w:ascii="仿宋_GB2312" w:hAnsi="仿宋_GB2312" w:eastAsia="仿宋_GB2312"/>
          <w:b w:val="0"/>
          <w:sz w:val="32"/>
        </w:rPr>
        <w:t>授予中小企业合同金额26.41万元，占政府采购支出总额的100.00%，其中：授予小微企业合同金额26.41万元，占政府采购支出总额的100.00%。</w:t>
      </w:r>
    </w:p>
    <w:p w14:paraId="3540E884">
      <w:pPr>
        <w:spacing w:line="640" w:lineRule="exact"/>
        <w:ind w:firstLine="640"/>
        <w:jc w:val="both"/>
        <w:outlineLvl w:val="3"/>
      </w:pPr>
      <w:r>
        <w:rPr>
          <w:rFonts w:ascii="楷体_GB2312" w:hAnsi="楷体_GB2312" w:eastAsia="楷体_GB2312"/>
          <w:b/>
          <w:sz w:val="32"/>
        </w:rPr>
        <w:t>（三）国有资产占用情况说明</w:t>
      </w:r>
    </w:p>
    <w:p w14:paraId="059992DE">
      <w:pPr>
        <w:spacing w:line="580" w:lineRule="exact"/>
        <w:ind w:firstLine="640"/>
        <w:jc w:val="both"/>
      </w:pPr>
      <w:r>
        <w:rPr>
          <w:rFonts w:ascii="仿宋_GB2312" w:hAnsi="仿宋_GB2312" w:eastAsia="仿宋_GB2312"/>
          <w:b w:val="0"/>
          <w:sz w:val="32"/>
        </w:rPr>
        <w:t>截至2025年12月31日，房屋0.00平方米，价值0.00万元。车辆2辆，价值33.12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14:paraId="4012A063">
      <w:pPr>
        <w:spacing w:line="640" w:lineRule="exact"/>
        <w:ind w:firstLine="640"/>
        <w:jc w:val="both"/>
        <w:outlineLvl w:val="2"/>
      </w:pPr>
      <w:r>
        <w:rPr>
          <w:rFonts w:ascii="黑体" w:hAnsi="黑体" w:eastAsia="黑体"/>
          <w:sz w:val="32"/>
        </w:rPr>
        <w:t>十一、预算绩效的情况说明</w:t>
      </w:r>
    </w:p>
    <w:p w14:paraId="2689ECCA">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646.61万元，实际执行总额636.53万元；预算绩效评价项目2个，全年预算数40.41万元，全年执行数40.41万元。预算绩效管理取得的成效：一是制定完成并组织落实乡镇（街道）履职事项清单。总结先行经验，确定州级抓打样乡镇以点带面，县市抓两头带中问齐头并进工作思路，完成清单编制各阶段任务，进一步厘清县乡职责边界、理顺县乡关系、为基层减负。指导各乡镇（街道）开展履职事项清单五个转化工作，将清单事项转化为全年工作安排、班子成员分工、办（中心）职能、干部岗位工作、村（社区）具体工作任务，整合优化岗位设置，将清单基本履职事项。配合履职事项分解到各岗位，实行定岗定责定人，配套编制详实的岗位说明书，推动乡街干部常态下沉村（社区）充实基层一线二是持续深化党政机构改革。一是组织实施州县两级公安机关机构编制管理改革。二是持续深化综合行政执法体制改革。三是做实机构改革“后半篇文章”。四是规范管理议事协调机构。　三是重点领域机构编制保障不断加强。建立与中小学生数量变化相适应的教职工编制动态调整机制，足额保障准东五彩湾学校教师编制需求，助力准东开发区教育事业高质量发展。指导各县市组建殡葬服务中心，推进殡葬服务机构管办分离，保障基本殡葬服务公平可及。加强文物保护工作，指导各县市在文旅局（文物局）单独设置文物保护内设机构。采取一次性补充或逐年调剂方式，保障各县市博物馆编制达标。　四是开发区机构编制管理持续优化。积极对接中央、自治区党委编办，在自治区党委编办指导下，研究拟定“三定”规定（草案），强化其建设全国能源资源战略保障基地的重要支点、发挥全疆新型工业化建设战略引领作用、加快推进“四区”建设三大核心职能，工作部门设置聚焦主责主业更趋精干优化。按照“一市两区”产城融合发展有关要求，调整优化昌吉高新区党工委管委会所属事业单位，协调高新区、昌吉市按照“编随事走”原则划转编制；组织高新区、农高区党工委管委会梳理编制权责清单，确保围绕主责主业明权定责。指导天池管委会整合优化机构设置，强化其推动旅游产业发展、自然保护区管理两大核心职能，进一步理顺天池管委与其所属事业单位关系。　五是严守机构编制工作纪律。将机构编制工作和纪律要求执行情况纳入州党委巡察、选人用人专项检查、党政主要领导干部经济责任审计等工作，加强编办与纪检监察、巡察、组织、人社、财政、审计等部门协作配合，凝聚监督合力。年内结合州党委巡察、选人用人专项检查等，对州本级２１个部门开展机构乡制监督检查，针对存在的机构编制事项动议、论证程序缺失等题，研究制定《昌吉州机构编制申请事项工作指引》，指引各门规范机构编制事项动议论证程序，明确机构编制申请事项必要件。发现的问题及原因：一是绩效体系建设存在短板，绩效理念较为薄弱，普遍重视资金拨付使用，忽视效益管控，未建立全周期绩效思维。绩效目标和自身职能贴合度偏低，量化及个性化指标欠缺，考核实操性不强，同时绩效自评工作参与度不足，过程监管与数据支撑有所欠缺。二是预算管理统筹管控能力不足，编制缺乏长远预判，和重点工作衔接不够紧密，难以精准预估临时任务经费需求。资金执行节奏参差不齐，日常管控不够精细。部门间协同联动机制不完善，财务与业务科室配合不畅，相关工作责任未能压实落细。下一步改进措施：一是深化全员绩效思想建设，摒弃重资金、轻效益的固有观念，树立全周期绩效管理思维。紧密结合单位机构编制与核心职能设定绩效目标，增设量化指标、个性化考核指标，增强考核实操性。完善绩效自评联动机制，充分调动各业务科室参与积极性，同步强化项目全过程动态监控，规范各类数据归集整理，以详实数据为绩效考评提供坚实支撑，切实提升绩效管理实效。二是提升预算编制前瞻性，围绕年度重点工作统筹谋划经费安排，精准预判改革、督查等临时性工作资金需求。细化预算各环节管控举措，合理把控资金拨付节奏，扭转执行进度失衡问题，做到资金使用精细化管理。健全内部协同工作机制，加强财务部门与业务科室日常沟通对接，厘清各方工作职责，层压实工作责任，全面夯实预算管理工作基础。具体附整体支出绩效自评表、项目支出绩效自评表及项目支出绩效评价报告。</w:t>
      </w:r>
    </w:p>
    <w:p w14:paraId="520061FD">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534ADD14">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EED4D66">
            <w:pPr>
              <w:spacing w:before="0" w:after="0" w:line="240" w:lineRule="auto"/>
              <w:jc w:val="center"/>
            </w:pPr>
            <w:r>
              <w:rPr>
                <w:rFonts w:ascii="宋体" w:hAnsi="宋体" w:eastAsia="宋体" w:cs="宋体"/>
                <w:b w:val="0"/>
                <w:i w:val="0"/>
                <w:sz w:val="18"/>
              </w:rPr>
              <w:t>部门（单位）整体支出绩效目标自评表</w:t>
            </w:r>
          </w:p>
        </w:tc>
      </w:tr>
      <w:tr w14:paraId="4B536DF0">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2B8B945">
            <w:pPr>
              <w:spacing w:before="0" w:after="0" w:line="240" w:lineRule="auto"/>
              <w:jc w:val="center"/>
            </w:pPr>
            <w:r>
              <w:rPr>
                <w:rFonts w:ascii="宋体" w:hAnsi="宋体" w:eastAsia="宋体" w:cs="宋体"/>
                <w:b w:val="0"/>
                <w:i w:val="0"/>
                <w:sz w:val="18"/>
              </w:rPr>
              <w:t>（2025年度）</w:t>
            </w:r>
          </w:p>
        </w:tc>
      </w:tr>
      <w:tr w14:paraId="563DB868">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7B4BC5">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EF1CAB2">
            <w:pPr>
              <w:spacing w:before="0" w:after="0" w:line="240" w:lineRule="auto"/>
              <w:jc w:val="center"/>
            </w:pPr>
            <w:r>
              <w:rPr>
                <w:rFonts w:ascii="宋体" w:hAnsi="宋体" w:eastAsia="宋体" w:cs="宋体"/>
                <w:b w:val="0"/>
                <w:i w:val="0"/>
                <w:sz w:val="18"/>
              </w:rPr>
              <w:t>中共昌吉回族自治州委员会机构编制委员会办公室</w:t>
            </w:r>
          </w:p>
        </w:tc>
      </w:tr>
      <w:tr w14:paraId="794EB438">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C3B87D">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542652">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82B7D2">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6ED46D">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36906F">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9ACBDC">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E831BD">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C9C64D">
            <w:pPr>
              <w:spacing w:before="0" w:after="0" w:line="240" w:lineRule="auto"/>
              <w:jc w:val="center"/>
            </w:pPr>
            <w:r>
              <w:rPr>
                <w:rFonts w:ascii="宋体" w:hAnsi="宋体" w:eastAsia="宋体" w:cs="宋体"/>
                <w:b w:val="0"/>
                <w:i w:val="0"/>
                <w:sz w:val="18"/>
              </w:rPr>
              <w:t>得分</w:t>
            </w:r>
          </w:p>
        </w:tc>
      </w:tr>
      <w:tr w14:paraId="4B060E7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A00A3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22EBFE">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6B5F42">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2C0638">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724E2F">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546CF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FC146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6ED856">
            <w:pPr>
              <w:spacing w:before="0" w:after="0" w:line="240" w:lineRule="auto"/>
              <w:jc w:val="center"/>
            </w:pPr>
            <w:r>
              <w:rPr>
                <w:rFonts w:ascii="宋体" w:hAnsi="宋体" w:eastAsia="宋体" w:cs="宋体"/>
                <w:b w:val="0"/>
                <w:i w:val="0"/>
                <w:sz w:val="18"/>
              </w:rPr>
              <w:t>-</w:t>
            </w:r>
          </w:p>
        </w:tc>
      </w:tr>
      <w:tr w14:paraId="4D7AC4AF">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D549A7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C71840">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55F38F">
            <w:pPr>
              <w:spacing w:before="0" w:after="0" w:line="240" w:lineRule="auto"/>
              <w:jc w:val="center"/>
            </w:pPr>
            <w:r>
              <w:rPr>
                <w:rFonts w:ascii="宋体" w:hAnsi="宋体" w:eastAsia="宋体" w:cs="宋体"/>
                <w:b w:val="0"/>
                <w:i w:val="0"/>
                <w:sz w:val="18"/>
              </w:rPr>
              <w:t>551.35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2D1E7F">
            <w:pPr>
              <w:spacing w:before="0" w:after="0" w:line="240" w:lineRule="auto"/>
              <w:jc w:val="center"/>
            </w:pPr>
            <w:r>
              <w:rPr>
                <w:rFonts w:ascii="宋体" w:hAnsi="宋体" w:eastAsia="宋体" w:cs="宋体"/>
                <w:b w:val="0"/>
                <w:i w:val="0"/>
                <w:sz w:val="18"/>
              </w:rPr>
              <w:t>616.61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51C7FE">
            <w:pPr>
              <w:spacing w:before="0" w:after="0" w:line="240" w:lineRule="auto"/>
              <w:jc w:val="center"/>
            </w:pPr>
            <w:r>
              <w:rPr>
                <w:rFonts w:ascii="宋体" w:hAnsi="宋体" w:eastAsia="宋体" w:cs="宋体"/>
                <w:b w:val="0"/>
                <w:i w:val="0"/>
                <w:sz w:val="18"/>
              </w:rPr>
              <w:t>616.61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EB8D4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1D895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9C0ECC">
            <w:pPr>
              <w:spacing w:before="0" w:after="0" w:line="240" w:lineRule="auto"/>
              <w:jc w:val="center"/>
            </w:pPr>
            <w:r>
              <w:rPr>
                <w:rFonts w:ascii="宋体" w:hAnsi="宋体" w:eastAsia="宋体" w:cs="宋体"/>
                <w:b w:val="0"/>
                <w:i w:val="0"/>
                <w:sz w:val="18"/>
              </w:rPr>
              <w:t>-</w:t>
            </w:r>
          </w:p>
        </w:tc>
      </w:tr>
      <w:tr w14:paraId="2B9E195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AF1D56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75E80D">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865B58">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8E3014">
            <w:pPr>
              <w:spacing w:before="0" w:after="0" w:line="240" w:lineRule="auto"/>
              <w:jc w:val="center"/>
            </w:pPr>
            <w:r>
              <w:rPr>
                <w:rFonts w:ascii="宋体" w:hAnsi="宋体" w:eastAsia="宋体" w:cs="宋体"/>
                <w:b w:val="0"/>
                <w:i w:val="0"/>
                <w:sz w:val="18"/>
              </w:rPr>
              <w:t>30.00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A7C1F0">
            <w:pPr>
              <w:spacing w:before="0" w:after="0" w:line="240" w:lineRule="auto"/>
              <w:jc w:val="center"/>
            </w:pPr>
            <w:r>
              <w:rPr>
                <w:rFonts w:ascii="宋体" w:hAnsi="宋体" w:eastAsia="宋体" w:cs="宋体"/>
                <w:b w:val="0"/>
                <w:i w:val="0"/>
                <w:sz w:val="18"/>
              </w:rPr>
              <w:t>19.92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3310A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7C2F4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E33C6F">
            <w:pPr>
              <w:spacing w:before="0" w:after="0" w:line="240" w:lineRule="auto"/>
              <w:jc w:val="center"/>
            </w:pPr>
            <w:r>
              <w:rPr>
                <w:rFonts w:ascii="宋体" w:hAnsi="宋体" w:eastAsia="宋体" w:cs="宋体"/>
                <w:b w:val="0"/>
                <w:i w:val="0"/>
                <w:sz w:val="18"/>
              </w:rPr>
              <w:t>-</w:t>
            </w:r>
          </w:p>
        </w:tc>
      </w:tr>
      <w:tr w14:paraId="488B9A5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CF65A8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DBEC18">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4A26F7">
            <w:pPr>
              <w:spacing w:before="0" w:after="0" w:line="240" w:lineRule="auto"/>
              <w:jc w:val="center"/>
            </w:pPr>
            <w:r>
              <w:rPr>
                <w:rFonts w:ascii="宋体" w:hAnsi="宋体" w:eastAsia="宋体" w:cs="宋体"/>
                <w:b w:val="0"/>
                <w:i w:val="0"/>
                <w:sz w:val="18"/>
              </w:rPr>
              <w:t>551.35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EABD66">
            <w:pPr>
              <w:spacing w:before="0" w:after="0" w:line="240" w:lineRule="auto"/>
              <w:jc w:val="center"/>
            </w:pPr>
            <w:r>
              <w:rPr>
                <w:rFonts w:ascii="宋体" w:hAnsi="宋体" w:eastAsia="宋体" w:cs="宋体"/>
                <w:b w:val="0"/>
                <w:i w:val="0"/>
                <w:sz w:val="18"/>
              </w:rPr>
              <w:t>646.61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9895AB">
            <w:pPr>
              <w:spacing w:before="0" w:after="0" w:line="240" w:lineRule="auto"/>
              <w:jc w:val="center"/>
            </w:pPr>
            <w:r>
              <w:rPr>
                <w:rFonts w:ascii="宋体" w:hAnsi="宋体" w:eastAsia="宋体" w:cs="宋体"/>
                <w:b w:val="0"/>
                <w:i w:val="0"/>
                <w:sz w:val="18"/>
              </w:rPr>
              <w:t>636.53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465CF7">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129BD5">
            <w:pPr>
              <w:spacing w:before="0" w:after="0" w:line="240" w:lineRule="auto"/>
              <w:jc w:val="center"/>
            </w:pPr>
            <w:r>
              <w:rPr>
                <w:rFonts w:ascii="宋体" w:hAnsi="宋体" w:eastAsia="宋体" w:cs="宋体"/>
                <w:b w:val="0"/>
                <w:i w:val="0"/>
                <w:sz w:val="18"/>
              </w:rPr>
              <w:t>98.44%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31C80C">
            <w:pPr>
              <w:spacing w:before="0" w:after="0" w:line="240" w:lineRule="auto"/>
              <w:jc w:val="center"/>
            </w:pPr>
            <w:r>
              <w:rPr>
                <w:rFonts w:ascii="宋体" w:hAnsi="宋体" w:eastAsia="宋体" w:cs="宋体"/>
                <w:b w:val="0"/>
                <w:i w:val="0"/>
                <w:sz w:val="18"/>
              </w:rPr>
              <w:t>9.84</w:t>
            </w:r>
          </w:p>
        </w:tc>
      </w:tr>
      <w:tr w14:paraId="47921BC0">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6BC821">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0BFC496C">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80A0A65">
            <w:pPr>
              <w:spacing w:before="0" w:after="0" w:line="240" w:lineRule="auto"/>
              <w:jc w:val="center"/>
            </w:pPr>
            <w:r>
              <w:rPr>
                <w:rFonts w:ascii="宋体" w:hAnsi="宋体" w:eastAsia="宋体" w:cs="宋体"/>
                <w:b w:val="0"/>
                <w:i w:val="0"/>
                <w:sz w:val="18"/>
              </w:rPr>
              <w:t>实际完成情况</w:t>
            </w:r>
          </w:p>
        </w:tc>
      </w:tr>
      <w:tr w14:paraId="66B49EEB">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7F52A3A"/>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E4543D1">
            <w:pPr>
              <w:spacing w:before="0" w:after="0" w:line="240" w:lineRule="auto"/>
              <w:jc w:val="center"/>
            </w:pPr>
            <w:r>
              <w:rPr>
                <w:rFonts w:ascii="宋体" w:hAnsi="宋体" w:eastAsia="宋体" w:cs="宋体"/>
                <w:b w:val="0"/>
                <w:i w:val="0"/>
                <w:sz w:val="18"/>
              </w:rPr>
              <w:t>2025年，深入学习宣传贯彻党的二十大、二十届二中、三中全会精神和习近平新时代中国特色社会主义思想，</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深入学习贯彻习近平总书记对新疆系列重要讲话重要指示批示精神，围绕昌吉州改革发展稳定重点工作，全面完成自治州乡镇（街道）履职事项清单工作，于2025年1月底前完成第一批先行任务，压茬推进第二批清单工作，计划2025年上半年全面完成工作任务。组织赴部门、县市调研，进一步巩固和深化改革，指导督促州县两级各部门认真贯彻执行“三定”规定，动态调整部门权责清单；持续深化事业单位改革，继续调整优化事业单位布局结构，推动机构编制资源向公益服务类事业单位倾斜；深入推进行政执法体制改革，推动以县（市）为主的行政执法体制落到实处；深化开发区管理体制改革。动态调整开发区管理机构职责，赋予开发区党工委管委会科级机构设置自主权，实行备案管理。创新和规范机构编制管理，强化机构编制刚性约束，加强机构编制数据支撑，规范事业单位登记管理，完成州直事业单位法人年审与事业单位法人登记网上年检工作，开展机构编制业务培训，提升机构编制管理能力和水平。</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D0E558B">
            <w:pPr>
              <w:spacing w:before="0" w:after="0" w:line="240" w:lineRule="auto"/>
              <w:jc w:val="center"/>
            </w:pPr>
            <w:r>
              <w:rPr>
                <w:rFonts w:ascii="宋体" w:hAnsi="宋体" w:eastAsia="宋体" w:cs="宋体"/>
                <w:b w:val="0"/>
                <w:i w:val="0"/>
                <w:sz w:val="18"/>
              </w:rPr>
              <w:t>2025年我单位全年预算数为646.61万元，全年执行数为636.53万元，总预算执行率为98.44%。2025年我单位完成以下工作内容：1.完成事业单位法人登记年检单位154个；2.组织赴部门、县市调研工作8次；3.组织机构编制业务培训1次；4.完成机构编制业务培训3天。通过以上工作的实施，持续深化改革，健全完善机构职能体系，优化机构编制资源配置管理，加强重点领域和基层机构编制保障，加强机构编制监督检查。</w:t>
            </w:r>
          </w:p>
        </w:tc>
      </w:tr>
      <w:tr w14:paraId="6CC67491">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057585">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D42C6C">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8F0F19">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3FE0EF">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AA5C46">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7A6013">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7EC7AF">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B0D0EA">
            <w:pPr>
              <w:keepNext/>
              <w:spacing w:before="0" w:after="0" w:line="240" w:lineRule="auto"/>
              <w:jc w:val="center"/>
            </w:pPr>
            <w:r>
              <w:rPr>
                <w:rFonts w:ascii="宋体" w:hAnsi="宋体" w:eastAsia="宋体" w:cs="宋体"/>
                <w:b w:val="0"/>
                <w:i w:val="0"/>
                <w:sz w:val="18"/>
              </w:rPr>
              <w:t>得分</w:t>
            </w:r>
          </w:p>
        </w:tc>
      </w:tr>
      <w:tr w14:paraId="1B60C0F9">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999DAC">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ECE8CA">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A8BC9A">
            <w:pPr>
              <w:spacing w:before="0" w:after="0" w:line="240" w:lineRule="auto"/>
              <w:jc w:val="center"/>
            </w:pPr>
            <w:r>
              <w:rPr>
                <w:rFonts w:ascii="宋体" w:hAnsi="宋体" w:eastAsia="宋体" w:cs="宋体"/>
                <w:b w:val="0"/>
                <w:i w:val="0"/>
                <w:sz w:val="18"/>
              </w:rPr>
              <w:t>完成事业单位法人登记年检单位个数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D4E1B3">
            <w:pPr>
              <w:spacing w:before="0" w:after="0" w:line="240" w:lineRule="auto"/>
              <w:jc w:val="center"/>
            </w:pPr>
            <w:r>
              <w:rPr>
                <w:rFonts w:ascii="宋体" w:hAnsi="宋体" w:eastAsia="宋体" w:cs="宋体"/>
                <w:b w:val="0"/>
                <w:i w:val="0"/>
                <w:sz w:val="18"/>
              </w:rPr>
              <w:t>&gt;=154个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0599BC">
            <w:pPr>
              <w:spacing w:before="0" w:after="0" w:line="240" w:lineRule="auto"/>
              <w:jc w:val="center"/>
            </w:pPr>
            <w:r>
              <w:rPr>
                <w:rFonts w:ascii="宋体" w:hAnsi="宋体" w:eastAsia="宋体" w:cs="宋体"/>
                <w:b w:val="0"/>
                <w:i w:val="0"/>
                <w:sz w:val="18"/>
              </w:rPr>
              <w:t>事业单位登记管理暂行条例、自治州党委编办2025年重点工作计划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2E3499">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BBC59E">
            <w:pPr>
              <w:spacing w:before="0" w:after="0" w:line="240" w:lineRule="auto"/>
              <w:jc w:val="center"/>
            </w:pPr>
            <w:r>
              <w:rPr>
                <w:rFonts w:ascii="宋体" w:hAnsi="宋体" w:eastAsia="宋体" w:cs="宋体"/>
                <w:b w:val="0"/>
                <w:i w:val="0"/>
                <w:sz w:val="18"/>
              </w:rPr>
              <w:t>=154个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DBA222">
            <w:pPr>
              <w:spacing w:before="0" w:after="0" w:line="240" w:lineRule="auto"/>
              <w:jc w:val="center"/>
            </w:pPr>
            <w:r>
              <w:rPr>
                <w:rFonts w:ascii="宋体" w:hAnsi="宋体" w:eastAsia="宋体" w:cs="宋体"/>
                <w:b w:val="0"/>
                <w:i w:val="0"/>
                <w:sz w:val="18"/>
              </w:rPr>
              <w:t>30</w:t>
            </w:r>
          </w:p>
        </w:tc>
      </w:tr>
      <w:tr w14:paraId="4A5B6DCF">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99661E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5DCB42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A18BD2">
            <w:pPr>
              <w:spacing w:before="0" w:after="0" w:line="240" w:lineRule="auto"/>
              <w:jc w:val="center"/>
            </w:pPr>
            <w:r>
              <w:rPr>
                <w:rFonts w:ascii="宋体" w:hAnsi="宋体" w:eastAsia="宋体" w:cs="宋体"/>
                <w:b w:val="0"/>
                <w:i w:val="0"/>
                <w:sz w:val="18"/>
              </w:rPr>
              <w:t>组织机构编制业务培训次数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13A6E2">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7361AA">
            <w:pPr>
              <w:spacing w:before="0" w:after="0" w:line="240" w:lineRule="auto"/>
              <w:jc w:val="center"/>
            </w:pPr>
            <w:r>
              <w:rPr>
                <w:rFonts w:ascii="宋体" w:hAnsi="宋体" w:eastAsia="宋体" w:cs="宋体"/>
                <w:b w:val="0"/>
                <w:i w:val="0"/>
                <w:sz w:val="18"/>
              </w:rPr>
              <w:t>中国共产党机构编制工作条例、自治州党委编办2025年重点工作计划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8DC027">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CB94B2">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DB684E">
            <w:pPr>
              <w:spacing w:before="0" w:after="0" w:line="240" w:lineRule="auto"/>
              <w:jc w:val="center"/>
            </w:pPr>
            <w:r>
              <w:rPr>
                <w:rFonts w:ascii="宋体" w:hAnsi="宋体" w:eastAsia="宋体" w:cs="宋体"/>
                <w:b w:val="0"/>
                <w:i w:val="0"/>
                <w:sz w:val="18"/>
              </w:rPr>
              <w:t>20</w:t>
            </w:r>
          </w:p>
        </w:tc>
      </w:tr>
      <w:tr w14:paraId="4524600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37467A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1594F3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09465E">
            <w:pPr>
              <w:spacing w:before="0" w:after="0" w:line="240" w:lineRule="auto"/>
              <w:jc w:val="center"/>
            </w:pPr>
            <w:r>
              <w:rPr>
                <w:rFonts w:ascii="宋体" w:hAnsi="宋体" w:eastAsia="宋体" w:cs="宋体"/>
                <w:b w:val="0"/>
                <w:i w:val="0"/>
                <w:sz w:val="18"/>
              </w:rPr>
              <w:t>机构编制业务培训天数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3FBFA0">
            <w:pPr>
              <w:spacing w:before="0" w:after="0" w:line="240" w:lineRule="auto"/>
              <w:jc w:val="center"/>
            </w:pPr>
            <w:r>
              <w:rPr>
                <w:rFonts w:ascii="宋体" w:hAnsi="宋体" w:eastAsia="宋体" w:cs="宋体"/>
                <w:b w:val="0"/>
                <w:i w:val="0"/>
                <w:sz w:val="18"/>
              </w:rPr>
              <w:t>&gt;=3天</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6DAAD5">
            <w:pPr>
              <w:spacing w:before="0" w:after="0" w:line="240" w:lineRule="auto"/>
              <w:jc w:val="center"/>
            </w:pPr>
            <w:r>
              <w:rPr>
                <w:rFonts w:ascii="宋体" w:hAnsi="宋体" w:eastAsia="宋体" w:cs="宋体"/>
                <w:b w:val="0"/>
                <w:i w:val="0"/>
                <w:sz w:val="18"/>
              </w:rPr>
              <w:t>中国共产党机构编制工作条例、自治州党委编办2025年重点工作计划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10DA06">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0ADD2C">
            <w:pPr>
              <w:spacing w:before="0" w:after="0" w:line="240" w:lineRule="auto"/>
              <w:jc w:val="center"/>
            </w:pPr>
            <w:r>
              <w:rPr>
                <w:rFonts w:ascii="宋体" w:hAnsi="宋体" w:eastAsia="宋体" w:cs="宋体"/>
                <w:b w:val="0"/>
                <w:i w:val="0"/>
                <w:sz w:val="18"/>
              </w:rPr>
              <w:t>=7天</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2A0CA8">
            <w:pPr>
              <w:spacing w:before="0" w:after="0" w:line="240" w:lineRule="auto"/>
              <w:jc w:val="center"/>
            </w:pPr>
            <w:r>
              <w:rPr>
                <w:rFonts w:ascii="宋体" w:hAnsi="宋体" w:eastAsia="宋体" w:cs="宋体"/>
                <w:b w:val="0"/>
                <w:i w:val="0"/>
                <w:sz w:val="18"/>
              </w:rPr>
              <w:t>20</w:t>
            </w:r>
          </w:p>
        </w:tc>
      </w:tr>
      <w:tr w14:paraId="7D6D02F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6A875B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3B5F91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9BC9F6">
            <w:pPr>
              <w:spacing w:before="0" w:after="0" w:line="240" w:lineRule="auto"/>
              <w:jc w:val="center"/>
            </w:pPr>
            <w:r>
              <w:rPr>
                <w:rFonts w:ascii="宋体" w:hAnsi="宋体" w:eastAsia="宋体" w:cs="宋体"/>
                <w:b w:val="0"/>
                <w:i w:val="0"/>
                <w:sz w:val="18"/>
              </w:rPr>
              <w:t>组织赴部门、县市调研、指导工作次数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CEB345">
            <w:pPr>
              <w:spacing w:before="0" w:after="0" w:line="240" w:lineRule="auto"/>
              <w:jc w:val="center"/>
            </w:pPr>
            <w:r>
              <w:rPr>
                <w:rFonts w:ascii="宋体" w:hAnsi="宋体" w:eastAsia="宋体" w:cs="宋体"/>
                <w:b w:val="0"/>
                <w:i w:val="0"/>
                <w:sz w:val="18"/>
              </w:rPr>
              <w:t>&gt;=8次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51891D">
            <w:pPr>
              <w:spacing w:before="0" w:after="0" w:line="240" w:lineRule="auto"/>
              <w:jc w:val="center"/>
            </w:pPr>
            <w:r>
              <w:rPr>
                <w:rFonts w:ascii="宋体" w:hAnsi="宋体" w:eastAsia="宋体" w:cs="宋体"/>
                <w:b w:val="0"/>
                <w:i w:val="0"/>
                <w:sz w:val="18"/>
              </w:rPr>
              <w:t>昌吉州党委编办关于印发《自治州做实全面推开乡镇（街道）履职事项清单工作专班方案》的通知、自治州党委编办2025年重点工作计划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165CFF">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2EEDF2">
            <w:pPr>
              <w:spacing w:before="0" w:after="0" w:line="240" w:lineRule="auto"/>
              <w:jc w:val="center"/>
            </w:pPr>
            <w:r>
              <w:rPr>
                <w:rFonts w:ascii="宋体" w:hAnsi="宋体" w:eastAsia="宋体" w:cs="宋体"/>
                <w:b w:val="0"/>
                <w:i w:val="0"/>
                <w:sz w:val="18"/>
              </w:rPr>
              <w:t>=8次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A681C2">
            <w:pPr>
              <w:spacing w:before="0" w:after="0" w:line="240" w:lineRule="auto"/>
              <w:jc w:val="center"/>
            </w:pPr>
            <w:r>
              <w:rPr>
                <w:rFonts w:ascii="宋体" w:hAnsi="宋体" w:eastAsia="宋体" w:cs="宋体"/>
                <w:b w:val="0"/>
                <w:i w:val="0"/>
                <w:sz w:val="18"/>
              </w:rPr>
              <w:t>20</w:t>
            </w:r>
          </w:p>
        </w:tc>
      </w:tr>
    </w:tbl>
    <w:p w14:paraId="3FC6C22C">
      <w:r>
        <w:br w:type="page"/>
      </w:r>
    </w:p>
    <w:p w14:paraId="010625F6">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42"/>
        <w:gridCol w:w="542"/>
        <w:gridCol w:w="542"/>
        <w:gridCol w:w="569"/>
        <w:gridCol w:w="593"/>
        <w:gridCol w:w="792"/>
        <w:gridCol w:w="702"/>
        <w:gridCol w:w="593"/>
        <w:gridCol w:w="612"/>
        <w:gridCol w:w="542"/>
        <w:gridCol w:w="569"/>
        <w:gridCol w:w="561"/>
        <w:gridCol w:w="553"/>
        <w:gridCol w:w="594"/>
      </w:tblGrid>
      <w:tr w14:paraId="4372CF69">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39BCC0E">
            <w:pPr>
              <w:spacing w:before="0" w:after="0" w:line="240" w:lineRule="auto"/>
              <w:jc w:val="center"/>
            </w:pPr>
            <w:r>
              <w:rPr>
                <w:rFonts w:ascii="宋体" w:hAnsi="宋体" w:eastAsia="宋体" w:cs="宋体"/>
                <w:b/>
                <w:i w:val="0"/>
                <w:sz w:val="18"/>
              </w:rPr>
              <w:t>项目支出绩效自评表</w:t>
            </w:r>
          </w:p>
        </w:tc>
      </w:tr>
      <w:tr w14:paraId="625D0AB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4693D9E">
            <w:pPr>
              <w:spacing w:before="0" w:after="0" w:line="240" w:lineRule="auto"/>
              <w:jc w:val="center"/>
            </w:pPr>
            <w:r>
              <w:rPr>
                <w:rFonts w:ascii="宋体" w:hAnsi="宋体" w:eastAsia="宋体" w:cs="宋体"/>
                <w:b w:val="0"/>
                <w:i w:val="0"/>
                <w:sz w:val="18"/>
              </w:rPr>
              <w:t>(2025年度)</w:t>
            </w:r>
          </w:p>
        </w:tc>
      </w:tr>
      <w:tr w14:paraId="4B5A359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3AE01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0801EA1">
            <w:pPr>
              <w:spacing w:before="0" w:after="0" w:line="240" w:lineRule="auto"/>
              <w:jc w:val="center"/>
            </w:pPr>
            <w:r>
              <w:rPr>
                <w:rFonts w:ascii="宋体" w:hAnsi="宋体" w:eastAsia="宋体" w:cs="宋体"/>
                <w:b w:val="0"/>
                <w:i w:val="0"/>
                <w:sz w:val="18"/>
              </w:rPr>
              <w:t>机关运行补助经费</w:t>
            </w:r>
          </w:p>
        </w:tc>
      </w:tr>
      <w:tr w14:paraId="0BF0E64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4AA5C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5D7CC14">
            <w:pPr>
              <w:spacing w:before="0" w:after="0" w:line="240" w:lineRule="auto"/>
              <w:jc w:val="center"/>
            </w:pPr>
            <w:r>
              <w:rPr>
                <w:rFonts w:ascii="宋体" w:hAnsi="宋体" w:eastAsia="宋体" w:cs="宋体"/>
                <w:b w:val="0"/>
                <w:i w:val="0"/>
                <w:sz w:val="18"/>
              </w:rPr>
              <w:t>中共昌吉回族自治州委员会机构编制委员会办公室</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79E1A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428AEE4">
            <w:pPr>
              <w:spacing w:before="0" w:after="0" w:line="240" w:lineRule="auto"/>
              <w:jc w:val="center"/>
            </w:pPr>
            <w:r>
              <w:rPr>
                <w:rFonts w:ascii="宋体" w:hAnsi="宋体" w:eastAsia="宋体" w:cs="宋体"/>
                <w:b w:val="0"/>
                <w:i w:val="0"/>
                <w:sz w:val="18"/>
              </w:rPr>
              <w:t>中共昌吉回族自治州委员会机构编制委员会办公室</w:t>
            </w:r>
          </w:p>
        </w:tc>
      </w:tr>
      <w:tr w14:paraId="3B0F3DD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7F677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2853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A585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12E96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EA5F8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154B7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25F48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AB57F3">
            <w:pPr>
              <w:spacing w:before="0" w:after="0" w:line="240" w:lineRule="auto"/>
              <w:jc w:val="center"/>
            </w:pPr>
            <w:r>
              <w:rPr>
                <w:rFonts w:ascii="宋体" w:hAnsi="宋体" w:eastAsia="宋体" w:cs="宋体"/>
                <w:b/>
                <w:i w:val="0"/>
                <w:sz w:val="18"/>
              </w:rPr>
              <w:t>得分</w:t>
            </w:r>
          </w:p>
        </w:tc>
      </w:tr>
      <w:tr w14:paraId="189017D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C8B32D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87E0D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7AEBEF">
            <w:pPr>
              <w:spacing w:before="0" w:after="0" w:line="240" w:lineRule="auto"/>
              <w:jc w:val="center"/>
            </w:pPr>
            <w:r>
              <w:rPr>
                <w:rFonts w:ascii="宋体" w:hAnsi="宋体" w:eastAsia="宋体" w:cs="宋体"/>
                <w:b w:val="0"/>
                <w:i w:val="0"/>
                <w:sz w:val="18"/>
              </w:rPr>
              <w:t>23.30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339381">
            <w:pPr>
              <w:spacing w:before="0" w:after="0" w:line="240" w:lineRule="auto"/>
              <w:jc w:val="center"/>
            </w:pPr>
            <w:r>
              <w:rPr>
                <w:rFonts w:ascii="宋体" w:hAnsi="宋体" w:eastAsia="宋体" w:cs="宋体"/>
                <w:b w:val="0"/>
                <w:i w:val="0"/>
                <w:sz w:val="18"/>
              </w:rPr>
              <w:t>21.53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DC635B">
            <w:pPr>
              <w:spacing w:before="0" w:after="0" w:line="240" w:lineRule="auto"/>
              <w:jc w:val="center"/>
            </w:pPr>
            <w:r>
              <w:rPr>
                <w:rFonts w:ascii="宋体" w:hAnsi="宋体" w:eastAsia="宋体" w:cs="宋体"/>
                <w:b w:val="0"/>
                <w:i w:val="0"/>
                <w:sz w:val="18"/>
              </w:rPr>
              <w:t>21.53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B896F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85796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0B2BF4">
            <w:pPr>
              <w:spacing w:before="0" w:after="0" w:line="240" w:lineRule="auto"/>
              <w:jc w:val="center"/>
            </w:pPr>
            <w:r>
              <w:rPr>
                <w:rFonts w:ascii="宋体" w:hAnsi="宋体" w:eastAsia="宋体" w:cs="宋体"/>
                <w:b w:val="0"/>
                <w:i w:val="0"/>
                <w:sz w:val="18"/>
              </w:rPr>
              <w:t>10</w:t>
            </w:r>
          </w:p>
        </w:tc>
      </w:tr>
      <w:tr w14:paraId="3D95D41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EAB9BE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7B84C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9D985">
            <w:pPr>
              <w:spacing w:before="0" w:after="0" w:line="240" w:lineRule="auto"/>
              <w:jc w:val="center"/>
            </w:pPr>
            <w:r>
              <w:rPr>
                <w:rFonts w:ascii="宋体" w:hAnsi="宋体" w:eastAsia="宋体" w:cs="宋体"/>
                <w:b w:val="0"/>
                <w:i w:val="0"/>
                <w:sz w:val="18"/>
              </w:rPr>
              <w:t>21.70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A3C501">
            <w:pPr>
              <w:spacing w:before="0" w:after="0" w:line="240" w:lineRule="auto"/>
              <w:jc w:val="center"/>
            </w:pPr>
            <w:r>
              <w:rPr>
                <w:rFonts w:ascii="宋体" w:hAnsi="宋体" w:eastAsia="宋体" w:cs="宋体"/>
                <w:b w:val="0"/>
                <w:i w:val="0"/>
                <w:sz w:val="18"/>
              </w:rPr>
              <w:t>20.48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DD10FC">
            <w:pPr>
              <w:spacing w:before="0" w:after="0" w:line="240" w:lineRule="auto"/>
              <w:jc w:val="center"/>
            </w:pPr>
            <w:r>
              <w:rPr>
                <w:rFonts w:ascii="宋体" w:hAnsi="宋体" w:eastAsia="宋体" w:cs="宋体"/>
                <w:b w:val="0"/>
                <w:i w:val="0"/>
                <w:sz w:val="18"/>
              </w:rPr>
              <w:t>20.48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A5E51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6E17B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2CD7E5">
            <w:pPr>
              <w:spacing w:before="0" w:after="0" w:line="240" w:lineRule="auto"/>
              <w:jc w:val="center"/>
            </w:pPr>
            <w:r>
              <w:rPr>
                <w:rFonts w:ascii="宋体" w:hAnsi="宋体" w:eastAsia="宋体" w:cs="宋体"/>
                <w:b w:val="0"/>
                <w:i w:val="0"/>
                <w:sz w:val="18"/>
              </w:rPr>
              <w:t>—</w:t>
            </w:r>
          </w:p>
        </w:tc>
      </w:tr>
      <w:tr w14:paraId="53DB44D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93A91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39861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F968B">
            <w:pPr>
              <w:spacing w:before="0" w:after="0" w:line="240" w:lineRule="auto"/>
              <w:jc w:val="center"/>
            </w:pPr>
            <w:r>
              <w:rPr>
                <w:rFonts w:ascii="宋体" w:hAnsi="宋体" w:eastAsia="宋体" w:cs="宋体"/>
                <w:b w:val="0"/>
                <w:i w:val="0"/>
                <w:sz w:val="18"/>
              </w:rPr>
              <w:t>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534038">
            <w:pPr>
              <w:spacing w:before="0" w:after="0" w:line="240" w:lineRule="auto"/>
              <w:jc w:val="center"/>
            </w:pPr>
            <w:r>
              <w:rPr>
                <w:rFonts w:ascii="宋体" w:hAnsi="宋体" w:eastAsia="宋体" w:cs="宋体"/>
                <w:b w:val="0"/>
                <w:i w:val="0"/>
                <w:sz w:val="18"/>
              </w:rPr>
              <w:t>1.05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CE9AE0">
            <w:pPr>
              <w:spacing w:before="0" w:after="0" w:line="240" w:lineRule="auto"/>
              <w:jc w:val="center"/>
            </w:pPr>
            <w:r>
              <w:rPr>
                <w:rFonts w:ascii="宋体" w:hAnsi="宋体" w:eastAsia="宋体" w:cs="宋体"/>
                <w:b w:val="0"/>
                <w:i w:val="0"/>
                <w:sz w:val="18"/>
              </w:rPr>
              <w:t>1.05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5ED52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DBB6D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E86CBF">
            <w:pPr>
              <w:spacing w:before="0" w:after="0" w:line="240" w:lineRule="auto"/>
              <w:jc w:val="center"/>
            </w:pPr>
            <w:r>
              <w:rPr>
                <w:rFonts w:ascii="宋体" w:hAnsi="宋体" w:eastAsia="宋体" w:cs="宋体"/>
                <w:b w:val="0"/>
                <w:i w:val="0"/>
                <w:sz w:val="18"/>
              </w:rPr>
              <w:t>—</w:t>
            </w:r>
          </w:p>
        </w:tc>
      </w:tr>
      <w:tr w14:paraId="2B407ED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64C37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8D64FE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DD6194D">
            <w:pPr>
              <w:spacing w:before="0" w:after="0" w:line="240" w:lineRule="auto"/>
              <w:jc w:val="center"/>
            </w:pPr>
            <w:r>
              <w:rPr>
                <w:rFonts w:ascii="宋体" w:hAnsi="宋体" w:eastAsia="宋体" w:cs="宋体"/>
                <w:b/>
                <w:i w:val="0"/>
                <w:sz w:val="18"/>
              </w:rPr>
              <w:t>实际完成情况</w:t>
            </w:r>
          </w:p>
        </w:tc>
      </w:tr>
      <w:tr w14:paraId="6EAD370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831DB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C9E1FF9">
            <w:pPr>
              <w:spacing w:before="0" w:after="0" w:line="240" w:lineRule="auto"/>
              <w:jc w:val="center"/>
            </w:pPr>
            <w:r>
              <w:rPr>
                <w:rFonts w:ascii="宋体" w:hAnsi="宋体" w:eastAsia="宋体" w:cs="宋体"/>
                <w:b w:val="0"/>
                <w:i w:val="0"/>
                <w:sz w:val="18"/>
              </w:rPr>
              <w:t>目标1：事业单位法人登记网上年检154个。 目标2：实名制季报、年报数据统计汇总分析次数4次。目标：3购置空调4台。目标4：通过项目实施，优化资源配置，提升机构编制管理水平。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871BD24">
            <w:pPr>
              <w:spacing w:before="0" w:after="0" w:line="240" w:lineRule="auto"/>
              <w:jc w:val="center"/>
            </w:pPr>
            <w:r>
              <w:rPr>
                <w:rFonts w:ascii="宋体" w:hAnsi="宋体" w:eastAsia="宋体" w:cs="宋体"/>
                <w:b w:val="0"/>
                <w:i w:val="0"/>
                <w:sz w:val="18"/>
              </w:rPr>
              <w:t>截至2025年12月31日，本项目支出资金21.53万元，资金执行率100%，本项目实际完成事业单位法人登记网上年检154个，实名制季报、年报数据统计汇总分析次数4次，购置空调4台，通过项目实施，保障机关高效运转，支撑重点业务开展，优化资源配置，为深化体制机制改革、优化机构职能提供坚实经费保障，为党政机关高效履职、编制资源高效配置提供坚实保障，提升机构编制管理水平。</w:t>
            </w:r>
          </w:p>
        </w:tc>
      </w:tr>
      <w:tr w14:paraId="1968852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0E71B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C02AE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06B39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141CF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6A8D82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F2175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BC173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6FFB1D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CA6AA9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2DCC5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27F6D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261DD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3A6BF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854888">
            <w:pPr>
              <w:keepNext/>
              <w:spacing w:before="0" w:after="0" w:line="240" w:lineRule="auto"/>
              <w:jc w:val="center"/>
            </w:pPr>
            <w:r>
              <w:rPr>
                <w:rFonts w:ascii="宋体" w:hAnsi="宋体" w:eastAsia="宋体" w:cs="宋体"/>
                <w:b/>
                <w:i w:val="0"/>
                <w:sz w:val="18"/>
              </w:rPr>
              <w:t>偏差原因分析及改进措施</w:t>
            </w:r>
          </w:p>
        </w:tc>
      </w:tr>
      <w:tr w14:paraId="0F1D938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BFF0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8C8F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08F7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B9A3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5F89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5B8F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ED8D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640A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5F6D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E146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D9C4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0A5B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3CBD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1F604B"/>
        </w:tc>
      </w:tr>
      <w:tr w14:paraId="4423A325">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22799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0907F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E86C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89B92">
            <w:pPr>
              <w:spacing w:before="0" w:after="0" w:line="240" w:lineRule="auto"/>
              <w:jc w:val="center"/>
            </w:pPr>
            <w:r>
              <w:rPr>
                <w:rFonts w:ascii="宋体" w:hAnsi="宋体" w:eastAsia="宋体" w:cs="宋体"/>
                <w:b w:val="0"/>
                <w:i w:val="0"/>
                <w:sz w:val="18"/>
              </w:rPr>
              <w:t>事业单位法人登记网上年检个数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52107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25425">
            <w:pPr>
              <w:spacing w:before="0" w:after="0" w:line="240" w:lineRule="auto"/>
              <w:jc w:val="center"/>
            </w:pPr>
            <w:r>
              <w:rPr>
                <w:rFonts w:ascii="宋体" w:hAnsi="宋体" w:eastAsia="宋体" w:cs="宋体"/>
                <w:b w:val="0"/>
                <w:i w:val="0"/>
                <w:sz w:val="18"/>
              </w:rPr>
              <w:t>&gt;=154个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518E6">
            <w:pPr>
              <w:spacing w:before="0" w:after="0" w:line="240" w:lineRule="auto"/>
              <w:jc w:val="center"/>
            </w:pPr>
            <w:r>
              <w:rPr>
                <w:rFonts w:ascii="宋体" w:hAnsi="宋体" w:eastAsia="宋体" w:cs="宋体"/>
                <w:b w:val="0"/>
                <w:i w:val="0"/>
                <w:sz w:val="18"/>
              </w:rPr>
              <w:t>=154个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21C6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2CCC1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B358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BC461">
            <w:pPr>
              <w:spacing w:before="0" w:after="0" w:line="240" w:lineRule="auto"/>
              <w:jc w:val="center"/>
            </w:pPr>
            <w:r>
              <w:rPr>
                <w:rFonts w:ascii="宋体" w:hAnsi="宋体" w:eastAsia="宋体" w:cs="宋体"/>
                <w:b w:val="0"/>
                <w:i w:val="0"/>
                <w:sz w:val="18"/>
              </w:rPr>
              <w:t>161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720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A469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399F99">
            <w:pPr>
              <w:spacing w:before="0" w:after="0" w:line="240" w:lineRule="auto"/>
              <w:jc w:val="center"/>
            </w:pPr>
          </w:p>
        </w:tc>
      </w:tr>
      <w:tr w14:paraId="798BDAA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B31C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1362F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07A18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A0F9C">
            <w:pPr>
              <w:spacing w:before="0" w:after="0" w:line="240" w:lineRule="auto"/>
              <w:jc w:val="center"/>
            </w:pPr>
            <w:r>
              <w:rPr>
                <w:rFonts w:ascii="宋体" w:hAnsi="宋体" w:eastAsia="宋体" w:cs="宋体"/>
                <w:b w:val="0"/>
                <w:i w:val="0"/>
                <w:sz w:val="18"/>
              </w:rPr>
              <w:t>实名制季报、年报数据统计汇总分析次数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72141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9D700">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13FD5">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F79C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53EBF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2642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C8FD3">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19C1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6592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8E596">
            <w:pPr>
              <w:spacing w:before="0" w:after="0" w:line="240" w:lineRule="auto"/>
              <w:jc w:val="center"/>
            </w:pPr>
          </w:p>
        </w:tc>
      </w:tr>
      <w:tr w14:paraId="63DF659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3247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2C1D7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7510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C0529">
            <w:pPr>
              <w:spacing w:before="0" w:after="0" w:line="240" w:lineRule="auto"/>
              <w:jc w:val="center"/>
            </w:pPr>
            <w:r>
              <w:rPr>
                <w:rFonts w:ascii="宋体" w:hAnsi="宋体" w:eastAsia="宋体" w:cs="宋体"/>
                <w:b w:val="0"/>
                <w:i w:val="0"/>
                <w:sz w:val="18"/>
              </w:rPr>
              <w:t>空调购置数量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C56B2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0EA61">
            <w:pPr>
              <w:spacing w:before="0" w:after="0" w:line="240" w:lineRule="auto"/>
              <w:jc w:val="center"/>
            </w:pPr>
            <w:r>
              <w:rPr>
                <w:rFonts w:ascii="宋体" w:hAnsi="宋体" w:eastAsia="宋体" w:cs="宋体"/>
                <w:b w:val="0"/>
                <w:i w:val="0"/>
                <w:sz w:val="18"/>
              </w:rPr>
              <w:t>&gt;=4台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918D0">
            <w:pPr>
              <w:spacing w:before="0" w:after="0" w:line="240" w:lineRule="auto"/>
              <w:jc w:val="center"/>
            </w:pPr>
            <w:r>
              <w:rPr>
                <w:rFonts w:ascii="宋体" w:hAnsi="宋体" w:eastAsia="宋体" w:cs="宋体"/>
                <w:b w:val="0"/>
                <w:i w:val="0"/>
                <w:sz w:val="18"/>
              </w:rPr>
              <w:t>=4台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3E20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C4A5D3">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0DBD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300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C5F4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7A9E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8265C">
            <w:pPr>
              <w:spacing w:before="0" w:after="0" w:line="240" w:lineRule="auto"/>
              <w:jc w:val="center"/>
            </w:pPr>
          </w:p>
        </w:tc>
      </w:tr>
      <w:tr w14:paraId="0B60E22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92FC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43AFD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8A30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44EEA">
            <w:pPr>
              <w:spacing w:before="0" w:after="0" w:line="240" w:lineRule="auto"/>
              <w:jc w:val="center"/>
            </w:pPr>
            <w:r>
              <w:rPr>
                <w:rFonts w:ascii="宋体" w:hAnsi="宋体" w:eastAsia="宋体" w:cs="宋体"/>
                <w:b w:val="0"/>
                <w:i w:val="0"/>
                <w:sz w:val="18"/>
              </w:rPr>
              <w:t>空调验收合格率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DA41F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E2A1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CFCC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90E7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79A5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68418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F5D2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16F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1FB3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E3D4C">
            <w:pPr>
              <w:spacing w:before="0" w:after="0" w:line="240" w:lineRule="auto"/>
              <w:jc w:val="center"/>
            </w:pPr>
          </w:p>
        </w:tc>
      </w:tr>
      <w:tr w14:paraId="341260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80F8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34DB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9280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D5052">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FE191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6A4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4D2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20BC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E28A7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E88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937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FBC4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CCC1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FC010">
            <w:pPr>
              <w:spacing w:before="0" w:after="0" w:line="240" w:lineRule="auto"/>
              <w:jc w:val="center"/>
            </w:pPr>
          </w:p>
        </w:tc>
      </w:tr>
      <w:tr w14:paraId="4014E86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2AB3A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DBCEE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A4C4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5D322">
            <w:pPr>
              <w:spacing w:before="0" w:after="0" w:line="240" w:lineRule="auto"/>
              <w:jc w:val="center"/>
            </w:pPr>
            <w:r>
              <w:rPr>
                <w:rFonts w:ascii="宋体" w:hAnsi="宋体" w:eastAsia="宋体" w:cs="宋体"/>
                <w:b w:val="0"/>
                <w:i w:val="0"/>
                <w:sz w:val="18"/>
              </w:rPr>
              <w:t>履职事项清单车辆租赁费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F4130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957DA">
            <w:pPr>
              <w:spacing w:before="0" w:after="0" w:line="240" w:lineRule="auto"/>
              <w:jc w:val="center"/>
            </w:pPr>
            <w:r>
              <w:rPr>
                <w:rFonts w:ascii="宋体" w:hAnsi="宋体" w:eastAsia="宋体" w:cs="宋体"/>
                <w:b w:val="0"/>
                <w:i w:val="0"/>
                <w:sz w:val="18"/>
              </w:rPr>
              <w:t>&lt;=2.43万元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EBBF1">
            <w:pPr>
              <w:spacing w:before="0" w:after="0" w:line="240" w:lineRule="auto"/>
              <w:jc w:val="center"/>
            </w:pPr>
            <w:r>
              <w:rPr>
                <w:rFonts w:ascii="宋体" w:hAnsi="宋体" w:eastAsia="宋体" w:cs="宋体"/>
                <w:b w:val="0"/>
                <w:i w:val="0"/>
                <w:sz w:val="18"/>
              </w:rPr>
              <w:t>=2.43万元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64ABB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EFB40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69D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AF07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AA05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243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AB857">
            <w:pPr>
              <w:spacing w:before="0" w:after="0" w:line="240" w:lineRule="auto"/>
              <w:jc w:val="center"/>
            </w:pPr>
          </w:p>
        </w:tc>
      </w:tr>
      <w:tr w14:paraId="652D61D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78D1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95B80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3679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AEAB5">
            <w:pPr>
              <w:spacing w:before="0" w:after="0" w:line="240" w:lineRule="auto"/>
              <w:jc w:val="center"/>
            </w:pPr>
            <w:r>
              <w:rPr>
                <w:rFonts w:ascii="宋体" w:hAnsi="宋体" w:eastAsia="宋体" w:cs="宋体"/>
                <w:b w:val="0"/>
                <w:i w:val="0"/>
                <w:sz w:val="18"/>
              </w:rPr>
              <w:t>空调购置费用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89193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28095">
            <w:pPr>
              <w:spacing w:before="0" w:after="0" w:line="240" w:lineRule="auto"/>
              <w:jc w:val="center"/>
            </w:pPr>
            <w:r>
              <w:rPr>
                <w:rFonts w:ascii="宋体" w:hAnsi="宋体" w:eastAsia="宋体" w:cs="宋体"/>
                <w:b w:val="0"/>
                <w:i w:val="0"/>
                <w:sz w:val="18"/>
              </w:rPr>
              <w:t>&lt;=1.0497万元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1EB15">
            <w:pPr>
              <w:spacing w:before="0" w:after="0" w:line="240" w:lineRule="auto"/>
              <w:jc w:val="center"/>
            </w:pPr>
            <w:r>
              <w:rPr>
                <w:rFonts w:ascii="宋体" w:hAnsi="宋体" w:eastAsia="宋体" w:cs="宋体"/>
                <w:b w:val="0"/>
                <w:i w:val="0"/>
                <w:sz w:val="18"/>
              </w:rPr>
              <w:t>=1.0497万元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4353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441F63">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C4CB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D16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E217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E853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3FE4B">
            <w:pPr>
              <w:spacing w:before="0" w:after="0" w:line="240" w:lineRule="auto"/>
              <w:jc w:val="center"/>
            </w:pPr>
          </w:p>
        </w:tc>
      </w:tr>
      <w:tr w14:paraId="58ED51B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3F0B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CAA4B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8F09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3E100">
            <w:pPr>
              <w:spacing w:before="0" w:after="0" w:line="240" w:lineRule="auto"/>
              <w:jc w:val="center"/>
            </w:pPr>
            <w:r>
              <w:rPr>
                <w:rFonts w:ascii="宋体" w:hAnsi="宋体" w:eastAsia="宋体" w:cs="宋体"/>
                <w:b w:val="0"/>
                <w:i w:val="0"/>
                <w:sz w:val="18"/>
              </w:rPr>
              <w:t>其他运行费用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84918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83841">
            <w:pPr>
              <w:spacing w:before="0" w:after="0" w:line="240" w:lineRule="auto"/>
              <w:jc w:val="center"/>
            </w:pPr>
            <w:r>
              <w:rPr>
                <w:rFonts w:ascii="宋体" w:hAnsi="宋体" w:eastAsia="宋体" w:cs="宋体"/>
                <w:b w:val="0"/>
                <w:i w:val="0"/>
                <w:sz w:val="18"/>
              </w:rPr>
              <w:t>&lt;=18.046万元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46892">
            <w:pPr>
              <w:spacing w:before="0" w:after="0" w:line="240" w:lineRule="auto"/>
              <w:jc w:val="center"/>
            </w:pPr>
            <w:r>
              <w:rPr>
                <w:rFonts w:ascii="宋体" w:hAnsi="宋体" w:eastAsia="宋体" w:cs="宋体"/>
                <w:b w:val="0"/>
                <w:i w:val="0"/>
                <w:sz w:val="18"/>
              </w:rPr>
              <w:t>=18.046万元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C849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1574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6CB2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1B0CE">
            <w:pPr>
              <w:spacing w:before="0" w:after="0" w:line="240" w:lineRule="auto"/>
              <w:jc w:val="center"/>
            </w:pPr>
            <w:r>
              <w:rPr>
                <w:rFonts w:ascii="宋体" w:hAnsi="宋体" w:eastAsia="宋体" w:cs="宋体"/>
                <w:b w:val="0"/>
                <w:i w:val="0"/>
                <w:sz w:val="18"/>
              </w:rPr>
              <w:t>8.88万元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D41A6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130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D0F0C">
            <w:pPr>
              <w:spacing w:before="0" w:after="0" w:line="240" w:lineRule="auto"/>
              <w:jc w:val="center"/>
            </w:pPr>
          </w:p>
        </w:tc>
      </w:tr>
      <w:tr w14:paraId="69AC97A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677F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B3290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B50E3C">
            <w:pPr>
              <w:spacing w:before="0" w:after="0" w:line="240" w:lineRule="auto"/>
              <w:jc w:val="center"/>
            </w:pPr>
            <w:r>
              <w:rPr>
                <w:rFonts w:ascii="宋体" w:hAnsi="宋体" w:eastAsia="宋体" w:cs="宋体"/>
                <w:b w:val="0"/>
                <w:i w:val="0"/>
                <w:sz w:val="18"/>
              </w:rPr>
              <w:t>社会成本指标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FE8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415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D5DF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8324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FA2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401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40CAA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730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D8F0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9AA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D3841">
            <w:pPr>
              <w:spacing w:before="0" w:after="0" w:line="240" w:lineRule="auto"/>
              <w:jc w:val="center"/>
            </w:pPr>
          </w:p>
        </w:tc>
      </w:tr>
      <w:tr w14:paraId="049C8D0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8A7F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0715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D3954">
            <w:pPr>
              <w:spacing w:before="0" w:after="0" w:line="240" w:lineRule="auto"/>
              <w:jc w:val="center"/>
            </w:pPr>
            <w:r>
              <w:rPr>
                <w:rFonts w:ascii="宋体" w:hAnsi="宋体" w:eastAsia="宋体" w:cs="宋体"/>
                <w:b w:val="0"/>
                <w:i w:val="0"/>
                <w:sz w:val="18"/>
              </w:rPr>
              <w:t>生态环境成本指标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103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E322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8CE5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5CB4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5850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0BC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A25D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E148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FC1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EEF5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2A3C2">
            <w:pPr>
              <w:spacing w:before="0" w:after="0" w:line="240" w:lineRule="auto"/>
              <w:jc w:val="center"/>
            </w:pPr>
          </w:p>
        </w:tc>
      </w:tr>
      <w:tr w14:paraId="68DF7A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D2405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EC901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0118E">
            <w:pPr>
              <w:spacing w:before="0" w:after="0" w:line="240" w:lineRule="auto"/>
              <w:jc w:val="center"/>
            </w:pPr>
            <w:r>
              <w:rPr>
                <w:rFonts w:ascii="宋体" w:hAnsi="宋体" w:eastAsia="宋体" w:cs="宋体"/>
                <w:b w:val="0"/>
                <w:i w:val="0"/>
                <w:sz w:val="18"/>
              </w:rPr>
              <w:t>经济效益指标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12D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7C99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F1DD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148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83B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E545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E178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7D47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6F90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B881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1504D">
            <w:pPr>
              <w:spacing w:before="0" w:after="0" w:line="240" w:lineRule="auto"/>
              <w:jc w:val="center"/>
            </w:pPr>
          </w:p>
        </w:tc>
      </w:tr>
      <w:tr w14:paraId="7789B1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313A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A8F15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F23E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2313B">
            <w:pPr>
              <w:spacing w:before="0" w:after="0" w:line="240" w:lineRule="auto"/>
              <w:jc w:val="center"/>
            </w:pPr>
            <w:r>
              <w:rPr>
                <w:rFonts w:ascii="宋体" w:hAnsi="宋体" w:eastAsia="宋体" w:cs="宋体"/>
                <w:b w:val="0"/>
                <w:i w:val="0"/>
                <w:sz w:val="18"/>
              </w:rPr>
              <w:t>保障机关正常运转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87A5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FE47C7">
            <w:pPr>
              <w:spacing w:before="0" w:after="0" w:line="240" w:lineRule="auto"/>
              <w:jc w:val="center"/>
            </w:pPr>
            <w:r>
              <w:rPr>
                <w:rFonts w:ascii="宋体" w:hAnsi="宋体" w:eastAsia="宋体" w:cs="宋体"/>
                <w:b w:val="0"/>
                <w:i w:val="0"/>
                <w:sz w:val="18"/>
              </w:rPr>
              <w:t>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32B5D">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124F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4FD11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16C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D22E9">
            <w:pPr>
              <w:spacing w:before="0" w:after="0" w:line="240" w:lineRule="auto"/>
              <w:jc w:val="center"/>
            </w:pPr>
            <w:r>
              <w:rPr>
                <w:rFonts w:ascii="宋体" w:hAnsi="宋体" w:eastAsia="宋体" w:cs="宋体"/>
                <w:b w:val="0"/>
                <w:i w:val="0"/>
                <w:sz w:val="18"/>
              </w:rPr>
              <w:t>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DB0A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0FD6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E42DF">
            <w:pPr>
              <w:spacing w:before="0" w:after="0" w:line="240" w:lineRule="auto"/>
              <w:jc w:val="center"/>
            </w:pPr>
          </w:p>
        </w:tc>
      </w:tr>
      <w:tr w14:paraId="37DB942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E34D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EF284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E8CB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33CCA">
            <w:pPr>
              <w:spacing w:before="0" w:after="0" w:line="240" w:lineRule="auto"/>
              <w:jc w:val="center"/>
            </w:pPr>
            <w:r>
              <w:rPr>
                <w:rFonts w:ascii="宋体" w:hAnsi="宋体" w:eastAsia="宋体" w:cs="宋体"/>
                <w:b w:val="0"/>
                <w:i w:val="0"/>
                <w:sz w:val="18"/>
              </w:rPr>
              <w:t>优化资源配置，提升运行效率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8F96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63CE8">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E4EEF">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D2E0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6FFDB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839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A4334">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8BC9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91E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FD271">
            <w:pPr>
              <w:spacing w:before="0" w:after="0" w:line="240" w:lineRule="auto"/>
              <w:jc w:val="center"/>
            </w:pPr>
          </w:p>
        </w:tc>
      </w:tr>
      <w:tr w14:paraId="770069DD">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F767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B2DD9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DD7CE">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C4F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E98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113B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9919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4363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E90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B50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6C6B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139E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71B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78C7C">
            <w:pPr>
              <w:spacing w:before="0" w:after="0" w:line="240" w:lineRule="auto"/>
              <w:jc w:val="center"/>
            </w:pPr>
          </w:p>
        </w:tc>
      </w:tr>
      <w:tr w14:paraId="31FD6EF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F51CF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3F68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67AD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1F2B1">
            <w:pPr>
              <w:spacing w:before="0" w:after="0" w:line="240" w:lineRule="auto"/>
              <w:jc w:val="center"/>
            </w:pPr>
            <w:r>
              <w:rPr>
                <w:rFonts w:ascii="宋体" w:hAnsi="宋体" w:eastAsia="宋体" w:cs="宋体"/>
                <w:b w:val="0"/>
                <w:i w:val="0"/>
                <w:sz w:val="18"/>
              </w:rPr>
              <w:t>机关事业单位满意度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EEEA3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1EE4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0EC8D">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A5EC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24419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D21C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64CCD">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1260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030C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D9D9F">
            <w:pPr>
              <w:spacing w:before="0" w:after="0" w:line="240" w:lineRule="auto"/>
              <w:jc w:val="center"/>
            </w:pPr>
          </w:p>
        </w:tc>
      </w:tr>
      <w:tr w14:paraId="67E0476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F5110B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02886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192E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24BD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1B19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EF7C51">
            <w:pPr>
              <w:spacing w:before="0" w:after="0" w:line="240" w:lineRule="auto"/>
              <w:jc w:val="center"/>
            </w:pPr>
            <w:r>
              <w:rPr>
                <w:rFonts w:ascii="宋体" w:hAnsi="宋体" w:eastAsia="宋体" w:cs="宋体"/>
                <w:b w:val="0"/>
                <w:i w:val="0"/>
                <w:sz w:val="18"/>
              </w:rPr>
              <w:t>100.00分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FF75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E745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0A3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C168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6A0DA">
            <w:pPr>
              <w:spacing w:before="0" w:after="0" w:line="240" w:lineRule="auto"/>
              <w:jc w:val="center"/>
            </w:pPr>
          </w:p>
        </w:tc>
      </w:tr>
    </w:tbl>
    <w:p w14:paraId="39F79C74">
      <w:r>
        <w:br w:type="page"/>
      </w:r>
    </w:p>
    <w:tbl>
      <w:tblPr>
        <w:tblStyle w:val="8"/>
        <w:tblW w:w="5000" w:type="pct"/>
        <w:tblInd w:w="0" w:type="dxa"/>
        <w:tblLayout w:type="autofit"/>
        <w:tblCellMar>
          <w:top w:w="36" w:type="dxa"/>
          <w:left w:w="36" w:type="dxa"/>
          <w:bottom w:w="36" w:type="dxa"/>
          <w:right w:w="36" w:type="dxa"/>
        </w:tblCellMar>
      </w:tblPr>
      <w:tblGrid>
        <w:gridCol w:w="567"/>
        <w:gridCol w:w="567"/>
        <w:gridCol w:w="567"/>
        <w:gridCol w:w="612"/>
        <w:gridCol w:w="593"/>
        <w:gridCol w:w="702"/>
        <w:gridCol w:w="612"/>
        <w:gridCol w:w="593"/>
        <w:gridCol w:w="612"/>
        <w:gridCol w:w="571"/>
        <w:gridCol w:w="569"/>
        <w:gridCol w:w="576"/>
        <w:gridCol w:w="572"/>
        <w:gridCol w:w="593"/>
      </w:tblGrid>
      <w:tr w14:paraId="7C5D38C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3DAB93A">
            <w:pPr>
              <w:spacing w:before="0" w:after="0" w:line="240" w:lineRule="auto"/>
              <w:jc w:val="center"/>
            </w:pPr>
            <w:r>
              <w:rPr>
                <w:rFonts w:ascii="宋体" w:hAnsi="宋体" w:eastAsia="宋体" w:cs="宋体"/>
                <w:b/>
                <w:i w:val="0"/>
                <w:sz w:val="18"/>
              </w:rPr>
              <w:t>项目支出绩效自评表</w:t>
            </w:r>
          </w:p>
        </w:tc>
      </w:tr>
      <w:tr w14:paraId="2287CB1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FCF8BEE">
            <w:pPr>
              <w:spacing w:before="0" w:after="0" w:line="240" w:lineRule="auto"/>
              <w:jc w:val="center"/>
            </w:pPr>
            <w:r>
              <w:rPr>
                <w:rFonts w:ascii="宋体" w:hAnsi="宋体" w:eastAsia="宋体" w:cs="宋体"/>
                <w:b w:val="0"/>
                <w:i w:val="0"/>
                <w:sz w:val="18"/>
              </w:rPr>
              <w:t>(2025年度)</w:t>
            </w:r>
          </w:p>
        </w:tc>
      </w:tr>
      <w:tr w14:paraId="5F71228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FC02F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D8BF6AB">
            <w:pPr>
              <w:spacing w:before="0" w:after="0" w:line="240" w:lineRule="auto"/>
              <w:jc w:val="center"/>
            </w:pPr>
            <w:r>
              <w:rPr>
                <w:rFonts w:ascii="宋体" w:hAnsi="宋体" w:eastAsia="宋体" w:cs="宋体"/>
                <w:b w:val="0"/>
                <w:i w:val="0"/>
                <w:sz w:val="18"/>
              </w:rPr>
              <w:t>机构编制工作专题培训班</w:t>
            </w:r>
          </w:p>
        </w:tc>
      </w:tr>
      <w:tr w14:paraId="71C5E42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6E858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550875B">
            <w:pPr>
              <w:spacing w:before="0" w:after="0" w:line="240" w:lineRule="auto"/>
              <w:jc w:val="center"/>
            </w:pPr>
            <w:r>
              <w:rPr>
                <w:rFonts w:ascii="宋体" w:hAnsi="宋体" w:eastAsia="宋体" w:cs="宋体"/>
                <w:b w:val="0"/>
                <w:i w:val="0"/>
                <w:sz w:val="18"/>
              </w:rPr>
              <w:t>中共昌吉回族自治州委员会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8BFBA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5BDAE73">
            <w:pPr>
              <w:spacing w:before="0" w:after="0" w:line="240" w:lineRule="auto"/>
              <w:jc w:val="center"/>
            </w:pPr>
            <w:r>
              <w:rPr>
                <w:rFonts w:ascii="宋体" w:hAnsi="宋体" w:eastAsia="宋体" w:cs="宋体"/>
                <w:b w:val="0"/>
                <w:i w:val="0"/>
                <w:sz w:val="18"/>
              </w:rPr>
              <w:t>中共昌吉回族自治州委员会机构编制委员会办公室</w:t>
            </w:r>
          </w:p>
        </w:tc>
      </w:tr>
      <w:tr w14:paraId="3190198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19B74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0390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43B9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C38A3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B31AD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FF395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15A2F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D8E946">
            <w:pPr>
              <w:spacing w:before="0" w:after="0" w:line="240" w:lineRule="auto"/>
              <w:jc w:val="center"/>
            </w:pPr>
            <w:r>
              <w:rPr>
                <w:rFonts w:ascii="宋体" w:hAnsi="宋体" w:eastAsia="宋体" w:cs="宋体"/>
                <w:b/>
                <w:i w:val="0"/>
                <w:sz w:val="18"/>
              </w:rPr>
              <w:t>得分</w:t>
            </w:r>
          </w:p>
        </w:tc>
      </w:tr>
      <w:tr w14:paraId="071B02B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29BFE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806EC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7FACB">
            <w:pPr>
              <w:spacing w:before="0" w:after="0" w:line="240" w:lineRule="auto"/>
              <w:jc w:val="center"/>
            </w:pPr>
            <w:r>
              <w:rPr>
                <w:rFonts w:ascii="宋体" w:hAnsi="宋体" w:eastAsia="宋体" w:cs="宋体"/>
                <w:b w:val="0"/>
                <w:i w:val="0"/>
                <w:sz w:val="18"/>
              </w:rPr>
              <w:t>18.88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8C8963">
            <w:pPr>
              <w:spacing w:before="0" w:after="0" w:line="240" w:lineRule="auto"/>
              <w:jc w:val="center"/>
            </w:pPr>
            <w:r>
              <w:rPr>
                <w:rFonts w:ascii="宋体" w:hAnsi="宋体" w:eastAsia="宋体" w:cs="宋体"/>
                <w:b w:val="0"/>
                <w:i w:val="0"/>
                <w:sz w:val="18"/>
              </w:rPr>
              <w:t>18.88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C858FA">
            <w:pPr>
              <w:spacing w:before="0" w:after="0" w:line="240" w:lineRule="auto"/>
              <w:jc w:val="center"/>
            </w:pPr>
            <w:r>
              <w:rPr>
                <w:rFonts w:ascii="宋体" w:hAnsi="宋体" w:eastAsia="宋体" w:cs="宋体"/>
                <w:b w:val="0"/>
                <w:i w:val="0"/>
                <w:sz w:val="18"/>
              </w:rPr>
              <w:t>18.88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00D09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D0193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BA09D4">
            <w:pPr>
              <w:spacing w:before="0" w:after="0" w:line="240" w:lineRule="auto"/>
              <w:jc w:val="center"/>
            </w:pPr>
            <w:r>
              <w:rPr>
                <w:rFonts w:ascii="宋体" w:hAnsi="宋体" w:eastAsia="宋体" w:cs="宋体"/>
                <w:b w:val="0"/>
                <w:i w:val="0"/>
                <w:sz w:val="18"/>
              </w:rPr>
              <w:t>10</w:t>
            </w:r>
          </w:p>
        </w:tc>
      </w:tr>
      <w:tr w14:paraId="4F93122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05479D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85DE5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84F0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98C8E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4C30A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D0E30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3ADAA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F2C0ED">
            <w:pPr>
              <w:spacing w:before="0" w:after="0" w:line="240" w:lineRule="auto"/>
              <w:jc w:val="center"/>
            </w:pPr>
            <w:r>
              <w:rPr>
                <w:rFonts w:ascii="宋体" w:hAnsi="宋体" w:eastAsia="宋体" w:cs="宋体"/>
                <w:b w:val="0"/>
                <w:i w:val="0"/>
                <w:sz w:val="18"/>
              </w:rPr>
              <w:t>—</w:t>
            </w:r>
          </w:p>
        </w:tc>
      </w:tr>
      <w:tr w14:paraId="192B338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98115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47FA2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25B2F">
            <w:pPr>
              <w:spacing w:before="0" w:after="0" w:line="240" w:lineRule="auto"/>
              <w:jc w:val="center"/>
            </w:pPr>
            <w:r>
              <w:rPr>
                <w:rFonts w:ascii="宋体" w:hAnsi="宋体" w:eastAsia="宋体" w:cs="宋体"/>
                <w:b w:val="0"/>
                <w:i w:val="0"/>
                <w:sz w:val="18"/>
              </w:rPr>
              <w:t>18.88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151A22">
            <w:pPr>
              <w:spacing w:before="0" w:after="0" w:line="240" w:lineRule="auto"/>
              <w:jc w:val="center"/>
            </w:pPr>
            <w:r>
              <w:rPr>
                <w:rFonts w:ascii="宋体" w:hAnsi="宋体" w:eastAsia="宋体" w:cs="宋体"/>
                <w:b w:val="0"/>
                <w:i w:val="0"/>
                <w:sz w:val="18"/>
              </w:rPr>
              <w:t>18.88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9A676B">
            <w:pPr>
              <w:spacing w:before="0" w:after="0" w:line="240" w:lineRule="auto"/>
              <w:jc w:val="center"/>
            </w:pPr>
            <w:r>
              <w:rPr>
                <w:rFonts w:ascii="宋体" w:hAnsi="宋体" w:eastAsia="宋体" w:cs="宋体"/>
                <w:b w:val="0"/>
                <w:i w:val="0"/>
                <w:sz w:val="18"/>
              </w:rPr>
              <w:t>18.88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704A9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B893D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A5851D">
            <w:pPr>
              <w:spacing w:before="0" w:after="0" w:line="240" w:lineRule="auto"/>
              <w:jc w:val="center"/>
            </w:pPr>
            <w:r>
              <w:rPr>
                <w:rFonts w:ascii="宋体" w:hAnsi="宋体" w:eastAsia="宋体" w:cs="宋体"/>
                <w:b w:val="0"/>
                <w:i w:val="0"/>
                <w:sz w:val="18"/>
              </w:rPr>
              <w:t>—</w:t>
            </w:r>
          </w:p>
        </w:tc>
      </w:tr>
      <w:tr w14:paraId="6CC9059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45874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011E4A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3497AE4">
            <w:pPr>
              <w:spacing w:before="0" w:after="0" w:line="240" w:lineRule="auto"/>
              <w:jc w:val="center"/>
            </w:pPr>
            <w:r>
              <w:rPr>
                <w:rFonts w:ascii="宋体" w:hAnsi="宋体" w:eastAsia="宋体" w:cs="宋体"/>
                <w:b/>
                <w:i w:val="0"/>
                <w:sz w:val="18"/>
              </w:rPr>
              <w:t>实际完成情况</w:t>
            </w:r>
          </w:p>
        </w:tc>
      </w:tr>
      <w:tr w14:paraId="6B80F9F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1A324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7AF38D6">
            <w:pPr>
              <w:spacing w:before="0" w:after="0" w:line="240" w:lineRule="auto"/>
              <w:jc w:val="center"/>
            </w:pPr>
            <w:r>
              <w:rPr>
                <w:rFonts w:ascii="宋体" w:hAnsi="宋体" w:eastAsia="宋体" w:cs="宋体"/>
                <w:b w:val="0"/>
                <w:i w:val="0"/>
                <w:sz w:val="18"/>
              </w:rPr>
              <w:t>项目计划投入资金18.876万元，对35名党员干部在厦门大学进行为期9天的培训，通过项目实施，提高全州机构编制系统干部政治理论水平和业务素质能力、提升以改革创新精神推动机构编制工作高质量发展的专业能力和实践本领，推动昌吉州机构编制工作高质量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21AD5A3">
            <w:pPr>
              <w:spacing w:before="0" w:after="0" w:line="240" w:lineRule="auto"/>
              <w:jc w:val="center"/>
            </w:pPr>
            <w:r>
              <w:rPr>
                <w:rFonts w:ascii="宋体" w:hAnsi="宋体" w:eastAsia="宋体" w:cs="宋体"/>
                <w:b w:val="0"/>
                <w:i w:val="0"/>
                <w:sz w:val="18"/>
              </w:rPr>
              <w:t>截至2025年12月31日，本项目支出资金18.88万元，资金执行率100%，本项目实际完成35名党员干部在厦门大学进行为期9天的培训。通过项目实施，提高全州机构编制系统干部政治理论水平和业务素质能力、提升以改革创新精神推动机构编制工作高质量发展的专业能力和实践本领，推动昌吉州机构编制工作高质量发展。</w:t>
            </w:r>
          </w:p>
        </w:tc>
      </w:tr>
      <w:tr w14:paraId="2447216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AF18E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77B17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114F3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4B6F0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5AE2EC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8AFF4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5302E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0D9B83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440A5A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F2C47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DE228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FB0E1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C33CE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8C4273">
            <w:pPr>
              <w:keepNext/>
              <w:spacing w:before="0" w:after="0" w:line="240" w:lineRule="auto"/>
              <w:jc w:val="center"/>
            </w:pPr>
            <w:r>
              <w:rPr>
                <w:rFonts w:ascii="宋体" w:hAnsi="宋体" w:eastAsia="宋体" w:cs="宋体"/>
                <w:b/>
                <w:i w:val="0"/>
                <w:sz w:val="18"/>
              </w:rPr>
              <w:t>偏差原因分析及改进措施</w:t>
            </w:r>
          </w:p>
        </w:tc>
      </w:tr>
      <w:tr w14:paraId="36AF444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E3D1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8B3C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337F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4E74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0E3D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9C9C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5A35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C732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91DD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71A8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5AFB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0016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A60B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D3685F"/>
        </w:tc>
      </w:tr>
      <w:tr w14:paraId="36D0DB0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F0DEF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32B0D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E6824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D1B79">
            <w:pPr>
              <w:spacing w:before="0" w:after="0" w:line="240" w:lineRule="auto"/>
              <w:jc w:val="center"/>
            </w:pPr>
            <w:r>
              <w:rPr>
                <w:rFonts w:ascii="宋体" w:hAnsi="宋体" w:eastAsia="宋体" w:cs="宋体"/>
                <w:b w:val="0"/>
                <w:i w:val="0"/>
                <w:sz w:val="18"/>
              </w:rPr>
              <w:t>参加培训人数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D20EE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8C8CE">
            <w:pPr>
              <w:spacing w:before="0" w:after="0" w:line="240" w:lineRule="auto"/>
              <w:jc w:val="center"/>
            </w:pPr>
            <w:r>
              <w:rPr>
                <w:rFonts w:ascii="宋体" w:hAnsi="宋体" w:eastAsia="宋体" w:cs="宋体"/>
                <w:b w:val="0"/>
                <w:i w:val="0"/>
                <w:sz w:val="18"/>
              </w:rPr>
              <w:t>&gt;=35人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3EBF2C">
            <w:pPr>
              <w:spacing w:before="0" w:after="0" w:line="240" w:lineRule="auto"/>
              <w:jc w:val="center"/>
            </w:pPr>
            <w:r>
              <w:rPr>
                <w:rFonts w:ascii="宋体" w:hAnsi="宋体" w:eastAsia="宋体" w:cs="宋体"/>
                <w:b w:val="0"/>
                <w:i w:val="0"/>
                <w:sz w:val="18"/>
              </w:rPr>
              <w:t>=35人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087A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F7D3C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D8F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D073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BB2A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F9C6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649C7">
            <w:pPr>
              <w:spacing w:before="0" w:after="0" w:line="240" w:lineRule="auto"/>
              <w:jc w:val="center"/>
            </w:pPr>
          </w:p>
        </w:tc>
      </w:tr>
      <w:tr w14:paraId="3479CFF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CB0D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113A3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F53A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6C5C1">
            <w:pPr>
              <w:spacing w:before="0" w:after="0" w:line="240" w:lineRule="auto"/>
              <w:jc w:val="center"/>
            </w:pPr>
            <w:r>
              <w:rPr>
                <w:rFonts w:ascii="宋体" w:hAnsi="宋体" w:eastAsia="宋体" w:cs="宋体"/>
                <w:b w:val="0"/>
                <w:i w:val="0"/>
                <w:sz w:val="18"/>
              </w:rPr>
              <w:t>培训天数（天）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40F4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E18F9">
            <w:pPr>
              <w:spacing w:before="0" w:after="0" w:line="240" w:lineRule="auto"/>
              <w:jc w:val="center"/>
            </w:pPr>
            <w:r>
              <w:rPr>
                <w:rFonts w:ascii="宋体" w:hAnsi="宋体" w:eastAsia="宋体" w:cs="宋体"/>
                <w:b w:val="0"/>
                <w:i w:val="0"/>
                <w:sz w:val="18"/>
              </w:rPr>
              <w:t>&gt;=9天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92AE0">
            <w:pPr>
              <w:spacing w:before="0" w:after="0" w:line="240" w:lineRule="auto"/>
              <w:jc w:val="center"/>
            </w:pPr>
            <w:r>
              <w:rPr>
                <w:rFonts w:ascii="宋体" w:hAnsi="宋体" w:eastAsia="宋体" w:cs="宋体"/>
                <w:b w:val="0"/>
                <w:i w:val="0"/>
                <w:sz w:val="18"/>
              </w:rPr>
              <w:t>=9天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97AD3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0CAEB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1F2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DE60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0A83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CE8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CDFC2D">
            <w:pPr>
              <w:spacing w:before="0" w:after="0" w:line="240" w:lineRule="auto"/>
              <w:jc w:val="center"/>
            </w:pPr>
          </w:p>
        </w:tc>
      </w:tr>
      <w:tr w14:paraId="28D838C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3217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AF99A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C575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DE8DD">
            <w:pPr>
              <w:spacing w:before="0" w:after="0" w:line="240" w:lineRule="auto"/>
              <w:jc w:val="center"/>
            </w:pPr>
            <w:r>
              <w:rPr>
                <w:rFonts w:ascii="宋体" w:hAnsi="宋体" w:eastAsia="宋体" w:cs="宋体"/>
                <w:b w:val="0"/>
                <w:i w:val="0"/>
                <w:sz w:val="18"/>
              </w:rPr>
              <w:t>培训出勤率（%）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44A1F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85EC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690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1AD9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6C7A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EDF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62A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9346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B25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42FE4">
            <w:pPr>
              <w:spacing w:before="0" w:after="0" w:line="240" w:lineRule="auto"/>
              <w:jc w:val="center"/>
            </w:pPr>
          </w:p>
        </w:tc>
      </w:tr>
      <w:tr w14:paraId="0500C57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FCC1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5944D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475D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32639">
            <w:pPr>
              <w:spacing w:before="0" w:after="0" w:line="240" w:lineRule="auto"/>
              <w:jc w:val="center"/>
            </w:pPr>
            <w:r>
              <w:rPr>
                <w:rFonts w:ascii="宋体" w:hAnsi="宋体" w:eastAsia="宋体" w:cs="宋体"/>
                <w:b w:val="0"/>
                <w:i w:val="0"/>
                <w:sz w:val="18"/>
              </w:rPr>
              <w:t>培训完成及时率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DAC8E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E1B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92B6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4145E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4F7C5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A13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12E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5BC1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3491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F8EA7">
            <w:pPr>
              <w:spacing w:before="0" w:after="0" w:line="240" w:lineRule="auto"/>
              <w:jc w:val="center"/>
            </w:pPr>
          </w:p>
        </w:tc>
      </w:tr>
      <w:tr w14:paraId="5B0D05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A6253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2C700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A855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A9CB8">
            <w:pPr>
              <w:spacing w:before="0" w:after="0" w:line="240" w:lineRule="auto"/>
              <w:jc w:val="center"/>
            </w:pPr>
            <w:r>
              <w:rPr>
                <w:rFonts w:ascii="宋体" w:hAnsi="宋体" w:eastAsia="宋体" w:cs="宋体"/>
                <w:b w:val="0"/>
                <w:i w:val="0"/>
                <w:sz w:val="18"/>
              </w:rPr>
              <w:t>培训人员食宿费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CD534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756198">
            <w:pPr>
              <w:spacing w:before="0" w:after="0" w:line="240" w:lineRule="auto"/>
              <w:jc w:val="center"/>
            </w:pPr>
            <w:r>
              <w:rPr>
                <w:rFonts w:ascii="宋体" w:hAnsi="宋体" w:eastAsia="宋体" w:cs="宋体"/>
                <w:b w:val="0"/>
                <w:i w:val="0"/>
                <w:sz w:val="18"/>
              </w:rPr>
              <w:t>&lt;=9.876万元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BB559">
            <w:pPr>
              <w:spacing w:before="0" w:after="0" w:line="240" w:lineRule="auto"/>
              <w:jc w:val="center"/>
            </w:pPr>
            <w:r>
              <w:rPr>
                <w:rFonts w:ascii="宋体" w:hAnsi="宋体" w:eastAsia="宋体" w:cs="宋体"/>
                <w:b w:val="0"/>
                <w:i w:val="0"/>
                <w:sz w:val="18"/>
              </w:rPr>
              <w:t>=9.876万元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D553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F15D6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2C65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D557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EFB0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B444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E38B0">
            <w:pPr>
              <w:spacing w:before="0" w:after="0" w:line="240" w:lineRule="auto"/>
              <w:jc w:val="center"/>
            </w:pPr>
          </w:p>
        </w:tc>
      </w:tr>
      <w:tr w14:paraId="1CE1F36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C150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3C5BE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8BBC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AD9B5">
            <w:pPr>
              <w:spacing w:before="0" w:after="0" w:line="240" w:lineRule="auto"/>
              <w:jc w:val="center"/>
            </w:pPr>
            <w:r>
              <w:rPr>
                <w:rFonts w:ascii="宋体" w:hAnsi="宋体" w:eastAsia="宋体" w:cs="宋体"/>
                <w:b w:val="0"/>
                <w:i w:val="0"/>
                <w:sz w:val="18"/>
              </w:rPr>
              <w:t>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929E8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77F1F">
            <w:pPr>
              <w:spacing w:before="0" w:after="0" w:line="240" w:lineRule="auto"/>
              <w:jc w:val="center"/>
            </w:pPr>
            <w:r>
              <w:rPr>
                <w:rFonts w:ascii="宋体" w:hAnsi="宋体" w:eastAsia="宋体" w:cs="宋体"/>
                <w:b w:val="0"/>
                <w:i w:val="0"/>
                <w:sz w:val="18"/>
              </w:rPr>
              <w:t>&lt;=9万元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2E0FB">
            <w:pPr>
              <w:spacing w:before="0" w:after="0" w:line="240" w:lineRule="auto"/>
              <w:jc w:val="center"/>
            </w:pPr>
            <w:r>
              <w:rPr>
                <w:rFonts w:ascii="宋体" w:hAnsi="宋体" w:eastAsia="宋体" w:cs="宋体"/>
                <w:b w:val="0"/>
                <w:i w:val="0"/>
                <w:sz w:val="18"/>
              </w:rPr>
              <w:t>=9万元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E702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F93D8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DF3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F4CF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9DF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7E5C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7AF17">
            <w:pPr>
              <w:spacing w:before="0" w:after="0" w:line="240" w:lineRule="auto"/>
              <w:jc w:val="center"/>
            </w:pPr>
          </w:p>
        </w:tc>
      </w:tr>
      <w:tr w14:paraId="429D84B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C6EAB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B8CB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DEB6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723E7">
            <w:pPr>
              <w:spacing w:before="0" w:after="0" w:line="240" w:lineRule="auto"/>
              <w:jc w:val="center"/>
            </w:pPr>
            <w:r>
              <w:rPr>
                <w:rFonts w:ascii="宋体" w:hAnsi="宋体" w:eastAsia="宋体" w:cs="宋体"/>
                <w:b w:val="0"/>
                <w:i w:val="0"/>
                <w:sz w:val="18"/>
              </w:rPr>
              <w:t>提升机构编制系统干部政治理论水平和业务素质能力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61493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C7C25">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C0F2E">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150A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BBE96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D8887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23A0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D3CC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A764B">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70E04">
            <w:pPr>
              <w:spacing w:before="0" w:after="0" w:line="240" w:lineRule="auto"/>
              <w:jc w:val="center"/>
            </w:pPr>
          </w:p>
        </w:tc>
      </w:tr>
      <w:tr w14:paraId="63D94DB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977E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0049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5572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F3B06">
            <w:pPr>
              <w:spacing w:before="0" w:after="0" w:line="240" w:lineRule="auto"/>
              <w:jc w:val="center"/>
            </w:pPr>
            <w:r>
              <w:rPr>
                <w:rFonts w:ascii="宋体" w:hAnsi="宋体" w:eastAsia="宋体" w:cs="宋体"/>
                <w:b w:val="0"/>
                <w:i w:val="0"/>
                <w:sz w:val="18"/>
              </w:rPr>
              <w:t>培训人员满意度（%）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DA228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D46AD">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AFB642">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AD2F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28161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345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B0D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6289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773F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93D32A">
            <w:pPr>
              <w:spacing w:before="0" w:after="0" w:line="240" w:lineRule="auto"/>
              <w:jc w:val="center"/>
            </w:pPr>
          </w:p>
        </w:tc>
      </w:tr>
      <w:tr w14:paraId="7EF186A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2B4D2C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F1AF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207A3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F9AB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8C72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6DB34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10D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148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B977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4949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87047">
            <w:pPr>
              <w:spacing w:before="0" w:after="0" w:line="240" w:lineRule="auto"/>
              <w:jc w:val="center"/>
            </w:pPr>
          </w:p>
        </w:tc>
      </w:tr>
    </w:tbl>
    <w:p w14:paraId="528896EC">
      <w:r>
        <w:br w:type="page"/>
      </w:r>
    </w:p>
    <w:p w14:paraId="3BD7419C">
      <w:pPr>
        <w:sectPr>
          <w:type w:val="continuous"/>
          <w:pgSz w:w="11906" w:h="16838"/>
          <w:pgMar w:top="1440" w:right="1800" w:bottom="1440" w:left="1800" w:header="851" w:footer="992" w:gutter="0"/>
          <w:cols w:space="720" w:num="1"/>
          <w:docGrid w:type="lines" w:linePitch="312" w:charSpace="0"/>
        </w:sectPr>
      </w:pPr>
    </w:p>
    <w:p w14:paraId="34B83784">
      <w:pPr>
        <w:spacing w:line="640" w:lineRule="exact"/>
        <w:ind w:firstLine="640"/>
        <w:jc w:val="both"/>
        <w:outlineLvl w:val="2"/>
      </w:pPr>
      <w:r>
        <w:rPr>
          <w:rFonts w:ascii="黑体" w:hAnsi="黑体" w:eastAsia="黑体"/>
          <w:sz w:val="32"/>
        </w:rPr>
        <w:t>十二、其他需说明的事项</w:t>
      </w:r>
    </w:p>
    <w:p w14:paraId="6C1626A2">
      <w:pPr>
        <w:spacing w:line="580" w:lineRule="exact"/>
        <w:ind w:firstLine="640"/>
        <w:jc w:val="both"/>
      </w:pPr>
      <w:r>
        <w:rPr>
          <w:rFonts w:ascii="仿宋_GB2312" w:hAnsi="仿宋_GB2312" w:eastAsia="仿宋_GB2312"/>
          <w:b w:val="0"/>
          <w:sz w:val="32"/>
        </w:rPr>
        <w:t>本单位无其他需说明的事项。</w:t>
      </w:r>
    </w:p>
    <w:p w14:paraId="29724833">
      <w:r>
        <w:br w:type="page"/>
      </w:r>
    </w:p>
    <w:p w14:paraId="290FFB70">
      <w:pPr>
        <w:spacing w:line="600" w:lineRule="exact"/>
        <w:jc w:val="center"/>
        <w:outlineLvl w:val="0"/>
      </w:pPr>
      <w:r>
        <w:rPr>
          <w:rFonts w:ascii="黑体" w:hAnsi="黑体" w:eastAsia="黑体"/>
          <w:sz w:val="32"/>
        </w:rPr>
        <w:t>第三部分 专业名词解释</w:t>
      </w:r>
    </w:p>
    <w:p w14:paraId="4DF8CFC3">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4B5D1FEE">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63256CFD">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6D6830A4">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3CB9BF27">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0DD767D5">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0DEEB48B">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50B3B819">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05134E43">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64E7EC10">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6BB06BBE">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555C7658">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7DC2C7BF">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0640092E">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64B73488">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1795B9B0">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053495EA">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4004998F">
      <w:r>
        <w:br w:type="page"/>
      </w:r>
    </w:p>
    <w:p w14:paraId="5C3E570C">
      <w:pPr>
        <w:spacing w:line="240" w:lineRule="auto"/>
        <w:jc w:val="center"/>
        <w:outlineLvl w:val="1"/>
      </w:pPr>
      <w:r>
        <w:rPr>
          <w:rFonts w:ascii="黑体" w:hAnsi="黑体" w:eastAsia="黑体"/>
          <w:sz w:val="32"/>
        </w:rPr>
        <w:t>第四部分 部门决算报表（见附表）</w:t>
      </w:r>
    </w:p>
    <w:p w14:paraId="2490FBC2">
      <w:pPr>
        <w:autoSpaceDE w:val="0"/>
        <w:autoSpaceDN w:val="0"/>
        <w:spacing w:line="600" w:lineRule="exact"/>
        <w:ind w:firstLine="640" w:firstLineChars="200"/>
      </w:pPr>
      <w:r>
        <w:rPr>
          <w:rFonts w:ascii="仿宋_GB2312" w:hAnsi="仿宋_GB2312" w:eastAsia="仿宋_GB2312"/>
          <w:b w:val="0"/>
          <w:sz w:val="32"/>
        </w:rPr>
        <w:t>一、《收入支出决算总表》</w:t>
      </w:r>
    </w:p>
    <w:p w14:paraId="0A00A433">
      <w:pPr>
        <w:autoSpaceDE w:val="0"/>
        <w:autoSpaceDN w:val="0"/>
        <w:spacing w:line="600" w:lineRule="exact"/>
        <w:ind w:firstLine="640" w:firstLineChars="200"/>
      </w:pPr>
      <w:r>
        <w:rPr>
          <w:rFonts w:ascii="仿宋_GB2312" w:hAnsi="仿宋_GB2312" w:eastAsia="仿宋_GB2312"/>
          <w:b w:val="0"/>
          <w:sz w:val="32"/>
        </w:rPr>
        <w:t>二、《收入决算表》</w:t>
      </w:r>
    </w:p>
    <w:p w14:paraId="2DEBA035">
      <w:pPr>
        <w:autoSpaceDE w:val="0"/>
        <w:autoSpaceDN w:val="0"/>
        <w:spacing w:line="600" w:lineRule="exact"/>
        <w:ind w:firstLine="640" w:firstLineChars="200"/>
      </w:pPr>
      <w:r>
        <w:rPr>
          <w:rFonts w:ascii="仿宋_GB2312" w:hAnsi="仿宋_GB2312" w:eastAsia="仿宋_GB2312"/>
          <w:b w:val="0"/>
          <w:sz w:val="32"/>
        </w:rPr>
        <w:t>三、《支出决算表》</w:t>
      </w:r>
    </w:p>
    <w:p w14:paraId="5B4838E0">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7B4EECD4">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65D9FBEF">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0FA6042E">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7B1667A6">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62C01856">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427C9FAD">
      <w:pPr>
        <w:autoSpaceDE w:val="0"/>
        <w:autoSpaceDN w:val="0"/>
        <w:spacing w:line="600" w:lineRule="exact"/>
        <w:ind w:firstLine="640" w:firstLineChars="200"/>
      </w:pPr>
    </w:p>
    <w:p w14:paraId="4D452A27">
      <w:pPr>
        <w:autoSpaceDE w:val="0"/>
        <w:autoSpaceDN w:val="0"/>
        <w:spacing w:line="600" w:lineRule="exact"/>
        <w:ind w:firstLine="640" w:firstLineChars="200"/>
      </w:pPr>
    </w:p>
    <w:p w14:paraId="29A99668">
      <w:pPr>
        <w:autoSpaceDE w:val="0"/>
        <w:autoSpaceDN w:val="0"/>
        <w:spacing w:line="600" w:lineRule="exact"/>
        <w:ind w:firstLine="640" w:firstLineChars="200"/>
      </w:pPr>
    </w:p>
    <w:p w14:paraId="3E81D818">
      <w:pPr>
        <w:autoSpaceDE w:val="0"/>
        <w:autoSpaceDN w:val="0"/>
        <w:spacing w:line="600" w:lineRule="exact"/>
        <w:ind w:firstLine="640" w:firstLineChars="200"/>
      </w:pPr>
    </w:p>
    <w:p w14:paraId="5A4CA55F">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499AA5-2621-4EDF-97C7-7BAAFAEEA3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61859E58-CF38-4ACB-9B2A-583B32A7B3A7}"/>
  </w:font>
  <w:font w:name="仿宋_GB2312">
    <w:panose1 w:val="02010609030101010101"/>
    <w:charset w:val="86"/>
    <w:family w:val="modern"/>
    <w:pitch w:val="default"/>
    <w:sig w:usb0="00000001" w:usb1="080E0000" w:usb2="00000000" w:usb3="00000000" w:csb0="00040000" w:csb1="00000000"/>
    <w:embedRegular r:id="rId3" w:fontKey="{4A4CD41D-ECB1-4128-BABE-E0598827AC6C}"/>
  </w:font>
  <w:font w:name="楷体_GB2312">
    <w:panose1 w:val="02010609030101010101"/>
    <w:charset w:val="86"/>
    <w:family w:val="auto"/>
    <w:pitch w:val="default"/>
    <w:sig w:usb0="00000001" w:usb1="080E0000" w:usb2="00000000" w:usb3="00000000" w:csb0="00040000" w:csb1="00000000"/>
    <w:embedRegular r:id="rId4" w:fontKey="{54BDBE94-299A-4867-ADF9-37AC29F76C4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5D67E1"/>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30</Pages>
  <Words>35</Words>
  <Characters>38</Characters>
  <Lines>10</Lines>
  <Paragraphs>2</Paragraphs>
  <TotalTime>7</TotalTime>
  <ScaleCrop>false</ScaleCrop>
  <LinksUpToDate>false</LinksUpToDate>
  <CharactersWithSpaces>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2026-10-15T11:04:02Z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