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bookmarkStart w:id="0" w:name="_GoBack"/>
      <w:bookmarkEnd w:id="0"/>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奇台县人民检察院</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1CFFFD3E">
      <w:r>
        <w:br w:type="page"/>
      </w:r>
    </w:p>
    <w:p w14:paraId="05BA9547">
      <w:pPr>
        <w:spacing w:line="640" w:lineRule="exact"/>
        <w:jc w:val="center"/>
        <w:outlineLvl w:val="1"/>
      </w:pPr>
      <w:r>
        <w:rPr>
          <w:rFonts w:ascii="黑体" w:hAnsi="黑体" w:eastAsia="黑体"/>
          <w:sz w:val="32"/>
        </w:rPr>
        <w:t>第一部分 单位概况</w:t>
      </w:r>
    </w:p>
    <w:p w14:paraId="02D421D6">
      <w:pPr>
        <w:spacing w:line="640" w:lineRule="exact"/>
        <w:ind w:firstLine="640"/>
        <w:jc w:val="both"/>
        <w:outlineLvl w:val="2"/>
      </w:pPr>
      <w:r>
        <w:rPr>
          <w:rFonts w:ascii="黑体" w:hAnsi="黑体" w:eastAsia="黑体"/>
          <w:sz w:val="32"/>
        </w:rPr>
        <w:t>一、主要职能</w:t>
      </w:r>
    </w:p>
    <w:p w14:paraId="0847366D">
      <w:pPr>
        <w:spacing w:line="580" w:lineRule="exact"/>
        <w:ind w:firstLine="640"/>
        <w:jc w:val="both"/>
      </w:pPr>
      <w:r>
        <w:rPr>
          <w:rFonts w:ascii="仿宋_GB2312" w:hAnsi="仿宋_GB2312" w:eastAsia="仿宋_GB2312"/>
          <w:sz w:val="32"/>
        </w:rPr>
        <w:t>人民检察院是国家专门的法律监督机关，与政府和法院并称一府两院，均由同级人民代表大会产生，对其负责并报告工作。检察院通过履行侦查、批准逮捕、审查起诉、支持公诉等法律监督职能，保证国家法律的统一和正确实施。具体职权包括如下七个方面。</w:t>
      </w:r>
    </w:p>
    <w:p w14:paraId="316C6478">
      <w:pPr>
        <w:spacing w:line="580" w:lineRule="exact"/>
        <w:ind w:firstLine="640"/>
        <w:jc w:val="both"/>
      </w:pPr>
      <w:r>
        <w:rPr>
          <w:rFonts w:ascii="仿宋_GB2312" w:hAnsi="仿宋_GB2312" w:eastAsia="仿宋_GB2312"/>
          <w:sz w:val="32"/>
        </w:rPr>
        <w:t>1、对于叛国案、分裂国家案以及严重破坏国家的政策、法律、政令统一实施的重大犯罪案件，行使检察权。</w:t>
      </w:r>
    </w:p>
    <w:p w14:paraId="4983ECC4">
      <w:pPr>
        <w:spacing w:line="580" w:lineRule="exact"/>
        <w:ind w:firstLine="640"/>
        <w:jc w:val="both"/>
      </w:pPr>
      <w:r>
        <w:rPr>
          <w:rFonts w:ascii="仿宋_GB2312" w:hAnsi="仿宋_GB2312" w:eastAsia="仿宋_GB2312"/>
          <w:sz w:val="32"/>
        </w:rPr>
        <w:t>2、对于公安机关、国家安全机关等侦查机关侦查的案件进行审查，决定是否逮捕、起诉或者不起诉。并对侦查机关的侦查活动是否合法实行监督。</w:t>
      </w:r>
    </w:p>
    <w:p w14:paraId="6D2294E2">
      <w:pPr>
        <w:spacing w:line="580" w:lineRule="exact"/>
        <w:ind w:firstLine="640"/>
        <w:jc w:val="both"/>
      </w:pPr>
      <w:r>
        <w:rPr>
          <w:rFonts w:ascii="仿宋_GB2312" w:hAnsi="仿宋_GB2312" w:eastAsia="仿宋_GB2312"/>
          <w:sz w:val="32"/>
        </w:rPr>
        <w:t>3、对于刑事案件提起公诉，支持公诉；对于人民法院的刑事判决、裁定是否正确和审判活动是否合法实行监督。</w:t>
      </w:r>
    </w:p>
    <w:p w14:paraId="1ADAF634">
      <w:pPr>
        <w:spacing w:line="580" w:lineRule="exact"/>
        <w:ind w:firstLine="640"/>
        <w:jc w:val="both"/>
      </w:pPr>
      <w:r>
        <w:rPr>
          <w:rFonts w:ascii="仿宋_GB2312" w:hAnsi="仿宋_GB2312" w:eastAsia="仿宋_GB2312"/>
          <w:sz w:val="32"/>
        </w:rPr>
        <w:t>4、对于监狱、看守所等执行机关执行刑罚的活动是否合法实行监督。</w:t>
      </w:r>
    </w:p>
    <w:p w14:paraId="37454A6D">
      <w:pPr>
        <w:spacing w:line="580" w:lineRule="exact"/>
        <w:ind w:firstLine="640"/>
        <w:jc w:val="both"/>
      </w:pPr>
      <w:r>
        <w:rPr>
          <w:rFonts w:ascii="仿宋_GB2312" w:hAnsi="仿宋_GB2312" w:eastAsia="仿宋_GB2312"/>
          <w:sz w:val="32"/>
        </w:rPr>
        <w:t>5、对于人民法院的民事审判活动实行法律监督，对人民法院已经发生效力的判决、裁定，发现违反法律、法规定的，依法提出抗诉。</w:t>
      </w:r>
    </w:p>
    <w:p w14:paraId="78983A93">
      <w:pPr>
        <w:spacing w:line="580" w:lineRule="exact"/>
        <w:ind w:firstLine="640"/>
        <w:jc w:val="both"/>
      </w:pPr>
      <w:r>
        <w:rPr>
          <w:rFonts w:ascii="仿宋_GB2312" w:hAnsi="仿宋_GB2312" w:eastAsia="仿宋_GB2312"/>
          <w:sz w:val="32"/>
        </w:rPr>
        <w:t>6、对于行政诉讼实行法律监督。对人民法院已经发生效力的判决、裁定发现违反法律、法规定的，依法提出抗诉。</w:t>
      </w:r>
    </w:p>
    <w:p w14:paraId="4E3CE169">
      <w:pPr>
        <w:spacing w:line="580" w:lineRule="exact"/>
        <w:ind w:firstLine="640"/>
        <w:jc w:val="both"/>
      </w:pPr>
      <w:r>
        <w:rPr>
          <w:rFonts w:ascii="仿宋_GB2312" w:hAnsi="仿宋_GB2312" w:eastAsia="仿宋_GB2312"/>
          <w:sz w:val="32"/>
        </w:rPr>
        <w:t>7、对检察工作中的具体应用法律问题进行研究，向立法机关和上级人民检察院提出立法和司法解释建议。</w:t>
      </w:r>
    </w:p>
    <w:p w14:paraId="05630111">
      <w:pPr>
        <w:spacing w:line="640" w:lineRule="exact"/>
        <w:ind w:firstLine="640"/>
        <w:jc w:val="both"/>
        <w:outlineLvl w:val="2"/>
      </w:pPr>
      <w:r>
        <w:rPr>
          <w:rFonts w:ascii="黑体" w:hAnsi="黑体" w:eastAsia="黑体"/>
          <w:sz w:val="32"/>
        </w:rPr>
        <w:t>二、机构设置</w:t>
      </w:r>
    </w:p>
    <w:p w14:paraId="2CCBCA6F">
      <w:pPr>
        <w:spacing w:line="580" w:lineRule="exact"/>
        <w:ind w:firstLine="640"/>
        <w:jc w:val="both"/>
      </w:pPr>
      <w:r>
        <w:rPr>
          <w:rFonts w:ascii="仿宋_GB2312" w:hAnsi="仿宋_GB2312" w:eastAsia="仿宋_GB2312"/>
          <w:sz w:val="32"/>
        </w:rPr>
        <w:t>奇台县人民检察院无下属预算单位。</w:t>
      </w:r>
    </w:p>
    <w:p w14:paraId="0EB36A8C">
      <w:r>
        <w:br w:type="page"/>
      </w:r>
    </w:p>
    <w:p w14:paraId="5A668E89">
      <w:pPr>
        <w:spacing w:line="240" w:lineRule="auto"/>
        <w:jc w:val="center"/>
        <w:outlineLvl w:val="1"/>
      </w:pPr>
      <w:r>
        <w:rPr>
          <w:rFonts w:ascii="黑体" w:hAnsi="黑体" w:eastAsia="黑体"/>
          <w:sz w:val="32"/>
        </w:rPr>
        <w:t>第二部分 部门决算情况说明</w:t>
      </w:r>
    </w:p>
    <w:p w14:paraId="6A11981E">
      <w:pPr>
        <w:spacing w:line="640" w:lineRule="exact"/>
        <w:ind w:firstLine="640"/>
        <w:jc w:val="both"/>
        <w:outlineLvl w:val="2"/>
      </w:pPr>
      <w:r>
        <w:rPr>
          <w:rFonts w:ascii="黑体" w:hAnsi="黑体" w:eastAsia="黑体"/>
          <w:sz w:val="32"/>
        </w:rPr>
        <w:t>一、收入支出决算总体情况说明</w:t>
      </w:r>
    </w:p>
    <w:p w14:paraId="4CC4759F">
      <w:pPr>
        <w:spacing w:line="580" w:lineRule="exact"/>
        <w:ind w:firstLine="640"/>
        <w:jc w:val="both"/>
      </w:pPr>
      <w:r>
        <w:rPr>
          <w:rFonts w:ascii="仿宋_GB2312" w:hAnsi="仿宋_GB2312" w:eastAsia="仿宋_GB2312"/>
          <w:b/>
          <w:sz w:val="32"/>
        </w:rPr>
        <w:t>2025年度收入总计1,351.59万元，</w:t>
      </w:r>
      <w:r>
        <w:rPr>
          <w:rFonts w:ascii="仿宋_GB2312" w:hAnsi="仿宋_GB2312" w:eastAsia="仿宋_GB2312"/>
          <w:b w:val="0"/>
          <w:sz w:val="32"/>
        </w:rPr>
        <w:t>其中：本年收入合计1,351.59万元，使用非财政拨款结余（含专用结余）0.00万元，年初结转和结余0.00万元。</w:t>
      </w:r>
    </w:p>
    <w:p w14:paraId="6F7BA18E">
      <w:pPr>
        <w:spacing w:line="580" w:lineRule="exact"/>
        <w:ind w:firstLine="640"/>
        <w:jc w:val="both"/>
      </w:pPr>
      <w:r>
        <w:rPr>
          <w:rFonts w:ascii="仿宋_GB2312" w:hAnsi="仿宋_GB2312" w:eastAsia="仿宋_GB2312"/>
          <w:b/>
          <w:sz w:val="32"/>
        </w:rPr>
        <w:t>2025年度支出总计1,351.59万元，</w:t>
      </w:r>
      <w:r>
        <w:rPr>
          <w:rFonts w:ascii="仿宋_GB2312" w:hAnsi="仿宋_GB2312" w:eastAsia="仿宋_GB2312"/>
          <w:b w:val="0"/>
          <w:sz w:val="32"/>
        </w:rPr>
        <w:t>其中：本年支出合计1,310.55万元，结余分配0.00万元，年末结转和结余41.04万元。</w:t>
      </w:r>
    </w:p>
    <w:p w14:paraId="307DA0BC">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减少32.79万元，下降2.37%，主要原因是：本年“庭州英才”人才计划项目、中央政法纪检监察转移支付资金项目、机关运行补助项目等项目资金较上年减少。</w:t>
      </w:r>
    </w:p>
    <w:p w14:paraId="0BB3EB62">
      <w:pPr>
        <w:spacing w:line="640" w:lineRule="exact"/>
        <w:ind w:firstLine="640"/>
        <w:jc w:val="both"/>
        <w:outlineLvl w:val="2"/>
      </w:pPr>
      <w:r>
        <w:rPr>
          <w:rFonts w:ascii="黑体" w:hAnsi="黑体" w:eastAsia="黑体"/>
          <w:sz w:val="32"/>
        </w:rPr>
        <w:t>二、收入决算情况说明</w:t>
      </w:r>
    </w:p>
    <w:p w14:paraId="7F0322EB">
      <w:pPr>
        <w:spacing w:line="580" w:lineRule="exact"/>
        <w:ind w:firstLine="640"/>
        <w:jc w:val="both"/>
      </w:pPr>
      <w:r>
        <w:rPr>
          <w:rFonts w:ascii="仿宋_GB2312" w:hAnsi="仿宋_GB2312" w:eastAsia="仿宋_GB2312"/>
          <w:b/>
          <w:sz w:val="32"/>
        </w:rPr>
        <w:t>本年收入1,351.59万元，</w:t>
      </w:r>
      <w:r>
        <w:rPr>
          <w:rFonts w:ascii="仿宋_GB2312" w:hAnsi="仿宋_GB2312" w:eastAsia="仿宋_GB2312"/>
          <w:b w:val="0"/>
          <w:sz w:val="32"/>
        </w:rPr>
        <w:t>其中：财政拨款收入1,281.55万元，占94.82%；上级补助收入0.00万元，占0.00%；事业收入0.00万元，占0.00%；经营收入0.00万元，占0.00%；附属单位上缴收入0.00万元，占0.00%；其他收入70.05万元，占5.18%。</w:t>
      </w:r>
    </w:p>
    <w:p w14:paraId="7DE1DA7E">
      <w:pPr>
        <w:spacing w:line="640" w:lineRule="exact"/>
        <w:ind w:firstLine="640"/>
        <w:jc w:val="both"/>
        <w:outlineLvl w:val="2"/>
      </w:pPr>
      <w:r>
        <w:rPr>
          <w:rFonts w:ascii="黑体" w:hAnsi="黑体" w:eastAsia="黑体"/>
          <w:sz w:val="32"/>
        </w:rPr>
        <w:t>三、支出决算情况说明</w:t>
      </w:r>
    </w:p>
    <w:p w14:paraId="259A4697">
      <w:pPr>
        <w:spacing w:line="580" w:lineRule="exact"/>
        <w:ind w:firstLine="640"/>
        <w:jc w:val="both"/>
      </w:pPr>
      <w:r>
        <w:rPr>
          <w:rFonts w:ascii="仿宋_GB2312" w:hAnsi="仿宋_GB2312" w:eastAsia="仿宋_GB2312"/>
          <w:b/>
          <w:sz w:val="32"/>
        </w:rPr>
        <w:t>本年支出1,310.55万元，</w:t>
      </w:r>
      <w:r>
        <w:rPr>
          <w:rFonts w:ascii="仿宋_GB2312" w:hAnsi="仿宋_GB2312" w:eastAsia="仿宋_GB2312"/>
          <w:b w:val="0"/>
          <w:sz w:val="32"/>
        </w:rPr>
        <w:t>其中：基本支出994.42万元，占75.88%；项目支出316.13万元，占24.12%；上缴上级支出0.00万元，占0.00%；经营支出0.00万元，占0.00%；对附属单位补助支出0.00万元，占0.00%。</w:t>
      </w:r>
    </w:p>
    <w:p w14:paraId="35EE7126">
      <w:pPr>
        <w:spacing w:line="640" w:lineRule="exact"/>
        <w:ind w:firstLine="640"/>
        <w:jc w:val="both"/>
        <w:outlineLvl w:val="2"/>
      </w:pPr>
      <w:r>
        <w:rPr>
          <w:rFonts w:ascii="黑体" w:hAnsi="黑体" w:eastAsia="黑体"/>
          <w:sz w:val="32"/>
        </w:rPr>
        <w:t>四、财政拨款收入支出决算总体情况说明</w:t>
      </w:r>
    </w:p>
    <w:p w14:paraId="48104047">
      <w:pPr>
        <w:spacing w:line="580" w:lineRule="exact"/>
        <w:ind w:firstLine="640"/>
        <w:jc w:val="both"/>
      </w:pPr>
      <w:r>
        <w:rPr>
          <w:rFonts w:ascii="仿宋_GB2312" w:hAnsi="仿宋_GB2312" w:eastAsia="仿宋_GB2312"/>
          <w:b/>
          <w:sz w:val="32"/>
        </w:rPr>
        <w:t>2025年度财政拨款收入总计1,281.55万元，</w:t>
      </w:r>
      <w:r>
        <w:rPr>
          <w:rFonts w:ascii="仿宋_GB2312" w:hAnsi="仿宋_GB2312" w:eastAsia="仿宋_GB2312"/>
          <w:b w:val="0"/>
          <w:sz w:val="32"/>
        </w:rPr>
        <w:t>其中：年初财政拨款结转和结余0.00万元，本年财政拨款收入1,281.55万元。</w:t>
      </w:r>
      <w:r>
        <w:rPr>
          <w:rFonts w:ascii="仿宋_GB2312" w:hAnsi="仿宋_GB2312" w:eastAsia="仿宋_GB2312"/>
          <w:b/>
          <w:sz w:val="32"/>
        </w:rPr>
        <w:t>财政拨款支出总计1,281.55万元，</w:t>
      </w:r>
      <w:r>
        <w:rPr>
          <w:rFonts w:ascii="仿宋_GB2312" w:hAnsi="仿宋_GB2312" w:eastAsia="仿宋_GB2312"/>
          <w:b w:val="0"/>
          <w:sz w:val="32"/>
        </w:rPr>
        <w:t>其中：年末财政拨款结转和结余0.00万元，本年财政拨款支出1,281.55万元。</w:t>
      </w:r>
    </w:p>
    <w:p w14:paraId="542319A1">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减少22.74万元，下降1.74%，主要原因是：本年“庭州英才”人才计划项目、中央政法纪检监察转移支付资金项目等项目资金较上年减少。</w:t>
      </w:r>
      <w:r>
        <w:rPr>
          <w:rFonts w:ascii="仿宋_GB2312" w:hAnsi="仿宋_GB2312" w:eastAsia="仿宋_GB2312"/>
          <w:b/>
          <w:sz w:val="32"/>
        </w:rPr>
        <w:t>与年初预算相比，</w:t>
      </w:r>
      <w:r>
        <w:rPr>
          <w:rFonts w:ascii="仿宋_GB2312" w:hAnsi="仿宋_GB2312" w:eastAsia="仿宋_GB2312"/>
          <w:b w:val="0"/>
          <w:sz w:val="32"/>
        </w:rPr>
        <w:t>年初预算数1,147.28万元，决算数1,281.55万元，预决算差异率11.70%，主要原因是：年中追加人员工资、社保、公积金基数调增部分资金及为民办实事经费项目，“庭州英才”项目、中央政法纪检监察转移支付资金项目，导致预决算存在差异。</w:t>
      </w:r>
    </w:p>
    <w:p w14:paraId="3842D66F">
      <w:pPr>
        <w:spacing w:line="640" w:lineRule="exact"/>
        <w:ind w:firstLine="640"/>
        <w:jc w:val="both"/>
        <w:outlineLvl w:val="2"/>
      </w:pPr>
      <w:r>
        <w:rPr>
          <w:rFonts w:ascii="黑体" w:hAnsi="黑体" w:eastAsia="黑体"/>
          <w:sz w:val="32"/>
        </w:rPr>
        <w:t>五、一般公共预算财政拨款支出决算情况说明</w:t>
      </w:r>
    </w:p>
    <w:p w14:paraId="4C858EB6">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检察履职、机关运行、人员待遇等重点支出，体现在有关支出科目中。</w:t>
      </w:r>
    </w:p>
    <w:p w14:paraId="700F1CFF">
      <w:pPr>
        <w:spacing w:line="580" w:lineRule="exact"/>
        <w:ind w:firstLine="640"/>
        <w:jc w:val="both"/>
      </w:pPr>
      <w:r>
        <w:rPr>
          <w:rFonts w:ascii="仿宋_GB2312" w:hAnsi="仿宋_GB2312" w:eastAsia="仿宋_GB2312"/>
          <w:b w:val="0"/>
          <w:sz w:val="32"/>
        </w:rPr>
        <w:t>按照支出功能分类，公共安全支出（类）检察（款）行政运行（项）的支出占本年财政拨款支出总额的比重最高，2025年度决算数为767.49万元，占比59.89%，主要用于工资福利支出，商品和服务支出，对个人和家庭的补助支出。</w:t>
      </w:r>
    </w:p>
    <w:p w14:paraId="4A0B397D">
      <w:pPr>
        <w:spacing w:line="640" w:lineRule="exact"/>
        <w:ind w:firstLine="640"/>
        <w:jc w:val="both"/>
        <w:outlineLvl w:val="3"/>
      </w:pPr>
      <w:r>
        <w:rPr>
          <w:rFonts w:ascii="楷体_GB2312" w:hAnsi="楷体_GB2312" w:eastAsia="楷体_GB2312"/>
          <w:b/>
          <w:sz w:val="32"/>
        </w:rPr>
        <w:t>（一）一般公共预算财政拨款支出决算总体情况</w:t>
      </w:r>
    </w:p>
    <w:p w14:paraId="430BDA2D">
      <w:pPr>
        <w:spacing w:line="580" w:lineRule="exact"/>
        <w:ind w:firstLine="640"/>
        <w:jc w:val="both"/>
      </w:pPr>
      <w:r>
        <w:rPr>
          <w:rFonts w:ascii="仿宋_GB2312" w:hAnsi="仿宋_GB2312" w:eastAsia="仿宋_GB2312"/>
          <w:b/>
          <w:sz w:val="32"/>
        </w:rPr>
        <w:t>2025年度一般公共预算财政拨款支出1,281.55万元，</w:t>
      </w:r>
      <w:r>
        <w:rPr>
          <w:rFonts w:ascii="仿宋_GB2312" w:hAnsi="仿宋_GB2312" w:eastAsia="仿宋_GB2312"/>
          <w:b w:val="0"/>
          <w:sz w:val="32"/>
        </w:rPr>
        <w:t>占本年支出合计的97.79%。</w:t>
      </w:r>
      <w:r>
        <w:rPr>
          <w:rFonts w:ascii="仿宋_GB2312" w:hAnsi="仿宋_GB2312" w:eastAsia="仿宋_GB2312"/>
          <w:b/>
          <w:sz w:val="32"/>
        </w:rPr>
        <w:t>与上年相比，</w:t>
      </w:r>
      <w:r>
        <w:rPr>
          <w:rFonts w:ascii="仿宋_GB2312" w:hAnsi="仿宋_GB2312" w:eastAsia="仿宋_GB2312"/>
          <w:b w:val="0"/>
          <w:sz w:val="32"/>
        </w:rPr>
        <w:t>减少22.74万元，下降1.74%，主要原因是：本年“庭州英才”人才计划项目、中央政法纪检监察转移支付资金项目等项目资金较上年减少。</w:t>
      </w:r>
      <w:r>
        <w:rPr>
          <w:rFonts w:ascii="仿宋_GB2312" w:hAnsi="仿宋_GB2312" w:eastAsia="仿宋_GB2312"/>
          <w:b/>
          <w:sz w:val="32"/>
        </w:rPr>
        <w:t>与年初预算相比，</w:t>
      </w:r>
      <w:r>
        <w:rPr>
          <w:rFonts w:ascii="仿宋_GB2312" w:hAnsi="仿宋_GB2312" w:eastAsia="仿宋_GB2312"/>
          <w:b w:val="0"/>
          <w:sz w:val="32"/>
        </w:rPr>
        <w:t>年初预算数1,147.28万元，决算数1,281.55万元，预决算差异率11.70%，主要原因是：年中追加人员工资、社保、公积金基数调增部分资金及为民办实事经费项目，“庭州英才”项目、中央政法纪检监察转移支付资金项目，导致预决算存在差异。</w:t>
      </w:r>
    </w:p>
    <w:p w14:paraId="1529AF3B">
      <w:pPr>
        <w:spacing w:line="640" w:lineRule="exact"/>
        <w:ind w:firstLine="640"/>
        <w:jc w:val="both"/>
        <w:outlineLvl w:val="3"/>
      </w:pPr>
      <w:r>
        <w:rPr>
          <w:rFonts w:ascii="楷体_GB2312" w:hAnsi="楷体_GB2312" w:eastAsia="楷体_GB2312"/>
          <w:b/>
          <w:sz w:val="32"/>
        </w:rPr>
        <w:t>（二）一般公共预算财政拨款支出决算结构情况</w:t>
      </w:r>
    </w:p>
    <w:p w14:paraId="3E7ED84F">
      <w:pPr>
        <w:spacing w:line="580" w:lineRule="exact"/>
        <w:ind w:firstLine="640"/>
        <w:jc w:val="both"/>
      </w:pPr>
      <w:r>
        <w:rPr>
          <w:rFonts w:ascii="仿宋_GB2312" w:hAnsi="仿宋_GB2312" w:eastAsia="仿宋_GB2312"/>
          <w:b w:val="0"/>
          <w:sz w:val="32"/>
        </w:rPr>
        <w:t>1.公共安全支出（类）1,044.91万元，占81.53%。</w:t>
      </w:r>
    </w:p>
    <w:p w14:paraId="05E731E2">
      <w:pPr>
        <w:spacing w:line="580" w:lineRule="exact"/>
        <w:ind w:firstLine="640"/>
        <w:jc w:val="both"/>
      </w:pPr>
      <w:r>
        <w:rPr>
          <w:rFonts w:ascii="仿宋_GB2312" w:hAnsi="仿宋_GB2312" w:eastAsia="仿宋_GB2312"/>
          <w:b w:val="0"/>
          <w:sz w:val="32"/>
        </w:rPr>
        <w:t>2.社会保障和就业支出（类）122.87万元，占9.59%。</w:t>
      </w:r>
    </w:p>
    <w:p w14:paraId="14187CC5">
      <w:pPr>
        <w:spacing w:line="580" w:lineRule="exact"/>
        <w:ind w:firstLine="640"/>
        <w:jc w:val="both"/>
      </w:pPr>
      <w:r>
        <w:rPr>
          <w:rFonts w:ascii="仿宋_GB2312" w:hAnsi="仿宋_GB2312" w:eastAsia="仿宋_GB2312"/>
          <w:b w:val="0"/>
          <w:sz w:val="32"/>
        </w:rPr>
        <w:t>3.卫生健康支出（类）50.14万元，占3.91%。</w:t>
      </w:r>
    </w:p>
    <w:p w14:paraId="3394AE18">
      <w:pPr>
        <w:spacing w:line="580" w:lineRule="exact"/>
        <w:ind w:firstLine="640"/>
        <w:jc w:val="both"/>
      </w:pPr>
      <w:r>
        <w:rPr>
          <w:rFonts w:ascii="仿宋_GB2312" w:hAnsi="仿宋_GB2312" w:eastAsia="仿宋_GB2312"/>
          <w:b w:val="0"/>
          <w:sz w:val="32"/>
        </w:rPr>
        <w:t>4.住房保障支出（类）51.20万元，占4.00%。</w:t>
      </w:r>
    </w:p>
    <w:p w14:paraId="7704B03A">
      <w:pPr>
        <w:spacing w:line="580" w:lineRule="exact"/>
        <w:ind w:firstLine="640"/>
        <w:jc w:val="both"/>
      </w:pPr>
      <w:r>
        <w:rPr>
          <w:rFonts w:ascii="仿宋_GB2312" w:hAnsi="仿宋_GB2312" w:eastAsia="仿宋_GB2312"/>
          <w:b w:val="0"/>
          <w:sz w:val="32"/>
        </w:rPr>
        <w:t>5.其他支出（类）12.43万元，占0.97%。</w:t>
      </w:r>
    </w:p>
    <w:p w14:paraId="636586CB">
      <w:pPr>
        <w:spacing w:line="640" w:lineRule="exact"/>
        <w:ind w:firstLine="640"/>
        <w:jc w:val="both"/>
        <w:outlineLvl w:val="3"/>
      </w:pPr>
      <w:r>
        <w:rPr>
          <w:rFonts w:ascii="楷体_GB2312" w:hAnsi="楷体_GB2312" w:eastAsia="楷体_GB2312"/>
          <w:b/>
          <w:sz w:val="32"/>
        </w:rPr>
        <w:t>（三）一般公共预算财政拨款支出决算具体情况</w:t>
      </w:r>
    </w:p>
    <w:p w14:paraId="07ECE17D">
      <w:pPr>
        <w:spacing w:line="580" w:lineRule="exact"/>
        <w:ind w:firstLine="640"/>
        <w:jc w:val="both"/>
      </w:pPr>
      <w:r>
        <w:rPr>
          <w:rFonts w:ascii="仿宋_GB2312" w:hAnsi="仿宋_GB2312" w:eastAsia="仿宋_GB2312"/>
          <w:b w:val="0"/>
          <w:sz w:val="32"/>
        </w:rPr>
        <w:t>1.公共安全支出（类）检察（款）行政运行（项）：支出决算数为767.49万元，比上年决算增加25.61万元，增长3.45%，主要原因是：本年新增在职人员4名，在职人员职级晋升工资调增，导致相关人员经费较上年有所增加。</w:t>
      </w:r>
    </w:p>
    <w:p w14:paraId="4BEC71F8">
      <w:pPr>
        <w:spacing w:line="580" w:lineRule="exact"/>
        <w:ind w:firstLine="640"/>
        <w:jc w:val="both"/>
      </w:pPr>
      <w:r>
        <w:rPr>
          <w:rFonts w:ascii="仿宋_GB2312" w:hAnsi="仿宋_GB2312" w:eastAsia="仿宋_GB2312"/>
          <w:b w:val="0"/>
          <w:sz w:val="32"/>
        </w:rPr>
        <w:t>2.公共安全支出（类）检察（款）一般行政管理事务（项）：支出决算数为8.27万元，比上年决算减少10.29万元，下降55.44%，主要原因是：本年减少奇台检察院第二批工程欠款项目，导致项目资金减少。</w:t>
      </w:r>
    </w:p>
    <w:p w14:paraId="5CAF28DA">
      <w:pPr>
        <w:spacing w:line="580" w:lineRule="exact"/>
        <w:ind w:firstLine="640"/>
        <w:jc w:val="both"/>
      </w:pPr>
      <w:r>
        <w:rPr>
          <w:rFonts w:ascii="仿宋_GB2312" w:hAnsi="仿宋_GB2312" w:eastAsia="仿宋_GB2312"/>
          <w:b w:val="0"/>
          <w:sz w:val="32"/>
        </w:rPr>
        <w:t>3.公共安全支出（类）检察（款）其他检察支出（项）：支出决算数为252.78万元，比上年决算减少69.92万元，下降21.67%，主要原因是：本年中央政法纪检监察转移支付资金项目的项目资金较上年减少。</w:t>
      </w:r>
    </w:p>
    <w:p w14:paraId="50E4470E">
      <w:pPr>
        <w:spacing w:line="580" w:lineRule="exact"/>
        <w:ind w:firstLine="640"/>
        <w:jc w:val="both"/>
      </w:pPr>
      <w:r>
        <w:rPr>
          <w:rFonts w:ascii="仿宋_GB2312" w:hAnsi="仿宋_GB2312" w:eastAsia="仿宋_GB2312"/>
          <w:b w:val="0"/>
          <w:sz w:val="32"/>
        </w:rPr>
        <w:t>4.公共安全支出（类）其他公共安全支出（款）其他公共安全支出（项）：支出决算数为16.37万元，比上年决算增加16.37万元，增长100.00%，主要原因是：本年司法救助金较上年增加。</w:t>
      </w:r>
    </w:p>
    <w:p w14:paraId="0224C7FD">
      <w:pPr>
        <w:spacing w:line="580" w:lineRule="exact"/>
        <w:ind w:firstLine="640"/>
        <w:jc w:val="both"/>
      </w:pPr>
      <w:r>
        <w:rPr>
          <w:rFonts w:ascii="仿宋_GB2312" w:hAnsi="仿宋_GB2312" w:eastAsia="仿宋_GB2312"/>
          <w:b w:val="0"/>
          <w:sz w:val="32"/>
        </w:rPr>
        <w:t>5.社会保障和就业支出（类）行政事业单位养老支出（款）行政单位离退休（项）：支出决算数为27.54万元，比上年决算增加7.94万元，增长40.51%，主要原因是：本年增加退休人员基础绩效奖，退休费支出增加。</w:t>
      </w:r>
    </w:p>
    <w:p w14:paraId="7062FAA6">
      <w:pPr>
        <w:spacing w:line="580" w:lineRule="exact"/>
        <w:ind w:firstLine="640"/>
        <w:jc w:val="both"/>
      </w:pPr>
      <w:r>
        <w:rPr>
          <w:rFonts w:ascii="仿宋_GB2312" w:hAnsi="仿宋_GB2312" w:eastAsia="仿宋_GB2312"/>
          <w:b w:val="0"/>
          <w:sz w:val="32"/>
        </w:rPr>
        <w:t>6.社会保障和就业支出（类）行政事业单位养老支出（款）机关事业单位基本养老保险缴费支出（项）：支出决算数为62.24万元，比上年决算减少0.40万元，下降0.64%，主要原因是：本年在职人员调入调出，人员职级不同，缴费基数不同，导致养老保险缴费较上年减少。</w:t>
      </w:r>
    </w:p>
    <w:p w14:paraId="1414E92F">
      <w:pPr>
        <w:spacing w:line="580" w:lineRule="exact"/>
        <w:ind w:firstLine="640"/>
        <w:jc w:val="both"/>
      </w:pPr>
      <w:r>
        <w:rPr>
          <w:rFonts w:ascii="仿宋_GB2312" w:hAnsi="仿宋_GB2312" w:eastAsia="仿宋_GB2312"/>
          <w:b w:val="0"/>
          <w:sz w:val="32"/>
        </w:rPr>
        <w:t>7.社会保障和就业支出（类）行政事业单位养老支出（款）机关事业单位职业年金缴费支出（项）：支出决算数为33.09万元，比上年决算减少4.23万元，下降11.33%，主要原因是：本年无退休人员，职业年金记实较上年减少，导致职业年金缴费较上年减少。</w:t>
      </w:r>
    </w:p>
    <w:p w14:paraId="5A807E0D">
      <w:pPr>
        <w:spacing w:line="580" w:lineRule="exact"/>
        <w:ind w:firstLine="640"/>
        <w:jc w:val="both"/>
      </w:pPr>
      <w:r>
        <w:rPr>
          <w:rFonts w:ascii="仿宋_GB2312" w:hAnsi="仿宋_GB2312" w:eastAsia="仿宋_GB2312"/>
          <w:b w:val="0"/>
          <w:sz w:val="32"/>
        </w:rPr>
        <w:t>8.卫生健康支出（类）行政事业单位医疗（款）行政单位医疗（项）：支出决算数为34.99万元，比上年决算增加2.69万元，增长8.33%，主要原因是：本年在职人员增加，在职人员工资基数调增，医疗缴费基数上涨，相应支出增加。</w:t>
      </w:r>
    </w:p>
    <w:p w14:paraId="58F33A8A">
      <w:pPr>
        <w:spacing w:line="580" w:lineRule="exact"/>
        <w:ind w:firstLine="640"/>
        <w:jc w:val="both"/>
      </w:pPr>
      <w:r>
        <w:rPr>
          <w:rFonts w:ascii="仿宋_GB2312" w:hAnsi="仿宋_GB2312" w:eastAsia="仿宋_GB2312"/>
          <w:b w:val="0"/>
          <w:sz w:val="32"/>
        </w:rPr>
        <w:t>9.卫生健康支出（类）行政事业单位医疗（款）公务员医疗补助（项）：支出决算数为14.78万元，比上年决算增加12.59万元，增长574.89%，主要原因是：本年在职人员增加，在职人员工资基数调增，公务员医疗补助缴费比例较上年上调，相应支出增加。</w:t>
      </w:r>
    </w:p>
    <w:p w14:paraId="5A56F54D">
      <w:pPr>
        <w:spacing w:line="580" w:lineRule="exact"/>
        <w:ind w:firstLine="640"/>
        <w:jc w:val="both"/>
      </w:pPr>
      <w:r>
        <w:rPr>
          <w:rFonts w:ascii="仿宋_GB2312" w:hAnsi="仿宋_GB2312" w:eastAsia="仿宋_GB2312"/>
          <w:b w:val="0"/>
          <w:sz w:val="32"/>
        </w:rPr>
        <w:t>10.卫生健康支出（类）行政事业单位医疗（款）其他行政事业单位医疗支出（项）：支出决算数为0.38万元，比上年决算减少0.02万元，下降5.00%，主要原因是：本年在职人员调入调出，人员职级不同，缴费基数不同，导致大病医疗保险支出较上年减少。</w:t>
      </w:r>
    </w:p>
    <w:p w14:paraId="4E0EA1E4">
      <w:pPr>
        <w:spacing w:line="580" w:lineRule="exact"/>
        <w:ind w:firstLine="640"/>
        <w:jc w:val="both"/>
      </w:pPr>
      <w:r>
        <w:rPr>
          <w:rFonts w:ascii="仿宋_GB2312" w:hAnsi="仿宋_GB2312" w:eastAsia="仿宋_GB2312"/>
          <w:b w:val="0"/>
          <w:sz w:val="32"/>
        </w:rPr>
        <w:t>11.住房保障支出（类）住房改革支出（款）住房公积金（项）：支出决算数为51.20万元，比上年决算减少0.87万元，下降1.67%，主要原因是：本年在职人员调入调出，人员职级不同，缴费基数不同，导致住房公积金较上年减少。</w:t>
      </w:r>
    </w:p>
    <w:p w14:paraId="37FB5C3F">
      <w:pPr>
        <w:spacing w:line="580" w:lineRule="exact"/>
        <w:ind w:firstLine="640"/>
        <w:jc w:val="both"/>
      </w:pPr>
      <w:r>
        <w:rPr>
          <w:rFonts w:ascii="仿宋_GB2312" w:hAnsi="仿宋_GB2312" w:eastAsia="仿宋_GB2312"/>
          <w:b w:val="0"/>
          <w:sz w:val="32"/>
        </w:rPr>
        <w:t>12.其他支出（类）其他支出（款）其他支出（项）：支出决算数为12.43万元，比上年决算减少2.21万元，下降15.10%，主要原因是：本年为民办实事经费工作自治区补助经费项目资金较上年减少。</w:t>
      </w:r>
    </w:p>
    <w:p w14:paraId="78A40596">
      <w:pPr>
        <w:spacing w:line="640" w:lineRule="exact"/>
        <w:ind w:firstLine="640"/>
        <w:jc w:val="both"/>
        <w:outlineLvl w:val="2"/>
      </w:pPr>
      <w:r>
        <w:rPr>
          <w:rFonts w:ascii="黑体" w:hAnsi="黑体" w:eastAsia="黑体"/>
          <w:sz w:val="32"/>
        </w:rPr>
        <w:t>六、一般公共预算财政拨款基本支出决算情况说明</w:t>
      </w:r>
    </w:p>
    <w:p w14:paraId="43EDFA3E">
      <w:pPr>
        <w:spacing w:line="580" w:lineRule="exact"/>
        <w:ind w:firstLine="640"/>
        <w:jc w:val="both"/>
      </w:pPr>
      <w:r>
        <w:rPr>
          <w:rFonts w:ascii="仿宋_GB2312" w:hAnsi="仿宋_GB2312" w:eastAsia="仿宋_GB2312"/>
          <w:b w:val="0"/>
          <w:sz w:val="32"/>
        </w:rPr>
        <w:t>2025年度一般公共预算财政拨款基本支出994.42万元，其中：</w:t>
      </w:r>
      <w:r>
        <w:rPr>
          <w:rFonts w:ascii="仿宋_GB2312" w:hAnsi="仿宋_GB2312" w:eastAsia="仿宋_GB2312"/>
          <w:b/>
          <w:sz w:val="32"/>
        </w:rPr>
        <w:t>人员经费864.75万元，</w:t>
      </w:r>
      <w:r>
        <w:rPr>
          <w:rFonts w:ascii="仿宋_GB2312" w:hAnsi="仿宋_GB2312" w:eastAsia="仿宋_GB2312"/>
          <w:b w:val="0"/>
          <w:sz w:val="32"/>
        </w:rPr>
        <w:t>包括：基本工资、津贴补贴、奖金、机关事业单位基本养老保险缴费、职业年金缴费、职工基本医疗保险缴费、公务员医疗补助缴费、其他社会保障缴费、住房公积金、其他工资福利支出、退休费、奖励金。</w:t>
      </w:r>
    </w:p>
    <w:p w14:paraId="2AD75B33">
      <w:pPr>
        <w:spacing w:line="580" w:lineRule="exact"/>
        <w:ind w:firstLine="640"/>
        <w:jc w:val="both"/>
      </w:pPr>
      <w:r>
        <w:rPr>
          <w:rFonts w:ascii="仿宋_GB2312" w:hAnsi="仿宋_GB2312" w:eastAsia="仿宋_GB2312"/>
          <w:b/>
          <w:sz w:val="32"/>
        </w:rPr>
        <w:t>公用经费129.67万元，</w:t>
      </w:r>
      <w:r>
        <w:rPr>
          <w:rFonts w:ascii="仿宋_GB2312" w:hAnsi="仿宋_GB2312" w:eastAsia="仿宋_GB2312"/>
          <w:b w:val="0"/>
          <w:sz w:val="32"/>
        </w:rPr>
        <w:t>包括：办公费、印刷费、手续费、水费、电费、邮电费、取暖费、差旅费、维修（护）费、公务接待费、劳务费、委托业务费、工会经费、福利费、公务用车运行维护费、其他交通费用、其他商品和服务支出。</w:t>
      </w:r>
    </w:p>
    <w:p w14:paraId="342D2D42">
      <w:pPr>
        <w:spacing w:line="640" w:lineRule="exact"/>
        <w:ind w:firstLine="640"/>
        <w:jc w:val="both"/>
        <w:outlineLvl w:val="2"/>
      </w:pPr>
      <w:r>
        <w:rPr>
          <w:rFonts w:ascii="黑体" w:hAnsi="黑体" w:eastAsia="黑体"/>
          <w:sz w:val="32"/>
        </w:rPr>
        <w:t>七、政府性基金预算财政拨款收入支出决算情况说明</w:t>
      </w:r>
    </w:p>
    <w:p w14:paraId="2B895CBB">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328810B3">
      <w:pPr>
        <w:spacing w:line="640" w:lineRule="exact"/>
        <w:ind w:firstLine="640"/>
        <w:jc w:val="both"/>
        <w:outlineLvl w:val="2"/>
      </w:pPr>
      <w:r>
        <w:rPr>
          <w:rFonts w:ascii="黑体" w:hAnsi="黑体" w:eastAsia="黑体"/>
          <w:sz w:val="32"/>
        </w:rPr>
        <w:t>八、国有资本经营预算财政拨款收入支出决算情况说明</w:t>
      </w:r>
    </w:p>
    <w:p w14:paraId="444DAA44">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23A6B9C6">
      <w:pPr>
        <w:spacing w:line="640" w:lineRule="exact"/>
        <w:ind w:firstLine="640"/>
        <w:jc w:val="both"/>
        <w:outlineLvl w:val="2"/>
      </w:pPr>
      <w:r>
        <w:rPr>
          <w:rFonts w:ascii="黑体" w:hAnsi="黑体" w:eastAsia="黑体"/>
          <w:sz w:val="32"/>
        </w:rPr>
        <w:t>九、财政拨款“三公”经费支出决算情况说明</w:t>
      </w:r>
    </w:p>
    <w:p w14:paraId="1212AEAD">
      <w:pPr>
        <w:spacing w:line="580" w:lineRule="exact"/>
        <w:ind w:firstLine="640"/>
        <w:jc w:val="both"/>
      </w:pPr>
      <w:r>
        <w:rPr>
          <w:rFonts w:ascii="仿宋_GB2312" w:hAnsi="仿宋_GB2312" w:eastAsia="仿宋_GB2312"/>
          <w:b/>
          <w:sz w:val="32"/>
        </w:rPr>
        <w:t>2025年度财政拨款“三公”经费支出17.83万元，</w:t>
      </w:r>
      <w:r>
        <w:rPr>
          <w:rFonts w:ascii="仿宋_GB2312" w:hAnsi="仿宋_GB2312" w:eastAsia="仿宋_GB2312"/>
          <w:b w:val="0"/>
          <w:sz w:val="32"/>
        </w:rPr>
        <w:t>比上年增加7.85万元，增长78.66%，主要原因是：本年新购入公务用车1辆，公务用车购置费较上年增加。其中：因公出国（境）费用支出0.00万元，占0.00%，比上年增加0.00万元，增长0.00%，主要原因是：2024年与2025年均无因公出国（境）费用支出。公务用车购置及运行维护费支出17.53万元，占98.32%，比上年增加7.85万元，增长81.10%，主要原因是：本年新购入公务用车1辆，公务用车购置费较上年增加。公务接待费支出0.30万元，占1.68%，比上年增加0.00万元，增长0.00%，主要原因是：本单位公务接待费与上年一致无变化。</w:t>
      </w:r>
    </w:p>
    <w:p w14:paraId="7BA6F109">
      <w:pPr>
        <w:spacing w:line="580" w:lineRule="exact"/>
        <w:ind w:firstLine="640"/>
        <w:jc w:val="both"/>
      </w:pPr>
      <w:r>
        <w:rPr>
          <w:rFonts w:ascii="仿宋_GB2312" w:hAnsi="仿宋_GB2312" w:eastAsia="仿宋_GB2312"/>
          <w:b/>
          <w:sz w:val="32"/>
        </w:rPr>
        <w:t>具体情况如下：</w:t>
      </w:r>
    </w:p>
    <w:p w14:paraId="3F1E94F9">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36055438">
      <w:pPr>
        <w:spacing w:line="580" w:lineRule="exact"/>
        <w:ind w:firstLine="640"/>
        <w:jc w:val="both"/>
      </w:pPr>
      <w:r>
        <w:rPr>
          <w:rFonts w:ascii="仿宋_GB2312" w:hAnsi="仿宋_GB2312" w:eastAsia="仿宋_GB2312"/>
          <w:b w:val="0"/>
          <w:sz w:val="32"/>
        </w:rPr>
        <w:t>公务用车购置及运行维护费17.53万元，其中：公务用车购置费9.58万元，公务用车运行维护费7.95万元。公务用车运行维护费开支内容包括车辆加油费、维修费、保险费、审车费、过路费等。公务用车购置数1辆，公务用车保有量8辆。国有资产占用情况中固定资产车辆8辆，与公务用车保有量差异原因是：本单位公务用车保有量与固定资产车辆一致无差异。</w:t>
      </w:r>
    </w:p>
    <w:p w14:paraId="776A3A13">
      <w:pPr>
        <w:spacing w:line="580" w:lineRule="exact"/>
        <w:ind w:firstLine="640"/>
        <w:jc w:val="both"/>
      </w:pPr>
      <w:r>
        <w:rPr>
          <w:rFonts w:ascii="仿宋_GB2312" w:hAnsi="仿宋_GB2312" w:eastAsia="仿宋_GB2312"/>
          <w:b w:val="0"/>
          <w:sz w:val="32"/>
        </w:rPr>
        <w:t>公务接待费0.30万元，开支内容包括接待福州援疆检察院考察调研、上级领导检查指导工作等产生的就餐费。单位全年安排的国内公务接待4批次，57人次。</w:t>
      </w:r>
    </w:p>
    <w:p w14:paraId="7BB5BE5C">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17.83万元，决算数17.83万元，预决算差异率0.00%，主要原因是：严格按照预算执行，预决算无差异。其中：因公出国（境）费用全年预算数0.00万元，决算数0.00万元，预决算差异率0.00%，主要原因是：本单位无因公出国（境）费用。公务用车购置费全年预算数9.58万元，决算数9.58万元，预决算差异率0.00%，主要原因是：严格按照预算执行，预决算无差异。公务用车运行维护费全年预算数7.95万元，决算数7.95万元，预决算差异率0.00%，主要原因是：严格按照预算执行，预决算无差异。公务接待费全年预算数0.30万元，决算数0.30万元，预决算差异率0.00%，主要原因是：严格按照预算执行，预决算无差异。</w:t>
      </w:r>
    </w:p>
    <w:p w14:paraId="0B4E176F">
      <w:pPr>
        <w:spacing w:line="640" w:lineRule="exact"/>
        <w:ind w:firstLine="640"/>
        <w:jc w:val="both"/>
        <w:outlineLvl w:val="2"/>
      </w:pPr>
      <w:r>
        <w:rPr>
          <w:rFonts w:ascii="黑体" w:hAnsi="黑体" w:eastAsia="黑体"/>
          <w:sz w:val="32"/>
        </w:rPr>
        <w:t>十、其他重要事项的情况说明</w:t>
      </w:r>
    </w:p>
    <w:p w14:paraId="6173F1B6">
      <w:pPr>
        <w:spacing w:line="640" w:lineRule="exact"/>
        <w:ind w:firstLine="640"/>
        <w:jc w:val="both"/>
        <w:outlineLvl w:val="3"/>
      </w:pPr>
      <w:r>
        <w:rPr>
          <w:rFonts w:ascii="楷体_GB2312" w:hAnsi="楷体_GB2312" w:eastAsia="楷体_GB2312"/>
          <w:b/>
          <w:sz w:val="32"/>
        </w:rPr>
        <w:t>（一）机关运行经费及公用经费支出情况</w:t>
      </w:r>
    </w:p>
    <w:p w14:paraId="7170ABB4">
      <w:pPr>
        <w:spacing w:line="580" w:lineRule="exact"/>
        <w:ind w:firstLine="640"/>
        <w:jc w:val="both"/>
      </w:pPr>
      <w:r>
        <w:rPr>
          <w:rFonts w:ascii="仿宋_GB2312" w:hAnsi="仿宋_GB2312" w:eastAsia="仿宋_GB2312"/>
          <w:b w:val="0"/>
          <w:sz w:val="32"/>
        </w:rPr>
        <w:t>2025年度奇台县人民检察院（行政单位和参照公务员法管理事业单位）机关运行经费支出129.67万元，比上年增加39.90万元，增长44.45%，主要原因是：本年更新、维护补充办公用品，导致劳务费等机关运行经费较上年增加。</w:t>
      </w:r>
    </w:p>
    <w:p w14:paraId="3A7E85A4">
      <w:pPr>
        <w:spacing w:line="640" w:lineRule="exact"/>
        <w:ind w:firstLine="640"/>
        <w:jc w:val="both"/>
        <w:outlineLvl w:val="3"/>
      </w:pPr>
      <w:r>
        <w:rPr>
          <w:rFonts w:ascii="楷体_GB2312" w:hAnsi="楷体_GB2312" w:eastAsia="楷体_GB2312"/>
          <w:b/>
          <w:sz w:val="32"/>
        </w:rPr>
        <w:t>（二）政府采购情况</w:t>
      </w:r>
    </w:p>
    <w:p w14:paraId="573E3AE2">
      <w:pPr>
        <w:spacing w:line="580" w:lineRule="exact"/>
        <w:ind w:firstLine="640"/>
        <w:jc w:val="both"/>
      </w:pPr>
      <w:r>
        <w:rPr>
          <w:rFonts w:ascii="仿宋_GB2312" w:hAnsi="仿宋_GB2312" w:eastAsia="仿宋_GB2312"/>
          <w:b w:val="0"/>
          <w:sz w:val="32"/>
        </w:rPr>
        <w:t>2025年度政府采购支出总额25.62万元，其中：政府采购货物支出18.58万元、政府采购工程支出0.00万元、政府采购服务支出7.05万元。</w:t>
      </w:r>
    </w:p>
    <w:p w14:paraId="4763F4F0">
      <w:pPr>
        <w:spacing w:line="580" w:lineRule="exact"/>
        <w:ind w:firstLine="640"/>
        <w:jc w:val="both"/>
      </w:pPr>
      <w:r>
        <w:rPr>
          <w:rFonts w:ascii="仿宋_GB2312" w:hAnsi="仿宋_GB2312" w:eastAsia="仿宋_GB2312"/>
          <w:b w:val="0"/>
          <w:sz w:val="32"/>
        </w:rPr>
        <w:t>授予中小企业合同金额23.62万元，占政府采购支出总额的92.19%，其中：授予小微企业合同金额23.62万元，占政府采购支出总额的92.19%。</w:t>
      </w:r>
    </w:p>
    <w:p w14:paraId="4BDA757E">
      <w:pPr>
        <w:spacing w:line="640" w:lineRule="exact"/>
        <w:ind w:firstLine="640"/>
        <w:jc w:val="both"/>
        <w:outlineLvl w:val="3"/>
      </w:pPr>
      <w:r>
        <w:rPr>
          <w:rFonts w:ascii="楷体_GB2312" w:hAnsi="楷体_GB2312" w:eastAsia="楷体_GB2312"/>
          <w:b/>
          <w:sz w:val="32"/>
        </w:rPr>
        <w:t>（三）国有资产占用情况说明</w:t>
      </w:r>
    </w:p>
    <w:p w14:paraId="296EB646">
      <w:pPr>
        <w:spacing w:line="580" w:lineRule="exact"/>
        <w:ind w:firstLine="640"/>
        <w:jc w:val="both"/>
      </w:pPr>
      <w:r>
        <w:rPr>
          <w:rFonts w:ascii="仿宋_GB2312" w:hAnsi="仿宋_GB2312" w:eastAsia="仿宋_GB2312"/>
          <w:b w:val="0"/>
          <w:sz w:val="32"/>
        </w:rPr>
        <w:t>截至2025年12月31日，房屋3,276.64平方米，价值297.00万元。车辆8辆，价值129.04万元，其中：副部（省）级及以上领导用车0辆、主要负责人用车0辆、机要通信用车0辆、应急保障用车0辆、执法执勤用车5辆、特种专业技术用车0辆、离退休干部服务用车0辆、其他用车3辆，其他用车主要是：一般公务用车。单价100万元（含）以上设备（不含车辆）0台（套）。</w:t>
      </w:r>
    </w:p>
    <w:p w14:paraId="26CCD93C">
      <w:pPr>
        <w:spacing w:line="640" w:lineRule="exact"/>
        <w:ind w:firstLine="640"/>
        <w:jc w:val="both"/>
        <w:outlineLvl w:val="2"/>
      </w:pPr>
      <w:r>
        <w:rPr>
          <w:rFonts w:ascii="黑体" w:hAnsi="黑体" w:eastAsia="黑体"/>
          <w:sz w:val="32"/>
        </w:rPr>
        <w:t>十一、预算绩效的情况说明</w:t>
      </w:r>
    </w:p>
    <w:p w14:paraId="24C8181B">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1,351.59万元，实际执行总额1,310.55万元；预算绩效评价项目2个，全年预算数36.50万元，全年执行数36.50万元。预算绩效管理取得的成效：一是提高预算绩效管理效率；二是绩效目标管理日益加强，绩效评价范围不断扩大，促进了财政资金使用效益的提高；三是预算绩效管理框架逐渐清晰，推动了预算绩效管理工作的有序开展。发现的问题及原因：一是预算绩效管理和内部控制割裂，原因是预算资金内部控制意识缺乏；二是绩效评价无法反映内部控制要求，原因是预算资金项目编制笼统，年度预算得不到严格有效执行。下一步改进措施：一是在项目决策中，建立并落实集体研究、技术咨询相结合的决策议事机制。二是项目执行后，及时采取必要措施，对于预算执行中发现的偏离绩效目标的情况，尽快纠偏。具体附整体支出绩效自评表、项目支出绩效自评表。</w:t>
      </w:r>
    </w:p>
    <w:p w14:paraId="749C3BE5">
      <w:r>
        <w:br w:type="page"/>
      </w:r>
    </w:p>
    <w:tbl>
      <w:tblPr>
        <w:tblStyle w:val="8"/>
        <w:tblW w:w="5000" w:type="pct"/>
        <w:tblInd w:w="0" w:type="dxa"/>
        <w:tblLayout w:type="fixed"/>
        <w:tblCellMar>
          <w:top w:w="36" w:type="dxa"/>
          <w:left w:w="36" w:type="dxa"/>
          <w:bottom w:w="36" w:type="dxa"/>
          <w:right w:w="36" w:type="dxa"/>
        </w:tblCellMar>
      </w:tblPr>
      <w:tblGrid>
        <w:gridCol w:w="1664"/>
        <w:gridCol w:w="1256"/>
        <w:gridCol w:w="1226"/>
        <w:gridCol w:w="994"/>
        <w:gridCol w:w="1032"/>
        <w:gridCol w:w="794"/>
        <w:gridCol w:w="935"/>
        <w:gridCol w:w="942"/>
      </w:tblGrid>
      <w:tr w14:paraId="5BD855BD">
        <w:tblPrEx>
          <w:tblCellMar>
            <w:top w:w="36" w:type="dxa"/>
            <w:left w:w="36" w:type="dxa"/>
            <w:bottom w:w="36" w:type="dxa"/>
            <w:right w:w="36" w:type="dxa"/>
          </w:tblCellMar>
        </w:tblPrEx>
        <w:trPr>
          <w:cantSplit/>
          <w:trHeight w:val="522"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59019E96">
            <w:pPr>
              <w:spacing w:before="0" w:after="0" w:line="240" w:lineRule="auto"/>
              <w:jc w:val="center"/>
            </w:pPr>
            <w:r>
              <w:rPr>
                <w:rFonts w:ascii="宋体" w:hAnsi="宋体" w:eastAsia="宋体" w:cs="宋体"/>
                <w:b w:val="0"/>
                <w:i w:val="0"/>
                <w:sz w:val="18"/>
              </w:rPr>
              <w:t>部门（单位）整体支出绩效目标自评表</w:t>
            </w:r>
          </w:p>
        </w:tc>
      </w:tr>
      <w:tr w14:paraId="0CFD989D">
        <w:tblPrEx>
          <w:tblCellMar>
            <w:top w:w="36" w:type="dxa"/>
            <w:left w:w="36" w:type="dxa"/>
            <w:bottom w:w="36" w:type="dxa"/>
            <w:right w:w="36" w:type="dxa"/>
          </w:tblCellMar>
        </w:tblPrEx>
        <w:trPr>
          <w:cantSplit/>
          <w:trHeight w:val="360"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25ECA40B">
            <w:pPr>
              <w:spacing w:before="0" w:after="0" w:line="240" w:lineRule="auto"/>
              <w:jc w:val="center"/>
            </w:pPr>
            <w:r>
              <w:rPr>
                <w:rFonts w:ascii="宋体" w:hAnsi="宋体" w:eastAsia="宋体" w:cs="宋体"/>
                <w:b w:val="0"/>
                <w:i w:val="0"/>
                <w:sz w:val="18"/>
              </w:rPr>
              <w:t>（2025年度）</w:t>
            </w:r>
          </w:p>
        </w:tc>
      </w:tr>
      <w:tr w14:paraId="04151821">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AA4960F">
            <w:pPr>
              <w:spacing w:before="0" w:after="0" w:line="240" w:lineRule="auto"/>
              <w:jc w:val="center"/>
            </w:pPr>
            <w:r>
              <w:rPr>
                <w:rFonts w:ascii="宋体" w:hAnsi="宋体" w:eastAsia="宋体" w:cs="宋体"/>
                <w:b w:val="0"/>
                <w:i w:val="0"/>
                <w:sz w:val="18"/>
              </w:rPr>
              <w:t>部门（单位）名称</w:t>
            </w:r>
          </w:p>
        </w:tc>
        <w:tc>
          <w:tcPr>
            <w:tcW w:w="98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9ADF166">
            <w:pPr>
              <w:spacing w:before="0" w:after="0" w:line="240" w:lineRule="auto"/>
              <w:jc w:val="center"/>
            </w:pPr>
            <w:r>
              <w:rPr>
                <w:rFonts w:ascii="宋体" w:hAnsi="宋体" w:eastAsia="宋体" w:cs="宋体"/>
                <w:b w:val="0"/>
                <w:i w:val="0"/>
                <w:sz w:val="18"/>
              </w:rPr>
              <w:t>奇台县人民检察院</w:t>
            </w:r>
          </w:p>
        </w:tc>
      </w:tr>
      <w:tr w14:paraId="70488126">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08ACC4">
            <w:pPr>
              <w:spacing w:before="0" w:after="0" w:line="240" w:lineRule="auto"/>
              <w:jc w:val="center"/>
            </w:pPr>
            <w:r>
              <w:rPr>
                <w:rFonts w:ascii="宋体" w:hAnsi="宋体" w:eastAsia="宋体" w:cs="宋体"/>
                <w:b w:val="0"/>
                <w:i w:val="0"/>
                <w:sz w:val="18"/>
              </w:rPr>
              <w:t>部门资金（万元）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6EF5E13">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4B2EB75">
            <w:pPr>
              <w:spacing w:before="0" w:after="0" w:line="240" w:lineRule="auto"/>
              <w:jc w:val="center"/>
            </w:pPr>
            <w:r>
              <w:rPr>
                <w:rFonts w:ascii="宋体" w:hAnsi="宋体" w:eastAsia="宋体" w:cs="宋体"/>
                <w:b w:val="0"/>
                <w:i w:val="0"/>
                <w:sz w:val="18"/>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D7829CC">
            <w:pPr>
              <w:spacing w:before="0" w:after="0" w:line="240" w:lineRule="auto"/>
              <w:jc w:val="center"/>
            </w:pPr>
            <w:r>
              <w:rPr>
                <w:rFonts w:ascii="宋体" w:hAnsi="宋体" w:eastAsia="宋体" w:cs="宋体"/>
                <w:b w:val="0"/>
                <w:i w:val="0"/>
                <w:sz w:val="18"/>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0CAD691">
            <w:pPr>
              <w:spacing w:before="0" w:after="0" w:line="240" w:lineRule="auto"/>
              <w:jc w:val="center"/>
            </w:pPr>
            <w:r>
              <w:rPr>
                <w:rFonts w:ascii="宋体" w:hAnsi="宋体" w:eastAsia="宋体" w:cs="宋体"/>
                <w:b w:val="0"/>
                <w:i w:val="0"/>
                <w:sz w:val="18"/>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40C6B6B">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A5C7B49">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7004FD1">
            <w:pPr>
              <w:spacing w:before="0" w:after="0" w:line="240" w:lineRule="auto"/>
              <w:jc w:val="center"/>
            </w:pPr>
            <w:r>
              <w:rPr>
                <w:rFonts w:ascii="宋体" w:hAnsi="宋体" w:eastAsia="宋体" w:cs="宋体"/>
                <w:b w:val="0"/>
                <w:i w:val="0"/>
                <w:sz w:val="18"/>
              </w:rPr>
              <w:t>得分</w:t>
            </w:r>
          </w:p>
        </w:tc>
      </w:tr>
      <w:tr w14:paraId="47BEFB4D">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D9A7713"/>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478477E">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CACFD3C">
            <w:pPr>
              <w:spacing w:before="0" w:after="0" w:line="240" w:lineRule="auto"/>
              <w:jc w:val="center"/>
            </w:pPr>
            <w:r>
              <w:rPr>
                <w:rFonts w:ascii="宋体" w:hAnsi="宋体" w:eastAsia="宋体" w:cs="宋体"/>
                <w:b w:val="0"/>
                <w:i w:val="0"/>
                <w:sz w:val="18"/>
              </w:rPr>
              <w:t>188.76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F5D9CC6">
            <w:pPr>
              <w:spacing w:before="0" w:after="0" w:line="240" w:lineRule="auto"/>
              <w:jc w:val="center"/>
            </w:pPr>
            <w:r>
              <w:rPr>
                <w:rFonts w:ascii="宋体" w:hAnsi="宋体" w:eastAsia="宋体" w:cs="宋体"/>
                <w:b w:val="0"/>
                <w:i w:val="0"/>
                <w:sz w:val="18"/>
              </w:rPr>
              <w:t>228.66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CC85558">
            <w:pPr>
              <w:spacing w:before="0" w:after="0" w:line="240" w:lineRule="auto"/>
              <w:jc w:val="center"/>
            </w:pPr>
            <w:r>
              <w:rPr>
                <w:rFonts w:ascii="宋体" w:hAnsi="宋体" w:eastAsia="宋体" w:cs="宋体"/>
                <w:b w:val="0"/>
                <w:i w:val="0"/>
                <w:sz w:val="18"/>
              </w:rPr>
              <w:t>228.66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662E4BC">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96A3147">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DF89B58">
            <w:pPr>
              <w:spacing w:before="0" w:after="0" w:line="240" w:lineRule="auto"/>
              <w:jc w:val="center"/>
            </w:pPr>
            <w:r>
              <w:rPr>
                <w:rFonts w:ascii="宋体" w:hAnsi="宋体" w:eastAsia="宋体" w:cs="宋体"/>
                <w:b w:val="0"/>
                <w:i w:val="0"/>
                <w:sz w:val="18"/>
              </w:rPr>
              <w:t>-</w:t>
            </w:r>
          </w:p>
        </w:tc>
      </w:tr>
      <w:tr w14:paraId="5B56ECBA">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09D9BB7"/>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9A70F71">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8A92307">
            <w:pPr>
              <w:spacing w:before="0" w:after="0" w:line="240" w:lineRule="auto"/>
              <w:jc w:val="center"/>
            </w:pPr>
            <w:r>
              <w:rPr>
                <w:rFonts w:ascii="宋体" w:hAnsi="宋体" w:eastAsia="宋体" w:cs="宋体"/>
                <w:b w:val="0"/>
                <w:i w:val="0"/>
                <w:sz w:val="18"/>
              </w:rPr>
              <w:t>958.52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2F2E0CB">
            <w:pPr>
              <w:spacing w:before="0" w:after="0" w:line="240" w:lineRule="auto"/>
              <w:jc w:val="center"/>
            </w:pPr>
            <w:r>
              <w:rPr>
                <w:rFonts w:ascii="宋体" w:hAnsi="宋体" w:eastAsia="宋体" w:cs="宋体"/>
                <w:b w:val="0"/>
                <w:i w:val="0"/>
                <w:sz w:val="18"/>
              </w:rPr>
              <w:t>1,052.88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692F038">
            <w:pPr>
              <w:spacing w:before="0" w:after="0" w:line="240" w:lineRule="auto"/>
              <w:jc w:val="center"/>
            </w:pPr>
            <w:r>
              <w:rPr>
                <w:rFonts w:ascii="宋体" w:hAnsi="宋体" w:eastAsia="宋体" w:cs="宋体"/>
                <w:b w:val="0"/>
                <w:i w:val="0"/>
                <w:sz w:val="18"/>
              </w:rPr>
              <w:t>1,052.88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8B98321">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8FACC66">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060E6F0">
            <w:pPr>
              <w:spacing w:before="0" w:after="0" w:line="240" w:lineRule="auto"/>
              <w:jc w:val="center"/>
            </w:pPr>
            <w:r>
              <w:rPr>
                <w:rFonts w:ascii="宋体" w:hAnsi="宋体" w:eastAsia="宋体" w:cs="宋体"/>
                <w:b w:val="0"/>
                <w:i w:val="0"/>
                <w:sz w:val="18"/>
              </w:rPr>
              <w:t>-</w:t>
            </w:r>
          </w:p>
        </w:tc>
      </w:tr>
      <w:tr w14:paraId="42F59451">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6AD9773"/>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C2D9AEA">
            <w:pPr>
              <w:spacing w:before="0" w:after="0" w:line="240" w:lineRule="auto"/>
              <w:jc w:val="center"/>
            </w:pPr>
            <w:r>
              <w:rPr>
                <w:rFonts w:ascii="宋体" w:hAnsi="宋体" w:eastAsia="宋体" w:cs="宋体"/>
                <w:b w:val="0"/>
                <w:i w:val="0"/>
                <w:sz w:val="18"/>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2D384E6">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6292390">
            <w:pPr>
              <w:spacing w:before="0" w:after="0" w:line="240" w:lineRule="auto"/>
              <w:jc w:val="center"/>
            </w:pPr>
            <w:r>
              <w:rPr>
                <w:rFonts w:ascii="宋体" w:hAnsi="宋体" w:eastAsia="宋体" w:cs="宋体"/>
                <w:b w:val="0"/>
                <w:i w:val="0"/>
                <w:sz w:val="18"/>
              </w:rPr>
              <w:t>70.05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C21BF60">
            <w:pPr>
              <w:spacing w:before="0" w:after="0" w:line="240" w:lineRule="auto"/>
              <w:jc w:val="center"/>
            </w:pPr>
            <w:r>
              <w:rPr>
                <w:rFonts w:ascii="宋体" w:hAnsi="宋体" w:eastAsia="宋体" w:cs="宋体"/>
                <w:b w:val="0"/>
                <w:i w:val="0"/>
                <w:sz w:val="18"/>
              </w:rPr>
              <w:t>29.01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2C92863">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7EAF7A2">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FBE820E">
            <w:pPr>
              <w:spacing w:before="0" w:after="0" w:line="240" w:lineRule="auto"/>
              <w:jc w:val="center"/>
            </w:pPr>
            <w:r>
              <w:rPr>
                <w:rFonts w:ascii="宋体" w:hAnsi="宋体" w:eastAsia="宋体" w:cs="宋体"/>
                <w:b w:val="0"/>
                <w:i w:val="0"/>
                <w:sz w:val="18"/>
              </w:rPr>
              <w:t>-</w:t>
            </w:r>
          </w:p>
        </w:tc>
      </w:tr>
      <w:tr w14:paraId="16E3F936">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5DB0609"/>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2A589A1">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8E9DE9D">
            <w:pPr>
              <w:spacing w:before="0" w:after="0" w:line="240" w:lineRule="auto"/>
              <w:jc w:val="center"/>
            </w:pPr>
            <w:r>
              <w:rPr>
                <w:rFonts w:ascii="宋体" w:hAnsi="宋体" w:eastAsia="宋体" w:cs="宋体"/>
                <w:b w:val="0"/>
                <w:i w:val="0"/>
                <w:sz w:val="18"/>
              </w:rPr>
              <w:t>1,147.28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DE46976">
            <w:pPr>
              <w:spacing w:before="0" w:after="0" w:line="240" w:lineRule="auto"/>
              <w:jc w:val="center"/>
            </w:pPr>
            <w:r>
              <w:rPr>
                <w:rFonts w:ascii="宋体" w:hAnsi="宋体" w:eastAsia="宋体" w:cs="宋体"/>
                <w:b w:val="0"/>
                <w:i w:val="0"/>
                <w:sz w:val="18"/>
              </w:rPr>
              <w:t>1,351.59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CE891AE">
            <w:pPr>
              <w:spacing w:before="0" w:after="0" w:line="240" w:lineRule="auto"/>
              <w:jc w:val="center"/>
            </w:pPr>
            <w:r>
              <w:rPr>
                <w:rFonts w:ascii="宋体" w:hAnsi="宋体" w:eastAsia="宋体" w:cs="宋体"/>
                <w:b w:val="0"/>
                <w:i w:val="0"/>
                <w:sz w:val="18"/>
              </w:rPr>
              <w:t>1,310.55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0BF175D">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BD45EB8">
            <w:pPr>
              <w:spacing w:before="0" w:after="0" w:line="240" w:lineRule="auto"/>
              <w:jc w:val="center"/>
            </w:pPr>
            <w:r>
              <w:rPr>
                <w:rFonts w:ascii="宋体" w:hAnsi="宋体" w:eastAsia="宋体" w:cs="宋体"/>
                <w:b w:val="0"/>
                <w:i w:val="0"/>
                <w:sz w:val="18"/>
              </w:rPr>
              <w:t>96.96%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B607775">
            <w:pPr>
              <w:spacing w:before="0" w:after="0" w:line="240" w:lineRule="auto"/>
              <w:jc w:val="center"/>
            </w:pPr>
            <w:r>
              <w:rPr>
                <w:rFonts w:ascii="宋体" w:hAnsi="宋体" w:eastAsia="宋体" w:cs="宋体"/>
                <w:b w:val="0"/>
                <w:i w:val="0"/>
                <w:sz w:val="18"/>
              </w:rPr>
              <w:t>9.7</w:t>
            </w:r>
          </w:p>
        </w:tc>
      </w:tr>
      <w:tr w14:paraId="1E96DC0D">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8863A9">
            <w:pPr>
              <w:spacing w:before="0" w:after="0" w:line="240" w:lineRule="auto"/>
              <w:jc w:val="center"/>
            </w:pPr>
            <w:r>
              <w:rPr>
                <w:rFonts w:ascii="宋体" w:hAnsi="宋体" w:eastAsia="宋体" w:cs="宋体"/>
                <w:b w:val="0"/>
                <w:i w:val="0"/>
                <w:sz w:val="18"/>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6A040008">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7A82EEF">
            <w:pPr>
              <w:spacing w:before="0" w:after="0" w:line="240" w:lineRule="auto"/>
              <w:jc w:val="center"/>
            </w:pPr>
            <w:r>
              <w:rPr>
                <w:rFonts w:ascii="宋体" w:hAnsi="宋体" w:eastAsia="宋体" w:cs="宋体"/>
                <w:b w:val="0"/>
                <w:i w:val="0"/>
                <w:sz w:val="18"/>
              </w:rPr>
              <w:t>实际完成情况</w:t>
            </w:r>
          </w:p>
        </w:tc>
      </w:tr>
      <w:tr w14:paraId="504F5828">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56EAD15"/>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5A391655">
            <w:pPr>
              <w:spacing w:before="0" w:after="0" w:line="240" w:lineRule="auto"/>
              <w:jc w:val="center"/>
            </w:pPr>
            <w:r>
              <w:rPr>
                <w:rFonts w:ascii="宋体" w:hAnsi="宋体" w:eastAsia="宋体" w:cs="宋体"/>
                <w:b w:val="0"/>
                <w:i w:val="0"/>
                <w:sz w:val="18"/>
              </w:rPr>
              <w:t>2025年检察工作要坚持以习近平新时代中国特色社会主义思想为指导，全面学习贯彻党的二十大精神，深入贯彻落实全面贯彻习近平法治思想，</w:t>
            </w:r>
            <w:r>
              <w:rPr>
                <w:rFonts w:hint="eastAsia" w:ascii="宋体" w:hAnsi="宋体" w:cs="宋体"/>
                <w:b w:val="0"/>
                <w:i w:val="0"/>
                <w:sz w:val="18"/>
                <w:lang w:eastAsia="zh-CN"/>
              </w:rPr>
              <w:t>完整准确全面贯彻新时代党的治疆方略</w:t>
            </w:r>
            <w:r>
              <w:rPr>
                <w:rFonts w:ascii="宋体" w:hAnsi="宋体" w:eastAsia="宋体" w:cs="宋体"/>
                <w:b w:val="0"/>
                <w:i w:val="0"/>
                <w:sz w:val="18"/>
              </w:rPr>
              <w:t>，牢牢扭住社会稳定和长治久安总目标，全面落实《中共中央关于加强新时代检察机关法律监督工作的意见》及区州党委《实施意见》按照新疆维吾尔自治区人民检察院下发《关于印发&lt;2025年新疆检察案件管理工作要点&gt;的通知》、《2025年新疆检察机关控告申诉检察工作要点》工作要求，我院，加强法律监督工作，推动检察工作高质量发展精神，优化“四大检察”“十大业务”法律监督格局，以高质量发展为主题，以完善检察机关法律监督体系、提升法律监督能力为主线，加强基层组织、基础工作、基本能力建设，深化司法体制改革，更好服务经济社会高质量发展、推动检察工作自身高质量发展，为全面建设社会主义现代化国家提供有力司法保障。</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9F2435C">
            <w:pPr>
              <w:spacing w:before="0" w:after="0" w:line="240" w:lineRule="auto"/>
              <w:jc w:val="center"/>
            </w:pPr>
            <w:r>
              <w:rPr>
                <w:rFonts w:ascii="宋体" w:hAnsi="宋体" w:eastAsia="宋体" w:cs="宋体"/>
                <w:b w:val="0"/>
                <w:i w:val="0"/>
                <w:sz w:val="18"/>
              </w:rPr>
              <w:t>2025年我单位全年预算数为1351.59万元，全年执行数为1310.55万元，总预算执行率为96.96%。2025年我单位完成以下工作内容：1.开展司法救助案件5件；2.案件审结率达到80.44%；3.认罪认罚适用率达到89.78%；4.逮捕案件审结期限等于7日。通过以上工作的实施，加强了法律监督工作，推动了检察工作高质量发展精神，优化了“四大检察”“十大业务”法律监督格局，以高质量发展为主题，以完善检察机关法律监督体系、提升法律监督能力为主线，加强了基层组织、基础工作、基本能力建设，深化了司法体制改革，更好地服务了经济社会高质量发展、推动了检察工作自身高质量发展，为全面建设社会主义现代化国家提供有力司法保障。</w:t>
            </w:r>
          </w:p>
        </w:tc>
      </w:tr>
      <w:tr w14:paraId="5547DF55">
        <w:tblPrEx>
          <w:tblCellMar>
            <w:top w:w="36" w:type="dxa"/>
            <w:left w:w="36" w:type="dxa"/>
            <w:bottom w:w="36" w:type="dxa"/>
            <w:right w:w="36" w:type="dxa"/>
          </w:tblCellMar>
        </w:tblPrEx>
        <w:trPr>
          <w:cantSplit/>
          <w:trHeight w:val="58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F6F0803">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A345ABA">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70703F9">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B10C426">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A9006FA">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9B6DCD4">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428B8A0">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FC268A7">
            <w:pPr>
              <w:keepNext/>
              <w:spacing w:before="0" w:after="0" w:line="240" w:lineRule="auto"/>
              <w:jc w:val="center"/>
            </w:pPr>
            <w:r>
              <w:rPr>
                <w:rFonts w:ascii="宋体" w:hAnsi="宋体" w:eastAsia="宋体" w:cs="宋体"/>
                <w:b w:val="0"/>
                <w:i w:val="0"/>
                <w:sz w:val="18"/>
              </w:rPr>
              <w:t>得分</w:t>
            </w:r>
          </w:p>
        </w:tc>
      </w:tr>
      <w:tr w14:paraId="227F56ED">
        <w:tblPrEx>
          <w:tblCellMar>
            <w:top w:w="36" w:type="dxa"/>
            <w:left w:w="36" w:type="dxa"/>
            <w:bottom w:w="36" w:type="dxa"/>
            <w:right w:w="36" w:type="dxa"/>
          </w:tblCellMar>
        </w:tblPrEx>
        <w:trPr>
          <w:cantSplit/>
          <w:trHeight w:val="74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CF057A">
            <w:pPr>
              <w:spacing w:before="0" w:after="0" w:line="240" w:lineRule="auto"/>
              <w:jc w:val="center"/>
            </w:pPr>
            <w:r>
              <w:rPr>
                <w:rFonts w:ascii="宋体" w:hAnsi="宋体" w:eastAsia="宋体" w:cs="宋体"/>
                <w:b w:val="0"/>
                <w:i w:val="0"/>
                <w:sz w:val="18"/>
              </w:rPr>
              <w:t>履职效能</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115F1E6">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62760C3">
            <w:pPr>
              <w:spacing w:before="0" w:after="0" w:line="240" w:lineRule="auto"/>
              <w:jc w:val="center"/>
            </w:pPr>
            <w:r>
              <w:rPr>
                <w:rFonts w:ascii="宋体" w:hAnsi="宋体" w:eastAsia="宋体" w:cs="宋体"/>
                <w:b w:val="0"/>
                <w:i w:val="0"/>
                <w:sz w:val="18"/>
              </w:rPr>
              <w:t>开展司法救助案件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8380306">
            <w:pPr>
              <w:spacing w:before="0" w:after="0" w:line="240" w:lineRule="auto"/>
              <w:jc w:val="center"/>
            </w:pPr>
            <w:r>
              <w:rPr>
                <w:rFonts w:ascii="宋体" w:hAnsi="宋体" w:eastAsia="宋体" w:cs="宋体"/>
                <w:b w:val="0"/>
                <w:i w:val="0"/>
                <w:sz w:val="18"/>
              </w:rPr>
              <w:t>&gt;=3件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954D14A">
            <w:pPr>
              <w:spacing w:before="0" w:after="0" w:line="240" w:lineRule="auto"/>
              <w:jc w:val="center"/>
            </w:pPr>
            <w:r>
              <w:rPr>
                <w:rFonts w:ascii="宋体" w:hAnsi="宋体" w:eastAsia="宋体" w:cs="宋体"/>
                <w:b w:val="0"/>
                <w:i w:val="0"/>
                <w:sz w:val="18"/>
              </w:rPr>
              <w:t>2024年检察听证工作开展情况通报、奇台县人民检察院2025年工作计划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4203E7B">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FF4E9B6">
            <w:pPr>
              <w:spacing w:before="0" w:after="0" w:line="240" w:lineRule="auto"/>
              <w:jc w:val="center"/>
            </w:pPr>
            <w:r>
              <w:rPr>
                <w:rFonts w:ascii="宋体" w:hAnsi="宋体" w:eastAsia="宋体" w:cs="宋体"/>
                <w:b w:val="0"/>
                <w:i w:val="0"/>
                <w:sz w:val="18"/>
              </w:rPr>
              <w:t>=5件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831D65A">
            <w:pPr>
              <w:spacing w:before="0" w:after="0" w:line="240" w:lineRule="auto"/>
              <w:jc w:val="center"/>
            </w:pPr>
            <w:r>
              <w:rPr>
                <w:rFonts w:ascii="宋体" w:hAnsi="宋体" w:eastAsia="宋体" w:cs="宋体"/>
                <w:b w:val="0"/>
                <w:i w:val="0"/>
                <w:sz w:val="18"/>
              </w:rPr>
              <w:t>15</w:t>
            </w:r>
          </w:p>
        </w:tc>
      </w:tr>
      <w:tr w14:paraId="32348989">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C95CC9C"/>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22EDE1">
            <w:pPr>
              <w:spacing w:before="0" w:after="0" w:line="240" w:lineRule="auto"/>
              <w:jc w:val="center"/>
            </w:pPr>
            <w:r>
              <w:rPr>
                <w:rFonts w:ascii="宋体" w:hAnsi="宋体" w:eastAsia="宋体" w:cs="宋体"/>
                <w:b w:val="0"/>
                <w:i w:val="0"/>
                <w:sz w:val="18"/>
              </w:rPr>
              <w:t>质量指标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FA665F4">
            <w:pPr>
              <w:spacing w:before="0" w:after="0" w:line="240" w:lineRule="auto"/>
              <w:jc w:val="center"/>
            </w:pPr>
            <w:r>
              <w:rPr>
                <w:rFonts w:ascii="宋体" w:hAnsi="宋体" w:eastAsia="宋体" w:cs="宋体"/>
                <w:b w:val="0"/>
                <w:i w:val="0"/>
                <w:sz w:val="18"/>
              </w:rPr>
              <w:t>案件审结率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0E143E">
            <w:pPr>
              <w:spacing w:before="0" w:after="0" w:line="240" w:lineRule="auto"/>
              <w:jc w:val="center"/>
            </w:pPr>
            <w:r>
              <w:rPr>
                <w:rFonts w:ascii="宋体" w:hAnsi="宋体" w:eastAsia="宋体" w:cs="宋体"/>
                <w:b w:val="0"/>
                <w:i w:val="0"/>
                <w:sz w:val="18"/>
              </w:rPr>
              <w:t>&gt;=75%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06FBB2E">
            <w:pPr>
              <w:spacing w:before="0" w:after="0" w:line="240" w:lineRule="auto"/>
              <w:jc w:val="center"/>
            </w:pPr>
            <w:r>
              <w:rPr>
                <w:rFonts w:ascii="宋体" w:hAnsi="宋体" w:eastAsia="宋体" w:cs="宋体"/>
                <w:b w:val="0"/>
                <w:i w:val="0"/>
                <w:sz w:val="18"/>
              </w:rPr>
              <w:t>2025年检察工作要点、奇台县人民检察院2025年工作计划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1C9EB26">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B3333A3">
            <w:pPr>
              <w:spacing w:before="0" w:after="0" w:line="240" w:lineRule="auto"/>
              <w:jc w:val="center"/>
            </w:pPr>
            <w:r>
              <w:rPr>
                <w:rFonts w:ascii="宋体" w:hAnsi="宋体" w:eastAsia="宋体" w:cs="宋体"/>
                <w:b w:val="0"/>
                <w:i w:val="0"/>
                <w:sz w:val="18"/>
              </w:rPr>
              <w:t>=80.44%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5FB1221">
            <w:pPr>
              <w:spacing w:before="0" w:after="0" w:line="240" w:lineRule="auto"/>
              <w:jc w:val="center"/>
            </w:pPr>
            <w:r>
              <w:rPr>
                <w:rFonts w:ascii="宋体" w:hAnsi="宋体" w:eastAsia="宋体" w:cs="宋体"/>
                <w:b w:val="0"/>
                <w:i w:val="0"/>
                <w:sz w:val="18"/>
              </w:rPr>
              <w:t>20</w:t>
            </w:r>
          </w:p>
        </w:tc>
      </w:tr>
      <w:tr w14:paraId="4DDC92BE">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3D7E1C6"/>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F59FA76"/>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A44615E">
            <w:pPr>
              <w:spacing w:before="0" w:after="0" w:line="240" w:lineRule="auto"/>
              <w:jc w:val="center"/>
            </w:pPr>
            <w:r>
              <w:rPr>
                <w:rFonts w:ascii="宋体" w:hAnsi="宋体" w:eastAsia="宋体" w:cs="宋体"/>
                <w:b w:val="0"/>
                <w:i w:val="0"/>
                <w:sz w:val="18"/>
              </w:rPr>
              <w:t>认罪认罚适用率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6F64B92">
            <w:pPr>
              <w:spacing w:before="0" w:after="0" w:line="240" w:lineRule="auto"/>
              <w:jc w:val="center"/>
            </w:pPr>
            <w:r>
              <w:rPr>
                <w:rFonts w:ascii="宋体" w:hAnsi="宋体" w:eastAsia="宋体" w:cs="宋体"/>
                <w:b w:val="0"/>
                <w:i w:val="0"/>
                <w:sz w:val="18"/>
              </w:rPr>
              <w:t>&gt;=70%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100896B">
            <w:pPr>
              <w:spacing w:before="0" w:after="0" w:line="240" w:lineRule="auto"/>
              <w:jc w:val="center"/>
            </w:pPr>
            <w:r>
              <w:rPr>
                <w:rFonts w:ascii="宋体" w:hAnsi="宋体" w:eastAsia="宋体" w:cs="宋体"/>
                <w:b w:val="0"/>
                <w:i w:val="0"/>
                <w:sz w:val="18"/>
              </w:rPr>
              <w:t>2025年检察工作要点、奇台县人民检察院2025年工作计划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F9C39E7">
            <w:pPr>
              <w:spacing w:before="0" w:after="0" w:line="240" w:lineRule="auto"/>
              <w:jc w:val="center"/>
            </w:pPr>
            <w:r>
              <w:rPr>
                <w:rFonts w:ascii="宋体" w:hAnsi="宋体" w:eastAsia="宋体" w:cs="宋体"/>
                <w:b w:val="0"/>
                <w:i w:val="0"/>
                <w:sz w:val="18"/>
              </w:rPr>
              <w:t>25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5803C23">
            <w:pPr>
              <w:spacing w:before="0" w:after="0" w:line="240" w:lineRule="auto"/>
              <w:jc w:val="center"/>
            </w:pPr>
            <w:r>
              <w:rPr>
                <w:rFonts w:ascii="宋体" w:hAnsi="宋体" w:eastAsia="宋体" w:cs="宋体"/>
                <w:b w:val="0"/>
                <w:i w:val="0"/>
                <w:sz w:val="18"/>
              </w:rPr>
              <w:t>=89.78%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C3EDA7C">
            <w:pPr>
              <w:spacing w:before="0" w:after="0" w:line="240" w:lineRule="auto"/>
              <w:jc w:val="center"/>
            </w:pPr>
            <w:r>
              <w:rPr>
                <w:rFonts w:ascii="宋体" w:hAnsi="宋体" w:eastAsia="宋体" w:cs="宋体"/>
                <w:b w:val="0"/>
                <w:i w:val="0"/>
                <w:sz w:val="18"/>
              </w:rPr>
              <w:t>25</w:t>
            </w:r>
          </w:p>
        </w:tc>
      </w:tr>
      <w:tr w14:paraId="1245451C">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CD4AD9E"/>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4B499ED">
            <w:pPr>
              <w:spacing w:before="0" w:after="0" w:line="240" w:lineRule="auto"/>
              <w:jc w:val="center"/>
            </w:pPr>
            <w:r>
              <w:rPr>
                <w:rFonts w:ascii="宋体" w:hAnsi="宋体" w:eastAsia="宋体" w:cs="宋体"/>
                <w:b w:val="0"/>
                <w:i w:val="0"/>
                <w:sz w:val="18"/>
              </w:rPr>
              <w:t>时效指标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65C388A">
            <w:pPr>
              <w:spacing w:before="0" w:after="0" w:line="240" w:lineRule="auto"/>
              <w:jc w:val="center"/>
            </w:pPr>
            <w:r>
              <w:rPr>
                <w:rFonts w:ascii="宋体" w:hAnsi="宋体" w:eastAsia="宋体" w:cs="宋体"/>
                <w:b w:val="0"/>
                <w:i w:val="0"/>
                <w:sz w:val="18"/>
              </w:rPr>
              <w:t>逮捕案件审结期限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9A732F6">
            <w:pPr>
              <w:spacing w:before="0" w:after="0" w:line="240" w:lineRule="auto"/>
              <w:jc w:val="center"/>
            </w:pPr>
            <w:r>
              <w:rPr>
                <w:rFonts w:ascii="宋体" w:hAnsi="宋体" w:eastAsia="宋体" w:cs="宋体"/>
                <w:b w:val="0"/>
                <w:i w:val="0"/>
                <w:sz w:val="18"/>
              </w:rPr>
              <w:t>&lt;=7日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4C212A2">
            <w:pPr>
              <w:spacing w:before="0" w:after="0" w:line="240" w:lineRule="auto"/>
              <w:jc w:val="center"/>
            </w:pPr>
            <w:r>
              <w:rPr>
                <w:rFonts w:ascii="宋体" w:hAnsi="宋体" w:eastAsia="宋体" w:cs="宋体"/>
                <w:b w:val="0"/>
                <w:i w:val="0"/>
                <w:sz w:val="18"/>
              </w:rPr>
              <w:t>2025年检察工作要点、奇台县人民检察院2025年工作计划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24584E0">
            <w:pPr>
              <w:spacing w:before="0" w:after="0" w:line="240" w:lineRule="auto"/>
              <w:jc w:val="center"/>
            </w:pPr>
            <w:r>
              <w:rPr>
                <w:rFonts w:ascii="宋体" w:hAnsi="宋体" w:eastAsia="宋体" w:cs="宋体"/>
                <w:b w:val="0"/>
                <w:i w:val="0"/>
                <w:sz w:val="18"/>
              </w:rPr>
              <w:t>30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7EC9D81">
            <w:pPr>
              <w:spacing w:before="0" w:after="0" w:line="240" w:lineRule="auto"/>
              <w:jc w:val="center"/>
            </w:pPr>
            <w:r>
              <w:rPr>
                <w:rFonts w:ascii="宋体" w:hAnsi="宋体" w:eastAsia="宋体" w:cs="宋体"/>
                <w:b w:val="0"/>
                <w:i w:val="0"/>
                <w:sz w:val="18"/>
              </w:rPr>
              <w:t>=7日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BDD7A95">
            <w:pPr>
              <w:spacing w:before="0" w:after="0" w:line="240" w:lineRule="auto"/>
              <w:jc w:val="center"/>
            </w:pPr>
            <w:r>
              <w:rPr>
                <w:rFonts w:ascii="宋体" w:hAnsi="宋体" w:eastAsia="宋体" w:cs="宋体"/>
                <w:b w:val="0"/>
                <w:i w:val="0"/>
                <w:sz w:val="18"/>
              </w:rPr>
              <w:t>30</w:t>
            </w:r>
          </w:p>
        </w:tc>
      </w:tr>
    </w:tbl>
    <w:p w14:paraId="06CDC9C8">
      <w:r>
        <w:br w:type="page"/>
      </w:r>
    </w:p>
    <w:p w14:paraId="75683CD3">
      <w:pPr>
        <w:sectPr>
          <w:footerReference r:id="rId3" w:type="default"/>
          <w:pgSz w:w="11906" w:h="16838"/>
          <w:pgMar w:top="2098" w:right="1531" w:bottom="1985" w:left="1531" w:header="851" w:footer="992" w:gutter="0"/>
          <w:cols w:space="720" w:num="1"/>
          <w:docGrid w:type="lines" w:linePitch="312" w:charSpace="0"/>
        </w:sectPr>
      </w:pPr>
    </w:p>
    <w:tbl>
      <w:tblPr>
        <w:tblStyle w:val="8"/>
        <w:tblW w:w="5000" w:type="pct"/>
        <w:tblInd w:w="0" w:type="dxa"/>
        <w:tblLayout w:type="autofit"/>
        <w:tblCellMar>
          <w:top w:w="36" w:type="dxa"/>
          <w:left w:w="36" w:type="dxa"/>
          <w:bottom w:w="36" w:type="dxa"/>
          <w:right w:w="36" w:type="dxa"/>
        </w:tblCellMar>
      </w:tblPr>
      <w:tblGrid>
        <w:gridCol w:w="588"/>
        <w:gridCol w:w="588"/>
        <w:gridCol w:w="588"/>
        <w:gridCol w:w="588"/>
        <w:gridCol w:w="593"/>
        <w:gridCol w:w="612"/>
        <w:gridCol w:w="592"/>
        <w:gridCol w:w="593"/>
        <w:gridCol w:w="612"/>
        <w:gridCol w:w="589"/>
        <w:gridCol w:w="589"/>
        <w:gridCol w:w="590"/>
        <w:gridCol w:w="590"/>
        <w:gridCol w:w="594"/>
      </w:tblGrid>
      <w:tr w14:paraId="696AD704">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B1FCC37">
            <w:pPr>
              <w:spacing w:before="0" w:after="0" w:line="240" w:lineRule="auto"/>
              <w:jc w:val="center"/>
            </w:pPr>
            <w:r>
              <w:rPr>
                <w:rFonts w:ascii="宋体" w:hAnsi="宋体" w:eastAsia="宋体" w:cs="宋体"/>
                <w:b/>
                <w:i w:val="0"/>
                <w:sz w:val="18"/>
              </w:rPr>
              <w:t>项目支出绩效自评表</w:t>
            </w:r>
          </w:p>
        </w:tc>
      </w:tr>
      <w:tr w14:paraId="178E68CB">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00694F6">
            <w:pPr>
              <w:spacing w:before="0" w:after="0" w:line="240" w:lineRule="auto"/>
              <w:jc w:val="center"/>
            </w:pPr>
            <w:r>
              <w:rPr>
                <w:rFonts w:ascii="宋体" w:hAnsi="宋体" w:eastAsia="宋体" w:cs="宋体"/>
                <w:b w:val="0"/>
                <w:i w:val="0"/>
                <w:sz w:val="18"/>
              </w:rPr>
              <w:t>(2025年度)</w:t>
            </w:r>
          </w:p>
        </w:tc>
      </w:tr>
      <w:tr w14:paraId="1470086C">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F1DC8F">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439E5068">
            <w:pPr>
              <w:spacing w:before="0" w:after="0" w:line="240" w:lineRule="auto"/>
              <w:jc w:val="center"/>
            </w:pPr>
            <w:r>
              <w:rPr>
                <w:rFonts w:ascii="宋体" w:hAnsi="宋体" w:eastAsia="宋体" w:cs="宋体"/>
                <w:b w:val="0"/>
                <w:i w:val="0"/>
                <w:sz w:val="18"/>
              </w:rPr>
              <w:t>2025年州直单位办公用房维修</w:t>
            </w:r>
          </w:p>
        </w:tc>
      </w:tr>
      <w:tr w14:paraId="5D762071">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CF8103">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5762717">
            <w:pPr>
              <w:spacing w:before="0" w:after="0" w:line="240" w:lineRule="auto"/>
              <w:jc w:val="center"/>
            </w:pPr>
            <w:r>
              <w:rPr>
                <w:rFonts w:ascii="宋体" w:hAnsi="宋体" w:eastAsia="宋体" w:cs="宋体"/>
                <w:b w:val="0"/>
                <w:i w:val="0"/>
                <w:sz w:val="18"/>
              </w:rPr>
              <w:t>奇台县人民检察院</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29277A">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2ED5E02">
            <w:pPr>
              <w:spacing w:before="0" w:after="0" w:line="240" w:lineRule="auto"/>
              <w:jc w:val="center"/>
            </w:pPr>
            <w:r>
              <w:rPr>
                <w:rFonts w:ascii="宋体" w:hAnsi="宋体" w:eastAsia="宋体" w:cs="宋体"/>
                <w:b w:val="0"/>
                <w:i w:val="0"/>
                <w:sz w:val="18"/>
              </w:rPr>
              <w:t>奇台县人民检察院</w:t>
            </w:r>
          </w:p>
        </w:tc>
      </w:tr>
      <w:tr w14:paraId="0DFC3962">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557B3F">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E6EAD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AB83A3">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85A5D8">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CE093B">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8A4D34C">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56F5E81">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897730">
            <w:pPr>
              <w:spacing w:before="0" w:after="0" w:line="240" w:lineRule="auto"/>
              <w:jc w:val="center"/>
            </w:pPr>
            <w:r>
              <w:rPr>
                <w:rFonts w:ascii="宋体" w:hAnsi="宋体" w:eastAsia="宋体" w:cs="宋体"/>
                <w:b/>
                <w:i w:val="0"/>
                <w:sz w:val="18"/>
              </w:rPr>
              <w:t>得分</w:t>
            </w:r>
          </w:p>
        </w:tc>
      </w:tr>
      <w:tr w14:paraId="62A480E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B47169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7CD295">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568E0C">
            <w:pPr>
              <w:spacing w:before="0" w:after="0" w:line="240" w:lineRule="auto"/>
              <w:jc w:val="center"/>
            </w:pPr>
            <w:r>
              <w:rPr>
                <w:rFonts w:ascii="宋体" w:hAnsi="宋体" w:eastAsia="宋体" w:cs="宋体"/>
                <w:b w:val="0"/>
                <w:i w:val="0"/>
                <w:sz w:val="18"/>
              </w:rPr>
              <w:t>11.00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F077E1">
            <w:pPr>
              <w:spacing w:before="0" w:after="0" w:line="240" w:lineRule="auto"/>
              <w:jc w:val="center"/>
            </w:pPr>
            <w:r>
              <w:rPr>
                <w:rFonts w:ascii="宋体" w:hAnsi="宋体" w:eastAsia="宋体" w:cs="宋体"/>
                <w:b w:val="0"/>
                <w:i w:val="0"/>
                <w:sz w:val="18"/>
              </w:rPr>
              <w:t>7.49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228997">
            <w:pPr>
              <w:spacing w:before="0" w:after="0" w:line="240" w:lineRule="auto"/>
              <w:jc w:val="center"/>
            </w:pPr>
            <w:r>
              <w:rPr>
                <w:rFonts w:ascii="宋体" w:hAnsi="宋体" w:eastAsia="宋体" w:cs="宋体"/>
                <w:b w:val="0"/>
                <w:i w:val="0"/>
                <w:sz w:val="18"/>
              </w:rPr>
              <w:t>7.49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382E117">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3457A1D">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FAA257">
            <w:pPr>
              <w:spacing w:before="0" w:after="0" w:line="240" w:lineRule="auto"/>
              <w:jc w:val="center"/>
            </w:pPr>
            <w:r>
              <w:rPr>
                <w:rFonts w:ascii="宋体" w:hAnsi="宋体" w:eastAsia="宋体" w:cs="宋体"/>
                <w:b w:val="0"/>
                <w:i w:val="0"/>
                <w:sz w:val="18"/>
              </w:rPr>
              <w:t>10</w:t>
            </w:r>
          </w:p>
        </w:tc>
      </w:tr>
      <w:tr w14:paraId="7F97CBE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807492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AA9039">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C71EC5">
            <w:pPr>
              <w:spacing w:before="0" w:after="0" w:line="240" w:lineRule="auto"/>
              <w:jc w:val="center"/>
            </w:pPr>
            <w:r>
              <w:rPr>
                <w:rFonts w:ascii="宋体" w:hAnsi="宋体" w:eastAsia="宋体" w:cs="宋体"/>
                <w:b w:val="0"/>
                <w:i w:val="0"/>
                <w:sz w:val="18"/>
              </w:rPr>
              <w:t>11.00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4E883E1">
            <w:pPr>
              <w:spacing w:before="0" w:after="0" w:line="240" w:lineRule="auto"/>
              <w:jc w:val="center"/>
            </w:pPr>
            <w:r>
              <w:rPr>
                <w:rFonts w:ascii="宋体" w:hAnsi="宋体" w:eastAsia="宋体" w:cs="宋体"/>
                <w:b w:val="0"/>
                <w:i w:val="0"/>
                <w:sz w:val="18"/>
              </w:rPr>
              <w:t>7.49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4BF364">
            <w:pPr>
              <w:spacing w:before="0" w:after="0" w:line="240" w:lineRule="auto"/>
              <w:jc w:val="center"/>
            </w:pPr>
            <w:r>
              <w:rPr>
                <w:rFonts w:ascii="宋体" w:hAnsi="宋体" w:eastAsia="宋体" w:cs="宋体"/>
                <w:b w:val="0"/>
                <w:i w:val="0"/>
                <w:sz w:val="18"/>
              </w:rPr>
              <w:t>7.49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673051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C6291D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E32D40">
            <w:pPr>
              <w:spacing w:before="0" w:after="0" w:line="240" w:lineRule="auto"/>
              <w:jc w:val="center"/>
            </w:pPr>
            <w:r>
              <w:rPr>
                <w:rFonts w:ascii="宋体" w:hAnsi="宋体" w:eastAsia="宋体" w:cs="宋体"/>
                <w:b w:val="0"/>
                <w:i w:val="0"/>
                <w:sz w:val="18"/>
              </w:rPr>
              <w:t>—</w:t>
            </w:r>
          </w:p>
        </w:tc>
      </w:tr>
      <w:tr w14:paraId="0DB1EE4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27C1F6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67F8D2">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67DB2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2255BB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A4630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8E7BBAF">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5073AB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C9BEEC">
            <w:pPr>
              <w:spacing w:before="0" w:after="0" w:line="240" w:lineRule="auto"/>
              <w:jc w:val="center"/>
            </w:pPr>
            <w:r>
              <w:rPr>
                <w:rFonts w:ascii="宋体" w:hAnsi="宋体" w:eastAsia="宋体" w:cs="宋体"/>
                <w:b w:val="0"/>
                <w:i w:val="0"/>
                <w:sz w:val="18"/>
              </w:rPr>
              <w:t>—</w:t>
            </w:r>
          </w:p>
        </w:tc>
      </w:tr>
      <w:tr w14:paraId="239DA7AD">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61243C">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2FCF016">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0CD5E581">
            <w:pPr>
              <w:spacing w:before="0" w:after="0" w:line="240" w:lineRule="auto"/>
              <w:jc w:val="center"/>
            </w:pPr>
            <w:r>
              <w:rPr>
                <w:rFonts w:ascii="宋体" w:hAnsi="宋体" w:eastAsia="宋体" w:cs="宋体"/>
                <w:b/>
                <w:i w:val="0"/>
                <w:sz w:val="18"/>
              </w:rPr>
              <w:t>实际完成情况</w:t>
            </w:r>
          </w:p>
        </w:tc>
      </w:tr>
      <w:tr w14:paraId="6C828310">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197201"/>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08941D5">
            <w:pPr>
              <w:spacing w:before="0" w:after="0" w:line="240" w:lineRule="auto"/>
              <w:jc w:val="center"/>
            </w:pPr>
            <w:r>
              <w:rPr>
                <w:rFonts w:ascii="宋体" w:hAnsi="宋体" w:eastAsia="宋体" w:cs="宋体"/>
                <w:b w:val="0"/>
                <w:i w:val="0"/>
                <w:sz w:val="18"/>
              </w:rPr>
              <w:t>根据奇台县人民检察院办公区域实际情况，奇台县人民检察院对办公大楼外墙石材进项修补，隔墙拆除，吊顶维修，内墙油漆、围墙瓷砖等进行维修，门卫室门、窗、室外踏步等进行修缮，为我院工作人员打造更好的工作环境。维修改造项目工程数量1个，项目修缮验收合格率要达到100%，项目于2025年12月10日前完工，项目总成本控制在7.49万元以内，通过项目实施，有效改善办公环境，干警满意度达到90%以上。</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5CB39CA">
            <w:pPr>
              <w:spacing w:before="0" w:after="0" w:line="240" w:lineRule="auto"/>
              <w:jc w:val="center"/>
            </w:pPr>
            <w:r>
              <w:rPr>
                <w:rFonts w:ascii="宋体" w:hAnsi="宋体" w:eastAsia="宋体" w:cs="宋体"/>
                <w:b w:val="0"/>
                <w:i w:val="0"/>
                <w:sz w:val="18"/>
              </w:rPr>
              <w:t>截至2026年6月30日，本项目支出资金7.49万元，资金执行率100%，本项目实际完成办公大楼外墙石材进项修补，隔墙拆除，吊顶维修，内墙油漆、围墙瓷砖等维修，门卫室门、窗、室外踏步等进行修缮，完成维修改造项目工程数量1个，项目修缮验收合格率100%。通过该项目实施，有效改善办公环境，为机关工作的顺利开展提供了坚实的物质保障。</w:t>
            </w:r>
          </w:p>
        </w:tc>
      </w:tr>
      <w:tr w14:paraId="51665123">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46E297">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37BA92">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8772E4">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F7E0F2">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3C750EB">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2B7195">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E8DFB6">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C938572">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4E4311D">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6F35222">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639FFA">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5D03DA">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92A542">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C27F4F">
            <w:pPr>
              <w:keepNext/>
              <w:spacing w:before="0" w:after="0" w:line="240" w:lineRule="auto"/>
              <w:jc w:val="center"/>
            </w:pPr>
            <w:r>
              <w:rPr>
                <w:rFonts w:ascii="宋体" w:hAnsi="宋体" w:eastAsia="宋体" w:cs="宋体"/>
                <w:b/>
                <w:i w:val="0"/>
                <w:sz w:val="18"/>
              </w:rPr>
              <w:t>偏差原因分析及改进措施</w:t>
            </w:r>
          </w:p>
        </w:tc>
      </w:tr>
      <w:tr w14:paraId="4B4D7A0A">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E2A9D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D6A13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99686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2C897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84350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AB2B1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EBBE7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8A90A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348AE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3912C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4F221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EE84D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D4326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CE050E"/>
        </w:tc>
      </w:tr>
      <w:tr w14:paraId="356BA84A">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3A38E9">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673AF7">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E1DB6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E3DDCB">
            <w:pPr>
              <w:spacing w:before="0" w:after="0" w:line="240" w:lineRule="auto"/>
              <w:jc w:val="center"/>
            </w:pPr>
            <w:r>
              <w:rPr>
                <w:rFonts w:ascii="宋体" w:hAnsi="宋体" w:eastAsia="宋体" w:cs="宋体"/>
                <w:b w:val="0"/>
                <w:i w:val="0"/>
                <w:sz w:val="18"/>
              </w:rPr>
              <w:t>维护改造项目工程数量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03307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09D613">
            <w:pPr>
              <w:spacing w:before="0" w:after="0" w:line="240" w:lineRule="auto"/>
              <w:jc w:val="center"/>
            </w:pPr>
            <w:r>
              <w:rPr>
                <w:rFonts w:ascii="宋体" w:hAnsi="宋体" w:eastAsia="宋体" w:cs="宋体"/>
                <w:b w:val="0"/>
                <w:i w:val="0"/>
                <w:sz w:val="18"/>
              </w:rPr>
              <w:t>&gt;=1个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939F29">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890CF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51235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98742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012B2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1A873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438E5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7C42E0">
            <w:pPr>
              <w:spacing w:before="0" w:after="0" w:line="240" w:lineRule="auto"/>
              <w:jc w:val="center"/>
            </w:pPr>
          </w:p>
        </w:tc>
      </w:tr>
      <w:tr w14:paraId="52F28F3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E4C92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43B79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9CE290">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ACD20A">
            <w:pPr>
              <w:spacing w:before="0" w:after="0" w:line="240" w:lineRule="auto"/>
              <w:jc w:val="center"/>
            </w:pPr>
            <w:r>
              <w:rPr>
                <w:rFonts w:ascii="宋体" w:hAnsi="宋体" w:eastAsia="宋体" w:cs="宋体"/>
                <w:b w:val="0"/>
                <w:i w:val="0"/>
                <w:sz w:val="18"/>
              </w:rPr>
              <w:t>修缮验收合格率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F5D7F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E31C5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53E5B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AC806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0619C9">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1068E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09B49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E4725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B5E78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461BA8">
            <w:pPr>
              <w:spacing w:before="0" w:after="0" w:line="240" w:lineRule="auto"/>
              <w:jc w:val="center"/>
            </w:pPr>
          </w:p>
        </w:tc>
      </w:tr>
      <w:tr w14:paraId="6B627A7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87B10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A752D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7B4BB5">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EE3DA4">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B7E93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E76F54">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CAE2F0">
            <w:pPr>
              <w:spacing w:before="0" w:after="0" w:line="240" w:lineRule="auto"/>
              <w:jc w:val="center"/>
            </w:pPr>
            <w:r>
              <w:rPr>
                <w:rFonts w:ascii="宋体" w:hAnsi="宋体" w:eastAsia="宋体" w:cs="宋体"/>
                <w:b w:val="0"/>
                <w:i w:val="0"/>
                <w:sz w:val="18"/>
              </w:rPr>
              <w:t>2025年8月10日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21438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DAA88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17B9C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CE90F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7C6F94">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311C2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157867">
            <w:pPr>
              <w:spacing w:before="0" w:after="0" w:line="240" w:lineRule="auto"/>
              <w:jc w:val="center"/>
            </w:pPr>
          </w:p>
        </w:tc>
      </w:tr>
      <w:tr w14:paraId="235D060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E42D53"/>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3F89A9">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E3EFA9">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CE4A41">
            <w:pPr>
              <w:spacing w:before="0" w:after="0" w:line="240" w:lineRule="auto"/>
              <w:jc w:val="center"/>
            </w:pPr>
            <w:r>
              <w:rPr>
                <w:rFonts w:ascii="宋体" w:hAnsi="宋体" w:eastAsia="宋体" w:cs="宋体"/>
                <w:b w:val="0"/>
                <w:i w:val="0"/>
                <w:sz w:val="18"/>
              </w:rPr>
              <w:t>办公用房维修成本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B882A3">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88A0AA">
            <w:pPr>
              <w:spacing w:before="0" w:after="0" w:line="240" w:lineRule="auto"/>
              <w:jc w:val="center"/>
            </w:pPr>
            <w:r>
              <w:rPr>
                <w:rFonts w:ascii="宋体" w:hAnsi="宋体" w:eastAsia="宋体" w:cs="宋体"/>
                <w:b w:val="0"/>
                <w:i w:val="0"/>
                <w:sz w:val="18"/>
              </w:rPr>
              <w:t>&lt;=7.31万元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99FA5A">
            <w:pPr>
              <w:spacing w:before="0" w:after="0" w:line="240" w:lineRule="auto"/>
              <w:jc w:val="center"/>
            </w:pPr>
            <w:r>
              <w:rPr>
                <w:rFonts w:ascii="宋体" w:hAnsi="宋体" w:eastAsia="宋体" w:cs="宋体"/>
                <w:b w:val="0"/>
                <w:i w:val="0"/>
                <w:sz w:val="18"/>
              </w:rPr>
              <w:t>=7.31万元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EEDBB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949C36">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23753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19CCB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680E9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1D442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51C196">
            <w:pPr>
              <w:spacing w:before="0" w:after="0" w:line="240" w:lineRule="auto"/>
              <w:jc w:val="center"/>
            </w:pPr>
          </w:p>
        </w:tc>
      </w:tr>
      <w:tr w14:paraId="25A018E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FA069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03AE9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57B01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7AA09C">
            <w:pPr>
              <w:spacing w:before="0" w:after="0" w:line="240" w:lineRule="auto"/>
              <w:jc w:val="center"/>
            </w:pPr>
            <w:r>
              <w:rPr>
                <w:rFonts w:ascii="宋体" w:hAnsi="宋体" w:eastAsia="宋体" w:cs="宋体"/>
                <w:b w:val="0"/>
                <w:i w:val="0"/>
                <w:sz w:val="18"/>
              </w:rPr>
              <w:t>前期费用成本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31D45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2C78E1">
            <w:pPr>
              <w:spacing w:before="0" w:after="0" w:line="240" w:lineRule="auto"/>
              <w:jc w:val="center"/>
            </w:pPr>
            <w:r>
              <w:rPr>
                <w:rFonts w:ascii="宋体" w:hAnsi="宋体" w:eastAsia="宋体" w:cs="宋体"/>
                <w:b w:val="0"/>
                <w:i w:val="0"/>
                <w:sz w:val="18"/>
              </w:rPr>
              <w:t>&lt;=0.18万元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3ECB99">
            <w:pPr>
              <w:spacing w:before="0" w:after="0" w:line="240" w:lineRule="auto"/>
              <w:jc w:val="center"/>
            </w:pPr>
            <w:r>
              <w:rPr>
                <w:rFonts w:ascii="宋体" w:hAnsi="宋体" w:eastAsia="宋体" w:cs="宋体"/>
                <w:b w:val="0"/>
                <w:i w:val="0"/>
                <w:sz w:val="18"/>
              </w:rPr>
              <w:t>=0.18万元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111D1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205B5B">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B4C23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FA392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14112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60C25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E7A298">
            <w:pPr>
              <w:spacing w:before="0" w:after="0" w:line="240" w:lineRule="auto"/>
              <w:jc w:val="center"/>
            </w:pPr>
          </w:p>
        </w:tc>
      </w:tr>
      <w:tr w14:paraId="30B7C43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7955F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A4241F">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DF55B1">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E7AFCE">
            <w:pPr>
              <w:spacing w:before="0" w:after="0" w:line="240" w:lineRule="auto"/>
              <w:jc w:val="center"/>
            </w:pPr>
            <w:r>
              <w:rPr>
                <w:rFonts w:ascii="宋体" w:hAnsi="宋体" w:eastAsia="宋体" w:cs="宋体"/>
                <w:b w:val="0"/>
                <w:i w:val="0"/>
                <w:sz w:val="18"/>
              </w:rPr>
              <w:t>改善办公环境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13C2E8">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2275D7">
            <w:pPr>
              <w:spacing w:before="0" w:after="0" w:line="240" w:lineRule="auto"/>
              <w:jc w:val="center"/>
            </w:pPr>
            <w:r>
              <w:rPr>
                <w:rFonts w:ascii="宋体" w:hAnsi="宋体" w:eastAsia="宋体" w:cs="宋体"/>
                <w:b w:val="0"/>
                <w:i w:val="0"/>
                <w:sz w:val="18"/>
              </w:rPr>
              <w:t>有效改善</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0CFBBF">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42A9F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A22BC6">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9213D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232F3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4DD760">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6D1D3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9B7A0E">
            <w:pPr>
              <w:spacing w:before="0" w:after="0" w:line="240" w:lineRule="auto"/>
              <w:jc w:val="center"/>
            </w:pPr>
          </w:p>
        </w:tc>
      </w:tr>
      <w:tr w14:paraId="734C1EA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FCC08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397A4E">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1196B0">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856A6A">
            <w:pPr>
              <w:spacing w:before="0" w:after="0" w:line="240" w:lineRule="auto"/>
              <w:jc w:val="center"/>
            </w:pPr>
            <w:r>
              <w:rPr>
                <w:rFonts w:ascii="宋体" w:hAnsi="宋体" w:eastAsia="宋体" w:cs="宋体"/>
                <w:b w:val="0"/>
                <w:i w:val="0"/>
                <w:sz w:val="18"/>
              </w:rPr>
              <w:t>干警满意度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79D4C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A2F345">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51D2ED">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E0699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543C3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6C8D8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9F7C0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257BD3">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BB28A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9C5652">
            <w:pPr>
              <w:spacing w:before="0" w:after="0" w:line="240" w:lineRule="auto"/>
              <w:jc w:val="center"/>
            </w:pPr>
          </w:p>
        </w:tc>
      </w:tr>
      <w:tr w14:paraId="560E7754">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275565B">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EBBAB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DACFF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B5FDA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48A19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269A76">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607C9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9E48E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BF7C1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C01BB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1A2182">
            <w:pPr>
              <w:spacing w:before="0" w:after="0" w:line="240" w:lineRule="auto"/>
              <w:jc w:val="center"/>
            </w:pPr>
          </w:p>
        </w:tc>
      </w:tr>
    </w:tbl>
    <w:p w14:paraId="636D829F">
      <w:r>
        <w:br w:type="page"/>
      </w:r>
    </w:p>
    <w:tbl>
      <w:tblPr>
        <w:tblStyle w:val="8"/>
        <w:tblW w:w="5000" w:type="pct"/>
        <w:tblInd w:w="0" w:type="dxa"/>
        <w:tblLayout w:type="autofit"/>
        <w:tblCellMar>
          <w:top w:w="36" w:type="dxa"/>
          <w:left w:w="36" w:type="dxa"/>
          <w:bottom w:w="36" w:type="dxa"/>
          <w:right w:w="36" w:type="dxa"/>
        </w:tblCellMar>
      </w:tblPr>
      <w:tblGrid>
        <w:gridCol w:w="539"/>
        <w:gridCol w:w="539"/>
        <w:gridCol w:w="539"/>
        <w:gridCol w:w="567"/>
        <w:gridCol w:w="593"/>
        <w:gridCol w:w="702"/>
        <w:gridCol w:w="612"/>
        <w:gridCol w:w="612"/>
        <w:gridCol w:w="612"/>
        <w:gridCol w:w="547"/>
        <w:gridCol w:w="544"/>
        <w:gridCol w:w="558"/>
        <w:gridCol w:w="550"/>
        <w:gridCol w:w="792"/>
      </w:tblGrid>
      <w:tr w14:paraId="10C0005D">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68D8706">
            <w:pPr>
              <w:spacing w:before="0" w:after="0" w:line="240" w:lineRule="auto"/>
              <w:jc w:val="center"/>
            </w:pPr>
            <w:r>
              <w:rPr>
                <w:rFonts w:ascii="宋体" w:hAnsi="宋体" w:eastAsia="宋体" w:cs="宋体"/>
                <w:b/>
                <w:i w:val="0"/>
                <w:sz w:val="18"/>
              </w:rPr>
              <w:t>项目支出绩效自评表</w:t>
            </w:r>
          </w:p>
        </w:tc>
      </w:tr>
      <w:tr w14:paraId="597C0CD4">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EDDA96F">
            <w:pPr>
              <w:spacing w:before="0" w:after="0" w:line="240" w:lineRule="auto"/>
              <w:jc w:val="center"/>
            </w:pPr>
            <w:r>
              <w:rPr>
                <w:rFonts w:ascii="宋体" w:hAnsi="宋体" w:eastAsia="宋体" w:cs="宋体"/>
                <w:b w:val="0"/>
                <w:i w:val="0"/>
                <w:sz w:val="18"/>
              </w:rPr>
              <w:t>(2025年度)</w:t>
            </w:r>
          </w:p>
        </w:tc>
      </w:tr>
      <w:tr w14:paraId="2EC67E13">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151083">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B1A4654">
            <w:pPr>
              <w:spacing w:before="0" w:after="0" w:line="240" w:lineRule="auto"/>
              <w:jc w:val="center"/>
            </w:pPr>
            <w:r>
              <w:rPr>
                <w:rFonts w:ascii="宋体" w:hAnsi="宋体" w:eastAsia="宋体" w:cs="宋体"/>
                <w:b w:val="0"/>
                <w:i w:val="0"/>
                <w:sz w:val="18"/>
              </w:rPr>
              <w:t>奇台县人民检察机关运行补助资金（自有资金）</w:t>
            </w:r>
          </w:p>
        </w:tc>
      </w:tr>
      <w:tr w14:paraId="64C29863">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013D9B">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74901DF">
            <w:pPr>
              <w:spacing w:before="0" w:after="0" w:line="240" w:lineRule="auto"/>
              <w:jc w:val="center"/>
            </w:pPr>
            <w:r>
              <w:rPr>
                <w:rFonts w:ascii="宋体" w:hAnsi="宋体" w:eastAsia="宋体" w:cs="宋体"/>
                <w:b w:val="0"/>
                <w:i w:val="0"/>
                <w:sz w:val="18"/>
              </w:rPr>
              <w:t>奇台县人民检察院</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06100C">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9251C20">
            <w:pPr>
              <w:spacing w:before="0" w:after="0" w:line="240" w:lineRule="auto"/>
              <w:jc w:val="center"/>
            </w:pPr>
            <w:r>
              <w:rPr>
                <w:rFonts w:ascii="宋体" w:hAnsi="宋体" w:eastAsia="宋体" w:cs="宋体"/>
                <w:b w:val="0"/>
                <w:i w:val="0"/>
                <w:sz w:val="18"/>
              </w:rPr>
              <w:t>奇台县人民检察院</w:t>
            </w:r>
          </w:p>
        </w:tc>
      </w:tr>
      <w:tr w14:paraId="72E640ED">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E7020B">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796966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EBBB8E">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2289460">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D1129D">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A67BAD6">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A9D4FF7">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32627A">
            <w:pPr>
              <w:spacing w:before="0" w:after="0" w:line="240" w:lineRule="auto"/>
              <w:jc w:val="center"/>
            </w:pPr>
            <w:r>
              <w:rPr>
                <w:rFonts w:ascii="宋体" w:hAnsi="宋体" w:eastAsia="宋体" w:cs="宋体"/>
                <w:b/>
                <w:i w:val="0"/>
                <w:sz w:val="18"/>
              </w:rPr>
              <w:t>得分</w:t>
            </w:r>
          </w:p>
        </w:tc>
      </w:tr>
      <w:tr w14:paraId="17D9F44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7DA4B06"/>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9814F7">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8653C6">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32B5CC">
            <w:pPr>
              <w:spacing w:before="0" w:after="0" w:line="240" w:lineRule="auto"/>
              <w:jc w:val="center"/>
            </w:pPr>
            <w:r>
              <w:rPr>
                <w:rFonts w:ascii="宋体" w:hAnsi="宋体" w:eastAsia="宋体" w:cs="宋体"/>
                <w:b w:val="0"/>
                <w:i w:val="0"/>
                <w:sz w:val="18"/>
              </w:rPr>
              <w:t>29.01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16CFE4">
            <w:pPr>
              <w:spacing w:before="0" w:after="0" w:line="240" w:lineRule="auto"/>
              <w:jc w:val="center"/>
            </w:pPr>
            <w:r>
              <w:rPr>
                <w:rFonts w:ascii="宋体" w:hAnsi="宋体" w:eastAsia="宋体" w:cs="宋体"/>
                <w:b w:val="0"/>
                <w:i w:val="0"/>
                <w:sz w:val="18"/>
              </w:rPr>
              <w:t>29.01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A4C2373">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8BCCF25">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F8FBAB">
            <w:pPr>
              <w:spacing w:before="0" w:after="0" w:line="240" w:lineRule="auto"/>
              <w:jc w:val="center"/>
            </w:pPr>
            <w:r>
              <w:rPr>
                <w:rFonts w:ascii="宋体" w:hAnsi="宋体" w:eastAsia="宋体" w:cs="宋体"/>
                <w:b w:val="0"/>
                <w:i w:val="0"/>
                <w:sz w:val="18"/>
              </w:rPr>
              <w:t>10</w:t>
            </w:r>
          </w:p>
        </w:tc>
      </w:tr>
      <w:tr w14:paraId="646BD34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0BCABA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FBECD2">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E2255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927FA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8B522D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3A4CC72">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8E524F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F6D617">
            <w:pPr>
              <w:spacing w:before="0" w:after="0" w:line="240" w:lineRule="auto"/>
              <w:jc w:val="center"/>
            </w:pPr>
            <w:r>
              <w:rPr>
                <w:rFonts w:ascii="宋体" w:hAnsi="宋体" w:eastAsia="宋体" w:cs="宋体"/>
                <w:b w:val="0"/>
                <w:i w:val="0"/>
                <w:sz w:val="18"/>
              </w:rPr>
              <w:t>—</w:t>
            </w:r>
          </w:p>
        </w:tc>
      </w:tr>
      <w:tr w14:paraId="469113E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59CCD6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F99450">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74E5DF">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063828">
            <w:pPr>
              <w:spacing w:before="0" w:after="0" w:line="240" w:lineRule="auto"/>
              <w:jc w:val="center"/>
            </w:pPr>
            <w:r>
              <w:rPr>
                <w:rFonts w:ascii="宋体" w:hAnsi="宋体" w:eastAsia="宋体" w:cs="宋体"/>
                <w:b w:val="0"/>
                <w:i w:val="0"/>
                <w:sz w:val="18"/>
              </w:rPr>
              <w:t>29.01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31D1DB">
            <w:pPr>
              <w:spacing w:before="0" w:after="0" w:line="240" w:lineRule="auto"/>
              <w:jc w:val="center"/>
            </w:pPr>
            <w:r>
              <w:rPr>
                <w:rFonts w:ascii="宋体" w:hAnsi="宋体" w:eastAsia="宋体" w:cs="宋体"/>
                <w:b w:val="0"/>
                <w:i w:val="0"/>
                <w:sz w:val="18"/>
              </w:rPr>
              <w:t>29.01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C21FA2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1EA48A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6AF89F">
            <w:pPr>
              <w:spacing w:before="0" w:after="0" w:line="240" w:lineRule="auto"/>
              <w:jc w:val="center"/>
            </w:pPr>
            <w:r>
              <w:rPr>
                <w:rFonts w:ascii="宋体" w:hAnsi="宋体" w:eastAsia="宋体" w:cs="宋体"/>
                <w:b w:val="0"/>
                <w:i w:val="0"/>
                <w:sz w:val="18"/>
              </w:rPr>
              <w:t>—</w:t>
            </w:r>
          </w:p>
        </w:tc>
      </w:tr>
      <w:tr w14:paraId="4523ECB8">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72DED2">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CF80DF0">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2E683AA8">
            <w:pPr>
              <w:spacing w:before="0" w:after="0" w:line="240" w:lineRule="auto"/>
              <w:jc w:val="center"/>
            </w:pPr>
            <w:r>
              <w:rPr>
                <w:rFonts w:ascii="宋体" w:hAnsi="宋体" w:eastAsia="宋体" w:cs="宋体"/>
                <w:b/>
                <w:i w:val="0"/>
                <w:sz w:val="18"/>
              </w:rPr>
              <w:t>实际完成情况</w:t>
            </w:r>
          </w:p>
        </w:tc>
      </w:tr>
      <w:tr w14:paraId="4F0F0692">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628BB8"/>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FC4C0C1">
            <w:pPr>
              <w:spacing w:before="0" w:after="0" w:line="240" w:lineRule="auto"/>
              <w:jc w:val="center"/>
            </w:pPr>
            <w:r>
              <w:rPr>
                <w:rFonts w:ascii="宋体" w:hAnsi="宋体" w:eastAsia="宋体" w:cs="宋体"/>
                <w:b w:val="0"/>
                <w:i w:val="0"/>
                <w:sz w:val="18"/>
              </w:rPr>
              <w:t>按照我院工作实际需求，机关运行补助资金29.01万元，计划用于保障办案人员超过45人，购买办公设备大于等于3个，采购设备验收合格率达到100%，经费支付及时率达到100%，保障单位正常运转，提高工作效率，干警满意度大于等于80%，通过该项目的实施能保障单位机关正常运行，提高检察干警综合素养、提高工作效率，推进基层院建设、助力脱薄争先的重要举措。</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CAEAC7A">
            <w:pPr>
              <w:spacing w:before="0" w:after="0" w:line="240" w:lineRule="auto"/>
              <w:jc w:val="center"/>
            </w:pPr>
            <w:r>
              <w:rPr>
                <w:rFonts w:ascii="宋体" w:hAnsi="宋体" w:eastAsia="宋体" w:cs="宋体"/>
                <w:b w:val="0"/>
                <w:i w:val="0"/>
                <w:sz w:val="18"/>
              </w:rPr>
              <w:t>截至2025年12月31日，本项目支出资金29.01万元，资金执行率100%，本项目实际完成经费保障人员数50人，购买设备3个，采购设备验收合格率达到100%，经费支付及时率达到100%，干警满意度达到90%；通过本项目的实施，提升了单位办公环境和条件，促进了经费使用效率的最大化，为机关工作的顺利开展提供了坚实的物质保障。</w:t>
            </w:r>
          </w:p>
        </w:tc>
      </w:tr>
      <w:tr w14:paraId="01CA0E6B">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B98E63">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68DBB90">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EC4201">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E047C2">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BD95D36">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19CC7A">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90EEDD">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343FD06">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CD961B8">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92BC36">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3A3E1B1">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7A6457F">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CCB62B">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FC0616">
            <w:pPr>
              <w:keepNext/>
              <w:spacing w:before="0" w:after="0" w:line="240" w:lineRule="auto"/>
              <w:jc w:val="center"/>
            </w:pPr>
            <w:r>
              <w:rPr>
                <w:rFonts w:ascii="宋体" w:hAnsi="宋体" w:eastAsia="宋体" w:cs="宋体"/>
                <w:b/>
                <w:i w:val="0"/>
                <w:sz w:val="18"/>
              </w:rPr>
              <w:t>偏差原因分析及改进措施</w:t>
            </w:r>
          </w:p>
        </w:tc>
      </w:tr>
      <w:tr w14:paraId="124541AB">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F59EA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A4FF3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83B5E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42EF6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176F1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0DAD4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1C4FF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C7636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39653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CBA5F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E3377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9E54A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062B8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1E7EB0"/>
        </w:tc>
      </w:tr>
      <w:tr w14:paraId="6B69E727">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E4BACF">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307873B">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05FC98">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780B62">
            <w:pPr>
              <w:spacing w:before="0" w:after="0" w:line="240" w:lineRule="auto"/>
              <w:jc w:val="center"/>
            </w:pPr>
            <w:r>
              <w:rPr>
                <w:rFonts w:ascii="宋体" w:hAnsi="宋体" w:eastAsia="宋体" w:cs="宋体"/>
                <w:b w:val="0"/>
                <w:i w:val="0"/>
                <w:sz w:val="18"/>
              </w:rPr>
              <w:t>保障人员数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A4282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515F3A">
            <w:pPr>
              <w:spacing w:before="0" w:after="0" w:line="240" w:lineRule="auto"/>
              <w:jc w:val="center"/>
            </w:pPr>
            <w:r>
              <w:rPr>
                <w:rFonts w:ascii="宋体" w:hAnsi="宋体" w:eastAsia="宋体" w:cs="宋体"/>
                <w:b w:val="0"/>
                <w:i w:val="0"/>
                <w:sz w:val="18"/>
              </w:rPr>
              <w:t>&gt;=45人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0ADF2D">
            <w:pPr>
              <w:spacing w:before="0" w:after="0" w:line="240" w:lineRule="auto"/>
              <w:jc w:val="center"/>
            </w:pPr>
            <w:r>
              <w:rPr>
                <w:rFonts w:ascii="宋体" w:hAnsi="宋体" w:eastAsia="宋体" w:cs="宋体"/>
                <w:b w:val="0"/>
                <w:i w:val="0"/>
                <w:sz w:val="18"/>
              </w:rPr>
              <w:t>=45人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9C22A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F9F20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04F15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2286D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B708E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3AC87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5859A9">
            <w:pPr>
              <w:spacing w:before="0" w:after="0" w:line="240" w:lineRule="auto"/>
              <w:jc w:val="center"/>
            </w:pPr>
            <w:r>
              <w:rPr>
                <w:rFonts w:ascii="宋体" w:hAnsi="宋体" w:eastAsia="宋体" w:cs="宋体"/>
                <w:b w:val="0"/>
                <w:i w:val="0"/>
                <w:sz w:val="18"/>
              </w:rPr>
              <w:t>此项指标已完成，存在偏差，偏差率为11.11%，偏差原因为：我院2025年新招录公务员5人，保障人数增加，超出预期，故产生偏差；下一年度改进措施：精准设置目标值。</w:t>
            </w:r>
          </w:p>
        </w:tc>
      </w:tr>
      <w:tr w14:paraId="704BDED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8B233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7D540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DDCC3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E3E88E">
            <w:pPr>
              <w:spacing w:before="0" w:after="0" w:line="240" w:lineRule="auto"/>
              <w:jc w:val="center"/>
            </w:pPr>
            <w:r>
              <w:rPr>
                <w:rFonts w:ascii="宋体" w:hAnsi="宋体" w:eastAsia="宋体" w:cs="宋体"/>
                <w:b w:val="0"/>
                <w:i w:val="0"/>
                <w:sz w:val="18"/>
              </w:rPr>
              <w:t>购买设备数量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FE7CF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35E0D6">
            <w:pPr>
              <w:spacing w:before="0" w:after="0" w:line="240" w:lineRule="auto"/>
              <w:jc w:val="center"/>
            </w:pPr>
            <w:r>
              <w:rPr>
                <w:rFonts w:ascii="宋体" w:hAnsi="宋体" w:eastAsia="宋体" w:cs="宋体"/>
                <w:b w:val="0"/>
                <w:i w:val="0"/>
                <w:sz w:val="18"/>
              </w:rPr>
              <w:t>&gt;=3个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586F2F">
            <w:pPr>
              <w:spacing w:before="0" w:after="0" w:line="240" w:lineRule="auto"/>
              <w:jc w:val="center"/>
            </w:pPr>
            <w:r>
              <w:rPr>
                <w:rFonts w:ascii="宋体" w:hAnsi="宋体" w:eastAsia="宋体" w:cs="宋体"/>
                <w:b w:val="0"/>
                <w:i w:val="0"/>
                <w:sz w:val="18"/>
              </w:rPr>
              <w:t>=3个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76782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50CFE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BBE9E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B9F66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13DEB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F9B17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E98DB2">
            <w:pPr>
              <w:spacing w:before="0" w:after="0" w:line="240" w:lineRule="auto"/>
              <w:jc w:val="center"/>
            </w:pPr>
          </w:p>
        </w:tc>
      </w:tr>
      <w:tr w14:paraId="6C5ADCC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5297B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9D909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7F8E7A">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F6B2E1">
            <w:pPr>
              <w:spacing w:before="0" w:after="0" w:line="240" w:lineRule="auto"/>
              <w:jc w:val="center"/>
            </w:pPr>
            <w:r>
              <w:rPr>
                <w:rFonts w:ascii="宋体" w:hAnsi="宋体" w:eastAsia="宋体" w:cs="宋体"/>
                <w:b w:val="0"/>
                <w:i w:val="0"/>
                <w:sz w:val="18"/>
              </w:rPr>
              <w:t>采购设备验收合格率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240F3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2D9D5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6298B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88E2C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EF521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7731D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D3543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23573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F163B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2D31A5">
            <w:pPr>
              <w:spacing w:before="0" w:after="0" w:line="240" w:lineRule="auto"/>
              <w:jc w:val="center"/>
            </w:pPr>
          </w:p>
        </w:tc>
      </w:tr>
      <w:tr w14:paraId="442FDCC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7AD38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64979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BC7C6B">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B61A9E">
            <w:pPr>
              <w:spacing w:before="0" w:after="0" w:line="240" w:lineRule="auto"/>
              <w:jc w:val="center"/>
            </w:pPr>
            <w:r>
              <w:rPr>
                <w:rFonts w:ascii="宋体" w:hAnsi="宋体" w:eastAsia="宋体" w:cs="宋体"/>
                <w:b w:val="0"/>
                <w:i w:val="0"/>
                <w:sz w:val="18"/>
              </w:rPr>
              <w:t>经费支付及时率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754A4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7E71A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BF326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FC2CC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A2DF0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BC4F1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90767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52278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EE98B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2E3978">
            <w:pPr>
              <w:spacing w:before="0" w:after="0" w:line="240" w:lineRule="auto"/>
              <w:jc w:val="center"/>
            </w:pPr>
          </w:p>
        </w:tc>
      </w:tr>
      <w:tr w14:paraId="2C5DF2C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309EA6"/>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0B8185">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1C21E3">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768880">
            <w:pPr>
              <w:spacing w:before="0" w:after="0" w:line="240" w:lineRule="auto"/>
              <w:jc w:val="center"/>
            </w:pPr>
            <w:r>
              <w:rPr>
                <w:rFonts w:ascii="宋体" w:hAnsi="宋体" w:eastAsia="宋体" w:cs="宋体"/>
                <w:b w:val="0"/>
                <w:i w:val="0"/>
                <w:sz w:val="18"/>
              </w:rPr>
              <w:t>购买设备支出成本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1C5D27">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77DF4A">
            <w:pPr>
              <w:spacing w:before="0" w:after="0" w:line="240" w:lineRule="auto"/>
              <w:jc w:val="center"/>
            </w:pPr>
            <w:r>
              <w:rPr>
                <w:rFonts w:ascii="宋体" w:hAnsi="宋体" w:eastAsia="宋体" w:cs="宋体"/>
                <w:b w:val="0"/>
                <w:i w:val="0"/>
                <w:sz w:val="18"/>
              </w:rPr>
              <w:t>&lt;=1.62万元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365890">
            <w:pPr>
              <w:spacing w:before="0" w:after="0" w:line="240" w:lineRule="auto"/>
              <w:jc w:val="center"/>
            </w:pPr>
            <w:r>
              <w:rPr>
                <w:rFonts w:ascii="宋体" w:hAnsi="宋体" w:eastAsia="宋体" w:cs="宋体"/>
                <w:b w:val="0"/>
                <w:i w:val="0"/>
                <w:sz w:val="18"/>
              </w:rPr>
              <w:t>=1.62万元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6F7A8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903778">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5A894E">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4582E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6D042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02E0F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C29F09">
            <w:pPr>
              <w:spacing w:before="0" w:after="0" w:line="240" w:lineRule="auto"/>
              <w:jc w:val="center"/>
            </w:pPr>
          </w:p>
        </w:tc>
      </w:tr>
      <w:tr w14:paraId="4E28865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EC328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1698E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25F5D9">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71F2EA">
            <w:pPr>
              <w:spacing w:before="0" w:after="0" w:line="240" w:lineRule="auto"/>
              <w:jc w:val="center"/>
            </w:pPr>
            <w:r>
              <w:rPr>
                <w:rFonts w:ascii="宋体" w:hAnsi="宋体" w:eastAsia="宋体" w:cs="宋体"/>
                <w:b w:val="0"/>
                <w:i w:val="0"/>
                <w:sz w:val="18"/>
              </w:rPr>
              <w:t>业务经费支出成本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F5806B">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F0CFE2">
            <w:pPr>
              <w:spacing w:before="0" w:after="0" w:line="240" w:lineRule="auto"/>
              <w:jc w:val="center"/>
            </w:pPr>
            <w:r>
              <w:rPr>
                <w:rFonts w:ascii="宋体" w:hAnsi="宋体" w:eastAsia="宋体" w:cs="宋体"/>
                <w:b w:val="0"/>
                <w:i w:val="0"/>
                <w:sz w:val="18"/>
              </w:rPr>
              <w:t>&lt;=27.39万元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03D516">
            <w:pPr>
              <w:spacing w:before="0" w:after="0" w:line="240" w:lineRule="auto"/>
              <w:jc w:val="center"/>
            </w:pPr>
            <w:r>
              <w:rPr>
                <w:rFonts w:ascii="宋体" w:hAnsi="宋体" w:eastAsia="宋体" w:cs="宋体"/>
                <w:b w:val="0"/>
                <w:i w:val="0"/>
                <w:sz w:val="18"/>
              </w:rPr>
              <w:t>=27.39万元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41BBA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949B53">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CB08BA">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163FD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20FC5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1B7B8F">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623971">
            <w:pPr>
              <w:spacing w:before="0" w:after="0" w:line="240" w:lineRule="auto"/>
              <w:jc w:val="center"/>
            </w:pPr>
          </w:p>
        </w:tc>
      </w:tr>
      <w:tr w14:paraId="4DC1BB6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54444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FD8938">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6D0B24">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29825F">
            <w:pPr>
              <w:spacing w:before="0" w:after="0" w:line="240" w:lineRule="auto"/>
              <w:jc w:val="center"/>
            </w:pPr>
            <w:r>
              <w:rPr>
                <w:rFonts w:ascii="宋体" w:hAnsi="宋体" w:eastAsia="宋体" w:cs="宋体"/>
                <w:b w:val="0"/>
                <w:i w:val="0"/>
                <w:sz w:val="18"/>
              </w:rPr>
              <w:t>保障单位正常运转，提高工作效率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011B4C">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8EF03D">
            <w:pPr>
              <w:spacing w:before="0" w:after="0" w:line="240" w:lineRule="auto"/>
              <w:jc w:val="center"/>
            </w:pPr>
            <w:r>
              <w:rPr>
                <w:rFonts w:ascii="宋体" w:hAnsi="宋体" w:eastAsia="宋体" w:cs="宋体"/>
                <w:b w:val="0"/>
                <w:i w:val="0"/>
                <w:sz w:val="18"/>
              </w:rPr>
              <w:t>有效保障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2EE2FF">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5F1CF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02E98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68CE1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6083F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4CEE08">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0F1ED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DF70A0">
            <w:pPr>
              <w:spacing w:before="0" w:after="0" w:line="240" w:lineRule="auto"/>
              <w:jc w:val="center"/>
            </w:pPr>
          </w:p>
        </w:tc>
      </w:tr>
      <w:tr w14:paraId="35AC6D0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7621C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A6FA87">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9F93D3">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8014CA">
            <w:pPr>
              <w:spacing w:before="0" w:after="0" w:line="240" w:lineRule="auto"/>
              <w:jc w:val="center"/>
            </w:pPr>
            <w:r>
              <w:rPr>
                <w:rFonts w:ascii="宋体" w:hAnsi="宋体" w:eastAsia="宋体" w:cs="宋体"/>
                <w:b w:val="0"/>
                <w:i w:val="0"/>
                <w:sz w:val="18"/>
              </w:rPr>
              <w:t>干警满意度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50250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970D74">
            <w:pPr>
              <w:spacing w:before="0" w:after="0" w:line="240" w:lineRule="auto"/>
              <w:jc w:val="center"/>
            </w:pPr>
            <w:r>
              <w:rPr>
                <w:rFonts w:ascii="宋体" w:hAnsi="宋体" w:eastAsia="宋体" w:cs="宋体"/>
                <w:b w:val="0"/>
                <w:i w:val="0"/>
                <w:sz w:val="18"/>
              </w:rPr>
              <w:t>&gt;=80%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7D076F">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9B5BC5">
            <w:pPr>
              <w:spacing w:before="0" w:after="0" w:line="240" w:lineRule="auto"/>
              <w:jc w:val="center"/>
            </w:pPr>
            <w:r>
              <w:rPr>
                <w:rFonts w:ascii="宋体" w:hAnsi="宋体" w:eastAsia="宋体" w:cs="宋体"/>
                <w:b w:val="0"/>
                <w:i w:val="0"/>
                <w:sz w:val="18"/>
              </w:rPr>
              <w:t>112.5%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C2B0C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10E5B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218A2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1CF114">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351A6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FDEF82">
            <w:pPr>
              <w:spacing w:before="0" w:after="0" w:line="240" w:lineRule="auto"/>
              <w:jc w:val="center"/>
            </w:pPr>
            <w:r>
              <w:rPr>
                <w:rFonts w:ascii="宋体" w:hAnsi="宋体" w:eastAsia="宋体" w:cs="宋体"/>
                <w:b w:val="0"/>
                <w:i w:val="0"/>
                <w:sz w:val="18"/>
              </w:rPr>
              <w:t>此项指标已完成，存在偏差，偏差率为12.5%，偏差原因为：项目实施进度快，质量高，得到广大职工的好评，满意度较高，超出预期，故产生偏差；下一年度改进措施：精准设置目标值。</w:t>
            </w:r>
          </w:p>
        </w:tc>
      </w:tr>
      <w:tr w14:paraId="4F3EB0B2">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D4B5FB8">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EF41A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F7AE8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6F863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74C12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3AD437">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6B875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A014C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18013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BE1F3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827128">
            <w:pPr>
              <w:spacing w:before="0" w:after="0" w:line="240" w:lineRule="auto"/>
              <w:jc w:val="center"/>
            </w:pPr>
          </w:p>
        </w:tc>
      </w:tr>
    </w:tbl>
    <w:p w14:paraId="2F5C47AA">
      <w:r>
        <w:br w:type="page"/>
      </w:r>
    </w:p>
    <w:p w14:paraId="74159B91">
      <w:pPr>
        <w:sectPr>
          <w:type w:val="continuous"/>
          <w:pgSz w:w="11906" w:h="16838"/>
          <w:pgMar w:top="1440" w:right="1800" w:bottom="1440" w:left="1800" w:header="851" w:footer="992" w:gutter="0"/>
          <w:cols w:space="720" w:num="1"/>
          <w:docGrid w:type="lines" w:linePitch="312" w:charSpace="0"/>
        </w:sectPr>
      </w:pPr>
    </w:p>
    <w:p w14:paraId="180D146E">
      <w:pPr>
        <w:spacing w:line="640" w:lineRule="exact"/>
        <w:ind w:firstLine="640"/>
        <w:jc w:val="both"/>
        <w:outlineLvl w:val="2"/>
      </w:pPr>
      <w:r>
        <w:rPr>
          <w:rFonts w:ascii="黑体" w:hAnsi="黑体" w:eastAsia="黑体"/>
          <w:sz w:val="32"/>
        </w:rPr>
        <w:t>十二、其他需说明的事项</w:t>
      </w:r>
    </w:p>
    <w:p w14:paraId="010B807E">
      <w:pPr>
        <w:spacing w:line="580" w:lineRule="exact"/>
        <w:ind w:firstLine="640"/>
        <w:jc w:val="both"/>
      </w:pPr>
      <w:r>
        <w:rPr>
          <w:rFonts w:ascii="仿宋_GB2312" w:hAnsi="仿宋_GB2312" w:eastAsia="仿宋_GB2312"/>
          <w:b w:val="0"/>
          <w:sz w:val="32"/>
        </w:rPr>
        <w:t>本年本单位其他项目4个，全年预算数279.85万元，全年执行数279.85万元。</w:t>
      </w:r>
    </w:p>
    <w:p w14:paraId="2B4E8C23">
      <w:r>
        <w:br w:type="page"/>
      </w:r>
    </w:p>
    <w:p w14:paraId="05DF121E">
      <w:pPr>
        <w:spacing w:line="600" w:lineRule="exact"/>
        <w:jc w:val="center"/>
        <w:outlineLvl w:val="0"/>
      </w:pPr>
      <w:r>
        <w:rPr>
          <w:rFonts w:ascii="黑体" w:hAnsi="黑体" w:eastAsia="黑体"/>
          <w:sz w:val="32"/>
        </w:rPr>
        <w:t>第三部分 专业名词解释</w:t>
      </w:r>
    </w:p>
    <w:p w14:paraId="57A37E4A">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202F3BF2">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4C5C12E5">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7A68AA6F">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5D7CD608">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56C5A658">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46DA5D90">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38A617B3">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6BF4F5E0">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3391D9DF">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16DDF896">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739609C6">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11744B4C">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074D9EE9">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3A45DE96">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0F592792">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332FEA1E">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0DC1FC37">
      <w:r>
        <w:br w:type="page"/>
      </w:r>
    </w:p>
    <w:p w14:paraId="26404709">
      <w:pPr>
        <w:spacing w:line="240" w:lineRule="auto"/>
        <w:jc w:val="center"/>
        <w:outlineLvl w:val="1"/>
      </w:pPr>
      <w:r>
        <w:rPr>
          <w:rFonts w:ascii="黑体" w:hAnsi="黑体" w:eastAsia="黑体"/>
          <w:sz w:val="32"/>
        </w:rPr>
        <w:t>第四部分 部门决算报表（见附表）</w:t>
      </w:r>
    </w:p>
    <w:p w14:paraId="2AD03CC9">
      <w:pPr>
        <w:autoSpaceDE w:val="0"/>
        <w:autoSpaceDN w:val="0"/>
        <w:spacing w:line="600" w:lineRule="exact"/>
        <w:ind w:firstLine="640" w:firstLineChars="200"/>
      </w:pPr>
      <w:r>
        <w:rPr>
          <w:rFonts w:ascii="仿宋_GB2312" w:hAnsi="仿宋_GB2312" w:eastAsia="仿宋_GB2312"/>
          <w:b w:val="0"/>
          <w:sz w:val="32"/>
        </w:rPr>
        <w:t>一、《收入支出决算总表》</w:t>
      </w:r>
    </w:p>
    <w:p w14:paraId="2943FE82">
      <w:pPr>
        <w:autoSpaceDE w:val="0"/>
        <w:autoSpaceDN w:val="0"/>
        <w:spacing w:line="600" w:lineRule="exact"/>
        <w:ind w:firstLine="640" w:firstLineChars="200"/>
      </w:pPr>
      <w:r>
        <w:rPr>
          <w:rFonts w:ascii="仿宋_GB2312" w:hAnsi="仿宋_GB2312" w:eastAsia="仿宋_GB2312"/>
          <w:b w:val="0"/>
          <w:sz w:val="32"/>
        </w:rPr>
        <w:t>二、《收入决算表》</w:t>
      </w:r>
    </w:p>
    <w:p w14:paraId="69382BF7">
      <w:pPr>
        <w:autoSpaceDE w:val="0"/>
        <w:autoSpaceDN w:val="0"/>
        <w:spacing w:line="600" w:lineRule="exact"/>
        <w:ind w:firstLine="640" w:firstLineChars="200"/>
      </w:pPr>
      <w:r>
        <w:rPr>
          <w:rFonts w:ascii="仿宋_GB2312" w:hAnsi="仿宋_GB2312" w:eastAsia="仿宋_GB2312"/>
          <w:b w:val="0"/>
          <w:sz w:val="32"/>
        </w:rPr>
        <w:t>三、《支出决算表》</w:t>
      </w:r>
    </w:p>
    <w:p w14:paraId="5FCAA7A6">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5DE3225F">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55110C3F">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2C19CC58">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27DCD6A7">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5FDCDAAC">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31A33587">
      <w:pPr>
        <w:autoSpaceDE w:val="0"/>
        <w:autoSpaceDN w:val="0"/>
        <w:spacing w:line="600" w:lineRule="exact"/>
        <w:ind w:firstLine="640" w:firstLineChars="200"/>
      </w:pPr>
    </w:p>
    <w:p w14:paraId="5FD24436">
      <w:pPr>
        <w:autoSpaceDE w:val="0"/>
        <w:autoSpaceDN w:val="0"/>
        <w:spacing w:line="600" w:lineRule="exact"/>
        <w:ind w:firstLine="640" w:firstLineChars="200"/>
      </w:pPr>
    </w:p>
    <w:p w14:paraId="29DF0B08">
      <w:pPr>
        <w:autoSpaceDE w:val="0"/>
        <w:autoSpaceDN w:val="0"/>
        <w:spacing w:line="600" w:lineRule="exact"/>
        <w:ind w:firstLine="640" w:firstLineChars="200"/>
      </w:pPr>
    </w:p>
    <w:p w14:paraId="7E8B9F84">
      <w:pPr>
        <w:autoSpaceDE w:val="0"/>
        <w:autoSpaceDN w:val="0"/>
        <w:spacing w:line="600" w:lineRule="exact"/>
        <w:ind w:firstLine="640" w:firstLineChars="200"/>
      </w:pPr>
    </w:p>
    <w:p w14:paraId="01B19D0B">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FE52B98-16B5-49EC-BB0B-53E831DCF0F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AFF26830-186F-4866-9BBC-D967A687DD46}"/>
  </w:font>
  <w:font w:name="仿宋_GB2312">
    <w:panose1 w:val="02010609030101010101"/>
    <w:charset w:val="86"/>
    <w:family w:val="modern"/>
    <w:pitch w:val="default"/>
    <w:sig w:usb0="00000001" w:usb1="080E0000" w:usb2="00000000" w:usb3="00000000" w:csb0="00040000" w:csb1="00000000"/>
    <w:embedRegular r:id="rId3" w:fontKey="{C3163F0A-1CFF-43D6-B7BD-9F19D2B08BD4}"/>
  </w:font>
  <w:font w:name="楷体_GB2312">
    <w:panose1 w:val="02010609030101010101"/>
    <w:charset w:val="86"/>
    <w:family w:val="auto"/>
    <w:pitch w:val="default"/>
    <w:sig w:usb0="00000001" w:usb1="080E0000" w:usb2="00000000" w:usb3="00000000" w:csb0="00040000" w:csb1="00000000"/>
    <w:embedRegular r:id="rId4" w:fontKey="{9E067BF4-09C2-4C68-AFC5-D218EAA89F8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55088F"/>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26</Pages>
  <Words>21</Words>
  <Characters>24</Characters>
  <Lines>10</Lines>
  <Paragraphs>2</Paragraphs>
  <TotalTime>7</TotalTime>
  <ScaleCrop>false</ScaleCrop>
  <LinksUpToDate>false</LinksUpToDate>
  <CharactersWithSpaces>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小麦啾</cp:lastModifiedBy>
  <cp:lastPrinted>2024-07-22T11:58:00Z</cp:lastPrinted>
  <dcterms:modified xsi:type="dcterms:W3CDTF">2026-10-15T11:00:32Z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eyJoZGlkIjoiM2Q5NDlmNDc3N2ZkYzk3ZGJmOTUwNTM0Mzc5MTVlNDMiLCJ1c2VySWQiOiIzMjQ5NjUzODcifQ==</vt:lpwstr>
  </property>
</Properties>
</file>