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呼图壁县人民检察院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86D1372">
      <w:r>
        <w:br w:type="page"/>
      </w:r>
    </w:p>
    <w:p w14:paraId="0BA130C6">
      <w:pPr>
        <w:spacing w:line="640" w:lineRule="exact"/>
        <w:jc w:val="center"/>
        <w:outlineLvl w:val="1"/>
      </w:pPr>
      <w:r>
        <w:rPr>
          <w:rFonts w:ascii="黑体" w:hAnsi="黑体" w:eastAsia="黑体"/>
          <w:sz w:val="32"/>
        </w:rPr>
        <w:t>第一部分 单位概况</w:t>
      </w:r>
    </w:p>
    <w:p w14:paraId="7710C240">
      <w:pPr>
        <w:spacing w:line="640" w:lineRule="exact"/>
        <w:ind w:firstLine="640"/>
        <w:jc w:val="both"/>
        <w:outlineLvl w:val="2"/>
      </w:pPr>
      <w:r>
        <w:rPr>
          <w:rFonts w:ascii="黑体" w:hAnsi="黑体" w:eastAsia="黑体"/>
          <w:sz w:val="32"/>
        </w:rPr>
        <w:t>一、主要职能</w:t>
      </w:r>
    </w:p>
    <w:p w14:paraId="53EED18F">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长治久安总目标，统一全院检察人员思想和行动，坚持党对检察工作的绝对领导，坚决维护习近平总书记的核心地位，坚决维护党中央权威和集中统一领导。</w:t>
      </w:r>
    </w:p>
    <w:p w14:paraId="2028E803">
      <w:pPr>
        <w:spacing w:line="580" w:lineRule="exact"/>
        <w:ind w:firstLine="640"/>
        <w:jc w:val="both"/>
      </w:pPr>
      <w:r>
        <w:rPr>
          <w:rFonts w:ascii="仿宋_GB2312" w:hAnsi="仿宋_GB2312" w:eastAsia="仿宋_GB2312"/>
          <w:sz w:val="32"/>
        </w:rPr>
        <w:t>（二）依法向呼图壁县人民代表大会及其常务委员会提出议案。</w:t>
      </w:r>
    </w:p>
    <w:p w14:paraId="02156981">
      <w:pPr>
        <w:spacing w:line="580" w:lineRule="exact"/>
        <w:ind w:firstLine="640"/>
        <w:jc w:val="both"/>
      </w:pPr>
      <w:r>
        <w:rPr>
          <w:rFonts w:ascii="仿宋_GB2312" w:hAnsi="仿宋_GB2312" w:eastAsia="仿宋_GB2312"/>
          <w:sz w:val="32"/>
        </w:rPr>
        <w:t>（三）贯彻落实检察工作方针、总体规划，完成检察工作任务。</w:t>
      </w:r>
    </w:p>
    <w:p w14:paraId="286F0524">
      <w:pPr>
        <w:spacing w:line="580" w:lineRule="exact"/>
        <w:ind w:firstLine="640"/>
        <w:jc w:val="both"/>
      </w:pPr>
      <w:r>
        <w:rPr>
          <w:rFonts w:ascii="仿宋_GB2312" w:hAnsi="仿宋_GB2312" w:eastAsia="仿宋_GB2312"/>
          <w:sz w:val="32"/>
        </w:rPr>
        <w:t>（四）依法开展对刑事犯罪案件的审查批准逮捕、决定逮捕、审查起诉工作。</w:t>
      </w:r>
    </w:p>
    <w:p w14:paraId="0EB5537B">
      <w:pPr>
        <w:spacing w:line="580" w:lineRule="exact"/>
        <w:ind w:firstLine="640"/>
        <w:jc w:val="both"/>
      </w:pPr>
      <w:r>
        <w:rPr>
          <w:rFonts w:ascii="仿宋_GB2312" w:hAnsi="仿宋_GB2312" w:eastAsia="仿宋_GB2312"/>
          <w:sz w:val="32"/>
        </w:rPr>
        <w:t>（五）负责应由呼图壁县人民检察院承办的刑事、民事、行政诉讼活动及刑事、民事、行政判决和裁定等生效法律文书执行的法律监督工作。</w:t>
      </w:r>
    </w:p>
    <w:p w14:paraId="36F27EA2">
      <w:pPr>
        <w:spacing w:line="580" w:lineRule="exact"/>
        <w:ind w:firstLine="640"/>
        <w:jc w:val="both"/>
      </w:pPr>
      <w:r>
        <w:rPr>
          <w:rFonts w:ascii="仿宋_GB2312" w:hAnsi="仿宋_GB2312" w:eastAsia="仿宋_GB2312"/>
          <w:sz w:val="32"/>
        </w:rPr>
        <w:t>（六）负责对呼图壁县基层人民法院已发生法律效力、确有错误的判决和裁定，依法提请昌吉州人民检察院向昌吉州中级人民法院提出抗诉。</w:t>
      </w:r>
    </w:p>
    <w:p w14:paraId="095087B1">
      <w:pPr>
        <w:spacing w:line="580" w:lineRule="exact"/>
        <w:ind w:firstLine="640"/>
        <w:jc w:val="both"/>
      </w:pPr>
      <w:r>
        <w:rPr>
          <w:rFonts w:ascii="仿宋_GB2312" w:hAnsi="仿宋_GB2312" w:eastAsia="仿宋_GB2312"/>
          <w:sz w:val="32"/>
        </w:rPr>
        <w:t>（七）负责应由呼图壁县人民检察院承办的提起公益诉讼工作。</w:t>
      </w:r>
    </w:p>
    <w:p w14:paraId="589F1DD2">
      <w:pPr>
        <w:spacing w:line="580" w:lineRule="exact"/>
        <w:ind w:firstLine="640"/>
        <w:jc w:val="both"/>
      </w:pPr>
      <w:r>
        <w:rPr>
          <w:rFonts w:ascii="仿宋_GB2312" w:hAnsi="仿宋_GB2312" w:eastAsia="仿宋_GB2312"/>
          <w:sz w:val="32"/>
        </w:rPr>
        <w:t>（八）负责应由呼图壁县人民检察院承办的对安置教育机构、看守所、社区矫正机构等执法活动的法律监督工作。</w:t>
      </w:r>
    </w:p>
    <w:p w14:paraId="5BDD3141">
      <w:pPr>
        <w:spacing w:line="580" w:lineRule="exact"/>
        <w:ind w:firstLine="640"/>
        <w:jc w:val="both"/>
      </w:pPr>
      <w:r>
        <w:rPr>
          <w:rFonts w:ascii="仿宋_GB2312" w:hAnsi="仿宋_GB2312" w:eastAsia="仿宋_GB2312"/>
          <w:sz w:val="32"/>
        </w:rPr>
        <w:t>（九）受理向呼图壁县人民检察院的控告申诉，开展控告申诉检察工作。</w:t>
      </w:r>
    </w:p>
    <w:p w14:paraId="0D190DCC">
      <w:pPr>
        <w:spacing w:line="580" w:lineRule="exact"/>
        <w:ind w:firstLine="640"/>
        <w:jc w:val="both"/>
      </w:pPr>
      <w:r>
        <w:rPr>
          <w:rFonts w:ascii="仿宋_GB2312" w:hAnsi="仿宋_GB2312" w:eastAsia="仿宋_GB2312"/>
          <w:sz w:val="32"/>
        </w:rPr>
        <w:t>（十）开展检察应用和理论研究工作。</w:t>
      </w:r>
    </w:p>
    <w:p w14:paraId="4B9BF801">
      <w:pPr>
        <w:spacing w:line="580" w:lineRule="exact"/>
        <w:ind w:firstLine="640"/>
        <w:jc w:val="both"/>
      </w:pPr>
      <w:r>
        <w:rPr>
          <w:rFonts w:ascii="仿宋_GB2312" w:hAnsi="仿宋_GB2312" w:eastAsia="仿宋_GB2312"/>
          <w:sz w:val="32"/>
        </w:rPr>
        <w:t>（十一）负责本院队伍建设和思想政治工作。依法管理检察官及其他检察人员的工作，开展检察机关教育培训工作。</w:t>
      </w:r>
    </w:p>
    <w:p w14:paraId="7483F5F7">
      <w:pPr>
        <w:spacing w:line="580" w:lineRule="exact"/>
        <w:ind w:firstLine="640"/>
        <w:jc w:val="both"/>
      </w:pPr>
      <w:r>
        <w:rPr>
          <w:rFonts w:ascii="仿宋_GB2312" w:hAnsi="仿宋_GB2312" w:eastAsia="仿宋_GB2312"/>
          <w:sz w:val="32"/>
        </w:rPr>
        <w:t>（十二）开展本院检务督察工作。</w:t>
      </w:r>
    </w:p>
    <w:p w14:paraId="6C49FE1B">
      <w:pPr>
        <w:spacing w:line="580" w:lineRule="exact"/>
        <w:ind w:firstLine="640"/>
        <w:jc w:val="both"/>
      </w:pPr>
      <w:r>
        <w:rPr>
          <w:rFonts w:ascii="仿宋_GB2312" w:hAnsi="仿宋_GB2312" w:eastAsia="仿宋_GB2312"/>
          <w:sz w:val="32"/>
        </w:rPr>
        <w:t>（十三）开展检察机关的财务装备工作，检察技术信息工作。</w:t>
      </w:r>
    </w:p>
    <w:p w14:paraId="1CF5276F">
      <w:pPr>
        <w:spacing w:line="580" w:lineRule="exact"/>
        <w:ind w:firstLine="640"/>
        <w:jc w:val="both"/>
      </w:pPr>
      <w:r>
        <w:rPr>
          <w:rFonts w:ascii="仿宋_GB2312" w:hAnsi="仿宋_GB2312" w:eastAsia="仿宋_GB2312"/>
          <w:sz w:val="32"/>
        </w:rPr>
        <w:t>（十四）负责其他应当由呼图壁县人民检察院承办的事项。</w:t>
      </w:r>
    </w:p>
    <w:p w14:paraId="0D3E851C">
      <w:pPr>
        <w:spacing w:line="640" w:lineRule="exact"/>
        <w:ind w:firstLine="640"/>
        <w:jc w:val="both"/>
        <w:outlineLvl w:val="2"/>
      </w:pPr>
      <w:r>
        <w:rPr>
          <w:rFonts w:ascii="黑体" w:hAnsi="黑体" w:eastAsia="黑体"/>
          <w:sz w:val="32"/>
        </w:rPr>
        <w:t>二、机构设置</w:t>
      </w:r>
    </w:p>
    <w:p w14:paraId="0427FB50">
      <w:pPr>
        <w:spacing w:line="580" w:lineRule="exact"/>
        <w:ind w:firstLine="640"/>
        <w:jc w:val="both"/>
      </w:pPr>
      <w:r>
        <w:rPr>
          <w:rFonts w:ascii="仿宋_GB2312" w:hAnsi="仿宋_GB2312" w:eastAsia="仿宋_GB2312"/>
          <w:sz w:val="32"/>
        </w:rPr>
        <w:t>呼图壁县人民检察院无下属预算单位。</w:t>
      </w:r>
    </w:p>
    <w:p w14:paraId="7BBEAE87">
      <w:r>
        <w:br w:type="page"/>
      </w:r>
    </w:p>
    <w:p w14:paraId="2DF54445">
      <w:pPr>
        <w:spacing w:line="240" w:lineRule="auto"/>
        <w:jc w:val="center"/>
        <w:outlineLvl w:val="1"/>
      </w:pPr>
      <w:r>
        <w:rPr>
          <w:rFonts w:ascii="黑体" w:hAnsi="黑体" w:eastAsia="黑体"/>
          <w:sz w:val="32"/>
        </w:rPr>
        <w:t>第二部分 部门决算情况说明</w:t>
      </w:r>
    </w:p>
    <w:p w14:paraId="40FCA41B">
      <w:pPr>
        <w:spacing w:line="640" w:lineRule="exact"/>
        <w:ind w:firstLine="640"/>
        <w:jc w:val="both"/>
        <w:outlineLvl w:val="2"/>
      </w:pPr>
      <w:r>
        <w:rPr>
          <w:rFonts w:ascii="黑体" w:hAnsi="黑体" w:eastAsia="黑体"/>
          <w:sz w:val="32"/>
        </w:rPr>
        <w:t>一、收入支出决算总体情况说明</w:t>
      </w:r>
    </w:p>
    <w:p w14:paraId="43699CA4">
      <w:pPr>
        <w:spacing w:line="580" w:lineRule="exact"/>
        <w:ind w:firstLine="640"/>
        <w:jc w:val="both"/>
      </w:pPr>
      <w:r>
        <w:rPr>
          <w:rFonts w:ascii="仿宋_GB2312" w:hAnsi="仿宋_GB2312" w:eastAsia="仿宋_GB2312"/>
          <w:b/>
          <w:sz w:val="32"/>
        </w:rPr>
        <w:t>2025年度收入总计1,291.48万元，</w:t>
      </w:r>
      <w:r>
        <w:rPr>
          <w:rFonts w:ascii="仿宋_GB2312" w:hAnsi="仿宋_GB2312" w:eastAsia="仿宋_GB2312"/>
          <w:b w:val="0"/>
          <w:sz w:val="32"/>
        </w:rPr>
        <w:t>其中：本年收入合计1,134.89万元，使用非财政拨款结余（含专用结余）0.00万元，年初结转和结余156.59万元。</w:t>
      </w:r>
    </w:p>
    <w:p w14:paraId="3A6F9F44">
      <w:pPr>
        <w:spacing w:line="580" w:lineRule="exact"/>
        <w:ind w:firstLine="640"/>
        <w:jc w:val="both"/>
      </w:pPr>
      <w:r>
        <w:rPr>
          <w:rFonts w:ascii="仿宋_GB2312" w:hAnsi="仿宋_GB2312" w:eastAsia="仿宋_GB2312"/>
          <w:b/>
          <w:sz w:val="32"/>
        </w:rPr>
        <w:t>2025年度支出总计1,291.48万元，</w:t>
      </w:r>
      <w:r>
        <w:rPr>
          <w:rFonts w:ascii="仿宋_GB2312" w:hAnsi="仿宋_GB2312" w:eastAsia="仿宋_GB2312"/>
          <w:b w:val="0"/>
          <w:sz w:val="32"/>
        </w:rPr>
        <w:t>其中：本年支出合计1,108.98万元，结余分配0.00万元，年末结转和结余182.50万元。</w:t>
      </w:r>
    </w:p>
    <w:p w14:paraId="41C30F6A">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增加38.45万元，增长3.07%，主要原因是：本年在职人员工资调增，社保基数调增，人员经费增加；本年司法救助金增加。</w:t>
      </w:r>
    </w:p>
    <w:p w14:paraId="25187B20">
      <w:pPr>
        <w:spacing w:line="640" w:lineRule="exact"/>
        <w:ind w:firstLine="640"/>
        <w:jc w:val="both"/>
        <w:outlineLvl w:val="2"/>
      </w:pPr>
      <w:r>
        <w:rPr>
          <w:rFonts w:ascii="黑体" w:hAnsi="黑体" w:eastAsia="黑体"/>
          <w:sz w:val="32"/>
        </w:rPr>
        <w:t>二、收入决算情况说明</w:t>
      </w:r>
    </w:p>
    <w:p w14:paraId="34155803">
      <w:pPr>
        <w:spacing w:line="580" w:lineRule="exact"/>
        <w:ind w:firstLine="640"/>
        <w:jc w:val="both"/>
      </w:pPr>
      <w:r>
        <w:rPr>
          <w:rFonts w:ascii="仿宋_GB2312" w:hAnsi="仿宋_GB2312" w:eastAsia="仿宋_GB2312"/>
          <w:b/>
          <w:sz w:val="32"/>
        </w:rPr>
        <w:t>本年收入1,134.89万元，</w:t>
      </w:r>
      <w:r>
        <w:rPr>
          <w:rFonts w:ascii="仿宋_GB2312" w:hAnsi="仿宋_GB2312" w:eastAsia="仿宋_GB2312"/>
          <w:b w:val="0"/>
          <w:sz w:val="32"/>
        </w:rPr>
        <w:t>其中：财政拨款收入1,044.70万元，占92.05%；上级补助收入0.00万元，占0.00%；事业收入0.00万元，占0.00%；经营收入0.00万元，占0.00%；附属单位上缴收入0.00万元，占0.00%；其他收入90.19万元，占7.95%。</w:t>
      </w:r>
    </w:p>
    <w:p w14:paraId="237C3168">
      <w:pPr>
        <w:spacing w:line="640" w:lineRule="exact"/>
        <w:ind w:firstLine="640"/>
        <w:jc w:val="both"/>
        <w:outlineLvl w:val="2"/>
      </w:pPr>
      <w:r>
        <w:rPr>
          <w:rFonts w:ascii="黑体" w:hAnsi="黑体" w:eastAsia="黑体"/>
          <w:sz w:val="32"/>
        </w:rPr>
        <w:t>三、支出决算情况说明</w:t>
      </w:r>
    </w:p>
    <w:p w14:paraId="44285B97">
      <w:pPr>
        <w:spacing w:line="580" w:lineRule="exact"/>
        <w:ind w:firstLine="640"/>
        <w:jc w:val="both"/>
      </w:pPr>
      <w:r>
        <w:rPr>
          <w:rFonts w:ascii="仿宋_GB2312" w:hAnsi="仿宋_GB2312" w:eastAsia="仿宋_GB2312"/>
          <w:b/>
          <w:sz w:val="32"/>
        </w:rPr>
        <w:t>本年支出1,108.98万元，</w:t>
      </w:r>
      <w:r>
        <w:rPr>
          <w:rFonts w:ascii="仿宋_GB2312" w:hAnsi="仿宋_GB2312" w:eastAsia="仿宋_GB2312"/>
          <w:b w:val="0"/>
          <w:sz w:val="32"/>
        </w:rPr>
        <w:t>其中：基本支出840.07万元，占75.75%；项目支出268.91万元，占24.25%；上缴上级支出0.00万元，占0.00%；经营支出0.00万元，占0.00%；对附属单位补助支出0.00万元，占0.00%。</w:t>
      </w:r>
    </w:p>
    <w:p w14:paraId="45EBC883">
      <w:pPr>
        <w:spacing w:line="640" w:lineRule="exact"/>
        <w:ind w:firstLine="640"/>
        <w:jc w:val="both"/>
        <w:outlineLvl w:val="2"/>
      </w:pPr>
      <w:r>
        <w:rPr>
          <w:rFonts w:ascii="黑体" w:hAnsi="黑体" w:eastAsia="黑体"/>
          <w:sz w:val="32"/>
        </w:rPr>
        <w:t>四、财政拨款收入支出决算总体情况说明</w:t>
      </w:r>
    </w:p>
    <w:p w14:paraId="6E1F924A">
      <w:pPr>
        <w:spacing w:line="580" w:lineRule="exact"/>
        <w:ind w:firstLine="640"/>
        <w:jc w:val="both"/>
      </w:pPr>
      <w:r>
        <w:rPr>
          <w:rFonts w:ascii="仿宋_GB2312" w:hAnsi="仿宋_GB2312" w:eastAsia="仿宋_GB2312"/>
          <w:b/>
          <w:sz w:val="32"/>
        </w:rPr>
        <w:t>2025年度财政拨款收入总计1,044.70万元，</w:t>
      </w:r>
      <w:r>
        <w:rPr>
          <w:rFonts w:ascii="仿宋_GB2312" w:hAnsi="仿宋_GB2312" w:eastAsia="仿宋_GB2312"/>
          <w:b w:val="0"/>
          <w:sz w:val="32"/>
        </w:rPr>
        <w:t>其中：年初财政拨款结转和结余0.00万元，本年财政拨款收入1,044.70万元。</w:t>
      </w:r>
      <w:r>
        <w:rPr>
          <w:rFonts w:ascii="仿宋_GB2312" w:hAnsi="仿宋_GB2312" w:eastAsia="仿宋_GB2312"/>
          <w:b/>
          <w:sz w:val="32"/>
        </w:rPr>
        <w:t>财政拨款支出总计1,044.70万元，</w:t>
      </w:r>
      <w:r>
        <w:rPr>
          <w:rFonts w:ascii="仿宋_GB2312" w:hAnsi="仿宋_GB2312" w:eastAsia="仿宋_GB2312"/>
          <w:b w:val="0"/>
          <w:sz w:val="32"/>
        </w:rPr>
        <w:t>其中：年末财政拨款结转和结余0.00万元，本年财政拨款支出1,044.70万元。</w:t>
      </w:r>
    </w:p>
    <w:p w14:paraId="6D32CE9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增加97.38万元，增长10.28%，主要原因是：本年在职人员工资调增，社保基数调增，人员经费增加；本年司法救助金增加。</w:t>
      </w:r>
      <w:r>
        <w:rPr>
          <w:rFonts w:ascii="仿宋_GB2312" w:hAnsi="仿宋_GB2312" w:eastAsia="仿宋_GB2312"/>
          <w:b/>
          <w:sz w:val="32"/>
        </w:rPr>
        <w:t>与年初预算相比，</w:t>
      </w:r>
      <w:r>
        <w:rPr>
          <w:rFonts w:ascii="仿宋_GB2312" w:hAnsi="仿宋_GB2312" w:eastAsia="仿宋_GB2312"/>
          <w:b w:val="0"/>
          <w:sz w:val="32"/>
        </w:rPr>
        <w:t>年初预算数875.42万元，决算数1,044.70万元，预决算差异率19.34%，主要原因是：年中追加业务办案经费及业务装备经费项目，导致预决算有差异。</w:t>
      </w:r>
    </w:p>
    <w:p w14:paraId="71E41FC4">
      <w:pPr>
        <w:spacing w:line="640" w:lineRule="exact"/>
        <w:ind w:firstLine="640"/>
        <w:jc w:val="both"/>
        <w:outlineLvl w:val="2"/>
      </w:pPr>
      <w:r>
        <w:rPr>
          <w:rFonts w:ascii="黑体" w:hAnsi="黑体" w:eastAsia="黑体"/>
          <w:sz w:val="32"/>
        </w:rPr>
        <w:t>五、一般公共预算财政拨款支出决算情况说明</w:t>
      </w:r>
    </w:p>
    <w:p w14:paraId="048E02E6">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4A803340">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按照支出功能分类，公共安全支出（类）检察（款）行政运行（项）的支出占本年财政拨款支出总额的比重最高，2025年度决算数为668.68万元，占比64.01%，主要用于人员工资福利、日常公用经费。</w:t>
      </w:r>
    </w:p>
    <w:p w14:paraId="36C04E47">
      <w:pPr>
        <w:spacing w:line="640" w:lineRule="exact"/>
        <w:ind w:firstLine="640"/>
        <w:jc w:val="both"/>
        <w:outlineLvl w:val="3"/>
      </w:pPr>
      <w:r>
        <w:rPr>
          <w:rFonts w:ascii="楷体_GB2312" w:hAnsi="楷体_GB2312" w:eastAsia="楷体_GB2312"/>
          <w:b/>
          <w:sz w:val="32"/>
        </w:rPr>
        <w:t>（一）一般公共预算财政拨款支出决算总体情况</w:t>
      </w:r>
    </w:p>
    <w:p w14:paraId="2E60A297">
      <w:pPr>
        <w:spacing w:line="580" w:lineRule="exact"/>
        <w:ind w:firstLine="640"/>
        <w:jc w:val="both"/>
      </w:pPr>
      <w:r>
        <w:rPr>
          <w:rFonts w:ascii="仿宋_GB2312" w:hAnsi="仿宋_GB2312" w:eastAsia="仿宋_GB2312"/>
          <w:b/>
          <w:sz w:val="32"/>
        </w:rPr>
        <w:t>2025年度一般公共预算财政拨款支出1,044.70万元，</w:t>
      </w:r>
      <w:r>
        <w:rPr>
          <w:rFonts w:ascii="仿宋_GB2312" w:hAnsi="仿宋_GB2312" w:eastAsia="仿宋_GB2312"/>
          <w:b w:val="0"/>
          <w:sz w:val="32"/>
        </w:rPr>
        <w:t>占本年支出合计的94.20%。</w:t>
      </w:r>
      <w:r>
        <w:rPr>
          <w:rFonts w:ascii="仿宋_GB2312" w:hAnsi="仿宋_GB2312" w:eastAsia="仿宋_GB2312"/>
          <w:b/>
          <w:sz w:val="32"/>
        </w:rPr>
        <w:t>与上年相比，</w:t>
      </w:r>
      <w:r>
        <w:rPr>
          <w:rFonts w:ascii="仿宋_GB2312" w:hAnsi="仿宋_GB2312" w:eastAsia="仿宋_GB2312"/>
          <w:b w:val="0"/>
          <w:sz w:val="32"/>
        </w:rPr>
        <w:t>增加97.38万元，增长10.28%，主要原因是：本年在职人员工资调增，社保基数调增，人员经费增加；本年司法救助金增加。</w:t>
      </w:r>
      <w:r>
        <w:rPr>
          <w:rFonts w:ascii="仿宋_GB2312" w:hAnsi="仿宋_GB2312" w:eastAsia="仿宋_GB2312"/>
          <w:b/>
          <w:sz w:val="32"/>
        </w:rPr>
        <w:t>与年初预算相比，</w:t>
      </w:r>
      <w:r>
        <w:rPr>
          <w:rFonts w:ascii="仿宋_GB2312" w:hAnsi="仿宋_GB2312" w:eastAsia="仿宋_GB2312"/>
          <w:b w:val="0"/>
          <w:sz w:val="32"/>
        </w:rPr>
        <w:t>年初预算数875.42万元，决算数1,044.70万元，预决算差异率19.34%，主要原因是：年中追加业务办案经费及业务装备经费项目，导致预决算有差异。</w:t>
      </w:r>
    </w:p>
    <w:p w14:paraId="3095CA70">
      <w:pPr>
        <w:spacing w:line="640" w:lineRule="exact"/>
        <w:ind w:firstLine="640"/>
        <w:jc w:val="both"/>
        <w:outlineLvl w:val="3"/>
      </w:pPr>
      <w:r>
        <w:rPr>
          <w:rFonts w:ascii="楷体_GB2312" w:hAnsi="楷体_GB2312" w:eastAsia="楷体_GB2312"/>
          <w:b/>
          <w:sz w:val="32"/>
        </w:rPr>
        <w:t>（二）一般公共预算财政拨款支出决算结构情况</w:t>
      </w:r>
    </w:p>
    <w:p w14:paraId="36DF8C2C">
      <w:pPr>
        <w:spacing w:line="580" w:lineRule="exact"/>
        <w:ind w:firstLine="640"/>
        <w:jc w:val="both"/>
      </w:pPr>
      <w:r>
        <w:rPr>
          <w:rFonts w:ascii="仿宋_GB2312" w:hAnsi="仿宋_GB2312" w:eastAsia="仿宋_GB2312"/>
          <w:b w:val="0"/>
          <w:sz w:val="32"/>
        </w:rPr>
        <w:t>1.公共安全支出（类）857.87万元，占82.12%。</w:t>
      </w:r>
    </w:p>
    <w:p w14:paraId="4244D55A">
      <w:pPr>
        <w:spacing w:line="580" w:lineRule="exact"/>
        <w:ind w:firstLine="640"/>
        <w:jc w:val="both"/>
      </w:pPr>
      <w:r>
        <w:rPr>
          <w:rFonts w:ascii="仿宋_GB2312" w:hAnsi="仿宋_GB2312" w:eastAsia="仿宋_GB2312"/>
          <w:b w:val="0"/>
          <w:sz w:val="32"/>
        </w:rPr>
        <w:t>2.社会保障和就业支出（类）87.87万元，占8.41%。</w:t>
      </w:r>
    </w:p>
    <w:p w14:paraId="0EBCC7F4">
      <w:pPr>
        <w:spacing w:line="580" w:lineRule="exact"/>
        <w:ind w:firstLine="640"/>
        <w:jc w:val="both"/>
      </w:pPr>
      <w:r>
        <w:rPr>
          <w:rFonts w:ascii="仿宋_GB2312" w:hAnsi="仿宋_GB2312" w:eastAsia="仿宋_GB2312"/>
          <w:b w:val="0"/>
          <w:sz w:val="32"/>
        </w:rPr>
        <w:t>3.卫生健康支出（类）43.65万元，占4.18%。</w:t>
      </w:r>
    </w:p>
    <w:p w14:paraId="13A1704F">
      <w:pPr>
        <w:spacing w:line="580" w:lineRule="exact"/>
        <w:ind w:firstLine="640"/>
        <w:jc w:val="both"/>
      </w:pPr>
      <w:r>
        <w:rPr>
          <w:rFonts w:ascii="仿宋_GB2312" w:hAnsi="仿宋_GB2312" w:eastAsia="仿宋_GB2312"/>
          <w:b w:val="0"/>
          <w:sz w:val="32"/>
        </w:rPr>
        <w:t>4.住房保障支出（类）39.86万元，占3.82%。</w:t>
      </w:r>
    </w:p>
    <w:p w14:paraId="309FD96D">
      <w:pPr>
        <w:spacing w:line="580" w:lineRule="exact"/>
        <w:ind w:firstLine="640"/>
        <w:jc w:val="both"/>
      </w:pPr>
      <w:r>
        <w:rPr>
          <w:rFonts w:ascii="仿宋_GB2312" w:hAnsi="仿宋_GB2312" w:eastAsia="仿宋_GB2312"/>
          <w:b w:val="0"/>
          <w:sz w:val="32"/>
        </w:rPr>
        <w:t>5.其他支出（类）15.45万元，占1.48%。</w:t>
      </w:r>
    </w:p>
    <w:p w14:paraId="1D6E2FBF">
      <w:pPr>
        <w:spacing w:line="640" w:lineRule="exact"/>
        <w:ind w:firstLine="640"/>
        <w:jc w:val="both"/>
        <w:outlineLvl w:val="3"/>
      </w:pPr>
      <w:r>
        <w:rPr>
          <w:rFonts w:ascii="楷体_GB2312" w:hAnsi="楷体_GB2312" w:eastAsia="楷体_GB2312"/>
          <w:b/>
          <w:sz w:val="32"/>
        </w:rPr>
        <w:t>（三）一般公共预算财政拨款支出决算具体情况</w:t>
      </w:r>
    </w:p>
    <w:p w14:paraId="114BCDF5">
      <w:pPr>
        <w:spacing w:line="580" w:lineRule="exact"/>
        <w:ind w:firstLine="640"/>
        <w:jc w:val="both"/>
      </w:pPr>
      <w:r>
        <w:rPr>
          <w:rFonts w:ascii="仿宋_GB2312" w:hAnsi="仿宋_GB2312" w:eastAsia="仿宋_GB2312"/>
          <w:b w:val="0"/>
          <w:sz w:val="32"/>
        </w:rPr>
        <w:t>1.公共安全支出（类）检察（款）行政运行（项）：支出决算数为668.68万元，比上年决算增加87.23万元，增长15.00%，主要原因是：本年在职人员工资调增，社保基数调增，人员经费增加；本年司法救助金增加。</w:t>
      </w:r>
    </w:p>
    <w:p w14:paraId="2605A77C">
      <w:pPr>
        <w:spacing w:line="580" w:lineRule="exact"/>
        <w:ind w:firstLine="640"/>
        <w:jc w:val="both"/>
      </w:pPr>
      <w:r>
        <w:rPr>
          <w:rFonts w:ascii="仿宋_GB2312" w:hAnsi="仿宋_GB2312" w:eastAsia="仿宋_GB2312"/>
          <w:b w:val="0"/>
          <w:sz w:val="32"/>
        </w:rPr>
        <w:t>2.公共安全支出（类）检察（款）一般行政管理事务（项）：支出决算数为13.93万元，比上年决算增加13.93万元，增长100.00%，主要原因是：本年度机关运行补助经费支出项目增加。</w:t>
      </w:r>
    </w:p>
    <w:p w14:paraId="087BF4A7">
      <w:pPr>
        <w:spacing w:line="580" w:lineRule="exact"/>
        <w:ind w:firstLine="640"/>
        <w:jc w:val="both"/>
      </w:pPr>
      <w:r>
        <w:rPr>
          <w:rFonts w:ascii="仿宋_GB2312" w:hAnsi="仿宋_GB2312" w:eastAsia="仿宋_GB2312"/>
          <w:b w:val="0"/>
          <w:sz w:val="32"/>
        </w:rPr>
        <w:t>3.公共安全支出（类）检察（款）其他检察支出（项）：支出决算数为159.25万元，比上年决算减少29.50万元，下降15.63%，主要原因是：本年度业务办案经费及业务装备经费减少。</w:t>
      </w:r>
    </w:p>
    <w:p w14:paraId="08099820">
      <w:pPr>
        <w:spacing w:line="580" w:lineRule="exact"/>
        <w:ind w:firstLine="640"/>
        <w:jc w:val="both"/>
      </w:pPr>
      <w:r>
        <w:rPr>
          <w:rFonts w:ascii="仿宋_GB2312" w:hAnsi="仿宋_GB2312" w:eastAsia="仿宋_GB2312"/>
          <w:b w:val="0"/>
          <w:sz w:val="32"/>
        </w:rPr>
        <w:t>4.公共安全支出（类）其他公共安全支出（款）其他公共安全支出（项）：支出决算数为16.00万元，比上年决算增加16.00万元，增长100.00%，主要原因是：本年度司法救助金增加。</w:t>
      </w:r>
    </w:p>
    <w:p w14:paraId="1808D4A7">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5.社会保障和就业支出（类）行政事业单位养老支出（款）行政单位离退休（项）：支出决算数为14.38万元，比上年决算增加4.77万元，增长49.64%，主要原因是：本年增加退休人员基础绩效奖，退休费支出增加。</w:t>
      </w:r>
    </w:p>
    <w:p w14:paraId="58671ADE">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48.99万元，比上年决算增加0.63万元，增长1.30%，主要原因是：本年在职人员工资基数调增，养老缴费基数上涨，相应支出增加。</w:t>
      </w:r>
    </w:p>
    <w:p w14:paraId="64B7324A">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24.50万元，比上年决算减少6.36万元，下降20.61%，主要原因是：本年新疆退休人员较上年减少，职业年金缴费较上年减少。</w:t>
      </w:r>
    </w:p>
    <w:p w14:paraId="0B729890">
      <w:pPr>
        <w:spacing w:line="580" w:lineRule="exact"/>
        <w:ind w:firstLine="640"/>
        <w:jc w:val="both"/>
      </w:pPr>
      <w:r>
        <w:rPr>
          <w:rFonts w:ascii="仿宋_GB2312" w:hAnsi="仿宋_GB2312" w:eastAsia="仿宋_GB2312"/>
          <w:b w:val="0"/>
          <w:sz w:val="32"/>
        </w:rPr>
        <w:t>8.卫生健康支出（类）行政事业单位医疗（款）行政单位医疗（项）：支出决算数为30.49万元，比上年决算增加3.34万元，增长12.30%，主要原因是：本年在职人员工资基数调增，医疗缴费基数上涨，相应支出增加。</w:t>
      </w:r>
    </w:p>
    <w:p w14:paraId="6DFC70EB">
      <w:pPr>
        <w:spacing w:line="580" w:lineRule="exact"/>
        <w:ind w:firstLine="640"/>
        <w:jc w:val="both"/>
      </w:pPr>
      <w:r>
        <w:rPr>
          <w:rFonts w:ascii="仿宋_GB2312" w:hAnsi="仿宋_GB2312" w:eastAsia="仿宋_GB2312"/>
          <w:b w:val="0"/>
          <w:sz w:val="32"/>
        </w:rPr>
        <w:t>9.卫生健康支出（类）行政事业单位医疗（款）公务员医疗补助（项）：支出决算数为12.84万元，比上年决算增加11.10万元，增长637.93%，主要原因是：本年在职人员工资基数调增，医疗缴费基数上涨，相应支出增加。</w:t>
      </w:r>
    </w:p>
    <w:p w14:paraId="2E7C43D0">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0.32万元，比上年决算增加0.15万元，增长88.24%，主要原因是：本年在职人员工资基数调增，医疗缴费基数上涨，相应支出增加。</w:t>
      </w:r>
    </w:p>
    <w:p w14:paraId="798DE5D9">
      <w:pPr>
        <w:spacing w:line="580" w:lineRule="exact"/>
        <w:ind w:firstLine="640"/>
        <w:jc w:val="both"/>
      </w:pPr>
      <w:r>
        <w:rPr>
          <w:rFonts w:ascii="仿宋_GB2312" w:hAnsi="仿宋_GB2312" w:eastAsia="仿宋_GB2312"/>
          <w:b w:val="0"/>
          <w:sz w:val="32"/>
        </w:rPr>
        <w:t>11.住房保障支出（类）住房改革支出（款）住房公积金（项）：支出决算数为39.86万元，比上年决算减少4.86万元，下降10.87%，主要原因是：本年在职人员调入调出，人员职级不同，缴费基数不同，导致住房公积金较上年减少。</w:t>
      </w:r>
    </w:p>
    <w:p w14:paraId="710F9F1D">
      <w:pPr>
        <w:spacing w:line="580" w:lineRule="exact"/>
        <w:ind w:firstLine="640"/>
        <w:jc w:val="both"/>
      </w:pPr>
      <w:r>
        <w:rPr>
          <w:rFonts w:ascii="仿宋_GB2312" w:hAnsi="仿宋_GB2312" w:eastAsia="仿宋_GB2312"/>
          <w:b w:val="0"/>
          <w:sz w:val="32"/>
        </w:rPr>
        <w:t>12.其他支出（类）其他支出（款）其他支出（项）：支出决算数为15.45万元，比上年决算增加0.93万元，增长6.40%，主要原因是：上年度为民办实事经费结转至本年度继续使用，相应支出增加。</w:t>
      </w:r>
    </w:p>
    <w:p w14:paraId="22463286">
      <w:pPr>
        <w:spacing w:line="640" w:lineRule="exact"/>
        <w:ind w:firstLine="640"/>
        <w:jc w:val="both"/>
        <w:outlineLvl w:val="2"/>
      </w:pPr>
      <w:r>
        <w:rPr>
          <w:rFonts w:ascii="黑体" w:hAnsi="黑体" w:eastAsia="黑体"/>
          <w:sz w:val="32"/>
        </w:rPr>
        <w:t>六、一般公共预算财政拨款基本支出决算情况说明</w:t>
      </w:r>
    </w:p>
    <w:p w14:paraId="5D128D4F">
      <w:pPr>
        <w:spacing w:line="580" w:lineRule="exact"/>
        <w:ind w:firstLine="640"/>
        <w:jc w:val="both"/>
      </w:pPr>
      <w:r>
        <w:rPr>
          <w:rFonts w:ascii="仿宋_GB2312" w:hAnsi="仿宋_GB2312" w:eastAsia="仿宋_GB2312"/>
          <w:b w:val="0"/>
          <w:sz w:val="32"/>
        </w:rPr>
        <w:t>2025年度一般公共预算财政拨款基本支出840.07万元，其中：</w:t>
      </w:r>
      <w:r>
        <w:rPr>
          <w:rFonts w:ascii="仿宋_GB2312" w:hAnsi="仿宋_GB2312" w:eastAsia="仿宋_GB2312"/>
          <w:b/>
          <w:sz w:val="32"/>
        </w:rPr>
        <w:t>人员经费727.82万元，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奖励金。</w:t>
      </w:r>
    </w:p>
    <w:p w14:paraId="40DE6330">
      <w:pPr>
        <w:spacing w:line="580" w:lineRule="exact"/>
        <w:ind w:firstLine="640"/>
        <w:jc w:val="both"/>
      </w:pPr>
      <w:r>
        <w:rPr>
          <w:rFonts w:ascii="仿宋_GB2312" w:hAnsi="仿宋_GB2312" w:eastAsia="仿宋_GB2312"/>
          <w:b/>
          <w:sz w:val="32"/>
        </w:rPr>
        <w:t>公用经费112.25万元，</w:t>
      </w:r>
      <w:r>
        <w:rPr>
          <w:rFonts w:ascii="仿宋_GB2312" w:hAnsi="仿宋_GB2312" w:eastAsia="仿宋_GB2312"/>
          <w:b w:val="0"/>
          <w:sz w:val="32"/>
        </w:rPr>
        <w:t>包括：办公费、水费、电费、取暖费、物业管理费、差旅费、维修（护）费、劳务费、工会经费、福利费、其他商品和服务支出。</w:t>
      </w:r>
    </w:p>
    <w:p w14:paraId="10532A1D">
      <w:pPr>
        <w:spacing w:line="640" w:lineRule="exact"/>
        <w:ind w:firstLine="640"/>
        <w:jc w:val="both"/>
        <w:outlineLvl w:val="2"/>
      </w:pPr>
      <w:r>
        <w:rPr>
          <w:rFonts w:ascii="黑体" w:hAnsi="黑体" w:eastAsia="黑体"/>
          <w:sz w:val="32"/>
        </w:rPr>
        <w:t>七、政府性基金预算财政拨款收入支出决算情况说明</w:t>
      </w:r>
    </w:p>
    <w:p w14:paraId="7EFA9C7D">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E932C55">
      <w:pPr>
        <w:spacing w:line="640" w:lineRule="exact"/>
        <w:ind w:firstLine="640"/>
        <w:jc w:val="both"/>
        <w:outlineLvl w:val="2"/>
      </w:pPr>
      <w:r>
        <w:rPr>
          <w:rFonts w:ascii="黑体" w:hAnsi="黑体" w:eastAsia="黑体"/>
          <w:sz w:val="32"/>
        </w:rPr>
        <w:t>八、国有资本经营预算财政拨款收入支出决算情况说明</w:t>
      </w:r>
    </w:p>
    <w:p w14:paraId="0B5F8889">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239CE5C">
      <w:pPr>
        <w:spacing w:line="640" w:lineRule="exact"/>
        <w:ind w:firstLine="640"/>
        <w:jc w:val="both"/>
        <w:outlineLvl w:val="2"/>
      </w:pPr>
      <w:r>
        <w:rPr>
          <w:rFonts w:ascii="黑体" w:hAnsi="黑体" w:eastAsia="黑体"/>
          <w:sz w:val="32"/>
        </w:rPr>
        <w:t>九、财政拨款“三公”经费支出决算情况说明</w:t>
      </w:r>
    </w:p>
    <w:p w14:paraId="69DB75F3">
      <w:pPr>
        <w:spacing w:line="580" w:lineRule="exact"/>
        <w:ind w:firstLine="640"/>
        <w:jc w:val="both"/>
      </w:pPr>
      <w:r>
        <w:rPr>
          <w:rFonts w:ascii="仿宋_GB2312" w:hAnsi="仿宋_GB2312" w:eastAsia="仿宋_GB2312"/>
          <w:b/>
          <w:sz w:val="32"/>
        </w:rPr>
        <w:t>2025年度财政拨款“三公”经费支出14.68万元，</w:t>
      </w:r>
      <w:r>
        <w:rPr>
          <w:rFonts w:ascii="仿宋_GB2312" w:hAnsi="仿宋_GB2312" w:eastAsia="仿宋_GB2312"/>
          <w:b w:val="0"/>
          <w:sz w:val="32"/>
        </w:rPr>
        <w:t>比上年减少0.30万元，下降2.00%，主要原因是：本年未安排公务接待工作，导致公务接待费较上年减少。其中：因公出国（境）费用支出0.00万元，占0.00%，比上年增加0.00万元，增长0.00%，主要原因是：2024年与2025年均无因公出国（境）费用支出。公务用车购置及运行维护费支出14.68万元，占100.00%，比上年增加0.00万元，增长0.00%，主要原因是：本单位公务用车购置及运行维护费与上年一致无变化。公务接待费支出0.00万元，占0.00%，比上年减少0.30万元，下降100.00%，主要原因是：本年严格执行中央八项规定，厉行节约，无公务接待费支出。</w:t>
      </w:r>
    </w:p>
    <w:p w14:paraId="080C2FB9">
      <w:pPr>
        <w:spacing w:line="580" w:lineRule="exact"/>
        <w:ind w:firstLine="640"/>
        <w:jc w:val="both"/>
      </w:pPr>
      <w:r>
        <w:rPr>
          <w:rFonts w:ascii="仿宋_GB2312" w:hAnsi="仿宋_GB2312" w:eastAsia="仿宋_GB2312"/>
          <w:b/>
          <w:sz w:val="32"/>
        </w:rPr>
        <w:t>具体情况如下：</w:t>
      </w:r>
    </w:p>
    <w:p w14:paraId="02C675C3">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408661E">
      <w:pPr>
        <w:spacing w:line="580" w:lineRule="exact"/>
        <w:ind w:firstLine="640"/>
        <w:jc w:val="both"/>
      </w:pPr>
      <w:r>
        <w:rPr>
          <w:rFonts w:ascii="仿宋_GB2312" w:hAnsi="仿宋_GB2312" w:eastAsia="仿宋_GB2312"/>
          <w:b w:val="0"/>
          <w:sz w:val="32"/>
        </w:rPr>
        <w:t>公务用车购置及运行维护费14.68万元，其中：公务用车购置费0.00万元，公务用车运行维护费14.68万元。公务用车运行维护费开支内容包括车辆加油费、维修费、保险费、审车费、过路费等。公务用车购置数0辆，公务用车保有量8辆。国有资产占用情况中固定资产车辆8辆，与公务用车保有量差异原因是：本单位公务用车保有量与固定资产车辆一致无差异。</w:t>
      </w:r>
    </w:p>
    <w:p w14:paraId="1408C09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7A2CF6C9">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14.68万元，决算数14.68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14.68万元，决算数14.68万元，预决算差异率0.00%，主要原因是：严格按照预算执行，预决算无差异。公务接待费全年预算数0.00万元，决算数0.00万元，预决算差异率0.00%，主要原因是：本单位无公务接待费。</w:t>
      </w:r>
    </w:p>
    <w:p w14:paraId="2EFB517A">
      <w:pPr>
        <w:spacing w:line="640" w:lineRule="exact"/>
        <w:ind w:firstLine="640"/>
        <w:jc w:val="both"/>
        <w:outlineLvl w:val="2"/>
      </w:pPr>
      <w:r>
        <w:rPr>
          <w:rFonts w:ascii="黑体" w:hAnsi="黑体" w:eastAsia="黑体"/>
          <w:sz w:val="32"/>
        </w:rPr>
        <w:t>十、其他重要事项的情况说明</w:t>
      </w:r>
    </w:p>
    <w:p w14:paraId="4514C589">
      <w:pPr>
        <w:spacing w:line="640" w:lineRule="exact"/>
        <w:ind w:firstLine="640"/>
        <w:jc w:val="both"/>
        <w:outlineLvl w:val="3"/>
      </w:pPr>
      <w:r>
        <w:rPr>
          <w:rFonts w:ascii="楷体_GB2312" w:hAnsi="楷体_GB2312" w:eastAsia="楷体_GB2312"/>
          <w:b/>
          <w:sz w:val="32"/>
        </w:rPr>
        <w:t>（一）机关运行经费及公用经费支出情况</w:t>
      </w:r>
    </w:p>
    <w:p w14:paraId="27E2DCC8">
      <w:pPr>
        <w:spacing w:line="580" w:lineRule="exact"/>
        <w:ind w:firstLine="640"/>
        <w:jc w:val="both"/>
      </w:pPr>
      <w:r>
        <w:rPr>
          <w:rFonts w:ascii="仿宋_GB2312" w:hAnsi="仿宋_GB2312" w:eastAsia="仿宋_GB2312"/>
          <w:b w:val="0"/>
          <w:sz w:val="32"/>
        </w:rPr>
        <w:t>2025年度呼图壁县人民检察院（行政单位和参照公务员法管理事业单位）机关运行经费支出112.25万元，比上年增加29.85万元，增长36.23%，主要原因是：本年更新、维护补充办公用品，导致劳务费等机关运行经费较上年增加。</w:t>
      </w:r>
    </w:p>
    <w:p w14:paraId="44B8665C">
      <w:pPr>
        <w:spacing w:line="640" w:lineRule="exact"/>
        <w:ind w:firstLine="640"/>
        <w:jc w:val="both"/>
        <w:outlineLvl w:val="3"/>
      </w:pPr>
      <w:r>
        <w:rPr>
          <w:rFonts w:ascii="楷体_GB2312" w:hAnsi="楷体_GB2312" w:eastAsia="楷体_GB2312"/>
          <w:b/>
          <w:sz w:val="32"/>
        </w:rPr>
        <w:t>（二）政府采购情况</w:t>
      </w:r>
    </w:p>
    <w:p w14:paraId="6552CCBF">
      <w:pPr>
        <w:spacing w:line="580" w:lineRule="exact"/>
        <w:ind w:firstLine="640"/>
        <w:jc w:val="both"/>
      </w:pPr>
      <w:r>
        <w:rPr>
          <w:rFonts w:ascii="仿宋_GB2312" w:hAnsi="仿宋_GB2312" w:eastAsia="仿宋_GB2312"/>
          <w:b w:val="0"/>
          <w:sz w:val="32"/>
        </w:rPr>
        <w:t>2025年度政府采购支出总额63.55万元，其中：政府采购货物支出19.71万元、政府采购工程支出9.24万元、政府采购服务支出34.59万元。</w:t>
      </w:r>
    </w:p>
    <w:p w14:paraId="3EBB6FC0">
      <w:pPr>
        <w:spacing w:line="580" w:lineRule="exact"/>
        <w:ind w:firstLine="640"/>
        <w:jc w:val="both"/>
      </w:pPr>
      <w:r>
        <w:rPr>
          <w:rFonts w:ascii="仿宋_GB2312" w:hAnsi="仿宋_GB2312" w:eastAsia="仿宋_GB2312"/>
          <w:b w:val="0"/>
          <w:sz w:val="32"/>
        </w:rPr>
        <w:t>授予中小企业合同金额63.55万元，占政府采购支出总额的100.00%，其中：授予小微企业合同金额63.55万元，占政府采购支出总额的100.00%。</w:t>
      </w:r>
    </w:p>
    <w:p w14:paraId="1A490D88">
      <w:pPr>
        <w:spacing w:line="640" w:lineRule="exact"/>
        <w:ind w:firstLine="640"/>
        <w:jc w:val="both"/>
        <w:outlineLvl w:val="3"/>
      </w:pPr>
      <w:r>
        <w:rPr>
          <w:rFonts w:ascii="楷体_GB2312" w:hAnsi="楷体_GB2312" w:eastAsia="楷体_GB2312"/>
          <w:b/>
          <w:sz w:val="32"/>
        </w:rPr>
        <w:t>（三）国有资产占用情况说明</w:t>
      </w:r>
    </w:p>
    <w:p w14:paraId="4F01AAA0">
      <w:pPr>
        <w:spacing w:line="580" w:lineRule="exact"/>
        <w:ind w:firstLine="640"/>
        <w:jc w:val="both"/>
      </w:pPr>
      <w:r>
        <w:rPr>
          <w:rFonts w:ascii="仿宋_GB2312" w:hAnsi="仿宋_GB2312" w:eastAsia="仿宋_GB2312"/>
          <w:b w:val="0"/>
          <w:sz w:val="32"/>
        </w:rPr>
        <w:t>截至2025年12月31日，房屋4,371.88平方米，价值712.35万元。车辆8辆，价值149.61万元，其中：副部（省）级及以上领导用车0辆、主要负责人用车0辆、机要通信用车0辆、应急保障用车0辆、执法执勤用车5辆、特种专业技术用车1辆、离退休干部服务用车0辆、其他用车2辆，其他用车主要是：一般公务用车。单价100万元（含）以上设备（不含车辆）0台（套）。</w:t>
      </w:r>
    </w:p>
    <w:p w14:paraId="0BCDEC4C">
      <w:pPr>
        <w:spacing w:line="640" w:lineRule="exact"/>
        <w:ind w:firstLine="640"/>
        <w:jc w:val="both"/>
        <w:outlineLvl w:val="2"/>
      </w:pPr>
      <w:r>
        <w:rPr>
          <w:rFonts w:ascii="黑体" w:hAnsi="黑体" w:eastAsia="黑体"/>
          <w:sz w:val="32"/>
        </w:rPr>
        <w:t>十一、预算绩效的情况说明</w:t>
      </w:r>
    </w:p>
    <w:p w14:paraId="296333A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1,291.48万元，实际执行总额1,108.98万元；预算绩效评价项目2个，全年预算数89.00万元，全年执行数78.21万元。预算绩效管理取得的成效：一是有效的完成了年初设置的各项指标；二是对本年度开展的各项目进展状态进行更加全面的评价有助于为今后同类项目的开展提高更多样的数据分析。发现的问题及原因：检察院绩效年初目标设置有待进一步优化，在结合年度工作重点、司法办案实际需求及队伍建设发展态势方面不够充分，对办案质效、服务大局等核心指标的预估较为审慎，未能充分发挥绩效目标的导向、激励和约束效能，在激发干警工作积极性、全面反映检察工作实绩方面仍有提升空间，可能对检察职能的充分发挥产生一定影响。下一步改进措施：一是优化目标测算方式，结合上年度绩效完成实际、本年度案件受理预判情况、上级检察工作部署要求及本地社会治理实际需求，科学合理设定各项绩效指标，力求目标既贴合工作实际、具有可操作性，又能充分发挥导向作用，避免过高或过低现象。二是强化目标设置论证，建立健全目标设置集体研讨机制，广泛征求各业务科室意见建议，邀请业务骨干、相关专家参与论证把关，进一步提升目标设置的科学性、合理性。三是完善目标动态调整机制，年度推进过程中，结合工作实际进展、客观条件变化，及时对绩效目标进行优化完善，同时健全绩效目标完成情况与干警考核、评先评优的联动机制，充分发挥绩效激励引领作用，助力检察工作高质量发展。具体附整体支出绩效自评表、项目支出绩效自评表。</w:t>
      </w:r>
    </w:p>
    <w:p w14:paraId="1143ED7E">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C1F9DBF">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1D7A5AC">
            <w:pPr>
              <w:spacing w:before="0" w:after="0" w:line="240" w:lineRule="auto"/>
              <w:jc w:val="center"/>
            </w:pPr>
            <w:r>
              <w:rPr>
                <w:rFonts w:ascii="宋体" w:hAnsi="宋体" w:eastAsia="宋体" w:cs="宋体"/>
                <w:b w:val="0"/>
                <w:i w:val="0"/>
                <w:sz w:val="18"/>
              </w:rPr>
              <w:t>部门（单位）整体支出绩效目标自评表</w:t>
            </w:r>
          </w:p>
        </w:tc>
      </w:tr>
      <w:tr w14:paraId="63F757E1">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959099C">
            <w:pPr>
              <w:spacing w:before="0" w:after="0" w:line="240" w:lineRule="auto"/>
              <w:jc w:val="center"/>
            </w:pPr>
            <w:r>
              <w:rPr>
                <w:rFonts w:ascii="宋体" w:hAnsi="宋体" w:eastAsia="宋体" w:cs="宋体"/>
                <w:b w:val="0"/>
                <w:i w:val="0"/>
                <w:sz w:val="18"/>
              </w:rPr>
              <w:t>（2025年度）</w:t>
            </w:r>
          </w:p>
        </w:tc>
      </w:tr>
      <w:tr w14:paraId="186C7F49">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751E5D">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0740AFD">
            <w:pPr>
              <w:spacing w:before="0" w:after="0" w:line="240" w:lineRule="auto"/>
              <w:jc w:val="center"/>
            </w:pPr>
            <w:r>
              <w:rPr>
                <w:rFonts w:ascii="宋体" w:hAnsi="宋体" w:eastAsia="宋体" w:cs="宋体"/>
                <w:b w:val="0"/>
                <w:i w:val="0"/>
                <w:sz w:val="18"/>
              </w:rPr>
              <w:t>呼图壁县人民检察院</w:t>
            </w:r>
          </w:p>
        </w:tc>
      </w:tr>
      <w:tr w14:paraId="7544FCF9">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64B7BF">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7DF486">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1B043F">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0EDF4A">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68459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59F800">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44FAC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11B557">
            <w:pPr>
              <w:spacing w:before="0" w:after="0" w:line="240" w:lineRule="auto"/>
              <w:jc w:val="center"/>
            </w:pPr>
            <w:r>
              <w:rPr>
                <w:rFonts w:ascii="宋体" w:hAnsi="宋体" w:eastAsia="宋体" w:cs="宋体"/>
                <w:b w:val="0"/>
                <w:i w:val="0"/>
                <w:sz w:val="18"/>
              </w:rPr>
              <w:t>得分</w:t>
            </w:r>
          </w:p>
        </w:tc>
      </w:tr>
      <w:tr w14:paraId="13B0186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06A659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3E1B9E">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B5DF77">
            <w:pPr>
              <w:spacing w:before="0" w:after="0" w:line="240" w:lineRule="auto"/>
              <w:jc w:val="center"/>
            </w:pPr>
            <w:r>
              <w:rPr>
                <w:rFonts w:ascii="宋体" w:hAnsi="宋体" w:eastAsia="宋体" w:cs="宋体"/>
                <w:b w:val="0"/>
                <w:i w:val="0"/>
                <w:sz w:val="18"/>
              </w:rPr>
              <w:t>150.70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B34BC7">
            <w:pPr>
              <w:spacing w:before="0" w:after="0" w:line="240" w:lineRule="auto"/>
              <w:jc w:val="center"/>
            </w:pPr>
            <w:r>
              <w:rPr>
                <w:rFonts w:ascii="宋体" w:hAnsi="宋体" w:eastAsia="宋体" w:cs="宋体"/>
                <w:b w:val="0"/>
                <w:i w:val="0"/>
                <w:sz w:val="18"/>
              </w:rPr>
              <w:t>190.70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D185E1">
            <w:pPr>
              <w:spacing w:before="0" w:after="0" w:line="240" w:lineRule="auto"/>
              <w:jc w:val="center"/>
            </w:pPr>
            <w:r>
              <w:rPr>
                <w:rFonts w:ascii="宋体" w:hAnsi="宋体" w:eastAsia="宋体" w:cs="宋体"/>
                <w:b w:val="0"/>
                <w:i w:val="0"/>
                <w:sz w:val="18"/>
              </w:rPr>
              <w:t>190.70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20A2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805EA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C66718">
            <w:pPr>
              <w:spacing w:before="0" w:after="0" w:line="240" w:lineRule="auto"/>
              <w:jc w:val="center"/>
            </w:pPr>
            <w:r>
              <w:rPr>
                <w:rFonts w:ascii="宋体" w:hAnsi="宋体" w:eastAsia="宋体" w:cs="宋体"/>
                <w:b w:val="0"/>
                <w:i w:val="0"/>
                <w:sz w:val="18"/>
              </w:rPr>
              <w:t>-</w:t>
            </w:r>
          </w:p>
        </w:tc>
      </w:tr>
      <w:tr w14:paraId="4E898BE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264A2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56EB7B">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6D5F44">
            <w:pPr>
              <w:spacing w:before="0" w:after="0" w:line="240" w:lineRule="auto"/>
              <w:jc w:val="center"/>
            </w:pPr>
            <w:r>
              <w:rPr>
                <w:rFonts w:ascii="宋体" w:hAnsi="宋体" w:eastAsia="宋体" w:cs="宋体"/>
                <w:b w:val="0"/>
                <w:i w:val="0"/>
                <w:sz w:val="18"/>
              </w:rPr>
              <w:t>724.72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441382">
            <w:pPr>
              <w:spacing w:before="0" w:after="0" w:line="240" w:lineRule="auto"/>
              <w:jc w:val="center"/>
            </w:pPr>
            <w:r>
              <w:rPr>
                <w:rFonts w:ascii="宋体" w:hAnsi="宋体" w:eastAsia="宋体" w:cs="宋体"/>
                <w:b w:val="0"/>
                <w:i w:val="0"/>
                <w:sz w:val="18"/>
              </w:rPr>
              <w:t>854.00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BBA777">
            <w:pPr>
              <w:spacing w:before="0" w:after="0" w:line="240" w:lineRule="auto"/>
              <w:jc w:val="center"/>
            </w:pPr>
            <w:r>
              <w:rPr>
                <w:rFonts w:ascii="宋体" w:hAnsi="宋体" w:eastAsia="宋体" w:cs="宋体"/>
                <w:b w:val="0"/>
                <w:i w:val="0"/>
                <w:sz w:val="18"/>
              </w:rPr>
              <w:t>854.00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B7424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C333D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683CD0">
            <w:pPr>
              <w:spacing w:before="0" w:after="0" w:line="240" w:lineRule="auto"/>
              <w:jc w:val="center"/>
            </w:pPr>
            <w:r>
              <w:rPr>
                <w:rFonts w:ascii="宋体" w:hAnsi="宋体" w:eastAsia="宋体" w:cs="宋体"/>
                <w:b w:val="0"/>
                <w:i w:val="0"/>
                <w:sz w:val="18"/>
              </w:rPr>
              <w:t>-</w:t>
            </w:r>
          </w:p>
        </w:tc>
      </w:tr>
      <w:tr w14:paraId="296544A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A3804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27718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1B6A95">
            <w:pPr>
              <w:spacing w:before="0" w:after="0" w:line="240" w:lineRule="auto"/>
              <w:jc w:val="center"/>
            </w:pPr>
            <w:r>
              <w:rPr>
                <w:rFonts w:ascii="宋体" w:hAnsi="宋体" w:eastAsia="宋体" w:cs="宋体"/>
                <w:b w:val="0"/>
                <w:i w:val="0"/>
                <w:sz w:val="18"/>
              </w:rPr>
              <w:t>135.00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02C238">
            <w:pPr>
              <w:spacing w:before="0" w:after="0" w:line="240" w:lineRule="auto"/>
              <w:jc w:val="center"/>
            </w:pPr>
            <w:r>
              <w:rPr>
                <w:rFonts w:ascii="宋体" w:hAnsi="宋体" w:eastAsia="宋体" w:cs="宋体"/>
                <w:b w:val="0"/>
                <w:i w:val="0"/>
                <w:sz w:val="18"/>
              </w:rPr>
              <w:t>246.78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D2A04D">
            <w:pPr>
              <w:spacing w:before="0" w:after="0" w:line="240" w:lineRule="auto"/>
              <w:jc w:val="center"/>
            </w:pPr>
            <w:r>
              <w:rPr>
                <w:rFonts w:ascii="宋体" w:hAnsi="宋体" w:eastAsia="宋体" w:cs="宋体"/>
                <w:b w:val="0"/>
                <w:i w:val="0"/>
                <w:sz w:val="18"/>
              </w:rPr>
              <w:t>64.28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D0D0E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10F3B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158FFC">
            <w:pPr>
              <w:spacing w:before="0" w:after="0" w:line="240" w:lineRule="auto"/>
              <w:jc w:val="center"/>
            </w:pPr>
            <w:r>
              <w:rPr>
                <w:rFonts w:ascii="宋体" w:hAnsi="宋体" w:eastAsia="宋体" w:cs="宋体"/>
                <w:b w:val="0"/>
                <w:i w:val="0"/>
                <w:sz w:val="18"/>
              </w:rPr>
              <w:t>-</w:t>
            </w:r>
          </w:p>
        </w:tc>
      </w:tr>
      <w:tr w14:paraId="64E6F7D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AE51C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8DB894">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608BD2">
            <w:pPr>
              <w:spacing w:before="0" w:after="0" w:line="240" w:lineRule="auto"/>
              <w:jc w:val="center"/>
            </w:pPr>
            <w:r>
              <w:rPr>
                <w:rFonts w:ascii="宋体" w:hAnsi="宋体" w:eastAsia="宋体" w:cs="宋体"/>
                <w:b w:val="0"/>
                <w:i w:val="0"/>
                <w:sz w:val="18"/>
              </w:rPr>
              <w:t>1,010.42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9A1D28">
            <w:pPr>
              <w:spacing w:before="0" w:after="0" w:line="240" w:lineRule="auto"/>
              <w:jc w:val="center"/>
            </w:pPr>
            <w:r>
              <w:rPr>
                <w:rFonts w:ascii="宋体" w:hAnsi="宋体" w:eastAsia="宋体" w:cs="宋体"/>
                <w:b w:val="0"/>
                <w:i w:val="0"/>
                <w:sz w:val="18"/>
              </w:rPr>
              <w:t>1,291.48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B2CA75">
            <w:pPr>
              <w:spacing w:before="0" w:after="0" w:line="240" w:lineRule="auto"/>
              <w:jc w:val="center"/>
            </w:pPr>
            <w:r>
              <w:rPr>
                <w:rFonts w:ascii="宋体" w:hAnsi="宋体" w:eastAsia="宋体" w:cs="宋体"/>
                <w:b w:val="0"/>
                <w:i w:val="0"/>
                <w:sz w:val="18"/>
              </w:rPr>
              <w:t>1,108.98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1B886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D1AD29">
            <w:pPr>
              <w:spacing w:before="0" w:after="0" w:line="240" w:lineRule="auto"/>
              <w:jc w:val="center"/>
            </w:pPr>
            <w:r>
              <w:rPr>
                <w:rFonts w:ascii="宋体" w:hAnsi="宋体" w:eastAsia="宋体" w:cs="宋体"/>
                <w:b w:val="0"/>
                <w:i w:val="0"/>
                <w:sz w:val="18"/>
              </w:rPr>
              <w:t>85.87%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E95934">
            <w:pPr>
              <w:spacing w:before="0" w:after="0" w:line="240" w:lineRule="auto"/>
              <w:jc w:val="center"/>
            </w:pPr>
            <w:r>
              <w:rPr>
                <w:rFonts w:ascii="宋体" w:hAnsi="宋体" w:eastAsia="宋体" w:cs="宋体"/>
                <w:b w:val="0"/>
                <w:i w:val="0"/>
                <w:sz w:val="18"/>
              </w:rPr>
              <w:t>8.59</w:t>
            </w:r>
          </w:p>
        </w:tc>
      </w:tr>
      <w:tr w14:paraId="207F89A5">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A6944">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E7DCC8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DE127D9">
            <w:pPr>
              <w:spacing w:before="0" w:after="0" w:line="240" w:lineRule="auto"/>
              <w:jc w:val="center"/>
            </w:pPr>
            <w:r>
              <w:rPr>
                <w:rFonts w:ascii="宋体" w:hAnsi="宋体" w:eastAsia="宋体" w:cs="宋体"/>
                <w:b w:val="0"/>
                <w:i w:val="0"/>
                <w:sz w:val="18"/>
              </w:rPr>
              <w:t>实际完成情况</w:t>
            </w:r>
          </w:p>
        </w:tc>
      </w:tr>
      <w:tr w14:paraId="4DEE85F8">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EACB90"/>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92185E3">
            <w:pPr>
              <w:spacing w:before="0" w:after="0" w:line="240" w:lineRule="auto"/>
              <w:jc w:val="center"/>
            </w:pPr>
            <w:r>
              <w:rPr>
                <w:rFonts w:ascii="宋体" w:hAnsi="宋体" w:eastAsia="宋体" w:cs="宋体"/>
                <w:b w:val="0"/>
                <w:i w:val="0"/>
                <w:sz w:val="18"/>
              </w:rPr>
              <w:t>2025年检察工作要坚持以习近平新时代中国特色社会主义思想为指导，全面学习贯彻党的二十大精神，深入贯彻落实全面贯彻习近平法治思想，</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牢牢扭住社会稳定和长治久安总目标，全面落实《中共中央关于加强新时代检察机关法律监督工作的意见》及区州党委《实施意见》，按照新疆维吾尔自治区人民检察院下发工作要求，我院加强法律监督工作，推动检察工作高质量发展精神，优化“四大检察”“十大业务”法律监督格局，以高质量发展为主题，以完善检察机关法律监督体系、提升法律监督能力为主线，加强基层组织、基础工作、基本能力建设，深化司法体制改革，更好服务经济社会高质量发展、推动检察工作自身高质量发展，为全面建设社会主义现代化国家提供有力司法保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CC1543">
            <w:pPr>
              <w:spacing w:before="0" w:after="0" w:line="240" w:lineRule="auto"/>
              <w:jc w:val="center"/>
            </w:pPr>
            <w:r>
              <w:rPr>
                <w:rFonts w:ascii="宋体" w:hAnsi="宋体" w:eastAsia="宋体" w:cs="宋体"/>
                <w:b w:val="0"/>
                <w:i w:val="0"/>
                <w:sz w:val="18"/>
              </w:rPr>
              <w:t>2025年我单位全年预算数为1291.48万元，全年执行数为1108.98万元，总预算执行率为85.87%。2025年我单位完成以下工作内容：1.完成司法救助7件；2.完成检察机关办案686件；3.司法救助案件办结率达到100.00%；4.认罪认罚使用率达到89.47%。通过以上工作的实施，加强了法律监督工作，推动了检察工作高质量发展精神，优化了“四大检察”“十大业务”法律监督格局，以高质量发展为主题，以完善检察机关法律监督体系、提升法律监督能力为主线，加强了基层组织、基础工作、基本能力建设，深化了司法体制改革，更好地服务了经济社会高质量发展、推动了检察工作自身高质量发展，为全面建设社会主义现代化国家提供有力司法保障。</w:t>
            </w:r>
          </w:p>
        </w:tc>
      </w:tr>
      <w:tr w14:paraId="61B70C27">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08D15B">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D0E72E">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B63AC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87A024">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2529EB">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21384D">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DBA69F">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2D850A">
            <w:pPr>
              <w:keepNext/>
              <w:spacing w:before="0" w:after="0" w:line="240" w:lineRule="auto"/>
              <w:jc w:val="center"/>
            </w:pPr>
            <w:r>
              <w:rPr>
                <w:rFonts w:ascii="宋体" w:hAnsi="宋体" w:eastAsia="宋体" w:cs="宋体"/>
                <w:b w:val="0"/>
                <w:i w:val="0"/>
                <w:sz w:val="18"/>
              </w:rPr>
              <w:t>得分</w:t>
            </w:r>
          </w:p>
        </w:tc>
      </w:tr>
      <w:tr w14:paraId="09FCCE6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98C18B">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857E9E">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6ABC21">
            <w:pPr>
              <w:spacing w:before="0" w:after="0" w:line="240" w:lineRule="auto"/>
              <w:jc w:val="center"/>
            </w:pPr>
            <w:r>
              <w:rPr>
                <w:rFonts w:ascii="宋体" w:hAnsi="宋体" w:eastAsia="宋体" w:cs="宋体"/>
                <w:b w:val="0"/>
                <w:i w:val="0"/>
                <w:sz w:val="18"/>
              </w:rPr>
              <w:t>司法救助案件数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D677B5">
            <w:pPr>
              <w:spacing w:before="0" w:after="0" w:line="240" w:lineRule="auto"/>
              <w:jc w:val="center"/>
            </w:pPr>
            <w:r>
              <w:rPr>
                <w:rFonts w:ascii="宋体" w:hAnsi="宋体" w:eastAsia="宋体" w:cs="宋体"/>
                <w:b w:val="0"/>
                <w:i w:val="0"/>
                <w:sz w:val="18"/>
              </w:rPr>
              <w:t>&gt;=4件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811D73">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BF841D">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CED77E">
            <w:pPr>
              <w:spacing w:before="0" w:after="0" w:line="240" w:lineRule="auto"/>
              <w:jc w:val="center"/>
            </w:pPr>
            <w:r>
              <w:rPr>
                <w:rFonts w:ascii="宋体" w:hAnsi="宋体" w:eastAsia="宋体" w:cs="宋体"/>
                <w:b w:val="0"/>
                <w:i w:val="0"/>
                <w:sz w:val="18"/>
              </w:rPr>
              <w:t>=7件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110994">
            <w:pPr>
              <w:spacing w:before="0" w:after="0" w:line="240" w:lineRule="auto"/>
              <w:jc w:val="center"/>
            </w:pPr>
            <w:r>
              <w:rPr>
                <w:rFonts w:ascii="宋体" w:hAnsi="宋体" w:eastAsia="宋体" w:cs="宋体"/>
                <w:b w:val="0"/>
                <w:i w:val="0"/>
                <w:sz w:val="18"/>
              </w:rPr>
              <w:t>20</w:t>
            </w:r>
          </w:p>
        </w:tc>
      </w:tr>
      <w:tr w14:paraId="3930194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679227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670F4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19BC81">
            <w:pPr>
              <w:spacing w:before="0" w:after="0" w:line="240" w:lineRule="auto"/>
              <w:jc w:val="center"/>
            </w:pPr>
            <w:r>
              <w:rPr>
                <w:rFonts w:ascii="宋体" w:hAnsi="宋体" w:eastAsia="宋体" w:cs="宋体"/>
                <w:b w:val="0"/>
                <w:i w:val="0"/>
                <w:sz w:val="18"/>
              </w:rPr>
              <w:t>支持检察机关办案数量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0B5045">
            <w:pPr>
              <w:spacing w:before="0" w:after="0" w:line="240" w:lineRule="auto"/>
              <w:jc w:val="center"/>
            </w:pPr>
            <w:r>
              <w:rPr>
                <w:rFonts w:ascii="宋体" w:hAnsi="宋体" w:eastAsia="宋体" w:cs="宋体"/>
                <w:b w:val="0"/>
                <w:i w:val="0"/>
                <w:sz w:val="18"/>
              </w:rPr>
              <w:t>&gt;=284件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19B7E2">
            <w:pPr>
              <w:spacing w:before="0" w:after="0" w:line="240" w:lineRule="auto"/>
              <w:jc w:val="center"/>
            </w:pPr>
            <w:r>
              <w:rPr>
                <w:rFonts w:ascii="宋体" w:hAnsi="宋体" w:eastAsia="宋体" w:cs="宋体"/>
                <w:b w:val="0"/>
                <w:i w:val="0"/>
                <w:sz w:val="18"/>
              </w:rPr>
              <w:t>关于印发2025年新疆检察案件工作要点的通知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BC7840">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D0C925">
            <w:pPr>
              <w:spacing w:before="0" w:after="0" w:line="240" w:lineRule="auto"/>
              <w:jc w:val="center"/>
            </w:pPr>
            <w:r>
              <w:rPr>
                <w:rFonts w:ascii="宋体" w:hAnsi="宋体" w:eastAsia="宋体" w:cs="宋体"/>
                <w:b w:val="0"/>
                <w:i w:val="0"/>
                <w:sz w:val="18"/>
              </w:rPr>
              <w:t>=686件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14D8FF">
            <w:pPr>
              <w:spacing w:before="0" w:after="0" w:line="240" w:lineRule="auto"/>
              <w:jc w:val="center"/>
            </w:pPr>
            <w:r>
              <w:rPr>
                <w:rFonts w:ascii="宋体" w:hAnsi="宋体" w:eastAsia="宋体" w:cs="宋体"/>
                <w:b w:val="0"/>
                <w:i w:val="0"/>
                <w:sz w:val="18"/>
              </w:rPr>
              <w:t>25</w:t>
            </w:r>
          </w:p>
        </w:tc>
      </w:tr>
      <w:tr w14:paraId="5BE0D99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A725DF"/>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1CD83">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3B0EF4">
            <w:pPr>
              <w:spacing w:before="0" w:after="0" w:line="240" w:lineRule="auto"/>
              <w:jc w:val="center"/>
            </w:pPr>
            <w:r>
              <w:rPr>
                <w:rFonts w:ascii="宋体" w:hAnsi="宋体" w:eastAsia="宋体" w:cs="宋体"/>
                <w:b w:val="0"/>
                <w:i w:val="0"/>
                <w:sz w:val="18"/>
              </w:rPr>
              <w:t>司法求助案件办结率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FFAAC">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537553">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93D91B">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0F4753">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4BB33A">
            <w:pPr>
              <w:spacing w:before="0" w:after="0" w:line="240" w:lineRule="auto"/>
              <w:jc w:val="center"/>
            </w:pPr>
            <w:r>
              <w:rPr>
                <w:rFonts w:ascii="宋体" w:hAnsi="宋体" w:eastAsia="宋体" w:cs="宋体"/>
                <w:b w:val="0"/>
                <w:i w:val="0"/>
                <w:sz w:val="18"/>
              </w:rPr>
              <w:t>20</w:t>
            </w:r>
          </w:p>
        </w:tc>
      </w:tr>
      <w:tr w14:paraId="1C8EBA1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A76CBD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9A099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88F583">
            <w:pPr>
              <w:spacing w:before="0" w:after="0" w:line="240" w:lineRule="auto"/>
              <w:jc w:val="center"/>
            </w:pPr>
            <w:r>
              <w:rPr>
                <w:rFonts w:ascii="宋体" w:hAnsi="宋体" w:eastAsia="宋体" w:cs="宋体"/>
                <w:b w:val="0"/>
                <w:i w:val="0"/>
                <w:sz w:val="18"/>
              </w:rPr>
              <w:t>认罪认罚适用率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31FDCB">
            <w:pPr>
              <w:spacing w:before="0" w:after="0" w:line="240" w:lineRule="auto"/>
              <w:jc w:val="center"/>
            </w:pPr>
            <w:r>
              <w:rPr>
                <w:rFonts w:ascii="宋体" w:hAnsi="宋体" w:eastAsia="宋体" w:cs="宋体"/>
                <w:b w:val="0"/>
                <w:i w:val="0"/>
                <w:sz w:val="18"/>
              </w:rPr>
              <w:t>&gt;=86%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467054">
            <w:pPr>
              <w:spacing w:before="0" w:after="0" w:line="240" w:lineRule="auto"/>
              <w:jc w:val="center"/>
            </w:pPr>
            <w:r>
              <w:rPr>
                <w:rFonts w:ascii="宋体" w:hAnsi="宋体" w:eastAsia="宋体" w:cs="宋体"/>
                <w:b w:val="0"/>
                <w:i w:val="0"/>
                <w:sz w:val="18"/>
              </w:rPr>
              <w:t>关于印发2025年新疆检察案件工作要点的通知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117722">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6E0085">
            <w:pPr>
              <w:spacing w:before="0" w:after="0" w:line="240" w:lineRule="auto"/>
              <w:jc w:val="center"/>
            </w:pPr>
            <w:r>
              <w:rPr>
                <w:rFonts w:ascii="宋体" w:hAnsi="宋体" w:eastAsia="宋体" w:cs="宋体"/>
                <w:b w:val="0"/>
                <w:i w:val="0"/>
                <w:sz w:val="18"/>
              </w:rPr>
              <w:t>=89.47%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9A7735">
            <w:pPr>
              <w:spacing w:before="0" w:after="0" w:line="240" w:lineRule="auto"/>
              <w:jc w:val="center"/>
            </w:pPr>
            <w:r>
              <w:rPr>
                <w:rFonts w:ascii="宋体" w:hAnsi="宋体" w:eastAsia="宋体" w:cs="宋体"/>
                <w:b w:val="0"/>
                <w:i w:val="0"/>
                <w:sz w:val="18"/>
              </w:rPr>
              <w:t>25</w:t>
            </w:r>
          </w:p>
        </w:tc>
      </w:tr>
    </w:tbl>
    <w:p w14:paraId="5471D0B5">
      <w:r>
        <w:br w:type="page"/>
      </w:r>
    </w:p>
    <w:p w14:paraId="1CDB4FAF">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83"/>
        <w:gridCol w:w="583"/>
        <w:gridCol w:w="583"/>
        <w:gridCol w:w="583"/>
        <w:gridCol w:w="593"/>
        <w:gridCol w:w="612"/>
        <w:gridCol w:w="612"/>
        <w:gridCol w:w="593"/>
        <w:gridCol w:w="612"/>
        <w:gridCol w:w="585"/>
        <w:gridCol w:w="584"/>
        <w:gridCol w:w="585"/>
        <w:gridCol w:w="585"/>
        <w:gridCol w:w="613"/>
      </w:tblGrid>
      <w:tr w14:paraId="5FA6911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A48CA4">
            <w:pPr>
              <w:spacing w:before="0" w:after="0" w:line="240" w:lineRule="auto"/>
              <w:jc w:val="center"/>
            </w:pPr>
            <w:r>
              <w:rPr>
                <w:rFonts w:ascii="宋体" w:hAnsi="宋体" w:eastAsia="宋体" w:cs="宋体"/>
                <w:b/>
                <w:i w:val="0"/>
                <w:sz w:val="18"/>
              </w:rPr>
              <w:t>项目支出绩效自评表</w:t>
            </w:r>
          </w:p>
        </w:tc>
      </w:tr>
      <w:tr w14:paraId="2A35368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D2AAF6A">
            <w:pPr>
              <w:spacing w:before="0" w:after="0" w:line="240" w:lineRule="auto"/>
              <w:jc w:val="center"/>
            </w:pPr>
            <w:r>
              <w:rPr>
                <w:rFonts w:ascii="宋体" w:hAnsi="宋体" w:eastAsia="宋体" w:cs="宋体"/>
                <w:b w:val="0"/>
                <w:i w:val="0"/>
                <w:sz w:val="18"/>
              </w:rPr>
              <w:t>(2025年度)</w:t>
            </w:r>
          </w:p>
        </w:tc>
      </w:tr>
      <w:tr w14:paraId="6D89DDD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BA49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1E96BBE">
            <w:pPr>
              <w:spacing w:before="0" w:after="0" w:line="240" w:lineRule="auto"/>
              <w:jc w:val="center"/>
            </w:pPr>
            <w:r>
              <w:rPr>
                <w:rFonts w:ascii="宋体" w:hAnsi="宋体" w:eastAsia="宋体" w:cs="宋体"/>
                <w:b w:val="0"/>
                <w:i w:val="0"/>
                <w:sz w:val="18"/>
              </w:rPr>
              <w:t>2025年州直单位办公用房维修</w:t>
            </w:r>
          </w:p>
        </w:tc>
      </w:tr>
      <w:tr w14:paraId="5063F8C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6679D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B0219D">
            <w:pPr>
              <w:spacing w:before="0" w:after="0" w:line="240" w:lineRule="auto"/>
              <w:jc w:val="center"/>
            </w:pPr>
            <w:r>
              <w:rPr>
                <w:rFonts w:ascii="宋体" w:hAnsi="宋体" w:eastAsia="宋体" w:cs="宋体"/>
                <w:b w:val="0"/>
                <w:i w:val="0"/>
                <w:sz w:val="18"/>
              </w:rPr>
              <w:t>呼图壁县人民检察院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D4EB8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E046DE">
            <w:pPr>
              <w:spacing w:before="0" w:after="0" w:line="240" w:lineRule="auto"/>
              <w:jc w:val="center"/>
            </w:pPr>
            <w:r>
              <w:rPr>
                <w:rFonts w:ascii="宋体" w:hAnsi="宋体" w:eastAsia="宋体" w:cs="宋体"/>
                <w:b w:val="0"/>
                <w:i w:val="0"/>
                <w:sz w:val="18"/>
              </w:rPr>
              <w:t>呼图壁县人民检察院</w:t>
            </w:r>
          </w:p>
        </w:tc>
      </w:tr>
      <w:tr w14:paraId="48BD015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328D3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D2B0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0DE2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6A983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9C57C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B541E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9C680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0D30B">
            <w:pPr>
              <w:spacing w:before="0" w:after="0" w:line="240" w:lineRule="auto"/>
              <w:jc w:val="center"/>
            </w:pPr>
            <w:r>
              <w:rPr>
                <w:rFonts w:ascii="宋体" w:hAnsi="宋体" w:eastAsia="宋体" w:cs="宋体"/>
                <w:b/>
                <w:i w:val="0"/>
                <w:sz w:val="18"/>
              </w:rPr>
              <w:t>得分</w:t>
            </w:r>
          </w:p>
        </w:tc>
      </w:tr>
      <w:tr w14:paraId="02BFA1A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5B5B0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A402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F4B6D">
            <w:pPr>
              <w:spacing w:before="0" w:after="0" w:line="240" w:lineRule="auto"/>
              <w:jc w:val="center"/>
            </w:pPr>
            <w:r>
              <w:rPr>
                <w:rFonts w:ascii="宋体" w:hAnsi="宋体" w:eastAsia="宋体" w:cs="宋体"/>
                <w:b w:val="0"/>
                <w:i w:val="0"/>
                <w:sz w:val="18"/>
              </w:rPr>
              <w:t>14.20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BCC4A6">
            <w:pPr>
              <w:spacing w:before="0" w:after="0" w:line="240" w:lineRule="auto"/>
              <w:jc w:val="center"/>
            </w:pPr>
            <w:r>
              <w:rPr>
                <w:rFonts w:ascii="宋体" w:hAnsi="宋体" w:eastAsia="宋体" w:cs="宋体"/>
                <w:b w:val="0"/>
                <w:i w:val="0"/>
                <w:sz w:val="18"/>
              </w:rPr>
              <w:t>14.20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F18556">
            <w:pPr>
              <w:spacing w:before="0" w:after="0" w:line="240" w:lineRule="auto"/>
              <w:jc w:val="center"/>
            </w:pPr>
            <w:r>
              <w:rPr>
                <w:rFonts w:ascii="宋体" w:hAnsi="宋体" w:eastAsia="宋体" w:cs="宋体"/>
                <w:b w:val="0"/>
                <w:i w:val="0"/>
                <w:sz w:val="18"/>
              </w:rPr>
              <w:t>13.93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EEC54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94B645">
            <w:pPr>
              <w:spacing w:before="0" w:after="0" w:line="240" w:lineRule="auto"/>
              <w:jc w:val="center"/>
            </w:pPr>
            <w:r>
              <w:rPr>
                <w:rFonts w:ascii="宋体" w:hAnsi="宋体" w:eastAsia="宋体" w:cs="宋体"/>
                <w:b w:val="0"/>
                <w:i w:val="0"/>
                <w:sz w:val="18"/>
              </w:rPr>
              <w:t>98.10%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5D7BA">
            <w:pPr>
              <w:spacing w:before="0" w:after="0" w:line="240" w:lineRule="auto"/>
              <w:jc w:val="center"/>
            </w:pPr>
            <w:r>
              <w:rPr>
                <w:rFonts w:ascii="宋体" w:hAnsi="宋体" w:eastAsia="宋体" w:cs="宋体"/>
                <w:b w:val="0"/>
                <w:i w:val="0"/>
                <w:sz w:val="18"/>
              </w:rPr>
              <w:t>10</w:t>
            </w:r>
          </w:p>
        </w:tc>
      </w:tr>
      <w:tr w14:paraId="2BE37A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90EE7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09325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49918">
            <w:pPr>
              <w:spacing w:before="0" w:after="0" w:line="240" w:lineRule="auto"/>
              <w:jc w:val="center"/>
            </w:pPr>
            <w:r>
              <w:rPr>
                <w:rFonts w:ascii="宋体" w:hAnsi="宋体" w:eastAsia="宋体" w:cs="宋体"/>
                <w:b w:val="0"/>
                <w:i w:val="0"/>
                <w:sz w:val="18"/>
              </w:rPr>
              <w:t>14.20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076DD4">
            <w:pPr>
              <w:spacing w:before="0" w:after="0" w:line="240" w:lineRule="auto"/>
              <w:jc w:val="center"/>
            </w:pPr>
            <w:r>
              <w:rPr>
                <w:rFonts w:ascii="宋体" w:hAnsi="宋体" w:eastAsia="宋体" w:cs="宋体"/>
                <w:b w:val="0"/>
                <w:i w:val="0"/>
                <w:sz w:val="18"/>
              </w:rPr>
              <w:t>14.20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F7C430">
            <w:pPr>
              <w:spacing w:before="0" w:after="0" w:line="240" w:lineRule="auto"/>
              <w:jc w:val="center"/>
            </w:pPr>
            <w:r>
              <w:rPr>
                <w:rFonts w:ascii="宋体" w:hAnsi="宋体" w:eastAsia="宋体" w:cs="宋体"/>
                <w:b w:val="0"/>
                <w:i w:val="0"/>
                <w:sz w:val="18"/>
              </w:rPr>
              <w:t>13.93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D8B0C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0774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4E0AD3">
            <w:pPr>
              <w:spacing w:before="0" w:after="0" w:line="240" w:lineRule="auto"/>
              <w:jc w:val="center"/>
            </w:pPr>
            <w:r>
              <w:rPr>
                <w:rFonts w:ascii="宋体" w:hAnsi="宋体" w:eastAsia="宋体" w:cs="宋体"/>
                <w:b w:val="0"/>
                <w:i w:val="0"/>
                <w:sz w:val="18"/>
              </w:rPr>
              <w:t>—</w:t>
            </w:r>
          </w:p>
        </w:tc>
      </w:tr>
      <w:tr w14:paraId="5384799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94C2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315C2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B43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C61E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B12C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7CCC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62DE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6FDB5">
            <w:pPr>
              <w:spacing w:before="0" w:after="0" w:line="240" w:lineRule="auto"/>
              <w:jc w:val="center"/>
            </w:pPr>
            <w:r>
              <w:rPr>
                <w:rFonts w:ascii="宋体" w:hAnsi="宋体" w:eastAsia="宋体" w:cs="宋体"/>
                <w:b w:val="0"/>
                <w:i w:val="0"/>
                <w:sz w:val="18"/>
              </w:rPr>
              <w:t>—</w:t>
            </w:r>
          </w:p>
        </w:tc>
      </w:tr>
      <w:tr w14:paraId="032AF2A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C6322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1C4E7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0F8A6AC">
            <w:pPr>
              <w:spacing w:before="0" w:after="0" w:line="240" w:lineRule="auto"/>
              <w:jc w:val="center"/>
            </w:pPr>
            <w:r>
              <w:rPr>
                <w:rFonts w:ascii="宋体" w:hAnsi="宋体" w:eastAsia="宋体" w:cs="宋体"/>
                <w:b/>
                <w:i w:val="0"/>
                <w:sz w:val="18"/>
              </w:rPr>
              <w:t>实际完成情况</w:t>
            </w:r>
          </w:p>
        </w:tc>
      </w:tr>
      <w:tr w14:paraId="0905C20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C15EC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147D17">
            <w:pPr>
              <w:spacing w:before="0" w:after="0" w:line="240" w:lineRule="auto"/>
              <w:jc w:val="center"/>
            </w:pPr>
            <w:r>
              <w:rPr>
                <w:rFonts w:ascii="宋体" w:hAnsi="宋体" w:eastAsia="宋体" w:cs="宋体"/>
                <w:b w:val="0"/>
                <w:i w:val="0"/>
                <w:sz w:val="18"/>
              </w:rPr>
              <w:t>呼图壁县人民检察院2025年州直单位办公用房维修项目14.2万元，主要用于维修办公大楼墙面保温维修改造，保障1个办公用房外墙保温的维修，保障我院对办公用房外墙保温维修改造验收合格率达到100%，保障维修办公用房外墙保温费用不超过14.2万元，项目预算控制率不超过100%。该项目的实施有效改善了办公环境和场所有效提升干警的业务能力，提升我院的服务水平，干警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3E89077">
            <w:pPr>
              <w:spacing w:before="0" w:after="0" w:line="240" w:lineRule="auto"/>
              <w:jc w:val="center"/>
            </w:pPr>
            <w:r>
              <w:rPr>
                <w:rFonts w:ascii="宋体" w:hAnsi="宋体" w:eastAsia="宋体" w:cs="宋体"/>
                <w:b w:val="0"/>
                <w:i w:val="0"/>
                <w:sz w:val="18"/>
              </w:rPr>
              <w:t>截至2025年12月31日，本项目支出资金13.93万元，资金执行率98.1%，本项目实际维修改造办公用房项目1个，维修了2面外墙。通过本项目的实施，有效减少能源消耗，降低取暖和制冷成本，为我院节约经费；有利于创造更加稳定、舒适的工作环境，有助于提高检察人员的工作积极性和专注度；减少了外墙受到温度变化、风雨侵蚀等影响，降低了外墙开裂、渗透等问题的发生概率，确保了办公大楼的安全稳定运行。</w:t>
            </w:r>
          </w:p>
        </w:tc>
      </w:tr>
      <w:tr w14:paraId="5D218FF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FFB24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594B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3BE1D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61529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4FE70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2BE5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B8C2A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D0922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B4A69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6274C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E4C9E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AEAC9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20B4A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8D3A67">
            <w:pPr>
              <w:keepNext/>
              <w:spacing w:before="0" w:after="0" w:line="240" w:lineRule="auto"/>
              <w:jc w:val="center"/>
            </w:pPr>
            <w:r>
              <w:rPr>
                <w:rFonts w:ascii="宋体" w:hAnsi="宋体" w:eastAsia="宋体" w:cs="宋体"/>
                <w:b/>
                <w:i w:val="0"/>
                <w:sz w:val="18"/>
              </w:rPr>
              <w:t>偏差原因分析及改进措施</w:t>
            </w:r>
          </w:p>
        </w:tc>
      </w:tr>
      <w:tr w14:paraId="666D217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626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8FDC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22D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31DE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82C9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3C6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1CFC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4E1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1B6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ECE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599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CE3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4234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0D3646"/>
        </w:tc>
      </w:tr>
      <w:tr w14:paraId="500F97A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9A07A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61D40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E4F1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621C2">
            <w:pPr>
              <w:spacing w:before="0" w:after="0" w:line="240" w:lineRule="auto"/>
              <w:jc w:val="center"/>
            </w:pPr>
            <w:r>
              <w:rPr>
                <w:rFonts w:ascii="宋体" w:hAnsi="宋体" w:eastAsia="宋体" w:cs="宋体"/>
                <w:b w:val="0"/>
                <w:i w:val="0"/>
                <w:sz w:val="18"/>
              </w:rPr>
              <w:t>维护改造项目工程数量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7C65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925F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5795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CCF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F18D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8E7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CCB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D46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969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3B6BA">
            <w:pPr>
              <w:spacing w:before="0" w:after="0" w:line="240" w:lineRule="auto"/>
              <w:jc w:val="center"/>
            </w:pPr>
          </w:p>
        </w:tc>
      </w:tr>
      <w:tr w14:paraId="5EA0F4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F294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BCD4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62B6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D7917">
            <w:pPr>
              <w:spacing w:before="0" w:after="0" w:line="240" w:lineRule="auto"/>
              <w:jc w:val="center"/>
            </w:pPr>
            <w:r>
              <w:rPr>
                <w:rFonts w:ascii="宋体" w:hAnsi="宋体" w:eastAsia="宋体" w:cs="宋体"/>
                <w:b w:val="0"/>
                <w:i w:val="0"/>
                <w:sz w:val="18"/>
              </w:rPr>
              <w:t>办公大楼外墙保温维修墙面</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E0A5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4FCE1">
            <w:pPr>
              <w:spacing w:before="0" w:after="0" w:line="240" w:lineRule="auto"/>
              <w:jc w:val="center"/>
            </w:pPr>
            <w:r>
              <w:rPr>
                <w:rFonts w:ascii="宋体" w:hAnsi="宋体" w:eastAsia="宋体" w:cs="宋体"/>
                <w:b w:val="0"/>
                <w:i w:val="0"/>
                <w:sz w:val="18"/>
              </w:rPr>
              <w:t>=2面</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56230">
            <w:pPr>
              <w:spacing w:before="0" w:after="0" w:line="240" w:lineRule="auto"/>
              <w:jc w:val="center"/>
            </w:pPr>
            <w:r>
              <w:rPr>
                <w:rFonts w:ascii="宋体" w:hAnsi="宋体" w:eastAsia="宋体" w:cs="宋体"/>
                <w:b w:val="0"/>
                <w:i w:val="0"/>
                <w:sz w:val="18"/>
              </w:rPr>
              <w:t>=2面</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CB6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3460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861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439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AF1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BE1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55996">
            <w:pPr>
              <w:spacing w:before="0" w:after="0" w:line="240" w:lineRule="auto"/>
              <w:jc w:val="center"/>
            </w:pPr>
          </w:p>
        </w:tc>
      </w:tr>
      <w:tr w14:paraId="602B47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274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7671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B2D1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ACE4A">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0475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854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948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71D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0A0F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490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F2B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C0B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E79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83D2C">
            <w:pPr>
              <w:spacing w:before="0" w:after="0" w:line="240" w:lineRule="auto"/>
              <w:jc w:val="center"/>
            </w:pPr>
          </w:p>
        </w:tc>
      </w:tr>
      <w:tr w14:paraId="026F17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1F16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562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B4AB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99D9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4363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50D6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AA70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2BA0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9287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6E6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D91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8159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B30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98DC3">
            <w:pPr>
              <w:spacing w:before="0" w:after="0" w:line="240" w:lineRule="auto"/>
              <w:jc w:val="center"/>
            </w:pPr>
          </w:p>
        </w:tc>
      </w:tr>
      <w:tr w14:paraId="23223B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F771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84BE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A4F4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6122D">
            <w:pPr>
              <w:spacing w:before="0" w:after="0" w:line="240" w:lineRule="auto"/>
              <w:jc w:val="center"/>
            </w:pPr>
            <w:r>
              <w:rPr>
                <w:rFonts w:ascii="宋体" w:hAnsi="宋体" w:eastAsia="宋体" w:cs="宋体"/>
                <w:b w:val="0"/>
                <w:i w:val="0"/>
                <w:sz w:val="18"/>
              </w:rPr>
              <w:t>项目预算控制率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0EF7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388E">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FBFCA">
            <w:pPr>
              <w:spacing w:before="0" w:after="0" w:line="240" w:lineRule="auto"/>
              <w:jc w:val="center"/>
            </w:pPr>
            <w:r>
              <w:rPr>
                <w:rFonts w:ascii="宋体" w:hAnsi="宋体" w:eastAsia="宋体" w:cs="宋体"/>
                <w:b w:val="0"/>
                <w:i w:val="0"/>
                <w:sz w:val="18"/>
              </w:rPr>
              <w:t>=98.1%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DBF3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EB3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3CC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4E9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F00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D98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5A025">
            <w:pPr>
              <w:spacing w:before="0" w:after="0" w:line="240" w:lineRule="auto"/>
              <w:jc w:val="center"/>
            </w:pPr>
            <w:r>
              <w:rPr>
                <w:rFonts w:ascii="宋体" w:hAnsi="宋体" w:eastAsia="宋体" w:cs="宋体"/>
                <w:b w:val="0"/>
                <w:i w:val="0"/>
                <w:sz w:val="18"/>
              </w:rPr>
              <w:t>此项指标未完成，存在偏差，偏差率为1.9%，偏差原因为：项目人员严格控制维修成本开支，导致实际支出较年初预算有一定的节余，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0.27万元；下一年度改进措施：提高预算编制准确性，确保后续各类项目严格按照预算进行支出。</w:t>
            </w:r>
          </w:p>
        </w:tc>
      </w:tr>
      <w:tr w14:paraId="2D139F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6B1F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9ADE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AAB2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90635">
            <w:pPr>
              <w:spacing w:before="0" w:after="0" w:line="240" w:lineRule="auto"/>
              <w:jc w:val="center"/>
            </w:pPr>
            <w:r>
              <w:rPr>
                <w:rFonts w:ascii="宋体" w:hAnsi="宋体" w:eastAsia="宋体" w:cs="宋体"/>
                <w:b w:val="0"/>
                <w:i w:val="0"/>
                <w:sz w:val="18"/>
              </w:rPr>
              <w:t>改善办公环境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7BD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E24DC">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6B93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FD6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29C06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5AF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FAE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788F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A67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F074A">
            <w:pPr>
              <w:spacing w:before="0" w:after="0" w:line="240" w:lineRule="auto"/>
              <w:jc w:val="center"/>
            </w:pPr>
          </w:p>
        </w:tc>
      </w:tr>
      <w:tr w14:paraId="7C2358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7AD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563E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9924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501D1">
            <w:pPr>
              <w:spacing w:before="0" w:after="0" w:line="240" w:lineRule="auto"/>
              <w:jc w:val="center"/>
            </w:pPr>
            <w:r>
              <w:rPr>
                <w:rFonts w:ascii="宋体" w:hAnsi="宋体" w:eastAsia="宋体" w:cs="宋体"/>
                <w:b w:val="0"/>
                <w:i w:val="0"/>
                <w:sz w:val="18"/>
              </w:rPr>
              <w:t>干警满意度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AE49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B9CA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1C1A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5BC5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1F3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460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58B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7DAE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406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B5625">
            <w:pPr>
              <w:spacing w:before="0" w:after="0" w:line="240" w:lineRule="auto"/>
              <w:jc w:val="center"/>
            </w:pPr>
            <w:r>
              <w:rPr>
                <w:rFonts w:ascii="宋体" w:hAnsi="宋体" w:eastAsia="宋体" w:cs="宋体"/>
                <w:b w:val="0"/>
                <w:i w:val="0"/>
                <w:sz w:val="18"/>
              </w:rPr>
              <w:t>此项指标未完成，存在偏差，偏差率为2%，偏差原因为：项目人员严格控制维修成本开支，导致实际支出较年初预算有一定的节余，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0.27万元；下一年度改进措施：提高预算编制准确性，确保后续各类项目严格按照预算进行支出。</w:t>
            </w:r>
          </w:p>
        </w:tc>
      </w:tr>
      <w:tr w14:paraId="57DBFE6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2D0D0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1DA9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2B0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97A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134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F550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8FD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5B2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EFF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8DD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D47F6">
            <w:pPr>
              <w:spacing w:before="0" w:after="0" w:line="240" w:lineRule="auto"/>
              <w:jc w:val="center"/>
            </w:pPr>
          </w:p>
        </w:tc>
      </w:tr>
    </w:tbl>
    <w:p w14:paraId="2909B50C">
      <w:r>
        <w:br w:type="page"/>
      </w:r>
    </w:p>
    <w:tbl>
      <w:tblPr>
        <w:tblStyle w:val="8"/>
        <w:tblW w:w="5000" w:type="pct"/>
        <w:tblInd w:w="0" w:type="dxa"/>
        <w:tblLayout w:type="autofit"/>
        <w:tblCellMar>
          <w:top w:w="36" w:type="dxa"/>
          <w:left w:w="36" w:type="dxa"/>
          <w:bottom w:w="36" w:type="dxa"/>
          <w:right w:w="36" w:type="dxa"/>
        </w:tblCellMar>
      </w:tblPr>
      <w:tblGrid>
        <w:gridCol w:w="519"/>
        <w:gridCol w:w="520"/>
        <w:gridCol w:w="520"/>
        <w:gridCol w:w="558"/>
        <w:gridCol w:w="612"/>
        <w:gridCol w:w="702"/>
        <w:gridCol w:w="702"/>
        <w:gridCol w:w="612"/>
        <w:gridCol w:w="593"/>
        <w:gridCol w:w="520"/>
        <w:gridCol w:w="578"/>
        <w:gridCol w:w="520"/>
        <w:gridCol w:w="558"/>
        <w:gridCol w:w="792"/>
      </w:tblGrid>
      <w:tr w14:paraId="0ECE0F1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B73038">
            <w:pPr>
              <w:spacing w:before="0" w:after="0" w:line="240" w:lineRule="auto"/>
              <w:jc w:val="center"/>
            </w:pPr>
            <w:r>
              <w:rPr>
                <w:rFonts w:ascii="宋体" w:hAnsi="宋体" w:eastAsia="宋体" w:cs="宋体"/>
                <w:b/>
                <w:i w:val="0"/>
                <w:sz w:val="18"/>
              </w:rPr>
              <w:t>项目支出绩效自评表</w:t>
            </w:r>
          </w:p>
        </w:tc>
      </w:tr>
      <w:tr w14:paraId="718531B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9C1FA7">
            <w:pPr>
              <w:spacing w:before="0" w:after="0" w:line="240" w:lineRule="auto"/>
              <w:jc w:val="center"/>
            </w:pPr>
            <w:r>
              <w:rPr>
                <w:rFonts w:ascii="宋体" w:hAnsi="宋体" w:eastAsia="宋体" w:cs="宋体"/>
                <w:b w:val="0"/>
                <w:i w:val="0"/>
                <w:sz w:val="18"/>
              </w:rPr>
              <w:t>(2025年度)</w:t>
            </w:r>
          </w:p>
        </w:tc>
      </w:tr>
      <w:tr w14:paraId="19E88C5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9FC75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9CC798B">
            <w:pPr>
              <w:spacing w:before="0" w:after="0" w:line="240" w:lineRule="auto"/>
              <w:jc w:val="center"/>
            </w:pPr>
            <w:r>
              <w:rPr>
                <w:rFonts w:ascii="宋体" w:hAnsi="宋体" w:eastAsia="宋体" w:cs="宋体"/>
                <w:b w:val="0"/>
                <w:i w:val="0"/>
                <w:sz w:val="18"/>
              </w:rPr>
              <w:t>机关运行补助经费</w:t>
            </w:r>
          </w:p>
        </w:tc>
      </w:tr>
      <w:tr w14:paraId="49C705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E777D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97AF23F">
            <w:pPr>
              <w:spacing w:before="0" w:after="0" w:line="240" w:lineRule="auto"/>
              <w:jc w:val="center"/>
            </w:pPr>
            <w:r>
              <w:rPr>
                <w:rFonts w:ascii="宋体" w:hAnsi="宋体" w:eastAsia="宋体" w:cs="宋体"/>
                <w:b w:val="0"/>
                <w:i w:val="0"/>
                <w:sz w:val="18"/>
              </w:rPr>
              <w:t>呼图壁县人民检察院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77328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461E56">
            <w:pPr>
              <w:spacing w:before="0" w:after="0" w:line="240" w:lineRule="auto"/>
              <w:jc w:val="center"/>
            </w:pPr>
            <w:r>
              <w:rPr>
                <w:rFonts w:ascii="宋体" w:hAnsi="宋体" w:eastAsia="宋体" w:cs="宋体"/>
                <w:b w:val="0"/>
                <w:i w:val="0"/>
                <w:sz w:val="18"/>
              </w:rPr>
              <w:t>呼图壁县人民检察院</w:t>
            </w:r>
          </w:p>
        </w:tc>
      </w:tr>
      <w:tr w14:paraId="741102B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C5AB3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EBB9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1181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4A627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E4CE2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6FFBB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F571D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CA94D6">
            <w:pPr>
              <w:spacing w:before="0" w:after="0" w:line="240" w:lineRule="auto"/>
              <w:jc w:val="center"/>
            </w:pPr>
            <w:r>
              <w:rPr>
                <w:rFonts w:ascii="宋体" w:hAnsi="宋体" w:eastAsia="宋体" w:cs="宋体"/>
                <w:b/>
                <w:i w:val="0"/>
                <w:sz w:val="18"/>
              </w:rPr>
              <w:t>得分</w:t>
            </w:r>
          </w:p>
        </w:tc>
      </w:tr>
      <w:tr w14:paraId="4540FF5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73EBF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34D38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0F7C9">
            <w:pPr>
              <w:spacing w:before="0" w:after="0" w:line="240" w:lineRule="auto"/>
              <w:jc w:val="center"/>
            </w:pPr>
            <w:r>
              <w:rPr>
                <w:rFonts w:ascii="宋体" w:hAnsi="宋体" w:eastAsia="宋体" w:cs="宋体"/>
                <w:b w:val="0"/>
                <w:i w:val="0"/>
                <w:sz w:val="18"/>
              </w:rPr>
              <w:t>135.00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F6BCC6">
            <w:pPr>
              <w:spacing w:before="0" w:after="0" w:line="240" w:lineRule="auto"/>
              <w:jc w:val="center"/>
            </w:pPr>
            <w:r>
              <w:rPr>
                <w:rFonts w:ascii="宋体" w:hAnsi="宋体" w:eastAsia="宋体" w:cs="宋体"/>
                <w:b w:val="0"/>
                <w:i w:val="0"/>
                <w:sz w:val="18"/>
              </w:rPr>
              <w:t>74.80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461F1">
            <w:pPr>
              <w:spacing w:before="0" w:after="0" w:line="240" w:lineRule="auto"/>
              <w:jc w:val="center"/>
            </w:pPr>
            <w:r>
              <w:rPr>
                <w:rFonts w:ascii="宋体" w:hAnsi="宋体" w:eastAsia="宋体" w:cs="宋体"/>
                <w:b w:val="0"/>
                <w:i w:val="0"/>
                <w:sz w:val="18"/>
              </w:rPr>
              <w:t>64.28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FDAF2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947619">
            <w:pPr>
              <w:spacing w:before="0" w:after="0" w:line="240" w:lineRule="auto"/>
              <w:jc w:val="center"/>
            </w:pPr>
            <w:r>
              <w:rPr>
                <w:rFonts w:ascii="宋体" w:hAnsi="宋体" w:eastAsia="宋体" w:cs="宋体"/>
                <w:b w:val="0"/>
                <w:i w:val="0"/>
                <w:sz w:val="18"/>
              </w:rPr>
              <w:t>85.94%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DEBA24">
            <w:pPr>
              <w:spacing w:before="0" w:after="0" w:line="240" w:lineRule="auto"/>
              <w:jc w:val="center"/>
            </w:pPr>
            <w:r>
              <w:rPr>
                <w:rFonts w:ascii="宋体" w:hAnsi="宋体" w:eastAsia="宋体" w:cs="宋体"/>
                <w:b w:val="0"/>
                <w:i w:val="0"/>
                <w:sz w:val="18"/>
              </w:rPr>
              <w:t>6.48</w:t>
            </w:r>
          </w:p>
        </w:tc>
      </w:tr>
      <w:tr w14:paraId="5C8FDB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27799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42AA1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3AC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A37C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65C6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BCC3D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D0E0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695F2">
            <w:pPr>
              <w:spacing w:before="0" w:after="0" w:line="240" w:lineRule="auto"/>
              <w:jc w:val="center"/>
            </w:pPr>
            <w:r>
              <w:rPr>
                <w:rFonts w:ascii="宋体" w:hAnsi="宋体" w:eastAsia="宋体" w:cs="宋体"/>
                <w:b w:val="0"/>
                <w:i w:val="0"/>
                <w:sz w:val="18"/>
              </w:rPr>
              <w:t>—</w:t>
            </w:r>
          </w:p>
        </w:tc>
      </w:tr>
      <w:tr w14:paraId="6C7A85B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7A2C9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8744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81205">
            <w:pPr>
              <w:spacing w:before="0" w:after="0" w:line="240" w:lineRule="auto"/>
              <w:jc w:val="center"/>
            </w:pPr>
            <w:r>
              <w:rPr>
                <w:rFonts w:ascii="宋体" w:hAnsi="宋体" w:eastAsia="宋体" w:cs="宋体"/>
                <w:b w:val="0"/>
                <w:i w:val="0"/>
                <w:sz w:val="18"/>
              </w:rPr>
              <w:t>135.00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C3B25F">
            <w:pPr>
              <w:spacing w:before="0" w:after="0" w:line="240" w:lineRule="auto"/>
              <w:jc w:val="center"/>
            </w:pPr>
            <w:r>
              <w:rPr>
                <w:rFonts w:ascii="宋体" w:hAnsi="宋体" w:eastAsia="宋体" w:cs="宋体"/>
                <w:b w:val="0"/>
                <w:i w:val="0"/>
                <w:sz w:val="18"/>
              </w:rPr>
              <w:t>74.80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BF8A1">
            <w:pPr>
              <w:spacing w:before="0" w:after="0" w:line="240" w:lineRule="auto"/>
              <w:jc w:val="center"/>
            </w:pPr>
            <w:r>
              <w:rPr>
                <w:rFonts w:ascii="宋体" w:hAnsi="宋体" w:eastAsia="宋体" w:cs="宋体"/>
                <w:b w:val="0"/>
                <w:i w:val="0"/>
                <w:sz w:val="18"/>
              </w:rPr>
              <w:t>64.28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7249B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2F89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93912">
            <w:pPr>
              <w:spacing w:before="0" w:after="0" w:line="240" w:lineRule="auto"/>
              <w:jc w:val="center"/>
            </w:pPr>
            <w:r>
              <w:rPr>
                <w:rFonts w:ascii="宋体" w:hAnsi="宋体" w:eastAsia="宋体" w:cs="宋体"/>
                <w:b w:val="0"/>
                <w:i w:val="0"/>
                <w:sz w:val="18"/>
              </w:rPr>
              <w:t>—</w:t>
            </w:r>
          </w:p>
        </w:tc>
      </w:tr>
      <w:tr w14:paraId="61F968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C6BD3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87CD9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F69FA5E">
            <w:pPr>
              <w:spacing w:before="0" w:after="0" w:line="240" w:lineRule="auto"/>
              <w:jc w:val="center"/>
            </w:pPr>
            <w:r>
              <w:rPr>
                <w:rFonts w:ascii="宋体" w:hAnsi="宋体" w:eastAsia="宋体" w:cs="宋体"/>
                <w:b/>
                <w:i w:val="0"/>
                <w:sz w:val="18"/>
              </w:rPr>
              <w:t>实际完成情况</w:t>
            </w:r>
          </w:p>
        </w:tc>
      </w:tr>
      <w:tr w14:paraId="2795D1D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B3687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A706E28">
            <w:pPr>
              <w:spacing w:before="0" w:after="0" w:line="240" w:lineRule="auto"/>
              <w:jc w:val="center"/>
            </w:pPr>
            <w:r>
              <w:rPr>
                <w:rFonts w:ascii="宋体" w:hAnsi="宋体" w:eastAsia="宋体" w:cs="宋体"/>
                <w:b w:val="0"/>
                <w:i w:val="0"/>
                <w:sz w:val="18"/>
              </w:rPr>
              <w:t>按照我院实际工作需求，机关运行补助74.82万元计划用于保障办案人员超过27人，参加培训、出差次数超过8次，差旅费等支付资金不超过45.98万元，物业管项目数量等于1个，采购验收率预期达到100%，经费支付及时率达到100%，物业管理费等支付资金不超过28.82万元。该项目的实施能保障单位机关正常运行，提高检察干警综合素养、提高工作效率，推进基层院建设、助力脱薄争先的重要举措。</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A90CAF">
            <w:pPr>
              <w:spacing w:before="0" w:after="0" w:line="240" w:lineRule="auto"/>
              <w:jc w:val="center"/>
            </w:pPr>
            <w:r>
              <w:rPr>
                <w:rFonts w:ascii="宋体" w:hAnsi="宋体" w:eastAsia="宋体" w:cs="宋体"/>
                <w:b w:val="0"/>
                <w:i w:val="0"/>
                <w:sz w:val="18"/>
              </w:rPr>
              <w:t>截至2025年12月31日，本项目支出资金64.28万元，资金执行率85.94%，本项目实际保障办公人员27人，保障了干警参加8次培训，开展了1个物业管理服务。通过本项目的实施，保障了我院单位机关正常运行，优化基层院的工作环境和设施条件，加强了对干警的尊重和关怀，有效提升了干警的业务能力，提高了工作效率，促进了持续提高为人民群众提供有效的公共法律服务水平。</w:t>
            </w:r>
          </w:p>
        </w:tc>
      </w:tr>
      <w:tr w14:paraId="4E4F0E2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6AE9A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F3A95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B820F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7826C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25E67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2FFE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6A34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40258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47CF5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68E5E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51266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C4E11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00E35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4A4AF7">
            <w:pPr>
              <w:keepNext/>
              <w:spacing w:before="0" w:after="0" w:line="240" w:lineRule="auto"/>
              <w:jc w:val="center"/>
            </w:pPr>
            <w:r>
              <w:rPr>
                <w:rFonts w:ascii="宋体" w:hAnsi="宋体" w:eastAsia="宋体" w:cs="宋体"/>
                <w:b/>
                <w:i w:val="0"/>
                <w:sz w:val="18"/>
              </w:rPr>
              <w:t>偏差原因分析及改进措施</w:t>
            </w:r>
          </w:p>
        </w:tc>
      </w:tr>
      <w:tr w14:paraId="274BE43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1061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3433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1D9E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4B75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838C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4981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9F8B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F486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8363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8C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ECB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4DA0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7BB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10755"/>
        </w:tc>
      </w:tr>
      <w:tr w14:paraId="01719EF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DDAE5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CD802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0C74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5F4B6">
            <w:pPr>
              <w:spacing w:before="0" w:after="0" w:line="240" w:lineRule="auto"/>
              <w:jc w:val="center"/>
            </w:pPr>
            <w:r>
              <w:rPr>
                <w:rFonts w:ascii="宋体" w:hAnsi="宋体" w:eastAsia="宋体" w:cs="宋体"/>
                <w:b w:val="0"/>
                <w:i w:val="0"/>
                <w:sz w:val="18"/>
              </w:rPr>
              <w:t>保障人员数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0A6E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5766F">
            <w:pPr>
              <w:spacing w:before="0" w:after="0" w:line="240" w:lineRule="auto"/>
              <w:jc w:val="center"/>
            </w:pPr>
            <w:r>
              <w:rPr>
                <w:rFonts w:ascii="宋体" w:hAnsi="宋体" w:eastAsia="宋体" w:cs="宋体"/>
                <w:b w:val="0"/>
                <w:i w:val="0"/>
                <w:sz w:val="18"/>
              </w:rPr>
              <w:t>&gt;=27人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8274D">
            <w:pPr>
              <w:spacing w:before="0" w:after="0" w:line="240" w:lineRule="auto"/>
              <w:jc w:val="center"/>
            </w:pPr>
            <w:r>
              <w:rPr>
                <w:rFonts w:ascii="宋体" w:hAnsi="宋体" w:eastAsia="宋体" w:cs="宋体"/>
                <w:b w:val="0"/>
                <w:i w:val="0"/>
                <w:sz w:val="18"/>
              </w:rPr>
              <w:t>=27人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547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D195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60F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193FE">
            <w:pPr>
              <w:spacing w:before="0" w:after="0" w:line="240" w:lineRule="auto"/>
              <w:jc w:val="center"/>
            </w:pPr>
            <w:r>
              <w:rPr>
                <w:rFonts w:ascii="宋体" w:hAnsi="宋体" w:eastAsia="宋体" w:cs="宋体"/>
                <w:b w:val="0"/>
                <w:i w:val="0"/>
                <w:sz w:val="18"/>
              </w:rPr>
              <w:t>26人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34E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734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2931E">
            <w:pPr>
              <w:spacing w:before="0" w:after="0" w:line="240" w:lineRule="auto"/>
              <w:jc w:val="center"/>
            </w:pPr>
          </w:p>
        </w:tc>
      </w:tr>
      <w:tr w14:paraId="3BF93C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F60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EE61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E6C2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128D2">
            <w:pPr>
              <w:spacing w:before="0" w:after="0" w:line="240" w:lineRule="auto"/>
              <w:jc w:val="center"/>
            </w:pPr>
            <w:r>
              <w:rPr>
                <w:rFonts w:ascii="宋体" w:hAnsi="宋体" w:eastAsia="宋体" w:cs="宋体"/>
                <w:b w:val="0"/>
                <w:i w:val="0"/>
                <w:sz w:val="18"/>
              </w:rPr>
              <w:t>参加培训、出差次数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770B3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BB0E5">
            <w:pPr>
              <w:spacing w:before="0" w:after="0" w:line="240" w:lineRule="auto"/>
              <w:jc w:val="center"/>
            </w:pPr>
            <w:r>
              <w:rPr>
                <w:rFonts w:ascii="宋体" w:hAnsi="宋体" w:eastAsia="宋体" w:cs="宋体"/>
                <w:b w:val="0"/>
                <w:i w:val="0"/>
                <w:sz w:val="18"/>
              </w:rPr>
              <w:t>&gt;=8次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9DFB4">
            <w:pPr>
              <w:spacing w:before="0" w:after="0" w:line="240" w:lineRule="auto"/>
              <w:jc w:val="center"/>
            </w:pPr>
            <w:r>
              <w:rPr>
                <w:rFonts w:ascii="宋体" w:hAnsi="宋体" w:eastAsia="宋体" w:cs="宋体"/>
                <w:b w:val="0"/>
                <w:i w:val="0"/>
                <w:sz w:val="18"/>
              </w:rPr>
              <w:t>=8次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8C2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9A05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A75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D4E5A">
            <w:pPr>
              <w:spacing w:before="0" w:after="0" w:line="240" w:lineRule="auto"/>
              <w:jc w:val="center"/>
            </w:pPr>
            <w:r>
              <w:rPr>
                <w:rFonts w:ascii="宋体" w:hAnsi="宋体" w:eastAsia="宋体" w:cs="宋体"/>
                <w:b w:val="0"/>
                <w:i w:val="0"/>
                <w:sz w:val="18"/>
              </w:rPr>
              <w:t>9次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FEF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29B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9D380">
            <w:pPr>
              <w:spacing w:before="0" w:after="0" w:line="240" w:lineRule="auto"/>
              <w:jc w:val="center"/>
            </w:pPr>
          </w:p>
        </w:tc>
      </w:tr>
      <w:tr w14:paraId="40D162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4A3A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BBD9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D476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A19FC">
            <w:pPr>
              <w:spacing w:before="0" w:after="0" w:line="240" w:lineRule="auto"/>
              <w:jc w:val="center"/>
            </w:pPr>
            <w:r>
              <w:rPr>
                <w:rFonts w:ascii="宋体" w:hAnsi="宋体" w:eastAsia="宋体" w:cs="宋体"/>
                <w:b w:val="0"/>
                <w:i w:val="0"/>
                <w:sz w:val="18"/>
              </w:rPr>
              <w:t>物业管理项目数量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56E9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0867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27AC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0B1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A972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DE1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B442C">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4E0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F8F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66C0A">
            <w:pPr>
              <w:spacing w:before="0" w:after="0" w:line="240" w:lineRule="auto"/>
              <w:jc w:val="center"/>
            </w:pPr>
          </w:p>
        </w:tc>
      </w:tr>
      <w:tr w14:paraId="6700DC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3CEF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02DA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01FC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00722">
            <w:pPr>
              <w:spacing w:before="0" w:after="0" w:line="240" w:lineRule="auto"/>
              <w:jc w:val="center"/>
            </w:pPr>
            <w:r>
              <w:rPr>
                <w:rFonts w:ascii="宋体" w:hAnsi="宋体" w:eastAsia="宋体" w:cs="宋体"/>
                <w:b w:val="0"/>
                <w:i w:val="0"/>
                <w:sz w:val="18"/>
              </w:rPr>
              <w:t>采购验收合格率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1FDD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2CB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3FD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7FD9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1EDA4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3E0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274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98B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F3D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4DA07">
            <w:pPr>
              <w:spacing w:before="0" w:after="0" w:line="240" w:lineRule="auto"/>
              <w:jc w:val="center"/>
            </w:pPr>
          </w:p>
        </w:tc>
      </w:tr>
      <w:tr w14:paraId="7EF2BD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273C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9E3A2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060D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4704D">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2180D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E91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382A5">
            <w:pPr>
              <w:spacing w:before="0" w:after="0" w:line="240" w:lineRule="auto"/>
              <w:jc w:val="center"/>
            </w:pPr>
            <w:r>
              <w:rPr>
                <w:rFonts w:ascii="宋体" w:hAnsi="宋体" w:eastAsia="宋体" w:cs="宋体"/>
                <w:b w:val="0"/>
                <w:i w:val="0"/>
                <w:sz w:val="18"/>
              </w:rPr>
              <w:t>=85.94%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8EBA9">
            <w:pPr>
              <w:spacing w:before="0" w:after="0" w:line="240" w:lineRule="auto"/>
              <w:jc w:val="center"/>
            </w:pPr>
            <w:r>
              <w:rPr>
                <w:rFonts w:ascii="宋体" w:hAnsi="宋体" w:eastAsia="宋体" w:cs="宋体"/>
                <w:b w:val="0"/>
                <w:i w:val="0"/>
                <w:sz w:val="18"/>
              </w:rPr>
              <w:t>85.94%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972B6">
            <w:pPr>
              <w:spacing w:before="0" w:after="0" w:line="240" w:lineRule="auto"/>
              <w:jc w:val="center"/>
            </w:pPr>
            <w:r>
              <w:rPr>
                <w:rFonts w:ascii="宋体" w:hAnsi="宋体" w:eastAsia="宋体" w:cs="宋体"/>
                <w:b w:val="0"/>
                <w:i w:val="0"/>
                <w:sz w:val="18"/>
              </w:rPr>
              <w:t>3.89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8D7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031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FA6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E16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02654">
            <w:pPr>
              <w:spacing w:before="0" w:after="0" w:line="240" w:lineRule="auto"/>
              <w:jc w:val="center"/>
            </w:pPr>
            <w:r>
              <w:rPr>
                <w:rFonts w:ascii="宋体" w:hAnsi="宋体" w:eastAsia="宋体" w:cs="宋体"/>
                <w:b w:val="0"/>
                <w:i w:val="0"/>
                <w:sz w:val="18"/>
              </w:rPr>
              <w:t>此项指标未完成，存在偏差，偏差率为14.06%，偏差原因为：项目人员严格控制办公运行费、日常维修费开支，我单位采用竞价的采购方式，大幅压低了物业服务支出成本，导致实际支出较年初预算有一定的节余，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10.52万元；下一年度改进措施：提高预算编制准确性，确保后续各类项目严格按照预算进行支出；在项目实施前，进行更充分的可行性研究和历史数据分析，避免目标设定过于保守或脱离实际，确保绩效目标的科学性和先进性。</w:t>
            </w:r>
          </w:p>
        </w:tc>
      </w:tr>
      <w:tr w14:paraId="09A238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9AD4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70DB0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C845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B02E9">
            <w:pPr>
              <w:spacing w:before="0" w:after="0" w:line="240" w:lineRule="auto"/>
              <w:jc w:val="center"/>
            </w:pPr>
            <w:r>
              <w:rPr>
                <w:rFonts w:ascii="宋体" w:hAnsi="宋体" w:eastAsia="宋体" w:cs="宋体"/>
                <w:b w:val="0"/>
                <w:i w:val="0"/>
                <w:sz w:val="18"/>
              </w:rPr>
              <w:t>培训费等支付资金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A96B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7E08D">
            <w:pPr>
              <w:spacing w:before="0" w:after="0" w:line="240" w:lineRule="auto"/>
              <w:jc w:val="center"/>
            </w:pPr>
            <w:r>
              <w:rPr>
                <w:rFonts w:ascii="宋体" w:hAnsi="宋体" w:eastAsia="宋体" w:cs="宋体"/>
                <w:b w:val="0"/>
                <w:i w:val="0"/>
                <w:sz w:val="18"/>
              </w:rPr>
              <w:t>&lt;=45.98万元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AA90E">
            <w:pPr>
              <w:spacing w:before="0" w:after="0" w:line="240" w:lineRule="auto"/>
              <w:jc w:val="center"/>
            </w:pPr>
            <w:r>
              <w:rPr>
                <w:rFonts w:ascii="宋体" w:hAnsi="宋体" w:eastAsia="宋体" w:cs="宋体"/>
                <w:b w:val="0"/>
                <w:i w:val="0"/>
                <w:sz w:val="18"/>
              </w:rPr>
              <w:t>=41.73万元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BD44A">
            <w:pPr>
              <w:spacing w:before="0" w:after="0" w:line="240" w:lineRule="auto"/>
              <w:jc w:val="center"/>
            </w:pPr>
            <w:r>
              <w:rPr>
                <w:rFonts w:ascii="宋体" w:hAnsi="宋体" w:eastAsia="宋体" w:cs="宋体"/>
                <w:b w:val="0"/>
                <w:i w:val="0"/>
                <w:sz w:val="18"/>
              </w:rPr>
              <w:t>90.76%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FC46F">
            <w:pPr>
              <w:spacing w:before="0" w:after="0" w:line="240" w:lineRule="auto"/>
              <w:jc w:val="center"/>
            </w:pPr>
            <w:r>
              <w:rPr>
                <w:rFonts w:ascii="宋体" w:hAnsi="宋体" w:eastAsia="宋体" w:cs="宋体"/>
                <w:b w:val="0"/>
                <w:i w:val="0"/>
                <w:sz w:val="18"/>
              </w:rPr>
              <w:t>5.38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6CD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E9E74">
            <w:pPr>
              <w:spacing w:before="0" w:after="0" w:line="240" w:lineRule="auto"/>
              <w:jc w:val="center"/>
            </w:pPr>
            <w:r>
              <w:rPr>
                <w:rFonts w:ascii="宋体" w:hAnsi="宋体" w:eastAsia="宋体" w:cs="宋体"/>
                <w:b w:val="0"/>
                <w:i w:val="0"/>
                <w:sz w:val="18"/>
              </w:rPr>
              <w:t>34.4万元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C0A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B88A6">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68DFD">
            <w:pPr>
              <w:spacing w:before="0" w:after="0" w:line="240" w:lineRule="auto"/>
              <w:jc w:val="center"/>
            </w:pPr>
            <w:r>
              <w:rPr>
                <w:rFonts w:ascii="宋体" w:hAnsi="宋体" w:eastAsia="宋体" w:cs="宋体"/>
                <w:b w:val="0"/>
                <w:i w:val="0"/>
                <w:sz w:val="18"/>
              </w:rPr>
              <w:t>此项指标未完成，存在偏差，偏差率为9.24%，偏差原因为：项目人员严格控制办公运行费、日常维修费开支，导致实际支出较年初预算有一定的节余，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4.25万元；下一年度改进措施：提高预算编制准确性，确保后续各类项目严格按照预算进行支出，</w:t>
            </w:r>
          </w:p>
        </w:tc>
      </w:tr>
      <w:tr w14:paraId="465594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69D0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688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1436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00475">
            <w:pPr>
              <w:spacing w:before="0" w:after="0" w:line="240" w:lineRule="auto"/>
              <w:jc w:val="center"/>
            </w:pPr>
            <w:r>
              <w:rPr>
                <w:rFonts w:ascii="宋体" w:hAnsi="宋体" w:eastAsia="宋体" w:cs="宋体"/>
                <w:b w:val="0"/>
                <w:i w:val="0"/>
                <w:sz w:val="18"/>
              </w:rPr>
              <w:t>物业管理费等支付资金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5984F">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0A383">
            <w:pPr>
              <w:spacing w:before="0" w:after="0" w:line="240" w:lineRule="auto"/>
              <w:jc w:val="center"/>
            </w:pPr>
            <w:r>
              <w:rPr>
                <w:rFonts w:ascii="宋体" w:hAnsi="宋体" w:eastAsia="宋体" w:cs="宋体"/>
                <w:b w:val="0"/>
                <w:i w:val="0"/>
                <w:sz w:val="18"/>
              </w:rPr>
              <w:t>&lt;=28.82万元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DCAC1">
            <w:pPr>
              <w:spacing w:before="0" w:after="0" w:line="240" w:lineRule="auto"/>
              <w:jc w:val="center"/>
            </w:pPr>
            <w:r>
              <w:rPr>
                <w:rFonts w:ascii="宋体" w:hAnsi="宋体" w:eastAsia="宋体" w:cs="宋体"/>
                <w:b w:val="0"/>
                <w:i w:val="0"/>
                <w:sz w:val="18"/>
              </w:rPr>
              <w:t>=22.55万元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EC8D3">
            <w:pPr>
              <w:spacing w:before="0" w:after="0" w:line="240" w:lineRule="auto"/>
              <w:jc w:val="center"/>
            </w:pPr>
            <w:r>
              <w:rPr>
                <w:rFonts w:ascii="宋体" w:hAnsi="宋体" w:eastAsia="宋体" w:cs="宋体"/>
                <w:b w:val="0"/>
                <w:i w:val="0"/>
                <w:sz w:val="18"/>
              </w:rPr>
              <w:t>78.24%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FEB9C">
            <w:pPr>
              <w:spacing w:before="0" w:after="0" w:line="240" w:lineRule="auto"/>
              <w:jc w:val="center"/>
            </w:pPr>
            <w:r>
              <w:rPr>
                <w:rFonts w:ascii="宋体" w:hAnsi="宋体" w:eastAsia="宋体" w:cs="宋体"/>
                <w:b w:val="0"/>
                <w:i w:val="0"/>
                <w:sz w:val="18"/>
              </w:rPr>
              <w:t>5.93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CFA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166E4">
            <w:pPr>
              <w:spacing w:before="0" w:after="0" w:line="240" w:lineRule="auto"/>
              <w:jc w:val="center"/>
            </w:pPr>
            <w:r>
              <w:rPr>
                <w:rFonts w:ascii="宋体" w:hAnsi="宋体" w:eastAsia="宋体" w:cs="宋体"/>
                <w:b w:val="0"/>
                <w:i w:val="0"/>
                <w:sz w:val="18"/>
              </w:rPr>
              <w:t>123.4万元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C40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8C41F">
            <w:pPr>
              <w:spacing w:before="0" w:after="0" w:line="240" w:lineRule="auto"/>
              <w:jc w:val="center"/>
            </w:pPr>
            <w:r>
              <w:rPr>
                <w:rFonts w:ascii="宋体" w:hAnsi="宋体" w:eastAsia="宋体" w:cs="宋体"/>
                <w:b w:val="0"/>
                <w:i w:val="0"/>
                <w:sz w:val="18"/>
              </w:rPr>
              <w:t>原始凭证，工作资料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385ED">
            <w:pPr>
              <w:spacing w:before="0" w:after="0" w:line="240" w:lineRule="auto"/>
              <w:jc w:val="center"/>
            </w:pPr>
            <w:r>
              <w:rPr>
                <w:rFonts w:ascii="宋体" w:hAnsi="宋体" w:eastAsia="宋体" w:cs="宋体"/>
                <w:b w:val="0"/>
                <w:i w:val="0"/>
                <w:sz w:val="18"/>
              </w:rPr>
              <w:t>此项指标未完成，存在偏差，偏差率为21.76%，偏差原因为：我单位采用竞价的采购方式，大幅压低了物业服务支出成本，导致实际支出较年初预算有一定的节余，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6.27万元；下一年度改进措施：在项目实施前，进行更充分的可行性研究和历史数据分析，避免目标设定过于保守或脱离实际，确保绩效目标的科学性和先进性。</w:t>
            </w:r>
          </w:p>
        </w:tc>
      </w:tr>
      <w:tr w14:paraId="6E1FAC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A07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A018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7473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D5EB9">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07447">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EA1B0">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8E63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CC5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D8133">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B772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4FFBE">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1356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65E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F1744">
            <w:pPr>
              <w:spacing w:before="0" w:after="0" w:line="240" w:lineRule="auto"/>
              <w:jc w:val="center"/>
            </w:pPr>
          </w:p>
        </w:tc>
      </w:tr>
      <w:tr w14:paraId="047C389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36D0E5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8412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FAD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FFF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39A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9036D">
            <w:pPr>
              <w:spacing w:before="0" w:after="0" w:line="240" w:lineRule="auto"/>
              <w:jc w:val="center"/>
            </w:pPr>
            <w:r>
              <w:rPr>
                <w:rFonts w:ascii="宋体" w:hAnsi="宋体" w:eastAsia="宋体" w:cs="宋体"/>
                <w:b w:val="0"/>
                <w:i w:val="0"/>
                <w:sz w:val="18"/>
              </w:rPr>
              <w:t>85.68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882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025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62A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127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A6CD4">
            <w:pPr>
              <w:spacing w:before="0" w:after="0" w:line="240" w:lineRule="auto"/>
              <w:jc w:val="center"/>
            </w:pPr>
          </w:p>
        </w:tc>
      </w:tr>
    </w:tbl>
    <w:p w14:paraId="781602DD">
      <w:r>
        <w:br w:type="page"/>
      </w:r>
    </w:p>
    <w:p w14:paraId="38D1D173">
      <w:pPr>
        <w:sectPr>
          <w:type w:val="continuous"/>
          <w:pgSz w:w="11906" w:h="16838"/>
          <w:pgMar w:top="1440" w:right="1800" w:bottom="1440" w:left="1800" w:header="851" w:footer="992" w:gutter="0"/>
          <w:cols w:space="720" w:num="1"/>
          <w:docGrid w:type="lines" w:linePitch="312" w:charSpace="0"/>
        </w:sectPr>
      </w:pPr>
    </w:p>
    <w:p w14:paraId="2F2DFC8A">
      <w:pPr>
        <w:spacing w:line="640" w:lineRule="exact"/>
        <w:ind w:firstLine="640"/>
        <w:jc w:val="both"/>
        <w:outlineLvl w:val="2"/>
      </w:pPr>
      <w:r>
        <w:rPr>
          <w:rFonts w:ascii="黑体" w:hAnsi="黑体" w:eastAsia="黑体"/>
          <w:sz w:val="32"/>
        </w:rPr>
        <w:t>十二、其他需说明的事项</w:t>
      </w:r>
    </w:p>
    <w:p w14:paraId="0D8E5056">
      <w:pPr>
        <w:spacing w:line="580" w:lineRule="exact"/>
        <w:ind w:firstLine="640"/>
        <w:jc w:val="both"/>
      </w:pPr>
      <w:r>
        <w:rPr>
          <w:rFonts w:ascii="仿宋_GB2312" w:hAnsi="仿宋_GB2312" w:eastAsia="仿宋_GB2312"/>
          <w:b w:val="0"/>
          <w:sz w:val="32"/>
        </w:rPr>
        <w:t>本年本单位其他项目2个，全年预算数190.45万元，全年执行数190.45万元。</w:t>
      </w:r>
    </w:p>
    <w:p w14:paraId="7A124D96">
      <w:r>
        <w:br w:type="page"/>
      </w:r>
    </w:p>
    <w:p w14:paraId="2C2DF80B">
      <w:pPr>
        <w:spacing w:line="600" w:lineRule="exact"/>
        <w:jc w:val="center"/>
        <w:outlineLvl w:val="0"/>
      </w:pPr>
      <w:r>
        <w:rPr>
          <w:rFonts w:ascii="黑体" w:hAnsi="黑体" w:eastAsia="黑体"/>
          <w:sz w:val="32"/>
        </w:rPr>
        <w:t>第三部分 专业名词解释</w:t>
      </w:r>
    </w:p>
    <w:p w14:paraId="6E76023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9FB3E88">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F850214">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71B886B">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4D9DC8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E9E584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C0D3308">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D6B0EB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6D4DC4D">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9084B2F">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EDCB65C">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3FE019F">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AB7960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B06B886">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90607C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315DAC79">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0ED14C8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23E1436F">
      <w:r>
        <w:br w:type="page"/>
      </w:r>
    </w:p>
    <w:p w14:paraId="71FEC5A4">
      <w:pPr>
        <w:spacing w:line="240" w:lineRule="auto"/>
        <w:jc w:val="center"/>
        <w:outlineLvl w:val="1"/>
      </w:pPr>
      <w:r>
        <w:rPr>
          <w:rFonts w:ascii="黑体" w:hAnsi="黑体" w:eastAsia="黑体"/>
          <w:sz w:val="32"/>
        </w:rPr>
        <w:t>第四部分 部门决算报表（见附表）</w:t>
      </w:r>
    </w:p>
    <w:p w14:paraId="28679459">
      <w:pPr>
        <w:autoSpaceDE w:val="0"/>
        <w:autoSpaceDN w:val="0"/>
        <w:spacing w:line="600" w:lineRule="exact"/>
        <w:ind w:firstLine="640" w:firstLineChars="200"/>
      </w:pPr>
      <w:r>
        <w:rPr>
          <w:rFonts w:ascii="仿宋_GB2312" w:hAnsi="仿宋_GB2312" w:eastAsia="仿宋_GB2312"/>
          <w:b w:val="0"/>
          <w:sz w:val="32"/>
        </w:rPr>
        <w:t>一、《收入支出决算总表》</w:t>
      </w:r>
    </w:p>
    <w:p w14:paraId="7F78EE44">
      <w:pPr>
        <w:autoSpaceDE w:val="0"/>
        <w:autoSpaceDN w:val="0"/>
        <w:spacing w:line="600" w:lineRule="exact"/>
        <w:ind w:firstLine="640" w:firstLineChars="200"/>
      </w:pPr>
      <w:r>
        <w:rPr>
          <w:rFonts w:ascii="仿宋_GB2312" w:hAnsi="仿宋_GB2312" w:eastAsia="仿宋_GB2312"/>
          <w:b w:val="0"/>
          <w:sz w:val="32"/>
        </w:rPr>
        <w:t>二、《收入决算表》</w:t>
      </w:r>
    </w:p>
    <w:p w14:paraId="21183983">
      <w:pPr>
        <w:autoSpaceDE w:val="0"/>
        <w:autoSpaceDN w:val="0"/>
        <w:spacing w:line="600" w:lineRule="exact"/>
        <w:ind w:firstLine="640" w:firstLineChars="200"/>
      </w:pPr>
      <w:r>
        <w:rPr>
          <w:rFonts w:ascii="仿宋_GB2312" w:hAnsi="仿宋_GB2312" w:eastAsia="仿宋_GB2312"/>
          <w:b w:val="0"/>
          <w:sz w:val="32"/>
        </w:rPr>
        <w:t>三、《支出决算表》</w:t>
      </w:r>
    </w:p>
    <w:p w14:paraId="3651A3C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B9239E3">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1D0013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840879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6B313D0D">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20FF900">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70059EA">
      <w:pPr>
        <w:autoSpaceDE w:val="0"/>
        <w:autoSpaceDN w:val="0"/>
        <w:spacing w:line="600" w:lineRule="exact"/>
        <w:ind w:firstLine="640" w:firstLineChars="200"/>
      </w:pPr>
    </w:p>
    <w:p w14:paraId="3BA51A41">
      <w:pPr>
        <w:autoSpaceDE w:val="0"/>
        <w:autoSpaceDN w:val="0"/>
        <w:spacing w:line="600" w:lineRule="exact"/>
        <w:ind w:firstLine="640" w:firstLineChars="200"/>
      </w:pPr>
    </w:p>
    <w:p w14:paraId="0BB4FC63">
      <w:pPr>
        <w:autoSpaceDE w:val="0"/>
        <w:autoSpaceDN w:val="0"/>
        <w:spacing w:line="600" w:lineRule="exact"/>
        <w:ind w:firstLine="640" w:firstLineChars="200"/>
      </w:pPr>
    </w:p>
    <w:p w14:paraId="7AC5744A">
      <w:pPr>
        <w:autoSpaceDE w:val="0"/>
        <w:autoSpaceDN w:val="0"/>
        <w:spacing w:line="600" w:lineRule="exact"/>
        <w:ind w:firstLine="640" w:firstLineChars="200"/>
      </w:pPr>
    </w:p>
    <w:p w14:paraId="50B90548">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62DB8D-4268-42D9-866A-9285C51BE9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9200FC32-9A60-4155-809D-66FB105AAF09}"/>
  </w:font>
  <w:font w:name="仿宋_GB2312">
    <w:panose1 w:val="02010609030101010101"/>
    <w:charset w:val="86"/>
    <w:family w:val="modern"/>
    <w:pitch w:val="default"/>
    <w:sig w:usb0="00000001" w:usb1="080E0000" w:usb2="00000000" w:usb3="00000000" w:csb0="00040000" w:csb1="00000000"/>
    <w:embedRegular r:id="rId3" w:fontKey="{407B0401-2B31-47C2-ACA3-17E61898D675}"/>
  </w:font>
  <w:font w:name="楷体_GB2312">
    <w:panose1 w:val="02010609030101010101"/>
    <w:charset w:val="86"/>
    <w:family w:val="auto"/>
    <w:pitch w:val="default"/>
    <w:sig w:usb0="00000001" w:usb1="080E0000" w:usb2="00000000" w:usb3="00000000" w:csb0="00040000" w:csb1="00000000"/>
    <w:embedRegular r:id="rId4" w:fontKey="{1F8103E5-7871-4B83-B248-CFD1C919D2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57439AD"/>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22</Words>
  <Characters>25</Characters>
  <Lines>10</Lines>
  <Paragraphs>2</Paragraphs>
  <TotalTime>7</TotalTime>
  <ScaleCrop>false</ScaleCrop>
  <LinksUpToDate>false</LinksUpToDate>
  <CharactersWithSpaces>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2026-10-15T10:52:50Z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