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呼图壁县人民法院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66CAA6B">
      <w:r>
        <w:br w:type="page"/>
      </w:r>
    </w:p>
    <w:p w14:paraId="14E351CE">
      <w:pPr>
        <w:spacing w:line="640" w:lineRule="exact"/>
        <w:jc w:val="center"/>
        <w:outlineLvl w:val="1"/>
      </w:pPr>
      <w:r>
        <w:rPr>
          <w:rFonts w:ascii="黑体" w:hAnsi="黑体" w:eastAsia="黑体"/>
          <w:sz w:val="32"/>
        </w:rPr>
        <w:t>第一部分 单位概况</w:t>
      </w:r>
    </w:p>
    <w:p w14:paraId="5CBD8ADA">
      <w:pPr>
        <w:spacing w:line="640" w:lineRule="exact"/>
        <w:ind w:firstLine="640"/>
        <w:jc w:val="both"/>
        <w:outlineLvl w:val="2"/>
      </w:pPr>
      <w:r>
        <w:rPr>
          <w:rFonts w:ascii="黑体" w:hAnsi="黑体" w:eastAsia="黑体"/>
          <w:sz w:val="32"/>
        </w:rPr>
        <w:t>一、主要职能</w:t>
      </w:r>
    </w:p>
    <w:p w14:paraId="3BC6ADA8">
      <w:pPr>
        <w:spacing w:line="580" w:lineRule="exact"/>
        <w:ind w:firstLine="640"/>
        <w:jc w:val="both"/>
      </w:pPr>
      <w:r>
        <w:rPr>
          <w:rFonts w:ascii="仿宋_GB2312" w:hAnsi="仿宋_GB2312" w:eastAsia="仿宋_GB2312"/>
          <w:sz w:val="32"/>
        </w:rPr>
        <w:t>依法审判法律规定由本院管辖、州中级人民法院指定管辖或者认为应当由自己管辖的刑事、民事、行政等第一审案件。审理上级人民法院指令再审的各类案件；受理不服本院判决的各类申诉和再审申请的案件。依法审判由检察院按照审判监督程序提出的抗诉案件。对地方性法规、规章等草案提出意见，研究拟定本院工作规章制度；针对案件审理中发现的问题提出司法建议。依法办理外地法院的委托事项，负责本院档案管理工作。对本院的法官和其他工作人员进行思想政治教育、组织专业培训；协助县委做好本院领导干部的培养、选拔、管理工作；按照权限管理法官和其他工作人员；协助县政府机构编制呼图壁县人民法院管理本院的机构设置及人员编制工作。做好本院的监察工作。在审判工作中宣传法治、教育公民自觉遵守宪法律。管理本院的有关经费和物资装备。承办其他应由本院负责的工作。</w:t>
      </w:r>
    </w:p>
    <w:p w14:paraId="4476CA3E">
      <w:pPr>
        <w:spacing w:line="640" w:lineRule="exact"/>
        <w:ind w:firstLine="640"/>
        <w:jc w:val="both"/>
        <w:outlineLvl w:val="2"/>
      </w:pPr>
      <w:r>
        <w:rPr>
          <w:rFonts w:ascii="黑体" w:hAnsi="黑体" w:eastAsia="黑体"/>
          <w:sz w:val="32"/>
        </w:rPr>
        <w:t>二、机构设置</w:t>
      </w:r>
    </w:p>
    <w:p w14:paraId="12C12B07">
      <w:pPr>
        <w:spacing w:line="580" w:lineRule="exact"/>
        <w:ind w:firstLine="640"/>
        <w:jc w:val="both"/>
      </w:pPr>
      <w:r>
        <w:rPr>
          <w:rFonts w:ascii="仿宋_GB2312" w:hAnsi="仿宋_GB2312" w:eastAsia="仿宋_GB2312"/>
          <w:sz w:val="32"/>
        </w:rPr>
        <w:t>呼图壁县人民法院无下属预算单位。</w:t>
      </w:r>
    </w:p>
    <w:p w14:paraId="2B85752E">
      <w:r>
        <w:br w:type="page"/>
      </w:r>
    </w:p>
    <w:p w14:paraId="0E1F1A79">
      <w:pPr>
        <w:spacing w:line="240" w:lineRule="auto"/>
        <w:jc w:val="center"/>
        <w:outlineLvl w:val="1"/>
      </w:pPr>
      <w:r>
        <w:rPr>
          <w:rFonts w:ascii="黑体" w:hAnsi="黑体" w:eastAsia="黑体"/>
          <w:sz w:val="32"/>
        </w:rPr>
        <w:t>第二部分 部门决算情况说明</w:t>
      </w:r>
    </w:p>
    <w:p w14:paraId="482728F0">
      <w:pPr>
        <w:spacing w:line="640" w:lineRule="exact"/>
        <w:ind w:firstLine="640"/>
        <w:jc w:val="both"/>
        <w:outlineLvl w:val="2"/>
      </w:pPr>
      <w:r>
        <w:rPr>
          <w:rFonts w:ascii="黑体" w:hAnsi="黑体" w:eastAsia="黑体"/>
          <w:sz w:val="32"/>
        </w:rPr>
        <w:t>一、收入支出决算总体情况说明</w:t>
      </w:r>
    </w:p>
    <w:p w14:paraId="088F6236">
      <w:pPr>
        <w:spacing w:line="580" w:lineRule="exact"/>
        <w:ind w:firstLine="640"/>
        <w:jc w:val="both"/>
      </w:pPr>
      <w:r>
        <w:rPr>
          <w:rFonts w:ascii="仿宋_GB2312" w:hAnsi="仿宋_GB2312" w:eastAsia="仿宋_GB2312"/>
          <w:b/>
          <w:sz w:val="32"/>
        </w:rPr>
        <w:t>2025年度收入总计2,910.56万元，</w:t>
      </w:r>
      <w:r>
        <w:rPr>
          <w:rFonts w:ascii="仿宋_GB2312" w:hAnsi="仿宋_GB2312" w:eastAsia="仿宋_GB2312"/>
          <w:b w:val="0"/>
          <w:sz w:val="32"/>
        </w:rPr>
        <w:t>其中：本年收入合计2,749.53万元，使用非财政拨款结余（含专用结余）0.00万元，年初结转和结余161.03万元。</w:t>
      </w:r>
    </w:p>
    <w:p w14:paraId="373804D3">
      <w:pPr>
        <w:spacing w:line="580" w:lineRule="exact"/>
        <w:ind w:firstLine="640"/>
        <w:jc w:val="both"/>
      </w:pPr>
      <w:r>
        <w:rPr>
          <w:rFonts w:ascii="仿宋_GB2312" w:hAnsi="仿宋_GB2312" w:eastAsia="仿宋_GB2312"/>
          <w:b/>
          <w:sz w:val="32"/>
        </w:rPr>
        <w:t>2025年度支出总计2,910.56万元，</w:t>
      </w:r>
      <w:r>
        <w:rPr>
          <w:rFonts w:ascii="仿宋_GB2312" w:hAnsi="仿宋_GB2312" w:eastAsia="仿宋_GB2312"/>
          <w:b w:val="0"/>
          <w:sz w:val="32"/>
        </w:rPr>
        <w:t>其中：本年支出合计2,793.18万元，结余分配0.00万元，年末结转和结余117.38万元。</w:t>
      </w:r>
    </w:p>
    <w:p w14:paraId="354FF92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增加368.46万元，增长14.49%，主要原因是：本年在职人员工资调增，社保、公积金基数调增，人员经费增加；本年司法救助金、机关运行补助项目资金较上年增加。</w:t>
      </w:r>
    </w:p>
    <w:p w14:paraId="4AA9A0D0">
      <w:pPr>
        <w:spacing w:line="640" w:lineRule="exact"/>
        <w:ind w:firstLine="640"/>
        <w:jc w:val="both"/>
        <w:outlineLvl w:val="2"/>
      </w:pPr>
      <w:r>
        <w:rPr>
          <w:rFonts w:ascii="黑体" w:hAnsi="黑体" w:eastAsia="黑体"/>
          <w:sz w:val="32"/>
        </w:rPr>
        <w:t>二、收入决算情况说明</w:t>
      </w:r>
    </w:p>
    <w:p w14:paraId="243719FB">
      <w:pPr>
        <w:spacing w:line="580" w:lineRule="exact"/>
        <w:ind w:firstLine="640"/>
        <w:jc w:val="both"/>
      </w:pPr>
      <w:r>
        <w:rPr>
          <w:rFonts w:ascii="仿宋_GB2312" w:hAnsi="仿宋_GB2312" w:eastAsia="仿宋_GB2312"/>
          <w:b/>
          <w:sz w:val="32"/>
        </w:rPr>
        <w:t>本年收入2,749.53万元，</w:t>
      </w:r>
      <w:r>
        <w:rPr>
          <w:rFonts w:ascii="仿宋_GB2312" w:hAnsi="仿宋_GB2312" w:eastAsia="仿宋_GB2312"/>
          <w:b w:val="0"/>
          <w:sz w:val="32"/>
        </w:rPr>
        <w:t>其中：财政拨款收入2,704.22万元，占98.35%；上级补助收入0.00万元，占0.00%；事业收入0.00万元，占0.00%；经营收入0.00万元，占0.00%；附属单位上缴收入0.00万元，占0.00%；其他收入45.30万元，占1.65%。</w:t>
      </w:r>
    </w:p>
    <w:p w14:paraId="46667588">
      <w:pPr>
        <w:spacing w:line="640" w:lineRule="exact"/>
        <w:ind w:firstLine="640"/>
        <w:jc w:val="both"/>
        <w:outlineLvl w:val="2"/>
      </w:pPr>
      <w:r>
        <w:rPr>
          <w:rFonts w:ascii="黑体" w:hAnsi="黑体" w:eastAsia="黑体"/>
          <w:sz w:val="32"/>
        </w:rPr>
        <w:t>三、支出决算情况说明</w:t>
      </w:r>
    </w:p>
    <w:p w14:paraId="2B2864DE">
      <w:pPr>
        <w:spacing w:line="580" w:lineRule="exact"/>
        <w:ind w:firstLine="640"/>
        <w:jc w:val="both"/>
      </w:pPr>
      <w:r>
        <w:rPr>
          <w:rFonts w:ascii="仿宋_GB2312" w:hAnsi="仿宋_GB2312" w:eastAsia="仿宋_GB2312"/>
          <w:b/>
          <w:sz w:val="32"/>
        </w:rPr>
        <w:t>本年支出2,793.18万元，</w:t>
      </w:r>
      <w:r>
        <w:rPr>
          <w:rFonts w:ascii="仿宋_GB2312" w:hAnsi="仿宋_GB2312" w:eastAsia="仿宋_GB2312"/>
          <w:b w:val="0"/>
          <w:sz w:val="32"/>
        </w:rPr>
        <w:t>其中：基本支出2,209.00万元，占79.09%；项目支出584.18万元，占20.91%；上缴上级支出0.00万元，占0.00%；经营支出0.00万元，占0.00%；对附属单位补助支出0.00万元，占0.00%。</w:t>
      </w:r>
    </w:p>
    <w:p w14:paraId="0C7AB5F9">
      <w:pPr>
        <w:spacing w:line="640" w:lineRule="exact"/>
        <w:ind w:firstLine="640"/>
        <w:jc w:val="both"/>
        <w:outlineLvl w:val="2"/>
      </w:pPr>
      <w:r>
        <w:rPr>
          <w:rFonts w:ascii="黑体" w:hAnsi="黑体" w:eastAsia="黑体"/>
          <w:sz w:val="32"/>
        </w:rPr>
        <w:t>四、财政拨款收入支出决算总体情况说明</w:t>
      </w:r>
    </w:p>
    <w:p w14:paraId="57BF1447">
      <w:pPr>
        <w:spacing w:line="580" w:lineRule="exact"/>
        <w:ind w:firstLine="640"/>
        <w:jc w:val="both"/>
      </w:pPr>
      <w:r>
        <w:rPr>
          <w:rFonts w:ascii="仿宋_GB2312" w:hAnsi="仿宋_GB2312" w:eastAsia="仿宋_GB2312"/>
          <w:b/>
          <w:sz w:val="32"/>
        </w:rPr>
        <w:t>2025年度财政拨款收入总计2,704.22万元，</w:t>
      </w:r>
      <w:r>
        <w:rPr>
          <w:rFonts w:ascii="仿宋_GB2312" w:hAnsi="仿宋_GB2312" w:eastAsia="仿宋_GB2312"/>
          <w:b w:val="0"/>
          <w:sz w:val="32"/>
        </w:rPr>
        <w:t>其中：年初财政拨款结转和结余0.00万元，本年财政拨款收入2,704.22万元。</w:t>
      </w:r>
      <w:r>
        <w:rPr>
          <w:rFonts w:ascii="仿宋_GB2312" w:hAnsi="仿宋_GB2312" w:eastAsia="仿宋_GB2312"/>
          <w:b/>
          <w:sz w:val="32"/>
        </w:rPr>
        <w:t>财政拨款支出总计2,704.22万元，</w:t>
      </w:r>
      <w:r>
        <w:rPr>
          <w:rFonts w:ascii="仿宋_GB2312" w:hAnsi="仿宋_GB2312" w:eastAsia="仿宋_GB2312"/>
          <w:b w:val="0"/>
          <w:sz w:val="32"/>
        </w:rPr>
        <w:t>其中：年末财政拨款结转和结余0.00万元，本年财政拨款支出2,704.22万元。</w:t>
      </w:r>
    </w:p>
    <w:p w14:paraId="4153AF3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增加375.06万元，增长16.10%，主要原因是：本年在职人员工资调增，社保、公积金基数调增，人员经费增加；本年司法救助金较上年增加。</w:t>
      </w:r>
      <w:r>
        <w:rPr>
          <w:rFonts w:ascii="仿宋_GB2312" w:hAnsi="仿宋_GB2312" w:eastAsia="仿宋_GB2312"/>
          <w:b/>
          <w:sz w:val="32"/>
        </w:rPr>
        <w:t>与年初预算相比，</w:t>
      </w:r>
      <w:r>
        <w:rPr>
          <w:rFonts w:ascii="仿宋_GB2312" w:hAnsi="仿宋_GB2312" w:eastAsia="仿宋_GB2312"/>
          <w:b w:val="0"/>
          <w:sz w:val="32"/>
        </w:rPr>
        <w:t>年初预算数2,321.80万元，决算数2,704.22万元，预决算差异率16.47%，主要原因是：年中追加为民办实事工作经费、人员工资、社保、公积金基数调增部分资金，导致预决算存在差异。</w:t>
      </w:r>
    </w:p>
    <w:p w14:paraId="75D71BB3">
      <w:pPr>
        <w:spacing w:line="640" w:lineRule="exact"/>
        <w:ind w:firstLine="640"/>
        <w:jc w:val="both"/>
        <w:outlineLvl w:val="2"/>
      </w:pPr>
      <w:r>
        <w:rPr>
          <w:rFonts w:ascii="黑体" w:hAnsi="黑体" w:eastAsia="黑体"/>
          <w:sz w:val="32"/>
        </w:rPr>
        <w:t>五、一般公共预算财政拨款支出决算情况说明</w:t>
      </w:r>
    </w:p>
    <w:p w14:paraId="4E92EBB0">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4B2DFB5E">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按照支出功能分类，公共安全支出（类）法院（款）行政运行（项）的支出占本年财政拨款支出总额的比重最高，2025年度决算数为1,757.87万元，占比65.00%，主要用于人员工资福利、日常公用经费。</w:t>
      </w:r>
    </w:p>
    <w:p w14:paraId="62B45E38">
      <w:pPr>
        <w:spacing w:line="640" w:lineRule="exact"/>
        <w:ind w:firstLine="640"/>
        <w:jc w:val="both"/>
        <w:outlineLvl w:val="3"/>
      </w:pPr>
      <w:r>
        <w:rPr>
          <w:rFonts w:ascii="楷体_GB2312" w:hAnsi="楷体_GB2312" w:eastAsia="楷体_GB2312"/>
          <w:b/>
          <w:sz w:val="32"/>
        </w:rPr>
        <w:t>（一）一般公共预算财政拨款支出决算总体情况</w:t>
      </w:r>
    </w:p>
    <w:p w14:paraId="7E3645F9">
      <w:pPr>
        <w:spacing w:line="580" w:lineRule="exact"/>
        <w:ind w:firstLine="640"/>
        <w:jc w:val="both"/>
      </w:pPr>
      <w:r>
        <w:rPr>
          <w:rFonts w:ascii="仿宋_GB2312" w:hAnsi="仿宋_GB2312" w:eastAsia="仿宋_GB2312"/>
          <w:b/>
          <w:sz w:val="32"/>
        </w:rPr>
        <w:t>2025年度一般公共预算财政拨款支出2,704.22万元，</w:t>
      </w:r>
      <w:r>
        <w:rPr>
          <w:rFonts w:ascii="仿宋_GB2312" w:hAnsi="仿宋_GB2312" w:eastAsia="仿宋_GB2312"/>
          <w:b w:val="0"/>
          <w:sz w:val="32"/>
        </w:rPr>
        <w:t>占本年支出合计的96.82%。</w:t>
      </w:r>
      <w:r>
        <w:rPr>
          <w:rFonts w:ascii="仿宋_GB2312" w:hAnsi="仿宋_GB2312" w:eastAsia="仿宋_GB2312"/>
          <w:b/>
          <w:sz w:val="32"/>
        </w:rPr>
        <w:t>与上年相比，</w:t>
      </w:r>
      <w:r>
        <w:rPr>
          <w:rFonts w:ascii="仿宋_GB2312" w:hAnsi="仿宋_GB2312" w:eastAsia="仿宋_GB2312"/>
          <w:b w:val="0"/>
          <w:sz w:val="32"/>
        </w:rPr>
        <w:t>增加375.06万元，增长16.10%，主要原因是：本年在职人员工资调增，社保、公积金基数调增，人员经费增加；本年司法救助金较上年增加。</w:t>
      </w:r>
      <w:r>
        <w:rPr>
          <w:rFonts w:ascii="仿宋_GB2312" w:hAnsi="仿宋_GB2312" w:eastAsia="仿宋_GB2312"/>
          <w:b/>
          <w:sz w:val="32"/>
        </w:rPr>
        <w:t>与年初预算相比，</w:t>
      </w:r>
      <w:r>
        <w:rPr>
          <w:rFonts w:ascii="仿宋_GB2312" w:hAnsi="仿宋_GB2312" w:eastAsia="仿宋_GB2312"/>
          <w:b w:val="0"/>
          <w:sz w:val="32"/>
        </w:rPr>
        <w:t>年初预算数2,321.80万元，决算数2,704.22万元，预决算差异率16.47%，主要原因是：年中追加为民办实事工作经费、人员工资、社保、公积金基数调增部分资金，导致预决算存在差异。</w:t>
      </w:r>
    </w:p>
    <w:p w14:paraId="6ABBF8C7">
      <w:pPr>
        <w:spacing w:line="640" w:lineRule="exact"/>
        <w:ind w:firstLine="640"/>
        <w:jc w:val="both"/>
        <w:outlineLvl w:val="3"/>
      </w:pPr>
      <w:r>
        <w:rPr>
          <w:rFonts w:ascii="楷体_GB2312" w:hAnsi="楷体_GB2312" w:eastAsia="楷体_GB2312"/>
          <w:b/>
          <w:sz w:val="32"/>
        </w:rPr>
        <w:t>（二）一般公共预算财政拨款支出决算结构情况</w:t>
      </w:r>
    </w:p>
    <w:p w14:paraId="529E377E">
      <w:pPr>
        <w:spacing w:line="580" w:lineRule="exact"/>
        <w:ind w:firstLine="640"/>
        <w:jc w:val="both"/>
      </w:pPr>
      <w:r>
        <w:rPr>
          <w:rFonts w:ascii="仿宋_GB2312" w:hAnsi="仿宋_GB2312" w:eastAsia="仿宋_GB2312"/>
          <w:b w:val="0"/>
          <w:sz w:val="32"/>
        </w:rPr>
        <w:t>1.公共安全支出（类）2,238.10万元，占82.76%。</w:t>
      </w:r>
    </w:p>
    <w:p w14:paraId="6DC09D91">
      <w:pPr>
        <w:spacing w:line="580" w:lineRule="exact"/>
        <w:ind w:firstLine="640"/>
        <w:jc w:val="both"/>
      </w:pPr>
      <w:r>
        <w:rPr>
          <w:rFonts w:ascii="仿宋_GB2312" w:hAnsi="仿宋_GB2312" w:eastAsia="仿宋_GB2312"/>
          <w:b w:val="0"/>
          <w:sz w:val="32"/>
        </w:rPr>
        <w:t>2.社会保障和就业支出（类）230.52万元，占8.52%。</w:t>
      </w:r>
    </w:p>
    <w:p w14:paraId="199C314D">
      <w:pPr>
        <w:spacing w:line="580" w:lineRule="exact"/>
        <w:ind w:firstLine="640"/>
        <w:jc w:val="both"/>
      </w:pPr>
      <w:r>
        <w:rPr>
          <w:rFonts w:ascii="仿宋_GB2312" w:hAnsi="仿宋_GB2312" w:eastAsia="仿宋_GB2312"/>
          <w:b w:val="0"/>
          <w:sz w:val="32"/>
        </w:rPr>
        <w:t>3.卫生健康支出（类）112.02万元，占4.14%。</w:t>
      </w:r>
    </w:p>
    <w:p w14:paraId="6192232A">
      <w:pPr>
        <w:spacing w:line="580" w:lineRule="exact"/>
        <w:ind w:firstLine="640"/>
        <w:jc w:val="both"/>
      </w:pPr>
      <w:r>
        <w:rPr>
          <w:rFonts w:ascii="仿宋_GB2312" w:hAnsi="仿宋_GB2312" w:eastAsia="仿宋_GB2312"/>
          <w:b w:val="0"/>
          <w:sz w:val="32"/>
        </w:rPr>
        <w:t>4.住房保障支出（类）108.58万元，占4.02%。</w:t>
      </w:r>
    </w:p>
    <w:p w14:paraId="08AC2387">
      <w:pPr>
        <w:spacing w:line="580" w:lineRule="exact"/>
        <w:ind w:firstLine="640"/>
        <w:jc w:val="both"/>
      </w:pPr>
      <w:r>
        <w:rPr>
          <w:rFonts w:ascii="仿宋_GB2312" w:hAnsi="仿宋_GB2312" w:eastAsia="仿宋_GB2312"/>
          <w:b w:val="0"/>
          <w:sz w:val="32"/>
        </w:rPr>
        <w:t>5.其他支出（类）15.00万元，占0.55%。</w:t>
      </w:r>
    </w:p>
    <w:p w14:paraId="58C2F84A">
      <w:pPr>
        <w:spacing w:line="640" w:lineRule="exact"/>
        <w:ind w:firstLine="640"/>
        <w:jc w:val="both"/>
        <w:outlineLvl w:val="3"/>
      </w:pPr>
      <w:r>
        <w:rPr>
          <w:rFonts w:ascii="楷体_GB2312" w:hAnsi="楷体_GB2312" w:eastAsia="楷体_GB2312"/>
          <w:b/>
          <w:sz w:val="32"/>
        </w:rPr>
        <w:t>（三）一般公共预算财政拨款支出决算具体情况</w:t>
      </w:r>
    </w:p>
    <w:p w14:paraId="6012A84D">
      <w:pPr>
        <w:spacing w:line="580" w:lineRule="exact"/>
        <w:ind w:firstLine="640"/>
        <w:jc w:val="both"/>
      </w:pPr>
      <w:r>
        <w:rPr>
          <w:rFonts w:ascii="仿宋_GB2312" w:hAnsi="仿宋_GB2312" w:eastAsia="仿宋_GB2312"/>
          <w:b w:val="0"/>
          <w:sz w:val="32"/>
        </w:rPr>
        <w:t>1.一般公共服务支出（类）信访事务（款）信访业务（项）：支出决算数为0.00万元，比上年决算减少20.00万元，下降100.00%，主要原因是：本年度减少信访资金。</w:t>
      </w:r>
    </w:p>
    <w:p w14:paraId="28157CA0">
      <w:pPr>
        <w:spacing w:line="580" w:lineRule="exact"/>
        <w:ind w:firstLine="640"/>
        <w:jc w:val="both"/>
      </w:pPr>
      <w:r>
        <w:rPr>
          <w:rFonts w:ascii="仿宋_GB2312" w:hAnsi="仿宋_GB2312" w:eastAsia="仿宋_GB2312"/>
          <w:b w:val="0"/>
          <w:sz w:val="32"/>
        </w:rPr>
        <w:t>2.公共安全支出（类）法院（款）行政运行（项）：支出决算数为1,757.87万元，比上年决算增加244.28万元，增长16.14%，主要原因是：本年在职人员工资调增，社保、公积金基数调增，人员经费增加。</w:t>
      </w:r>
    </w:p>
    <w:p w14:paraId="6D976881">
      <w:pPr>
        <w:spacing w:line="580" w:lineRule="exact"/>
        <w:ind w:firstLine="640"/>
        <w:jc w:val="both"/>
      </w:pPr>
      <w:r>
        <w:rPr>
          <w:rFonts w:ascii="仿宋_GB2312" w:hAnsi="仿宋_GB2312" w:eastAsia="仿宋_GB2312"/>
          <w:b w:val="0"/>
          <w:sz w:val="32"/>
        </w:rPr>
        <w:t>3.公共安全支出（类）法院（款）一般行政管理事务（项）：支出决算数为17.23万元，比上年决算增加17.23万元，增长100.00%，主要原因是：本年机关运行补助经费支出项目增加。</w:t>
      </w:r>
    </w:p>
    <w:p w14:paraId="00AD3CAC">
      <w:pPr>
        <w:spacing w:line="580" w:lineRule="exact"/>
        <w:ind w:firstLine="640"/>
        <w:jc w:val="both"/>
      </w:pPr>
      <w:r>
        <w:rPr>
          <w:rFonts w:ascii="仿宋_GB2312" w:hAnsi="仿宋_GB2312" w:eastAsia="仿宋_GB2312"/>
          <w:b w:val="0"/>
          <w:sz w:val="32"/>
        </w:rPr>
        <w:t>4.公共安全支出（类）法院（款）其他法院支出（项）：支出决算数为450.00万元，比上年决算增加65.00万元，增长16.88%，主要原因是：本年度第二批中央转移支付资金办案业务费增加。</w:t>
      </w:r>
    </w:p>
    <w:p w14:paraId="367660EA">
      <w:pPr>
        <w:spacing w:line="580" w:lineRule="exact"/>
        <w:ind w:firstLine="640"/>
        <w:jc w:val="both"/>
      </w:pPr>
      <w:r>
        <w:rPr>
          <w:rFonts w:ascii="仿宋_GB2312" w:hAnsi="仿宋_GB2312" w:eastAsia="仿宋_GB2312"/>
          <w:b w:val="0"/>
          <w:sz w:val="32"/>
        </w:rPr>
        <w:t>5.公共安全支出（类）其他公共安全支出（款）其他公共安全支出（项）：支出决算数为13.00万元，比上年决算增加13.00万元，增长100.00%，主要原因是：本年度司法救助金增加。</w:t>
      </w:r>
    </w:p>
    <w:p w14:paraId="0C7A6402">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6.社会保障和就业支出（类）行政事业单位养老支出（款）行政单位离退休（项）：支出决算数为27.89万元，比上年决算增加9.38万元，增长50.68%，主要原因是：本年增加退休人员基础绩效奖，退休费支出增加。</w:t>
      </w:r>
    </w:p>
    <w:p w14:paraId="53565226">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133.58万元，比上年决算增加2.03万元，增长1.54%，主要原因是：本年在职人员工资基数调增，养老缴费基数上涨，相应支出增加。</w:t>
      </w:r>
    </w:p>
    <w:p w14:paraId="68A7DDCF">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69.05万元，比上年决算减少0.24万元，下降0.35%，主要原因是：本年新增退休人员较上年减少，职业年金缴费较上年减少。</w:t>
      </w:r>
    </w:p>
    <w:p w14:paraId="376B6131">
      <w:pPr>
        <w:spacing w:line="580" w:lineRule="exact"/>
        <w:ind w:firstLine="640"/>
        <w:jc w:val="both"/>
      </w:pPr>
      <w:r>
        <w:rPr>
          <w:rFonts w:ascii="仿宋_GB2312" w:hAnsi="仿宋_GB2312" w:eastAsia="仿宋_GB2312"/>
          <w:b w:val="0"/>
          <w:sz w:val="32"/>
        </w:rPr>
        <w:t>9.卫生健康支出（类）行政事业单位医疗（款）行政单位医疗（项）：支出决算数为78.20万元，比上年决算增加12.42万元，增长18.88%，主要原因是：本年在职人员增加，行政单位医疗支出较上年增加。</w:t>
      </w:r>
    </w:p>
    <w:p w14:paraId="16A26C3E">
      <w:pPr>
        <w:spacing w:line="580" w:lineRule="exact"/>
        <w:ind w:firstLine="640"/>
        <w:jc w:val="both"/>
      </w:pPr>
      <w:r>
        <w:rPr>
          <w:rFonts w:ascii="仿宋_GB2312" w:hAnsi="仿宋_GB2312" w:eastAsia="仿宋_GB2312"/>
          <w:b w:val="0"/>
          <w:sz w:val="32"/>
        </w:rPr>
        <w:t>10.卫生健康支出（类）行政事业单位医疗（款）公务员医疗补助（项）：支出决算数为32.99万元，比上年决算增加28.88万元，增长702.68%，主要原因是：本年在职人员增加，公务员医疗补助较上年增加。</w:t>
      </w:r>
    </w:p>
    <w:p w14:paraId="42511E2D">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11.卫生健康支出（类）行政事业单位医疗（款）其他行政事业单位医疗支出（项）：支出决算数为0.82万元，比上年决算增加0.21万元，增长34.43%，主要原因是：本年在职人员增加，大病医疗保险支出较上年增加。</w:t>
      </w:r>
    </w:p>
    <w:p w14:paraId="43A778C9">
      <w:pPr>
        <w:spacing w:line="580" w:lineRule="exact"/>
        <w:ind w:firstLine="640"/>
        <w:jc w:val="both"/>
      </w:pPr>
      <w:r>
        <w:rPr>
          <w:rFonts w:ascii="仿宋_GB2312" w:hAnsi="仿宋_GB2312" w:eastAsia="仿宋_GB2312"/>
          <w:b w:val="0"/>
          <w:sz w:val="32"/>
        </w:rPr>
        <w:t>12.住房保障支出（类）住房改革支出（款）住房公积金（项）：支出决算数为108.58万元，比上年决算增加2.86万元，增长2.71%，主要原因是：本年在职人员增加，住房公积金支出较上年增加。</w:t>
      </w:r>
    </w:p>
    <w:p w14:paraId="3F22C13D">
      <w:pPr>
        <w:spacing w:line="580" w:lineRule="exact"/>
        <w:ind w:firstLine="640"/>
        <w:jc w:val="both"/>
      </w:pPr>
      <w:r>
        <w:rPr>
          <w:rFonts w:ascii="仿宋_GB2312" w:hAnsi="仿宋_GB2312" w:eastAsia="仿宋_GB2312"/>
          <w:b w:val="0"/>
          <w:sz w:val="32"/>
        </w:rPr>
        <w:t>13.其他支出（类）其他支出（款）其他支出（项）：支出决算数为15.00万元，比上年决算增加0.00万元，增长0.00%，主要原因是：本年度为民办实事经费支出与上年度支出保持一致，无增减变动。</w:t>
      </w:r>
    </w:p>
    <w:p w14:paraId="7154511D">
      <w:pPr>
        <w:spacing w:line="640" w:lineRule="exact"/>
        <w:ind w:firstLine="640"/>
        <w:jc w:val="both"/>
        <w:outlineLvl w:val="2"/>
      </w:pPr>
      <w:r>
        <w:rPr>
          <w:rFonts w:ascii="黑体" w:hAnsi="黑体" w:eastAsia="黑体"/>
          <w:sz w:val="32"/>
        </w:rPr>
        <w:t>六、一般公共预算财政拨款基本支出决算情况说明</w:t>
      </w:r>
    </w:p>
    <w:p w14:paraId="25995990">
      <w:pPr>
        <w:spacing w:line="580" w:lineRule="exact"/>
        <w:ind w:firstLine="640"/>
        <w:jc w:val="both"/>
      </w:pPr>
      <w:r>
        <w:rPr>
          <w:rFonts w:ascii="仿宋_GB2312" w:hAnsi="仿宋_GB2312" w:eastAsia="仿宋_GB2312"/>
          <w:b w:val="0"/>
          <w:sz w:val="32"/>
        </w:rPr>
        <w:t>2025年度一般公共预算财政拨款基本支出2,209.00万元，其中：</w:t>
      </w:r>
      <w:r>
        <w:rPr>
          <w:rFonts w:ascii="仿宋_GB2312" w:hAnsi="仿宋_GB2312" w:eastAsia="仿宋_GB2312"/>
          <w:b/>
          <w:sz w:val="32"/>
        </w:rPr>
        <w:t>人员经费1,959.64万元，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奖励金。</w:t>
      </w:r>
    </w:p>
    <w:p w14:paraId="0FAA0ECD">
      <w:pPr>
        <w:spacing w:line="580" w:lineRule="exact"/>
        <w:ind w:firstLine="640"/>
        <w:jc w:val="both"/>
      </w:pPr>
      <w:r>
        <w:rPr>
          <w:rFonts w:ascii="仿宋_GB2312" w:hAnsi="仿宋_GB2312" w:eastAsia="仿宋_GB2312"/>
          <w:b/>
          <w:sz w:val="32"/>
        </w:rPr>
        <w:t>公用经费249.36万元，</w:t>
      </w:r>
      <w:r>
        <w:rPr>
          <w:rFonts w:ascii="仿宋_GB2312" w:hAnsi="仿宋_GB2312" w:eastAsia="仿宋_GB2312"/>
          <w:b w:val="0"/>
          <w:sz w:val="32"/>
        </w:rPr>
        <w:t>包括：办公费、水费、电费、邮电费、取暖费、物业管理费、租赁费、公务接待费、劳务费、工会经费、福利费、公务用车运行维护费、其他商品和服务支出。</w:t>
      </w:r>
    </w:p>
    <w:p w14:paraId="56F47CA1">
      <w:pPr>
        <w:spacing w:line="640" w:lineRule="exact"/>
        <w:ind w:firstLine="640"/>
        <w:jc w:val="both"/>
        <w:outlineLvl w:val="2"/>
      </w:pPr>
      <w:r>
        <w:rPr>
          <w:rFonts w:ascii="黑体" w:hAnsi="黑体" w:eastAsia="黑体"/>
          <w:sz w:val="32"/>
        </w:rPr>
        <w:t>七、政府性基金预算财政拨款收入支出决算情况说明</w:t>
      </w:r>
    </w:p>
    <w:p w14:paraId="649BCD95">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B7E51CC">
      <w:pPr>
        <w:spacing w:line="640" w:lineRule="exact"/>
        <w:ind w:firstLine="640"/>
        <w:jc w:val="both"/>
        <w:outlineLvl w:val="2"/>
      </w:pPr>
      <w:r>
        <w:rPr>
          <w:rFonts w:ascii="黑体" w:hAnsi="黑体" w:eastAsia="黑体"/>
          <w:sz w:val="32"/>
        </w:rPr>
        <w:t>八、国有资本经营预算财政拨款收入支出决算情况说明</w:t>
      </w:r>
    </w:p>
    <w:p w14:paraId="7145537D">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3AA49E33">
      <w:pPr>
        <w:spacing w:line="640" w:lineRule="exact"/>
        <w:ind w:firstLine="640"/>
        <w:jc w:val="both"/>
        <w:outlineLvl w:val="2"/>
      </w:pPr>
      <w:r>
        <w:rPr>
          <w:rFonts w:ascii="黑体" w:hAnsi="黑体" w:eastAsia="黑体"/>
          <w:sz w:val="32"/>
        </w:rPr>
        <w:t>九、财政拨款“三公”经费支出决算情况说明</w:t>
      </w:r>
    </w:p>
    <w:p w14:paraId="0D2B404F">
      <w:pPr>
        <w:spacing w:line="580" w:lineRule="exact"/>
        <w:ind w:firstLine="640"/>
        <w:jc w:val="both"/>
      </w:pPr>
      <w:r>
        <w:rPr>
          <w:rFonts w:ascii="仿宋_GB2312" w:hAnsi="仿宋_GB2312" w:eastAsia="仿宋_GB2312"/>
          <w:b/>
          <w:sz w:val="32"/>
        </w:rPr>
        <w:t>2025年度财政拨款“三公”经费支出11.00万元，</w:t>
      </w:r>
      <w:r>
        <w:rPr>
          <w:rFonts w:ascii="仿宋_GB2312" w:hAnsi="仿宋_GB2312" w:eastAsia="仿宋_GB2312"/>
          <w:b w:val="0"/>
          <w:sz w:val="32"/>
        </w:rPr>
        <w:t>比上年增加6.03万元，增长121.33%，主要原因是：本年度公务用车日渐老化，维修维护成本增加，导致“三公”经费较上年增加。其中：因公出国（境）费用支出0.00万元，占0.00%，比上年增加0.00万元，增长0.00%，主要原因是：2024年与2025年均无因公出国（境）费用支出。公务用车购置及运行维护费支出10.70万元，占97.27%，比上年增加6.01万元，增长128.14%，主要原因是：本年度公务用车日渐老化，维修维护成本增加，导致公务用车运行维护费较上年增加。公务接待费支出0.30万元，占2.73%，比上年增加0.02万元，增长7.14%，主要原因是：本年因业务需求，增加公务接待工作，导致公务接待费较上年增加。</w:t>
      </w:r>
    </w:p>
    <w:p w14:paraId="5DF034C0">
      <w:pPr>
        <w:spacing w:line="580" w:lineRule="exact"/>
        <w:ind w:firstLine="640"/>
        <w:jc w:val="both"/>
      </w:pPr>
      <w:r>
        <w:rPr>
          <w:rFonts w:ascii="仿宋_GB2312" w:hAnsi="仿宋_GB2312" w:eastAsia="仿宋_GB2312"/>
          <w:b/>
          <w:sz w:val="32"/>
        </w:rPr>
        <w:t>具体情况如下：</w:t>
      </w:r>
    </w:p>
    <w:p w14:paraId="5BAED17C">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0182502">
      <w:pPr>
        <w:spacing w:line="580" w:lineRule="exact"/>
        <w:ind w:firstLine="640"/>
        <w:jc w:val="both"/>
      </w:pPr>
      <w:r>
        <w:rPr>
          <w:rFonts w:ascii="仿宋_GB2312" w:hAnsi="仿宋_GB2312" w:eastAsia="仿宋_GB2312"/>
          <w:b w:val="0"/>
          <w:sz w:val="32"/>
        </w:rPr>
        <w:t>公务用车购置及运行维护费10.70万元，其中：公务用车购置费0.00万元，公务用车运行维护费10.70万元。公务用车运行维护费开支内容包括车辆加油费、维修费、保险费、审车费、过路费等。公务用车购置数0辆，公务用车保有量17辆。国有资产占用情况中固定资产车辆17辆，与公务用车保有量差异原因是：本单位公务用车保有量与固定资产车辆一致无差异。</w:t>
      </w:r>
    </w:p>
    <w:p w14:paraId="553A0116">
      <w:pPr>
        <w:spacing w:line="580" w:lineRule="exact"/>
        <w:ind w:firstLine="640"/>
        <w:jc w:val="both"/>
      </w:pPr>
      <w:r>
        <w:rPr>
          <w:rFonts w:ascii="仿宋_GB2312" w:hAnsi="仿宋_GB2312" w:eastAsia="仿宋_GB2312"/>
          <w:b w:val="0"/>
          <w:sz w:val="32"/>
        </w:rPr>
        <w:t>公务接待费0.30万元，开支内容包括因福建援疆对口法院来访，接待工作小组考察学习产生的就餐费。单位全年安排的国内公务接待6批次，60人次。</w:t>
      </w:r>
    </w:p>
    <w:p w14:paraId="68299063">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11.00万元，决算数11.00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10.70万元，决算数10.70万元，预决算差异率0.00%，主要原因是：严格按照预算执行，预决算无差异。公务接待费全年预算数0.30万元，决算数0.30万元，预决算差异率0.00%，主要原因是：严格按照预算执行，预决算无差异。</w:t>
      </w:r>
    </w:p>
    <w:p w14:paraId="4E0D3825">
      <w:pPr>
        <w:spacing w:line="640" w:lineRule="exact"/>
        <w:ind w:firstLine="640"/>
        <w:jc w:val="both"/>
        <w:outlineLvl w:val="2"/>
      </w:pPr>
      <w:r>
        <w:rPr>
          <w:rFonts w:ascii="黑体" w:hAnsi="黑体" w:eastAsia="黑体"/>
          <w:sz w:val="32"/>
        </w:rPr>
        <w:t>十、其他重要事项的情况说明</w:t>
      </w:r>
    </w:p>
    <w:p w14:paraId="091D6685">
      <w:pPr>
        <w:spacing w:line="640" w:lineRule="exact"/>
        <w:ind w:firstLine="640"/>
        <w:jc w:val="both"/>
        <w:outlineLvl w:val="3"/>
      </w:pPr>
      <w:r>
        <w:rPr>
          <w:rFonts w:ascii="楷体_GB2312" w:hAnsi="楷体_GB2312" w:eastAsia="楷体_GB2312"/>
          <w:b/>
          <w:sz w:val="32"/>
        </w:rPr>
        <w:t>（一）机关运行经费及公用经费支出情况</w:t>
      </w:r>
    </w:p>
    <w:p w14:paraId="7E0DB729">
      <w:pPr>
        <w:spacing w:line="580" w:lineRule="exact"/>
        <w:ind w:firstLine="640"/>
        <w:jc w:val="both"/>
      </w:pPr>
      <w:r>
        <w:rPr>
          <w:rFonts w:ascii="仿宋_GB2312" w:hAnsi="仿宋_GB2312" w:eastAsia="仿宋_GB2312"/>
          <w:b w:val="0"/>
          <w:sz w:val="32"/>
        </w:rPr>
        <w:t>2025年度呼图壁县人民法院（行政单位和参照公务员法管理事业单位）机关运行经费支出249.36万元，比上年增加57.09万元，增长29.69%，主要原因是：本年增加办公费、劳务费等经费，导致机关运行经费较上年增加。</w:t>
      </w:r>
    </w:p>
    <w:p w14:paraId="2EAF3752">
      <w:pPr>
        <w:spacing w:line="640" w:lineRule="exact"/>
        <w:ind w:firstLine="640"/>
        <w:jc w:val="both"/>
        <w:outlineLvl w:val="3"/>
      </w:pPr>
      <w:r>
        <w:rPr>
          <w:rFonts w:ascii="楷体_GB2312" w:hAnsi="楷体_GB2312" w:eastAsia="楷体_GB2312"/>
          <w:b/>
          <w:sz w:val="32"/>
        </w:rPr>
        <w:t>（二）政府采购情况</w:t>
      </w:r>
    </w:p>
    <w:p w14:paraId="226C22B3">
      <w:pPr>
        <w:spacing w:line="580" w:lineRule="exact"/>
        <w:ind w:firstLine="640"/>
        <w:jc w:val="both"/>
      </w:pPr>
      <w:r>
        <w:rPr>
          <w:rFonts w:ascii="仿宋_GB2312" w:hAnsi="仿宋_GB2312" w:eastAsia="仿宋_GB2312"/>
          <w:b w:val="0"/>
          <w:sz w:val="32"/>
        </w:rPr>
        <w:t>2025年度政府采购支出总额470.93万元，其中：政府采购货物支出218.33万元、政府采购工程支出45.90万元、政府采购服务支出206.70万元。</w:t>
      </w:r>
    </w:p>
    <w:p w14:paraId="71C5120C">
      <w:pPr>
        <w:spacing w:line="580" w:lineRule="exact"/>
        <w:ind w:firstLine="640"/>
        <w:jc w:val="both"/>
      </w:pPr>
      <w:r>
        <w:rPr>
          <w:rFonts w:ascii="仿宋_GB2312" w:hAnsi="仿宋_GB2312" w:eastAsia="仿宋_GB2312"/>
          <w:b w:val="0"/>
          <w:sz w:val="32"/>
        </w:rPr>
        <w:t>授予中小企业合同金额470.93万元，占政府采购支出总额的100.00%，其中：授予小微企业合同金额470.93万元，占政府采购支出总额的100.00%。</w:t>
      </w:r>
    </w:p>
    <w:p w14:paraId="1310C5AE">
      <w:pPr>
        <w:spacing w:line="640" w:lineRule="exact"/>
        <w:ind w:firstLine="640"/>
        <w:jc w:val="both"/>
        <w:outlineLvl w:val="3"/>
      </w:pPr>
      <w:r>
        <w:rPr>
          <w:rFonts w:ascii="楷体_GB2312" w:hAnsi="楷体_GB2312" w:eastAsia="楷体_GB2312"/>
          <w:b/>
          <w:sz w:val="32"/>
        </w:rPr>
        <w:t>（三）国有资产占用情况说明</w:t>
      </w:r>
    </w:p>
    <w:p w14:paraId="24B24591">
      <w:pPr>
        <w:spacing w:line="580" w:lineRule="exact"/>
        <w:ind w:firstLine="640"/>
        <w:jc w:val="both"/>
      </w:pPr>
      <w:r>
        <w:rPr>
          <w:rFonts w:ascii="仿宋_GB2312" w:hAnsi="仿宋_GB2312" w:eastAsia="仿宋_GB2312"/>
          <w:b w:val="0"/>
          <w:sz w:val="32"/>
        </w:rPr>
        <w:t>截至2025年12月31日，房屋10,605.00平方米，价值2,823.89万元。车辆17辆，价值257.05万元，其中：副部（省）级及以上领导用车0辆、主要负责人用车0辆、机要通信用车0辆、应急保障用车0辆、执法执勤用车13辆、特种专业技术用车2辆、离退休干部服务用车0辆、其他用车2辆，其他用车主要是：一般公务用车。单价100万元（含）以上设备（不含车辆）1台（套）。</w:t>
      </w:r>
    </w:p>
    <w:p w14:paraId="4E5C2ECC">
      <w:pPr>
        <w:spacing w:line="640" w:lineRule="exact"/>
        <w:ind w:firstLine="640"/>
        <w:jc w:val="both"/>
        <w:outlineLvl w:val="2"/>
      </w:pPr>
      <w:r>
        <w:rPr>
          <w:rFonts w:ascii="黑体" w:hAnsi="黑体" w:eastAsia="黑体"/>
          <w:sz w:val="32"/>
        </w:rPr>
        <w:t>十一、预算绩效的情况说明</w:t>
      </w:r>
    </w:p>
    <w:p w14:paraId="01081A5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2,910.56万元，实际执行总额2,793.18万元；预算绩效评价项目2个，全年预算数109.00万元，全年执行数106.18万元。预算绩效管理取得的成效：一是有效的完成了年初设置的各项指标；二是对本年度开展的各项目进展状态进行更加全面的评价有助于为今后同类项目的开展提高更多样的数据分析。发现的问题及原因：一是学深悟透做实习近平法治思想还有差距，“从政治上看、从法治上办”能力需提升，司法理念、工作机制，同审判工作现代化还有差距。二是服务保障大局的主动性、前瞻性和精准性还需提高，与政府行政机关建立的协同联动机制运转的还不够高效，市场主体对法治化营商环境的感知度还不够深。三是立审执、审管衔接机制运行还不够顺畅，执法办案效率、效果，同人民群众新期待还有差距。下一步改进措施：一是始终把党的政治建设摆在首位，坚定不移在党的领导下奋进新征程。深入贯彻落实党的二十大和二十届二中、三中全会精神，巩固深化主题教育和党纪学习教育成果，全面用党的新思想新理论武装头脑、教育干警、推动工作，始终坚持党对法院的绝对领导，把旗帜鲜明讲政治作为第一准则，坚持重大案事件主动请示报告，在审判中把住“从政治上看、从法治上办”的工作方向，做实为大局服务，为人民司法的工作要求。二是始终把服务大局记在心中，不断提升司法服务保障新水平。转变“就案办案”审判观念，关注优化营商环境中的法治政府建设需求，强化行政司法建议，规范行政执法工作。提高典范地州建设保障力度，强化保民生、促稳定工作力度，积极主动为政府组成部门依法行政提供精准服务、业务培训，推动行政争议实质化解，协同营造守信践诺政务环境。优化市场主体服务水平，做实“法官进企业”工作要求，为各类企业法治化运行、规范化管理提供法律服务，做好小微企业司法服务保障。三是始终把改革创新抓在手上，加快新时达法院现代化建设新步伐。以改革思维全面准确落实司法责任制，做优符合司法规律的审判管理，加强“四类案件”监督管理，抓好院庭长“阅核”工作，用好“人民法院案例库”，做实做优“法答网”。践行新时代“枫桥经验”，纵深推进矛盾纠纷多元化解，加大“枫桥式”人民法庭建设力度，聚合各方解纷力量，答出群众低成本、高效率解纷“更优解”。坚持善意文明执行理念，做实“有信必复”工作，做深执源治理，优化执行管理，强化交叉执行、提级执行，优质高效兑现胜诉权益。具体附整体支出绩效自评表、项目支出绩效自评表。</w:t>
      </w:r>
    </w:p>
    <w:p w14:paraId="0A9A9721">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6E015B57">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F868DCB">
            <w:pPr>
              <w:spacing w:before="0" w:after="0" w:line="240" w:lineRule="auto"/>
              <w:jc w:val="center"/>
            </w:pPr>
            <w:r>
              <w:rPr>
                <w:rFonts w:ascii="宋体" w:hAnsi="宋体" w:eastAsia="宋体" w:cs="宋体"/>
                <w:b w:val="0"/>
                <w:i w:val="0"/>
                <w:sz w:val="18"/>
              </w:rPr>
              <w:t>部门（单位）整体支出绩效目标自评表</w:t>
            </w:r>
          </w:p>
        </w:tc>
      </w:tr>
      <w:tr w14:paraId="2E6022EA">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D9F5E0E">
            <w:pPr>
              <w:spacing w:before="0" w:after="0" w:line="240" w:lineRule="auto"/>
              <w:jc w:val="center"/>
            </w:pPr>
            <w:r>
              <w:rPr>
                <w:rFonts w:ascii="宋体" w:hAnsi="宋体" w:eastAsia="宋体" w:cs="宋体"/>
                <w:b w:val="0"/>
                <w:i w:val="0"/>
                <w:sz w:val="18"/>
              </w:rPr>
              <w:t>（2025年度）</w:t>
            </w:r>
          </w:p>
        </w:tc>
      </w:tr>
      <w:tr w14:paraId="63868795">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EF4AE2">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54E2540">
            <w:pPr>
              <w:spacing w:before="0" w:after="0" w:line="240" w:lineRule="auto"/>
              <w:jc w:val="center"/>
            </w:pPr>
            <w:r>
              <w:rPr>
                <w:rFonts w:ascii="宋体" w:hAnsi="宋体" w:eastAsia="宋体" w:cs="宋体"/>
                <w:b w:val="0"/>
                <w:i w:val="0"/>
                <w:sz w:val="18"/>
              </w:rPr>
              <w:t>呼图壁县人民法院</w:t>
            </w:r>
          </w:p>
        </w:tc>
      </w:tr>
      <w:tr w14:paraId="1E742590">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4D5086">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9F9B8D">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FC865C">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E2860A">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7DE960">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F11218">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60FF2B">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EA7944">
            <w:pPr>
              <w:spacing w:before="0" w:after="0" w:line="240" w:lineRule="auto"/>
              <w:jc w:val="center"/>
            </w:pPr>
            <w:r>
              <w:rPr>
                <w:rFonts w:ascii="宋体" w:hAnsi="宋体" w:eastAsia="宋体" w:cs="宋体"/>
                <w:b w:val="0"/>
                <w:i w:val="0"/>
                <w:sz w:val="18"/>
              </w:rPr>
              <w:t>得分</w:t>
            </w:r>
          </w:p>
        </w:tc>
      </w:tr>
      <w:tr w14:paraId="0B82F0F7">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7052FA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479358">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2C32AA">
            <w:pPr>
              <w:spacing w:before="0" w:after="0" w:line="240" w:lineRule="auto"/>
              <w:jc w:val="center"/>
            </w:pPr>
            <w:r>
              <w:rPr>
                <w:rFonts w:ascii="宋体" w:hAnsi="宋体" w:eastAsia="宋体" w:cs="宋体"/>
                <w:b w:val="0"/>
                <w:i w:val="0"/>
                <w:sz w:val="18"/>
              </w:rPr>
              <w:t>415.00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7C03A8">
            <w:pPr>
              <w:spacing w:before="0" w:after="0" w:line="240" w:lineRule="auto"/>
              <w:jc w:val="center"/>
            </w:pPr>
            <w:r>
              <w:rPr>
                <w:rFonts w:ascii="宋体" w:hAnsi="宋体" w:eastAsia="宋体" w:cs="宋体"/>
                <w:b w:val="0"/>
                <w:i w:val="0"/>
                <w:sz w:val="18"/>
              </w:rPr>
              <w:t>478.00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23DC87">
            <w:pPr>
              <w:spacing w:before="0" w:after="0" w:line="240" w:lineRule="auto"/>
              <w:jc w:val="center"/>
            </w:pPr>
            <w:r>
              <w:rPr>
                <w:rFonts w:ascii="宋体" w:hAnsi="宋体" w:eastAsia="宋体" w:cs="宋体"/>
                <w:b w:val="0"/>
                <w:i w:val="0"/>
                <w:sz w:val="18"/>
              </w:rPr>
              <w:t>478.00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1B4BF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75940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3B6064">
            <w:pPr>
              <w:spacing w:before="0" w:after="0" w:line="240" w:lineRule="auto"/>
              <w:jc w:val="center"/>
            </w:pPr>
            <w:r>
              <w:rPr>
                <w:rFonts w:ascii="宋体" w:hAnsi="宋体" w:eastAsia="宋体" w:cs="宋体"/>
                <w:b w:val="0"/>
                <w:i w:val="0"/>
                <w:sz w:val="18"/>
              </w:rPr>
              <w:t>-</w:t>
            </w:r>
          </w:p>
        </w:tc>
      </w:tr>
      <w:tr w14:paraId="54E2567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451564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D337C5">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935EAE">
            <w:pPr>
              <w:spacing w:before="0" w:after="0" w:line="240" w:lineRule="auto"/>
              <w:jc w:val="center"/>
            </w:pPr>
            <w:r>
              <w:rPr>
                <w:rFonts w:ascii="宋体" w:hAnsi="宋体" w:eastAsia="宋体" w:cs="宋体"/>
                <w:b w:val="0"/>
                <w:i w:val="0"/>
                <w:sz w:val="18"/>
              </w:rPr>
              <w:t>60.00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D4CA61">
            <w:pPr>
              <w:spacing w:before="0" w:after="0" w:line="240" w:lineRule="auto"/>
              <w:jc w:val="center"/>
            </w:pPr>
            <w:r>
              <w:rPr>
                <w:rFonts w:ascii="宋体" w:hAnsi="宋体" w:eastAsia="宋体" w:cs="宋体"/>
                <w:b w:val="0"/>
                <w:i w:val="0"/>
                <w:sz w:val="18"/>
              </w:rPr>
              <w:t>2,226.23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A0E755">
            <w:pPr>
              <w:spacing w:before="0" w:after="0" w:line="240" w:lineRule="auto"/>
              <w:jc w:val="center"/>
            </w:pPr>
            <w:r>
              <w:rPr>
                <w:rFonts w:ascii="宋体" w:hAnsi="宋体" w:eastAsia="宋体" w:cs="宋体"/>
                <w:b w:val="0"/>
                <w:i w:val="0"/>
                <w:sz w:val="18"/>
              </w:rPr>
              <w:t>2,226.23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6BAD3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66BE1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DB2380">
            <w:pPr>
              <w:spacing w:before="0" w:after="0" w:line="240" w:lineRule="auto"/>
              <w:jc w:val="center"/>
            </w:pPr>
            <w:r>
              <w:rPr>
                <w:rFonts w:ascii="宋体" w:hAnsi="宋体" w:eastAsia="宋体" w:cs="宋体"/>
                <w:b w:val="0"/>
                <w:i w:val="0"/>
                <w:sz w:val="18"/>
              </w:rPr>
              <w:t>-</w:t>
            </w:r>
          </w:p>
        </w:tc>
      </w:tr>
      <w:tr w14:paraId="4803245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336DEC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14C0F4">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3715BA">
            <w:pPr>
              <w:spacing w:before="0" w:after="0" w:line="240" w:lineRule="auto"/>
              <w:jc w:val="center"/>
            </w:pPr>
            <w:r>
              <w:rPr>
                <w:rFonts w:ascii="宋体" w:hAnsi="宋体" w:eastAsia="宋体" w:cs="宋体"/>
                <w:b w:val="0"/>
                <w:i w:val="0"/>
                <w:sz w:val="18"/>
              </w:rPr>
              <w:t>1,906.80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B473B9">
            <w:pPr>
              <w:spacing w:before="0" w:after="0" w:line="240" w:lineRule="auto"/>
              <w:jc w:val="center"/>
            </w:pPr>
            <w:r>
              <w:rPr>
                <w:rFonts w:ascii="宋体" w:hAnsi="宋体" w:eastAsia="宋体" w:cs="宋体"/>
                <w:b w:val="0"/>
                <w:i w:val="0"/>
                <w:sz w:val="18"/>
              </w:rPr>
              <w:t>206.33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BD2FDC">
            <w:pPr>
              <w:spacing w:before="0" w:after="0" w:line="240" w:lineRule="auto"/>
              <w:jc w:val="center"/>
            </w:pPr>
            <w:r>
              <w:rPr>
                <w:rFonts w:ascii="宋体" w:hAnsi="宋体" w:eastAsia="宋体" w:cs="宋体"/>
                <w:b w:val="0"/>
                <w:i w:val="0"/>
                <w:sz w:val="18"/>
              </w:rPr>
              <w:t>88.95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558A1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720F1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60F51F">
            <w:pPr>
              <w:spacing w:before="0" w:after="0" w:line="240" w:lineRule="auto"/>
              <w:jc w:val="center"/>
            </w:pPr>
            <w:r>
              <w:rPr>
                <w:rFonts w:ascii="宋体" w:hAnsi="宋体" w:eastAsia="宋体" w:cs="宋体"/>
                <w:b w:val="0"/>
                <w:i w:val="0"/>
                <w:sz w:val="18"/>
              </w:rPr>
              <w:t>-</w:t>
            </w:r>
          </w:p>
        </w:tc>
      </w:tr>
      <w:tr w14:paraId="57543F6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2699C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AC68C7">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CC676C">
            <w:pPr>
              <w:spacing w:before="0" w:after="0" w:line="240" w:lineRule="auto"/>
              <w:jc w:val="center"/>
            </w:pPr>
            <w:r>
              <w:rPr>
                <w:rFonts w:ascii="宋体" w:hAnsi="宋体" w:eastAsia="宋体" w:cs="宋体"/>
                <w:b w:val="0"/>
                <w:i w:val="0"/>
                <w:sz w:val="18"/>
              </w:rPr>
              <w:t>2,381.80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150EE1">
            <w:pPr>
              <w:spacing w:before="0" w:after="0" w:line="240" w:lineRule="auto"/>
              <w:jc w:val="center"/>
            </w:pPr>
            <w:r>
              <w:rPr>
                <w:rFonts w:ascii="宋体" w:hAnsi="宋体" w:eastAsia="宋体" w:cs="宋体"/>
                <w:b w:val="0"/>
                <w:i w:val="0"/>
                <w:sz w:val="18"/>
              </w:rPr>
              <w:t>2,910.56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A1F497">
            <w:pPr>
              <w:spacing w:before="0" w:after="0" w:line="240" w:lineRule="auto"/>
              <w:jc w:val="center"/>
            </w:pPr>
            <w:r>
              <w:rPr>
                <w:rFonts w:ascii="宋体" w:hAnsi="宋体" w:eastAsia="宋体" w:cs="宋体"/>
                <w:b w:val="0"/>
                <w:i w:val="0"/>
                <w:sz w:val="18"/>
              </w:rPr>
              <w:t>2,793.18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34EED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DBBF1A">
            <w:pPr>
              <w:spacing w:before="0" w:after="0" w:line="240" w:lineRule="auto"/>
              <w:jc w:val="center"/>
            </w:pPr>
            <w:r>
              <w:rPr>
                <w:rFonts w:ascii="宋体" w:hAnsi="宋体" w:eastAsia="宋体" w:cs="宋体"/>
                <w:b w:val="0"/>
                <w:i w:val="0"/>
                <w:sz w:val="18"/>
              </w:rPr>
              <w:t>95.97%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1A3607">
            <w:pPr>
              <w:spacing w:before="0" w:after="0" w:line="240" w:lineRule="auto"/>
              <w:jc w:val="center"/>
            </w:pPr>
            <w:r>
              <w:rPr>
                <w:rFonts w:ascii="宋体" w:hAnsi="宋体" w:eastAsia="宋体" w:cs="宋体"/>
                <w:b w:val="0"/>
                <w:i w:val="0"/>
                <w:sz w:val="18"/>
              </w:rPr>
              <w:t>9.6</w:t>
            </w:r>
          </w:p>
        </w:tc>
      </w:tr>
      <w:tr w14:paraId="557919A8">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16BB4F">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5ACC51C">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F4CE53">
            <w:pPr>
              <w:spacing w:before="0" w:after="0" w:line="240" w:lineRule="auto"/>
              <w:jc w:val="center"/>
            </w:pPr>
            <w:r>
              <w:rPr>
                <w:rFonts w:ascii="宋体" w:hAnsi="宋体" w:eastAsia="宋体" w:cs="宋体"/>
                <w:b w:val="0"/>
                <w:i w:val="0"/>
                <w:sz w:val="18"/>
              </w:rPr>
              <w:t>实际完成情况</w:t>
            </w:r>
          </w:p>
        </w:tc>
      </w:tr>
      <w:tr w14:paraId="7B567C4D">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14762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740DD23">
            <w:pPr>
              <w:spacing w:before="0" w:after="0" w:line="240" w:lineRule="auto"/>
              <w:jc w:val="center"/>
            </w:pPr>
            <w:r>
              <w:rPr>
                <w:rFonts w:ascii="宋体" w:hAnsi="宋体" w:eastAsia="宋体" w:cs="宋体"/>
                <w:b w:val="0"/>
                <w:i w:val="0"/>
                <w:sz w:val="18"/>
              </w:rPr>
              <w:t>2025年工作要坚持以习近平新时代中国特色社会主义思想为指导，全面学习贯彻党的二十大精神，深入贯彻落实全面贯彻习近平法治思想，</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牢牢扭住社会稳定和长治久安总目标，全面落实《中共中央关于加强新时代审查机关法律监督工作的意见》及区州党委《实施意见》，加强法律监督工作，推动检察工作高质量发展精神，优化法律监督格局，以高质量发展为主题，以完善审查机关法律监督体系、提升法律监督能力为主线，加强基层组织、基础工作、基本能力建设，深化司法体制改革，更好服务经济社会高质量发展、推动工作自身高质量发展，为全面建设社会主义现代化国家提供有力司法保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DA3A960">
            <w:pPr>
              <w:spacing w:before="0" w:after="0" w:line="240" w:lineRule="auto"/>
              <w:jc w:val="center"/>
            </w:pPr>
            <w:r>
              <w:rPr>
                <w:rFonts w:ascii="宋体" w:hAnsi="宋体" w:eastAsia="宋体" w:cs="宋体"/>
                <w:b w:val="0"/>
                <w:i w:val="0"/>
                <w:sz w:val="18"/>
              </w:rPr>
              <w:t>2025年我单位全年预算数为2910.56万元，全年执行数为2793.18万元，总预算执行率为95.97%。2025年我单位完成以下工作内容：1、本年度新收案件9468件；2、本年度受理案件数量为8858件；3、本年度案件审理结案率93.65%；4、案件审限期内结案率99.98%。通过以上工作的实施，完善审查机关法律监督体系、提升法律监督能力为主线，加强基层组织、基础工作、基本能力建设，深化司法体制改革，更好服务经济社会高质量发展、推动工作自身高质量发展，为全面建设社会主义现代化国家提供有力司法保障。</w:t>
            </w:r>
          </w:p>
        </w:tc>
      </w:tr>
      <w:tr w14:paraId="455A26E1">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265411">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1FC610">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1FF6FF">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7E544D">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DFF527">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A66875">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98FD19">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F3EC40">
            <w:pPr>
              <w:keepNext/>
              <w:spacing w:before="0" w:after="0" w:line="240" w:lineRule="auto"/>
              <w:jc w:val="center"/>
            </w:pPr>
            <w:r>
              <w:rPr>
                <w:rFonts w:ascii="宋体" w:hAnsi="宋体" w:eastAsia="宋体" w:cs="宋体"/>
                <w:b w:val="0"/>
                <w:i w:val="0"/>
                <w:sz w:val="18"/>
              </w:rPr>
              <w:t>得分</w:t>
            </w:r>
          </w:p>
        </w:tc>
      </w:tr>
      <w:tr w14:paraId="74AA1AAE">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0DD923">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5DAD5F">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9CD80">
            <w:pPr>
              <w:spacing w:before="0" w:after="0" w:line="240" w:lineRule="auto"/>
              <w:jc w:val="center"/>
            </w:pPr>
            <w:r>
              <w:rPr>
                <w:rFonts w:ascii="宋体" w:hAnsi="宋体" w:eastAsia="宋体" w:cs="宋体"/>
                <w:b w:val="0"/>
                <w:i w:val="0"/>
                <w:sz w:val="18"/>
              </w:rPr>
              <w:t>新收案件数量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2152A7">
            <w:pPr>
              <w:spacing w:before="0" w:after="0" w:line="240" w:lineRule="auto"/>
              <w:jc w:val="center"/>
            </w:pPr>
            <w:r>
              <w:rPr>
                <w:rFonts w:ascii="宋体" w:hAnsi="宋体" w:eastAsia="宋体" w:cs="宋体"/>
                <w:b w:val="0"/>
                <w:i w:val="0"/>
                <w:sz w:val="18"/>
              </w:rPr>
              <w:t>&gt;=8000件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8937BF">
            <w:pPr>
              <w:spacing w:before="0" w:after="0" w:line="240" w:lineRule="auto"/>
              <w:jc w:val="center"/>
            </w:pPr>
            <w:r>
              <w:rPr>
                <w:rFonts w:ascii="宋体" w:hAnsi="宋体" w:eastAsia="宋体" w:cs="宋体"/>
                <w:b w:val="0"/>
                <w:i w:val="0"/>
                <w:sz w:val="18"/>
              </w:rPr>
              <w:t>政府工作报告、人民法院审判质量管理指标体系、2024年度工作总结、2025年工作思路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5E8779">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889561">
            <w:pPr>
              <w:spacing w:before="0" w:after="0" w:line="240" w:lineRule="auto"/>
              <w:jc w:val="center"/>
            </w:pPr>
            <w:r>
              <w:rPr>
                <w:rFonts w:ascii="宋体" w:hAnsi="宋体" w:eastAsia="宋体" w:cs="宋体"/>
                <w:b w:val="0"/>
                <w:i w:val="0"/>
                <w:sz w:val="18"/>
              </w:rPr>
              <w:t>=9468件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E0BEEF">
            <w:pPr>
              <w:spacing w:before="0" w:after="0" w:line="240" w:lineRule="auto"/>
              <w:jc w:val="center"/>
            </w:pPr>
            <w:r>
              <w:rPr>
                <w:rFonts w:ascii="宋体" w:hAnsi="宋体" w:eastAsia="宋体" w:cs="宋体"/>
                <w:b w:val="0"/>
                <w:i w:val="0"/>
                <w:sz w:val="18"/>
              </w:rPr>
              <w:t>25</w:t>
            </w:r>
          </w:p>
        </w:tc>
      </w:tr>
      <w:tr w14:paraId="068A12F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89BC23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83A7B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8D71F0">
            <w:pPr>
              <w:spacing w:before="0" w:after="0" w:line="240" w:lineRule="auto"/>
              <w:jc w:val="center"/>
            </w:pPr>
            <w:r>
              <w:rPr>
                <w:rFonts w:ascii="宋体" w:hAnsi="宋体" w:eastAsia="宋体" w:cs="宋体"/>
                <w:b w:val="0"/>
                <w:i w:val="0"/>
                <w:sz w:val="18"/>
              </w:rPr>
              <w:t>受理案件数量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3A7D0A">
            <w:pPr>
              <w:spacing w:before="0" w:after="0" w:line="240" w:lineRule="auto"/>
              <w:jc w:val="center"/>
            </w:pPr>
            <w:r>
              <w:rPr>
                <w:rFonts w:ascii="宋体" w:hAnsi="宋体" w:eastAsia="宋体" w:cs="宋体"/>
                <w:b w:val="0"/>
                <w:i w:val="0"/>
                <w:sz w:val="18"/>
              </w:rPr>
              <w:t>&gt;=7000件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988D38">
            <w:pPr>
              <w:spacing w:before="0" w:after="0" w:line="240" w:lineRule="auto"/>
              <w:jc w:val="center"/>
            </w:pPr>
            <w:r>
              <w:rPr>
                <w:rFonts w:ascii="宋体" w:hAnsi="宋体" w:eastAsia="宋体" w:cs="宋体"/>
                <w:b w:val="0"/>
                <w:i w:val="0"/>
                <w:sz w:val="18"/>
              </w:rPr>
              <w:t>政府工作报告、人民法院审判质量管理指标体系、2024年度工作总结、2025年工作思路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1F1AED">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1B50C7">
            <w:pPr>
              <w:spacing w:before="0" w:after="0" w:line="240" w:lineRule="auto"/>
              <w:jc w:val="center"/>
            </w:pPr>
            <w:r>
              <w:rPr>
                <w:rFonts w:ascii="宋体" w:hAnsi="宋体" w:eastAsia="宋体" w:cs="宋体"/>
                <w:b w:val="0"/>
                <w:i w:val="0"/>
                <w:sz w:val="18"/>
              </w:rPr>
              <w:t>=8858件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7D19A6">
            <w:pPr>
              <w:spacing w:before="0" w:after="0" w:line="240" w:lineRule="auto"/>
              <w:jc w:val="center"/>
            </w:pPr>
            <w:r>
              <w:rPr>
                <w:rFonts w:ascii="宋体" w:hAnsi="宋体" w:eastAsia="宋体" w:cs="宋体"/>
                <w:b w:val="0"/>
                <w:i w:val="0"/>
                <w:sz w:val="18"/>
              </w:rPr>
              <w:t>25</w:t>
            </w:r>
          </w:p>
        </w:tc>
      </w:tr>
      <w:tr w14:paraId="0411D79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80FDA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33244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477D84">
            <w:pPr>
              <w:spacing w:before="0" w:after="0" w:line="240" w:lineRule="auto"/>
              <w:jc w:val="center"/>
            </w:pPr>
            <w:r>
              <w:rPr>
                <w:rFonts w:ascii="宋体" w:hAnsi="宋体" w:eastAsia="宋体" w:cs="宋体"/>
                <w:b w:val="0"/>
                <w:i w:val="0"/>
                <w:sz w:val="18"/>
              </w:rPr>
              <w:t>案件审理结案率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B47057">
            <w:pPr>
              <w:spacing w:before="0" w:after="0" w:line="240" w:lineRule="auto"/>
              <w:jc w:val="center"/>
            </w:pPr>
            <w:r>
              <w:rPr>
                <w:rFonts w:ascii="宋体" w:hAnsi="宋体" w:eastAsia="宋体" w:cs="宋体"/>
                <w:b w:val="0"/>
                <w:i w:val="0"/>
                <w:sz w:val="18"/>
              </w:rPr>
              <w:t>&gt;=85%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B51B1E">
            <w:pPr>
              <w:spacing w:before="0" w:after="0" w:line="240" w:lineRule="auto"/>
              <w:jc w:val="center"/>
            </w:pPr>
            <w:r>
              <w:rPr>
                <w:rFonts w:ascii="宋体" w:hAnsi="宋体" w:eastAsia="宋体" w:cs="宋体"/>
                <w:b w:val="0"/>
                <w:i w:val="0"/>
                <w:sz w:val="18"/>
              </w:rPr>
              <w:t>政府工作报告、人民法院审判质量管理指标体系、2024年度工作总结、2025年工作思路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D93D3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3A9C07">
            <w:pPr>
              <w:spacing w:before="0" w:after="0" w:line="240" w:lineRule="auto"/>
              <w:jc w:val="center"/>
            </w:pPr>
            <w:r>
              <w:rPr>
                <w:rFonts w:ascii="宋体" w:hAnsi="宋体" w:eastAsia="宋体" w:cs="宋体"/>
                <w:b w:val="0"/>
                <w:i w:val="0"/>
                <w:sz w:val="18"/>
              </w:rPr>
              <w:t>=93.65%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A9FA37">
            <w:pPr>
              <w:spacing w:before="0" w:after="0" w:line="240" w:lineRule="auto"/>
              <w:jc w:val="center"/>
            </w:pPr>
            <w:r>
              <w:rPr>
                <w:rFonts w:ascii="宋体" w:hAnsi="宋体" w:eastAsia="宋体" w:cs="宋体"/>
                <w:b w:val="0"/>
                <w:i w:val="0"/>
                <w:sz w:val="18"/>
              </w:rPr>
              <w:t>20</w:t>
            </w:r>
          </w:p>
        </w:tc>
      </w:tr>
      <w:tr w14:paraId="519A6E2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5D7B3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CE99B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6B0902">
            <w:pPr>
              <w:spacing w:before="0" w:after="0" w:line="240" w:lineRule="auto"/>
              <w:jc w:val="center"/>
            </w:pPr>
            <w:r>
              <w:rPr>
                <w:rFonts w:ascii="宋体" w:hAnsi="宋体" w:eastAsia="宋体" w:cs="宋体"/>
                <w:b w:val="0"/>
                <w:i w:val="0"/>
                <w:sz w:val="18"/>
              </w:rPr>
              <w:t>案件审限期内结案率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0E11EC">
            <w:pPr>
              <w:spacing w:before="0" w:after="0" w:line="240" w:lineRule="auto"/>
              <w:jc w:val="center"/>
            </w:pPr>
            <w:r>
              <w:rPr>
                <w:rFonts w:ascii="宋体" w:hAnsi="宋体" w:eastAsia="宋体" w:cs="宋体"/>
                <w:b w:val="0"/>
                <w:i w:val="0"/>
                <w:sz w:val="18"/>
              </w:rPr>
              <w:t>&gt;=85%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C8B04A">
            <w:pPr>
              <w:spacing w:before="0" w:after="0" w:line="240" w:lineRule="auto"/>
              <w:jc w:val="center"/>
            </w:pPr>
            <w:r>
              <w:rPr>
                <w:rFonts w:ascii="宋体" w:hAnsi="宋体" w:eastAsia="宋体" w:cs="宋体"/>
                <w:b w:val="0"/>
                <w:i w:val="0"/>
                <w:sz w:val="18"/>
              </w:rPr>
              <w:t>政府工作报告、人民法院审判质量管理指标体系、2024年度工作总结、2025年工作思路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0F4905">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D95932">
            <w:pPr>
              <w:spacing w:before="0" w:after="0" w:line="240" w:lineRule="auto"/>
              <w:jc w:val="center"/>
            </w:pPr>
            <w:r>
              <w:rPr>
                <w:rFonts w:ascii="宋体" w:hAnsi="宋体" w:eastAsia="宋体" w:cs="宋体"/>
                <w:b w:val="0"/>
                <w:i w:val="0"/>
                <w:sz w:val="18"/>
              </w:rPr>
              <w:t>=99.98%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AC98C4">
            <w:pPr>
              <w:spacing w:before="0" w:after="0" w:line="240" w:lineRule="auto"/>
              <w:jc w:val="center"/>
            </w:pPr>
            <w:r>
              <w:rPr>
                <w:rFonts w:ascii="宋体" w:hAnsi="宋体" w:eastAsia="宋体" w:cs="宋体"/>
                <w:b w:val="0"/>
                <w:i w:val="0"/>
                <w:sz w:val="18"/>
              </w:rPr>
              <w:t>20</w:t>
            </w:r>
          </w:p>
        </w:tc>
      </w:tr>
    </w:tbl>
    <w:p w14:paraId="4D504935">
      <w:r>
        <w:br w:type="page"/>
      </w:r>
    </w:p>
    <w:p w14:paraId="36D3876C">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3"/>
        <w:gridCol w:w="574"/>
        <w:gridCol w:w="574"/>
        <w:gridCol w:w="574"/>
        <w:gridCol w:w="593"/>
        <w:gridCol w:w="612"/>
        <w:gridCol w:w="612"/>
        <w:gridCol w:w="593"/>
        <w:gridCol w:w="593"/>
        <w:gridCol w:w="577"/>
        <w:gridCol w:w="576"/>
        <w:gridCol w:w="577"/>
        <w:gridCol w:w="576"/>
        <w:gridCol w:w="702"/>
      </w:tblGrid>
      <w:tr w14:paraId="71F5745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85B8C22">
            <w:pPr>
              <w:spacing w:before="0" w:after="0" w:line="240" w:lineRule="auto"/>
              <w:jc w:val="center"/>
            </w:pPr>
            <w:r>
              <w:rPr>
                <w:rFonts w:ascii="宋体" w:hAnsi="宋体" w:eastAsia="宋体" w:cs="宋体"/>
                <w:b/>
                <w:i w:val="0"/>
                <w:sz w:val="18"/>
              </w:rPr>
              <w:t>项目支出绩效自评表</w:t>
            </w:r>
          </w:p>
        </w:tc>
      </w:tr>
      <w:tr w14:paraId="0B29AE4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9E43B52">
            <w:pPr>
              <w:spacing w:before="0" w:after="0" w:line="240" w:lineRule="auto"/>
              <w:jc w:val="center"/>
            </w:pPr>
            <w:r>
              <w:rPr>
                <w:rFonts w:ascii="宋体" w:hAnsi="宋体" w:eastAsia="宋体" w:cs="宋体"/>
                <w:b w:val="0"/>
                <w:i w:val="0"/>
                <w:sz w:val="18"/>
              </w:rPr>
              <w:t>(2025年度)</w:t>
            </w:r>
          </w:p>
        </w:tc>
      </w:tr>
      <w:tr w14:paraId="079B3DE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FF0C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6870AB9">
            <w:pPr>
              <w:spacing w:before="0" w:after="0" w:line="240" w:lineRule="auto"/>
              <w:jc w:val="center"/>
            </w:pPr>
            <w:r>
              <w:rPr>
                <w:rFonts w:ascii="宋体" w:hAnsi="宋体" w:eastAsia="宋体" w:cs="宋体"/>
                <w:b w:val="0"/>
                <w:i w:val="0"/>
                <w:sz w:val="18"/>
              </w:rPr>
              <w:t>2025年州直单位办公用房维修</w:t>
            </w:r>
          </w:p>
        </w:tc>
      </w:tr>
      <w:tr w14:paraId="7B31BA3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38CBC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DA780A">
            <w:pPr>
              <w:spacing w:before="0" w:after="0" w:line="240" w:lineRule="auto"/>
              <w:jc w:val="center"/>
            </w:pPr>
            <w:r>
              <w:rPr>
                <w:rFonts w:ascii="宋体" w:hAnsi="宋体" w:eastAsia="宋体" w:cs="宋体"/>
                <w:b w:val="0"/>
                <w:i w:val="0"/>
                <w:sz w:val="18"/>
              </w:rPr>
              <w:t>呼图壁县人民法院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A05F1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4ECB05">
            <w:pPr>
              <w:spacing w:before="0" w:after="0" w:line="240" w:lineRule="auto"/>
              <w:jc w:val="center"/>
            </w:pPr>
            <w:r>
              <w:rPr>
                <w:rFonts w:ascii="宋体" w:hAnsi="宋体" w:eastAsia="宋体" w:cs="宋体"/>
                <w:b w:val="0"/>
                <w:i w:val="0"/>
                <w:sz w:val="18"/>
              </w:rPr>
              <w:t>呼图壁县人民法院</w:t>
            </w:r>
          </w:p>
        </w:tc>
      </w:tr>
      <w:tr w14:paraId="3AA0ACE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CEBFD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D55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A341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46193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41C13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98CDE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4DB43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1A239D">
            <w:pPr>
              <w:spacing w:before="0" w:after="0" w:line="240" w:lineRule="auto"/>
              <w:jc w:val="center"/>
            </w:pPr>
            <w:r>
              <w:rPr>
                <w:rFonts w:ascii="宋体" w:hAnsi="宋体" w:eastAsia="宋体" w:cs="宋体"/>
                <w:b/>
                <w:i w:val="0"/>
                <w:sz w:val="18"/>
              </w:rPr>
              <w:t>得分</w:t>
            </w:r>
          </w:p>
        </w:tc>
      </w:tr>
      <w:tr w14:paraId="5A4DDB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F13A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D03E8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1D6AF">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C043FE">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F20337">
            <w:pPr>
              <w:spacing w:before="0" w:after="0" w:line="240" w:lineRule="auto"/>
              <w:jc w:val="center"/>
            </w:pPr>
            <w:r>
              <w:rPr>
                <w:rFonts w:ascii="宋体" w:hAnsi="宋体" w:eastAsia="宋体" w:cs="宋体"/>
                <w:b w:val="0"/>
                <w:i w:val="0"/>
                <w:sz w:val="18"/>
              </w:rPr>
              <w:t>17.23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FB313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1690CD">
            <w:pPr>
              <w:spacing w:before="0" w:after="0" w:line="240" w:lineRule="auto"/>
              <w:jc w:val="center"/>
            </w:pPr>
            <w:r>
              <w:rPr>
                <w:rFonts w:ascii="宋体" w:hAnsi="宋体" w:eastAsia="宋体" w:cs="宋体"/>
                <w:b w:val="0"/>
                <w:i w:val="0"/>
                <w:sz w:val="18"/>
              </w:rPr>
              <w:t>90.68%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695E45">
            <w:pPr>
              <w:spacing w:before="0" w:after="0" w:line="240" w:lineRule="auto"/>
              <w:jc w:val="center"/>
            </w:pPr>
            <w:r>
              <w:rPr>
                <w:rFonts w:ascii="宋体" w:hAnsi="宋体" w:eastAsia="宋体" w:cs="宋体"/>
                <w:b w:val="0"/>
                <w:i w:val="0"/>
                <w:sz w:val="18"/>
              </w:rPr>
              <w:t>7.67</w:t>
            </w:r>
          </w:p>
        </w:tc>
      </w:tr>
      <w:tr w14:paraId="7A825FE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B5916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3F4A7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0C003">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C639BE">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A386E5">
            <w:pPr>
              <w:spacing w:before="0" w:after="0" w:line="240" w:lineRule="auto"/>
              <w:jc w:val="center"/>
            </w:pPr>
            <w:r>
              <w:rPr>
                <w:rFonts w:ascii="宋体" w:hAnsi="宋体" w:eastAsia="宋体" w:cs="宋体"/>
                <w:b w:val="0"/>
                <w:i w:val="0"/>
                <w:sz w:val="18"/>
              </w:rPr>
              <w:t>17.23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56AE4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4DB5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D4FD9">
            <w:pPr>
              <w:spacing w:before="0" w:after="0" w:line="240" w:lineRule="auto"/>
              <w:jc w:val="center"/>
            </w:pPr>
            <w:r>
              <w:rPr>
                <w:rFonts w:ascii="宋体" w:hAnsi="宋体" w:eastAsia="宋体" w:cs="宋体"/>
                <w:b w:val="0"/>
                <w:i w:val="0"/>
                <w:sz w:val="18"/>
              </w:rPr>
              <w:t>—</w:t>
            </w:r>
          </w:p>
        </w:tc>
      </w:tr>
      <w:tr w14:paraId="07B3089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9D10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0321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D27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F72F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3DFB9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79C44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9948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F8A84">
            <w:pPr>
              <w:spacing w:before="0" w:after="0" w:line="240" w:lineRule="auto"/>
              <w:jc w:val="center"/>
            </w:pPr>
            <w:r>
              <w:rPr>
                <w:rFonts w:ascii="宋体" w:hAnsi="宋体" w:eastAsia="宋体" w:cs="宋体"/>
                <w:b w:val="0"/>
                <w:i w:val="0"/>
                <w:sz w:val="18"/>
              </w:rPr>
              <w:t>—</w:t>
            </w:r>
          </w:p>
        </w:tc>
      </w:tr>
      <w:tr w14:paraId="00C7004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334C9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8A6F5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3E083EC">
            <w:pPr>
              <w:spacing w:before="0" w:after="0" w:line="240" w:lineRule="auto"/>
              <w:jc w:val="center"/>
            </w:pPr>
            <w:r>
              <w:rPr>
                <w:rFonts w:ascii="宋体" w:hAnsi="宋体" w:eastAsia="宋体" w:cs="宋体"/>
                <w:b/>
                <w:i w:val="0"/>
                <w:sz w:val="18"/>
              </w:rPr>
              <w:t>实际完成情况</w:t>
            </w:r>
          </w:p>
        </w:tc>
      </w:tr>
      <w:tr w14:paraId="74920E0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153D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C2EB30">
            <w:pPr>
              <w:spacing w:before="0" w:after="0" w:line="240" w:lineRule="auto"/>
              <w:jc w:val="center"/>
            </w:pPr>
            <w:r>
              <w:rPr>
                <w:rFonts w:ascii="宋体" w:hAnsi="宋体" w:eastAsia="宋体" w:cs="宋体"/>
                <w:b w:val="0"/>
                <w:i w:val="0"/>
                <w:sz w:val="18"/>
              </w:rPr>
              <w:t>呼图壁县人民法院2025年州直单位办公用房维修项目19万元，主要用于维修老旧法庭。保障大于等于1个老旧法庭的维修，保障我院对老旧法庭维修改造的政府采购率和验收合格率达到100%，保障维修老旧法庭费用不超过19万元。该项目的实施保障我院各项工作正常开展，有效提升干警的业务能力，提升我院的服务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AAB74F7">
            <w:pPr>
              <w:spacing w:before="0" w:after="0" w:line="240" w:lineRule="auto"/>
              <w:jc w:val="center"/>
            </w:pPr>
            <w:r>
              <w:rPr>
                <w:rFonts w:ascii="宋体" w:hAnsi="宋体" w:eastAsia="宋体" w:cs="宋体"/>
                <w:b w:val="0"/>
                <w:i w:val="0"/>
                <w:sz w:val="18"/>
              </w:rPr>
              <w:t>截至2025年12月31日，本项目支出资金17.23万元，资金执行率90.68%，本项目实际完成1个老旧法庭的维修，并且支付了1万元的前期费用和16.23万元的维修费用，且已通过验收。通过本项目的实施，加强保障了法官、诉讼参与人及工作人员人身与财产安全，为庭审、调节、信访接待等核心司法活动提供安全稳定场所。从而有效改善群主诉讼环境，减少群众办事不便，增强人民群众对司法工作的获得感。进一步保障了司法工作有序开展、提高司法服务质效、夯实基层法治根基。</w:t>
            </w:r>
          </w:p>
        </w:tc>
      </w:tr>
      <w:tr w14:paraId="0764051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3160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B6AFA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679F6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DA01A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D15BE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58E30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61BCD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231AE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B0303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7F7B4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E41BB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F5DD1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0D5A7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FEA4A4">
            <w:pPr>
              <w:keepNext/>
              <w:spacing w:before="0" w:after="0" w:line="240" w:lineRule="auto"/>
              <w:jc w:val="center"/>
            </w:pPr>
            <w:r>
              <w:rPr>
                <w:rFonts w:ascii="宋体" w:hAnsi="宋体" w:eastAsia="宋体" w:cs="宋体"/>
                <w:b/>
                <w:i w:val="0"/>
                <w:sz w:val="18"/>
              </w:rPr>
              <w:t>偏差原因分析及改进措施</w:t>
            </w:r>
          </w:p>
        </w:tc>
      </w:tr>
      <w:tr w14:paraId="442BA27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EA5F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627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06CB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F11A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9FC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B7E6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296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CAB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C3DD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9A6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77F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C3A9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663C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A1CC45"/>
        </w:tc>
      </w:tr>
      <w:tr w14:paraId="48F710B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5264A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7F6FA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921F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82F79">
            <w:pPr>
              <w:spacing w:before="0" w:after="0" w:line="240" w:lineRule="auto"/>
              <w:jc w:val="center"/>
            </w:pPr>
            <w:r>
              <w:rPr>
                <w:rFonts w:ascii="宋体" w:hAnsi="宋体" w:eastAsia="宋体" w:cs="宋体"/>
                <w:b w:val="0"/>
                <w:i w:val="0"/>
                <w:sz w:val="18"/>
              </w:rPr>
              <w:t>维修法庭数量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F99E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08670">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49C17">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A63B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502B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D0C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7C9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6032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934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DBAAC">
            <w:pPr>
              <w:spacing w:before="0" w:after="0" w:line="240" w:lineRule="auto"/>
              <w:jc w:val="center"/>
            </w:pPr>
          </w:p>
        </w:tc>
      </w:tr>
      <w:tr w14:paraId="1B44B6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E56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7FBC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851E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257D3">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0C40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730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106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41D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933A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067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6D1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D20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5C1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5339E">
            <w:pPr>
              <w:spacing w:before="0" w:after="0" w:line="240" w:lineRule="auto"/>
              <w:jc w:val="center"/>
            </w:pPr>
          </w:p>
        </w:tc>
      </w:tr>
      <w:tr w14:paraId="0F2E13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7DF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E38E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823B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AF953">
            <w:pPr>
              <w:spacing w:before="0" w:after="0" w:line="240" w:lineRule="auto"/>
              <w:jc w:val="center"/>
            </w:pPr>
            <w:r>
              <w:rPr>
                <w:rFonts w:ascii="宋体" w:hAnsi="宋体" w:eastAsia="宋体" w:cs="宋体"/>
                <w:b w:val="0"/>
                <w:i w:val="0"/>
                <w:sz w:val="18"/>
              </w:rPr>
              <w:t>维修完成时间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69DB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F8D8D">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350B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36ED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C5A1B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0B8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8A5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13F1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FDB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626FB">
            <w:pPr>
              <w:spacing w:before="0" w:after="0" w:line="240" w:lineRule="auto"/>
              <w:jc w:val="center"/>
            </w:pPr>
          </w:p>
        </w:tc>
      </w:tr>
      <w:tr w14:paraId="0B470A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24AF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F0711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1562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B5F35">
            <w:pPr>
              <w:spacing w:before="0" w:after="0" w:line="240" w:lineRule="auto"/>
              <w:jc w:val="center"/>
            </w:pPr>
            <w:r>
              <w:rPr>
                <w:rFonts w:ascii="宋体" w:hAnsi="宋体" w:eastAsia="宋体" w:cs="宋体"/>
                <w:b w:val="0"/>
                <w:i w:val="0"/>
                <w:sz w:val="18"/>
              </w:rPr>
              <w:t>维修费用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19D1B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2CBEB">
            <w:pPr>
              <w:spacing w:before="0" w:after="0" w:line="240" w:lineRule="auto"/>
              <w:jc w:val="center"/>
            </w:pPr>
            <w:r>
              <w:rPr>
                <w:rFonts w:ascii="宋体" w:hAnsi="宋体" w:eastAsia="宋体" w:cs="宋体"/>
                <w:b w:val="0"/>
                <w:i w:val="0"/>
                <w:sz w:val="18"/>
              </w:rPr>
              <w:t>&lt;=17.4万元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AD54E">
            <w:pPr>
              <w:spacing w:before="0" w:after="0" w:line="240" w:lineRule="auto"/>
              <w:jc w:val="center"/>
            </w:pPr>
            <w:r>
              <w:rPr>
                <w:rFonts w:ascii="宋体" w:hAnsi="宋体" w:eastAsia="宋体" w:cs="宋体"/>
                <w:b w:val="0"/>
                <w:i w:val="0"/>
                <w:sz w:val="18"/>
              </w:rPr>
              <w:t>=16.23万元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166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EBFAD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70E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DCC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C82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1FF5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7FD0C">
            <w:pPr>
              <w:spacing w:before="0" w:after="0" w:line="240" w:lineRule="auto"/>
              <w:jc w:val="center"/>
            </w:pPr>
            <w:r>
              <w:rPr>
                <w:rFonts w:ascii="宋体" w:hAnsi="宋体" w:eastAsia="宋体" w:cs="宋体"/>
                <w:b w:val="0"/>
                <w:i w:val="0"/>
                <w:sz w:val="18"/>
              </w:rPr>
              <w:t>此项指标未完成，存在偏差，偏差率为6.72%，偏差原因为：该项目人员严格控制维修费用成本，导致实际支出较年初预算有一定的节余，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1.17万元</w:t>
            </w:r>
          </w:p>
        </w:tc>
      </w:tr>
      <w:tr w14:paraId="2E83CE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6E9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651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031C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F607C">
            <w:pPr>
              <w:spacing w:before="0" w:after="0" w:line="240" w:lineRule="auto"/>
              <w:jc w:val="center"/>
            </w:pPr>
            <w:r>
              <w:rPr>
                <w:rFonts w:ascii="宋体" w:hAnsi="宋体" w:eastAsia="宋体" w:cs="宋体"/>
                <w:b w:val="0"/>
                <w:i w:val="0"/>
                <w:sz w:val="18"/>
              </w:rPr>
              <w:t>前期费用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D827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B5833">
            <w:pPr>
              <w:spacing w:before="0" w:after="0" w:line="240" w:lineRule="auto"/>
              <w:jc w:val="center"/>
            </w:pPr>
            <w:r>
              <w:rPr>
                <w:rFonts w:ascii="宋体" w:hAnsi="宋体" w:eastAsia="宋体" w:cs="宋体"/>
                <w:b w:val="0"/>
                <w:i w:val="0"/>
                <w:sz w:val="18"/>
              </w:rPr>
              <w:t>&lt;=1.60万元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6E1F3">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46AEB">
            <w:pPr>
              <w:spacing w:before="0" w:after="0" w:line="240" w:lineRule="auto"/>
              <w:jc w:val="center"/>
            </w:pPr>
            <w:r>
              <w:rPr>
                <w:rFonts w:ascii="宋体" w:hAnsi="宋体" w:eastAsia="宋体" w:cs="宋体"/>
                <w:b w:val="0"/>
                <w:i w:val="0"/>
                <w:sz w:val="18"/>
              </w:rPr>
              <w:t>62.5%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91290">
            <w:pPr>
              <w:spacing w:before="0" w:after="0" w:line="240" w:lineRule="auto"/>
              <w:jc w:val="center"/>
            </w:pPr>
            <w:r>
              <w:rPr>
                <w:rFonts w:ascii="宋体" w:hAnsi="宋体" w:eastAsia="宋体" w:cs="宋体"/>
                <w:b w:val="0"/>
                <w:i w:val="0"/>
                <w:sz w:val="18"/>
              </w:rPr>
              <w:t>0.31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32B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D77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BD0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41A9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0392C">
            <w:pPr>
              <w:spacing w:before="0" w:after="0" w:line="240" w:lineRule="auto"/>
              <w:jc w:val="center"/>
            </w:pPr>
            <w:r>
              <w:rPr>
                <w:rFonts w:ascii="宋体" w:hAnsi="宋体" w:eastAsia="宋体" w:cs="宋体"/>
                <w:b w:val="0"/>
                <w:i w:val="0"/>
                <w:sz w:val="18"/>
              </w:rPr>
              <w:t>此项指标未完成，存在偏差，偏差率为37.5%，偏差原因为：本年度项目人员严格控制前期费用成本，导致实际支出较年初预算有一定的节余，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0.8万元。</w:t>
            </w:r>
          </w:p>
        </w:tc>
      </w:tr>
      <w:tr w14:paraId="20D864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4D49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2C67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7AFA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FF6A9">
            <w:pPr>
              <w:spacing w:before="0" w:after="0" w:line="240" w:lineRule="auto"/>
              <w:jc w:val="center"/>
            </w:pPr>
            <w:r>
              <w:rPr>
                <w:rFonts w:ascii="宋体" w:hAnsi="宋体" w:eastAsia="宋体" w:cs="宋体"/>
                <w:b w:val="0"/>
                <w:i w:val="0"/>
                <w:sz w:val="18"/>
              </w:rPr>
              <w:t>提高司法为民服务意识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A16E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04E9E">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4864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C97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DEF4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627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FFB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90F2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CE04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D0072">
            <w:pPr>
              <w:spacing w:before="0" w:after="0" w:line="240" w:lineRule="auto"/>
              <w:jc w:val="center"/>
            </w:pPr>
          </w:p>
        </w:tc>
      </w:tr>
      <w:tr w14:paraId="02DFDD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B26D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027D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474C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9603E">
            <w:pPr>
              <w:spacing w:before="0" w:after="0" w:line="240" w:lineRule="auto"/>
              <w:jc w:val="center"/>
            </w:pPr>
            <w:r>
              <w:rPr>
                <w:rFonts w:ascii="宋体" w:hAnsi="宋体" w:eastAsia="宋体" w:cs="宋体"/>
                <w:b w:val="0"/>
                <w:i w:val="0"/>
                <w:sz w:val="18"/>
              </w:rPr>
              <w:t>办公人员满意度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B4B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7521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0A460">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DE6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DEC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696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DDF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85EC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307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EAC7D">
            <w:pPr>
              <w:spacing w:before="0" w:after="0" w:line="240" w:lineRule="auto"/>
              <w:jc w:val="center"/>
            </w:pPr>
          </w:p>
        </w:tc>
      </w:tr>
      <w:tr w14:paraId="1A35FD2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01C75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CC1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6FF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D92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A02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E29FD">
            <w:pPr>
              <w:spacing w:before="0" w:after="0" w:line="240" w:lineRule="auto"/>
              <w:jc w:val="center"/>
            </w:pPr>
            <w:r>
              <w:rPr>
                <w:rFonts w:ascii="宋体" w:hAnsi="宋体" w:eastAsia="宋体" w:cs="宋体"/>
                <w:b w:val="0"/>
                <w:i w:val="0"/>
                <w:sz w:val="18"/>
              </w:rPr>
              <w:t>92.98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819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CDF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6EE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554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DF3FF">
            <w:pPr>
              <w:spacing w:before="0" w:after="0" w:line="240" w:lineRule="auto"/>
              <w:jc w:val="center"/>
            </w:pPr>
          </w:p>
        </w:tc>
      </w:tr>
    </w:tbl>
    <w:p w14:paraId="68A9312C">
      <w:r>
        <w:br w:type="page"/>
      </w:r>
    </w:p>
    <w:tbl>
      <w:tblPr>
        <w:tblStyle w:val="8"/>
        <w:tblW w:w="5000" w:type="pct"/>
        <w:tblInd w:w="0" w:type="dxa"/>
        <w:tblLayout w:type="autofit"/>
        <w:tblCellMar>
          <w:top w:w="36" w:type="dxa"/>
          <w:left w:w="36" w:type="dxa"/>
          <w:bottom w:w="36" w:type="dxa"/>
          <w:right w:w="36" w:type="dxa"/>
        </w:tblCellMar>
      </w:tblPr>
      <w:tblGrid>
        <w:gridCol w:w="530"/>
        <w:gridCol w:w="530"/>
        <w:gridCol w:w="531"/>
        <w:gridCol w:w="531"/>
        <w:gridCol w:w="593"/>
        <w:gridCol w:w="702"/>
        <w:gridCol w:w="612"/>
        <w:gridCol w:w="702"/>
        <w:gridCol w:w="593"/>
        <w:gridCol w:w="531"/>
        <w:gridCol w:w="564"/>
        <w:gridCol w:w="531"/>
        <w:gridCol w:w="564"/>
        <w:gridCol w:w="792"/>
      </w:tblGrid>
      <w:tr w14:paraId="2986932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D813B8">
            <w:pPr>
              <w:spacing w:before="0" w:after="0" w:line="240" w:lineRule="auto"/>
              <w:jc w:val="center"/>
            </w:pPr>
            <w:r>
              <w:rPr>
                <w:rFonts w:ascii="宋体" w:hAnsi="宋体" w:eastAsia="宋体" w:cs="宋体"/>
                <w:b/>
                <w:i w:val="0"/>
                <w:sz w:val="18"/>
              </w:rPr>
              <w:t>项目支出绩效自评表</w:t>
            </w:r>
          </w:p>
        </w:tc>
      </w:tr>
      <w:tr w14:paraId="534A5D8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66EFCB">
            <w:pPr>
              <w:spacing w:before="0" w:after="0" w:line="240" w:lineRule="auto"/>
              <w:jc w:val="center"/>
            </w:pPr>
            <w:r>
              <w:rPr>
                <w:rFonts w:ascii="宋体" w:hAnsi="宋体" w:eastAsia="宋体" w:cs="宋体"/>
                <w:b w:val="0"/>
                <w:i w:val="0"/>
                <w:sz w:val="18"/>
              </w:rPr>
              <w:t>(2025年度)</w:t>
            </w:r>
          </w:p>
        </w:tc>
      </w:tr>
      <w:tr w14:paraId="78C57C0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802A5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C285EED">
            <w:pPr>
              <w:spacing w:before="0" w:after="0" w:line="240" w:lineRule="auto"/>
              <w:jc w:val="center"/>
            </w:pPr>
            <w:r>
              <w:rPr>
                <w:rFonts w:ascii="宋体" w:hAnsi="宋体" w:eastAsia="宋体" w:cs="宋体"/>
                <w:b w:val="0"/>
                <w:i w:val="0"/>
                <w:sz w:val="18"/>
              </w:rPr>
              <w:t>机关运行补助经费</w:t>
            </w:r>
          </w:p>
        </w:tc>
      </w:tr>
      <w:tr w14:paraId="0E7038C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AB252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3465AB">
            <w:pPr>
              <w:spacing w:before="0" w:after="0" w:line="240" w:lineRule="auto"/>
              <w:jc w:val="center"/>
            </w:pPr>
            <w:r>
              <w:rPr>
                <w:rFonts w:ascii="宋体" w:hAnsi="宋体" w:eastAsia="宋体" w:cs="宋体"/>
                <w:b w:val="0"/>
                <w:i w:val="0"/>
                <w:sz w:val="18"/>
              </w:rPr>
              <w:t>呼图壁县人民法院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4CC56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0BFA460">
            <w:pPr>
              <w:spacing w:before="0" w:after="0" w:line="240" w:lineRule="auto"/>
              <w:jc w:val="center"/>
            </w:pPr>
            <w:r>
              <w:rPr>
                <w:rFonts w:ascii="宋体" w:hAnsi="宋体" w:eastAsia="宋体" w:cs="宋体"/>
                <w:b w:val="0"/>
                <w:i w:val="0"/>
                <w:sz w:val="18"/>
              </w:rPr>
              <w:t>呼图壁县人民法院</w:t>
            </w:r>
          </w:p>
        </w:tc>
      </w:tr>
      <w:tr w14:paraId="1BC6346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2283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8AF2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7A91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24E13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2E8EC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E5DA9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BDB59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9070D7">
            <w:pPr>
              <w:spacing w:before="0" w:after="0" w:line="240" w:lineRule="auto"/>
              <w:jc w:val="center"/>
            </w:pPr>
            <w:r>
              <w:rPr>
                <w:rFonts w:ascii="宋体" w:hAnsi="宋体" w:eastAsia="宋体" w:cs="宋体"/>
                <w:b/>
                <w:i w:val="0"/>
                <w:sz w:val="18"/>
              </w:rPr>
              <w:t>得分</w:t>
            </w:r>
          </w:p>
        </w:tc>
      </w:tr>
      <w:tr w14:paraId="7E8D43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1264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7C6B2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376C8">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0457BD">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A28D49">
            <w:pPr>
              <w:spacing w:before="0" w:after="0" w:line="240" w:lineRule="auto"/>
              <w:jc w:val="center"/>
            </w:pPr>
            <w:r>
              <w:rPr>
                <w:rFonts w:ascii="宋体" w:hAnsi="宋体" w:eastAsia="宋体" w:cs="宋体"/>
                <w:b w:val="0"/>
                <w:i w:val="0"/>
                <w:sz w:val="18"/>
              </w:rPr>
              <w:t>88.95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511CA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38CB96">
            <w:pPr>
              <w:spacing w:before="0" w:after="0" w:line="240" w:lineRule="auto"/>
              <w:jc w:val="center"/>
            </w:pPr>
            <w:r>
              <w:rPr>
                <w:rFonts w:ascii="宋体" w:hAnsi="宋体" w:eastAsia="宋体" w:cs="宋体"/>
                <w:b w:val="0"/>
                <w:i w:val="0"/>
                <w:sz w:val="18"/>
              </w:rPr>
              <w:t>98.83%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9D5AD">
            <w:pPr>
              <w:spacing w:before="0" w:after="0" w:line="240" w:lineRule="auto"/>
              <w:jc w:val="center"/>
            </w:pPr>
            <w:r>
              <w:rPr>
                <w:rFonts w:ascii="宋体" w:hAnsi="宋体" w:eastAsia="宋体" w:cs="宋体"/>
                <w:b w:val="0"/>
                <w:i w:val="0"/>
                <w:sz w:val="18"/>
              </w:rPr>
              <w:t>10</w:t>
            </w:r>
          </w:p>
        </w:tc>
      </w:tr>
      <w:tr w14:paraId="7004CE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37DF1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2842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E847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E0E27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70DF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097B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8132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25B2C">
            <w:pPr>
              <w:spacing w:before="0" w:after="0" w:line="240" w:lineRule="auto"/>
              <w:jc w:val="center"/>
            </w:pPr>
            <w:r>
              <w:rPr>
                <w:rFonts w:ascii="宋体" w:hAnsi="宋体" w:eastAsia="宋体" w:cs="宋体"/>
                <w:b w:val="0"/>
                <w:i w:val="0"/>
                <w:sz w:val="18"/>
              </w:rPr>
              <w:t>—</w:t>
            </w:r>
          </w:p>
        </w:tc>
      </w:tr>
      <w:tr w14:paraId="21DA30D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DAFA8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4D09E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8BE43">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66CE47">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0CE234">
            <w:pPr>
              <w:spacing w:before="0" w:after="0" w:line="240" w:lineRule="auto"/>
              <w:jc w:val="center"/>
            </w:pPr>
            <w:r>
              <w:rPr>
                <w:rFonts w:ascii="宋体" w:hAnsi="宋体" w:eastAsia="宋体" w:cs="宋体"/>
                <w:b w:val="0"/>
                <w:i w:val="0"/>
                <w:sz w:val="18"/>
              </w:rPr>
              <w:t>88.95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29DB7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EA13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4C1A64">
            <w:pPr>
              <w:spacing w:before="0" w:after="0" w:line="240" w:lineRule="auto"/>
              <w:jc w:val="center"/>
            </w:pPr>
            <w:r>
              <w:rPr>
                <w:rFonts w:ascii="宋体" w:hAnsi="宋体" w:eastAsia="宋体" w:cs="宋体"/>
                <w:b w:val="0"/>
                <w:i w:val="0"/>
                <w:sz w:val="18"/>
              </w:rPr>
              <w:t>—</w:t>
            </w:r>
          </w:p>
        </w:tc>
      </w:tr>
      <w:tr w14:paraId="26F7CDF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A5165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75E7B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94FD528">
            <w:pPr>
              <w:spacing w:before="0" w:after="0" w:line="240" w:lineRule="auto"/>
              <w:jc w:val="center"/>
            </w:pPr>
            <w:r>
              <w:rPr>
                <w:rFonts w:ascii="宋体" w:hAnsi="宋体" w:eastAsia="宋体" w:cs="宋体"/>
                <w:b/>
                <w:i w:val="0"/>
                <w:sz w:val="18"/>
              </w:rPr>
              <w:t>实际完成情况</w:t>
            </w:r>
          </w:p>
        </w:tc>
      </w:tr>
      <w:tr w14:paraId="726FEF8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4F20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F8EAAD0">
            <w:pPr>
              <w:spacing w:before="0" w:after="0" w:line="240" w:lineRule="auto"/>
              <w:jc w:val="center"/>
            </w:pPr>
            <w:r>
              <w:rPr>
                <w:rFonts w:ascii="宋体" w:hAnsi="宋体" w:eastAsia="宋体" w:cs="宋体"/>
                <w:b w:val="0"/>
                <w:i w:val="0"/>
                <w:sz w:val="18"/>
              </w:rPr>
              <w:t>呼图壁县人民法院机关运行补助经费90万元，主要用于补充法院办公经费，培训费、其他商品和服务支出、委托业务费、维修费用等支出。保障我院超过68人的正常办公需求，保障参加培训人数超过40人次的法官学院培训，保障我院对老旧法庭维修改造的政府采购率和验收合格率达到100%，保障维修老旧法庭费用不超过18.6万元，委托第三方开展设计等费用不超过10万元，干警外出培训费用不超过8万元，保障运转的办公经费不超过23.4万元，文化建设的版面设计等其他商品和服务支出费用不超过30万元。该项目的实施保障我院各项工作正常开展，有效提升干警的业务能力，提升我院的服务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9C8C506">
            <w:pPr>
              <w:spacing w:before="0" w:after="0" w:line="240" w:lineRule="auto"/>
              <w:jc w:val="center"/>
            </w:pPr>
            <w:r>
              <w:rPr>
                <w:rFonts w:ascii="宋体" w:hAnsi="宋体" w:eastAsia="宋体" w:cs="宋体"/>
                <w:b w:val="0"/>
                <w:i w:val="0"/>
                <w:sz w:val="18"/>
              </w:rPr>
              <w:t>截至2025年12月31日，本项目支出资金88.95万元，资金执行率98.83%，本项目实际保障办公人员73人，保障了干警参加42次培训，完成了大丰法庭文化建设项目。通过本项目的实施，保障了我院单位机关正常运行，优化基层院的工作环境和设施条件，加强了对干警的尊重和关怀，有效提升了干警的业务能力，提高了工作效率，促进了持续提高为人民群众提供有效的公共法律服务水平。</w:t>
            </w:r>
          </w:p>
        </w:tc>
      </w:tr>
      <w:tr w14:paraId="64DF4B5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DB239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7632D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C6E3B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AA29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13689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95FDE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DA126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AFDF9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919B2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DABE6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85CF0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81082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A3BDA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CE8A29">
            <w:pPr>
              <w:keepNext/>
              <w:spacing w:before="0" w:after="0" w:line="240" w:lineRule="auto"/>
              <w:jc w:val="center"/>
            </w:pPr>
            <w:r>
              <w:rPr>
                <w:rFonts w:ascii="宋体" w:hAnsi="宋体" w:eastAsia="宋体" w:cs="宋体"/>
                <w:b/>
                <w:i w:val="0"/>
                <w:sz w:val="18"/>
              </w:rPr>
              <w:t>偏差原因分析及改进措施</w:t>
            </w:r>
          </w:p>
        </w:tc>
      </w:tr>
      <w:tr w14:paraId="11B037B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73D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67AC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97F8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13F0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32E7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701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2B67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7510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8A5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FCA5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15E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436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5125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13D43"/>
        </w:tc>
      </w:tr>
      <w:tr w14:paraId="64933C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D467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CD3C6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DBBD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13920">
            <w:pPr>
              <w:spacing w:before="0" w:after="0" w:line="240" w:lineRule="auto"/>
              <w:jc w:val="center"/>
            </w:pPr>
            <w:r>
              <w:rPr>
                <w:rFonts w:ascii="宋体" w:hAnsi="宋体" w:eastAsia="宋体" w:cs="宋体"/>
                <w:b w:val="0"/>
                <w:i w:val="0"/>
                <w:sz w:val="18"/>
              </w:rPr>
              <w:t>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FA3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BA30E">
            <w:pPr>
              <w:spacing w:before="0" w:after="0" w:line="240" w:lineRule="auto"/>
              <w:jc w:val="center"/>
            </w:pPr>
            <w:r>
              <w:rPr>
                <w:rFonts w:ascii="宋体" w:hAnsi="宋体" w:eastAsia="宋体" w:cs="宋体"/>
                <w:b w:val="0"/>
                <w:i w:val="0"/>
                <w:sz w:val="18"/>
              </w:rPr>
              <w:t>&gt;=40人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81B57">
            <w:pPr>
              <w:spacing w:before="0" w:after="0" w:line="240" w:lineRule="auto"/>
              <w:jc w:val="center"/>
            </w:pPr>
            <w:r>
              <w:rPr>
                <w:rFonts w:ascii="宋体" w:hAnsi="宋体" w:eastAsia="宋体" w:cs="宋体"/>
                <w:b w:val="0"/>
                <w:i w:val="0"/>
                <w:sz w:val="18"/>
              </w:rPr>
              <w:t>=42人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326F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046C00">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55D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9A210">
            <w:pPr>
              <w:spacing w:before="0" w:after="0" w:line="240" w:lineRule="auto"/>
              <w:jc w:val="center"/>
            </w:pPr>
            <w:r>
              <w:rPr>
                <w:rFonts w:ascii="宋体" w:hAnsi="宋体" w:eastAsia="宋体" w:cs="宋体"/>
                <w:b w:val="0"/>
                <w:i w:val="0"/>
                <w:sz w:val="18"/>
              </w:rPr>
              <w:t>23人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DA9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56F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15B9A">
            <w:pPr>
              <w:spacing w:before="0" w:after="0" w:line="240" w:lineRule="auto"/>
              <w:jc w:val="center"/>
            </w:pPr>
            <w:r>
              <w:rPr>
                <w:rFonts w:ascii="宋体" w:hAnsi="宋体" w:eastAsia="宋体" w:cs="宋体"/>
                <w:b w:val="0"/>
                <w:i w:val="0"/>
                <w:sz w:val="18"/>
              </w:rPr>
              <w:t>此项指标已完成，存在偏差，偏差率为-5%，偏差原因为：我单位在前期设定培训人数指标时，为确保项目产出的安全性和底线思维，设定了≥40人的保守目标值，故与实际完成值产生偏差；下一年度改进措施：总结本次项目的成功经验，在编制下一年度绩效目标时，结合实际执行能力，将满意度目标值适当上调，以此倒逼服务质量持续提升。</w:t>
            </w:r>
          </w:p>
        </w:tc>
      </w:tr>
      <w:tr w14:paraId="545D2C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D75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F52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B804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4B562">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AE0C5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7C591">
            <w:pPr>
              <w:spacing w:before="0" w:after="0" w:line="240" w:lineRule="auto"/>
              <w:jc w:val="center"/>
            </w:pPr>
            <w:r>
              <w:rPr>
                <w:rFonts w:ascii="宋体" w:hAnsi="宋体" w:eastAsia="宋体" w:cs="宋体"/>
                <w:b w:val="0"/>
                <w:i w:val="0"/>
                <w:sz w:val="18"/>
              </w:rPr>
              <w:t>&gt;=68人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195C0">
            <w:pPr>
              <w:spacing w:before="0" w:after="0" w:line="240" w:lineRule="auto"/>
              <w:jc w:val="center"/>
            </w:pPr>
            <w:r>
              <w:rPr>
                <w:rFonts w:ascii="宋体" w:hAnsi="宋体" w:eastAsia="宋体" w:cs="宋体"/>
                <w:b w:val="0"/>
                <w:i w:val="0"/>
                <w:sz w:val="18"/>
              </w:rPr>
              <w:t>=73人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9F0C4">
            <w:pPr>
              <w:spacing w:before="0" w:after="0" w:line="240" w:lineRule="auto"/>
              <w:jc w:val="center"/>
            </w:pPr>
            <w:r>
              <w:rPr>
                <w:rFonts w:ascii="宋体" w:hAnsi="宋体" w:eastAsia="宋体" w:cs="宋体"/>
                <w:b w:val="0"/>
                <w:i w:val="0"/>
                <w:sz w:val="18"/>
              </w:rPr>
              <w:t>107.35%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5E634">
            <w:pPr>
              <w:spacing w:before="0" w:after="0" w:line="240" w:lineRule="auto"/>
              <w:jc w:val="center"/>
            </w:pPr>
            <w:r>
              <w:rPr>
                <w:rFonts w:ascii="宋体" w:hAnsi="宋体" w:eastAsia="宋体" w:cs="宋体"/>
                <w:b w:val="0"/>
                <w:i w:val="0"/>
                <w:sz w:val="18"/>
              </w:rPr>
              <w:t>7.41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94F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4DF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D8C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9294A">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E3122">
            <w:pPr>
              <w:spacing w:before="0" w:after="0" w:line="240" w:lineRule="auto"/>
              <w:jc w:val="center"/>
            </w:pPr>
            <w:r>
              <w:rPr>
                <w:rFonts w:ascii="宋体" w:hAnsi="宋体" w:eastAsia="宋体" w:cs="宋体"/>
                <w:b w:val="0"/>
                <w:i w:val="0"/>
                <w:sz w:val="18"/>
              </w:rPr>
              <w:t>此项指标已完成，存在偏差，偏差率为-7.35%，偏差原因为：我单位在前期设定培训人数指标时，为确保项目产出的安全性和底线思维，设定了≥68人的保守目标值，故与实际完成值产生偏差；下一年度改进措施：总结本次项目的成功经验，在编制下一年度绩效目标时，结合实际执行能力，将满意度目标值适当上调，以此倒逼服务质量持续提升。</w:t>
            </w:r>
          </w:p>
        </w:tc>
      </w:tr>
      <w:tr w14:paraId="5FE6A7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A05C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74C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8E99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9FBFD">
            <w:pPr>
              <w:spacing w:before="0" w:after="0" w:line="240" w:lineRule="auto"/>
              <w:jc w:val="center"/>
            </w:pPr>
            <w:r>
              <w:rPr>
                <w:rFonts w:ascii="宋体" w:hAnsi="宋体" w:eastAsia="宋体" w:cs="宋体"/>
                <w:b w:val="0"/>
                <w:i w:val="0"/>
                <w:sz w:val="18"/>
              </w:rPr>
              <w:t>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BF41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746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FCD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5BB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F98B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84A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DFC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A62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C4E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1F6A6">
            <w:pPr>
              <w:spacing w:before="0" w:after="0" w:line="240" w:lineRule="auto"/>
              <w:jc w:val="center"/>
            </w:pPr>
          </w:p>
        </w:tc>
      </w:tr>
      <w:tr w14:paraId="50EE3F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0EF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E8BE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A82D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B3263">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B09F7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420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88C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19F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3A37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A8D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938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926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02A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A01D1">
            <w:pPr>
              <w:spacing w:before="0" w:after="0" w:line="240" w:lineRule="auto"/>
              <w:jc w:val="center"/>
            </w:pPr>
          </w:p>
        </w:tc>
      </w:tr>
      <w:tr w14:paraId="7136F2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0CB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C44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E8D4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2A63F">
            <w:pPr>
              <w:spacing w:before="0" w:after="0" w:line="240" w:lineRule="auto"/>
              <w:jc w:val="center"/>
            </w:pPr>
            <w:r>
              <w:rPr>
                <w:rFonts w:ascii="宋体" w:hAnsi="宋体" w:eastAsia="宋体" w:cs="宋体"/>
                <w:b w:val="0"/>
                <w:i w:val="0"/>
                <w:sz w:val="18"/>
              </w:rPr>
              <w:t>经费支出及时率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5277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6C2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61C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E87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0E9AF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4D0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2DF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AD8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511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0AA83">
            <w:pPr>
              <w:spacing w:before="0" w:after="0" w:line="240" w:lineRule="auto"/>
              <w:jc w:val="center"/>
            </w:pPr>
          </w:p>
        </w:tc>
      </w:tr>
      <w:tr w14:paraId="5D786D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61B93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226EB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2E07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4277F">
            <w:pPr>
              <w:spacing w:before="0" w:after="0" w:line="240" w:lineRule="auto"/>
              <w:jc w:val="center"/>
            </w:pPr>
            <w:r>
              <w:rPr>
                <w:rFonts w:ascii="宋体" w:hAnsi="宋体" w:eastAsia="宋体" w:cs="宋体"/>
                <w:b w:val="0"/>
                <w:i w:val="0"/>
                <w:sz w:val="18"/>
              </w:rPr>
              <w:t>维修费用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D853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886A4">
            <w:pPr>
              <w:spacing w:before="0" w:after="0" w:line="240" w:lineRule="auto"/>
              <w:jc w:val="center"/>
            </w:pPr>
            <w:r>
              <w:rPr>
                <w:rFonts w:ascii="宋体" w:hAnsi="宋体" w:eastAsia="宋体" w:cs="宋体"/>
                <w:b w:val="0"/>
                <w:i w:val="0"/>
                <w:sz w:val="18"/>
              </w:rPr>
              <w:t>&lt;=18.6万元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B1CE0">
            <w:pPr>
              <w:spacing w:before="0" w:after="0" w:line="240" w:lineRule="auto"/>
              <w:jc w:val="center"/>
            </w:pPr>
            <w:r>
              <w:rPr>
                <w:rFonts w:ascii="宋体" w:hAnsi="宋体" w:eastAsia="宋体" w:cs="宋体"/>
                <w:b w:val="0"/>
                <w:i w:val="0"/>
                <w:sz w:val="18"/>
              </w:rPr>
              <w:t>=18.6万元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F12E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44FF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5A1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54A45">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CB0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7FF41">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162BB">
            <w:pPr>
              <w:spacing w:before="0" w:after="0" w:line="240" w:lineRule="auto"/>
              <w:jc w:val="center"/>
            </w:pPr>
          </w:p>
        </w:tc>
      </w:tr>
      <w:tr w14:paraId="4C59C6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DA1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CF2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D252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9F889">
            <w:pPr>
              <w:spacing w:before="0" w:after="0" w:line="240" w:lineRule="auto"/>
              <w:jc w:val="center"/>
            </w:pPr>
            <w:r>
              <w:rPr>
                <w:rFonts w:ascii="宋体" w:hAnsi="宋体" w:eastAsia="宋体" w:cs="宋体"/>
                <w:b w:val="0"/>
                <w:i w:val="0"/>
                <w:sz w:val="18"/>
              </w:rPr>
              <w:t>法院文化打造费用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8A4F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275AE">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EE97D">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740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ACBF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311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EC2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E2B6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F4223">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792EA">
            <w:pPr>
              <w:spacing w:before="0" w:after="0" w:line="240" w:lineRule="auto"/>
              <w:jc w:val="center"/>
            </w:pPr>
          </w:p>
        </w:tc>
      </w:tr>
      <w:tr w14:paraId="1A9D1D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E38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728E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5832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AAF93">
            <w:pPr>
              <w:spacing w:before="0" w:after="0" w:line="240" w:lineRule="auto"/>
              <w:jc w:val="center"/>
            </w:pPr>
            <w:r>
              <w:rPr>
                <w:rFonts w:ascii="宋体" w:hAnsi="宋体" w:eastAsia="宋体" w:cs="宋体"/>
                <w:b w:val="0"/>
                <w:i w:val="0"/>
                <w:sz w:val="18"/>
              </w:rPr>
              <w:t>委托业务费用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169C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CCDB2">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FFB5F">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015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9D06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6D8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8E2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696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912D5">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82B78">
            <w:pPr>
              <w:spacing w:before="0" w:after="0" w:line="240" w:lineRule="auto"/>
              <w:jc w:val="center"/>
            </w:pPr>
          </w:p>
        </w:tc>
      </w:tr>
      <w:tr w14:paraId="28FFCD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FC11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88C2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4654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7D775">
            <w:pPr>
              <w:spacing w:before="0" w:after="0" w:line="240" w:lineRule="auto"/>
              <w:jc w:val="center"/>
            </w:pPr>
            <w:r>
              <w:rPr>
                <w:rFonts w:ascii="宋体" w:hAnsi="宋体" w:eastAsia="宋体" w:cs="宋体"/>
                <w:b w:val="0"/>
                <w:i w:val="0"/>
                <w:sz w:val="18"/>
              </w:rPr>
              <w:t>培训费用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11444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088C3">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92CED">
            <w:pPr>
              <w:spacing w:before="0" w:after="0" w:line="240" w:lineRule="auto"/>
              <w:jc w:val="center"/>
            </w:pPr>
            <w:r>
              <w:rPr>
                <w:rFonts w:ascii="宋体" w:hAnsi="宋体" w:eastAsia="宋体" w:cs="宋体"/>
                <w:b w:val="0"/>
                <w:i w:val="0"/>
                <w:sz w:val="18"/>
              </w:rPr>
              <w:t>=7.93万元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150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FA6A8">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6C8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9916A">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207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F1B76">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B2091">
            <w:pPr>
              <w:spacing w:before="0" w:after="0" w:line="240" w:lineRule="auto"/>
              <w:jc w:val="center"/>
            </w:pPr>
            <w:r>
              <w:rPr>
                <w:rFonts w:ascii="宋体" w:hAnsi="宋体" w:eastAsia="宋体" w:cs="宋体"/>
                <w:b w:val="0"/>
                <w:i w:val="0"/>
                <w:sz w:val="18"/>
              </w:rPr>
              <w:t>此项指标未完成，存在偏差，偏差率为0.87%，偏差原因为：项目人员严格控制培训费开支，导致实际支出较年初预算有一定的节余，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0.07万元；下一年度改进措施：提高预算编制准确性，确保后续各类项目严格按照预算进行支出。</w:t>
            </w:r>
          </w:p>
        </w:tc>
      </w:tr>
      <w:tr w14:paraId="39D007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C38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3FE5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DB64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1E229">
            <w:pPr>
              <w:spacing w:before="0" w:after="0" w:line="240" w:lineRule="auto"/>
              <w:jc w:val="center"/>
            </w:pPr>
            <w:r>
              <w:rPr>
                <w:rFonts w:ascii="宋体" w:hAnsi="宋体" w:eastAsia="宋体" w:cs="宋体"/>
                <w:b w:val="0"/>
                <w:i w:val="0"/>
                <w:sz w:val="18"/>
              </w:rPr>
              <w:t>办公费用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3B45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5DB53">
            <w:pPr>
              <w:spacing w:before="0" w:after="0" w:line="240" w:lineRule="auto"/>
              <w:jc w:val="center"/>
            </w:pPr>
            <w:r>
              <w:rPr>
                <w:rFonts w:ascii="宋体" w:hAnsi="宋体" w:eastAsia="宋体" w:cs="宋体"/>
                <w:b w:val="0"/>
                <w:i w:val="0"/>
                <w:sz w:val="18"/>
              </w:rPr>
              <w:t>&lt;=23.40万元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1CA95">
            <w:pPr>
              <w:spacing w:before="0" w:after="0" w:line="240" w:lineRule="auto"/>
              <w:jc w:val="center"/>
            </w:pPr>
            <w:r>
              <w:rPr>
                <w:rFonts w:ascii="宋体" w:hAnsi="宋体" w:eastAsia="宋体" w:cs="宋体"/>
                <w:b w:val="0"/>
                <w:i w:val="0"/>
                <w:sz w:val="18"/>
              </w:rPr>
              <w:t>=22.42万元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526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354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5F7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EC3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F6D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A5E07">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03FC6">
            <w:pPr>
              <w:spacing w:before="0" w:after="0" w:line="240" w:lineRule="auto"/>
              <w:jc w:val="center"/>
            </w:pPr>
            <w:r>
              <w:rPr>
                <w:rFonts w:ascii="宋体" w:hAnsi="宋体" w:eastAsia="宋体" w:cs="宋体"/>
                <w:b w:val="0"/>
                <w:i w:val="0"/>
                <w:sz w:val="18"/>
              </w:rPr>
              <w:t>此项指标未完成，存在偏差，偏差率为4.19%，偏差原因为：项目人员严格控制办公费开支，导致实际支出较年初预算有一定的节余，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0.98万元；下一年度改进措施：提高预算编制准确性，确保后续各类项目严格按照预算进行支出。</w:t>
            </w:r>
          </w:p>
        </w:tc>
      </w:tr>
      <w:tr w14:paraId="0DBA45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EFA3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17AB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4028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113E7">
            <w:pPr>
              <w:spacing w:before="0" w:after="0" w:line="240" w:lineRule="auto"/>
              <w:jc w:val="center"/>
            </w:pPr>
            <w:r>
              <w:rPr>
                <w:rFonts w:ascii="宋体" w:hAnsi="宋体" w:eastAsia="宋体" w:cs="宋体"/>
                <w:b w:val="0"/>
                <w:i w:val="0"/>
                <w:sz w:val="18"/>
              </w:rPr>
              <w:t>司法为民意识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89AC0">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919B4">
            <w:pPr>
              <w:spacing w:before="0" w:after="0" w:line="240" w:lineRule="auto"/>
              <w:jc w:val="center"/>
            </w:pPr>
            <w:r>
              <w:rPr>
                <w:rFonts w:ascii="宋体" w:hAnsi="宋体" w:eastAsia="宋体" w:cs="宋体"/>
                <w:b w:val="0"/>
                <w:i w:val="0"/>
                <w:sz w:val="18"/>
              </w:rPr>
              <w:t>稳步提高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B737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CB1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BF52C1">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2DD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4C8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5214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801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F8A9A">
            <w:pPr>
              <w:spacing w:before="0" w:after="0" w:line="240" w:lineRule="auto"/>
              <w:jc w:val="center"/>
            </w:pPr>
          </w:p>
        </w:tc>
      </w:tr>
      <w:tr w14:paraId="7192388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850575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4B6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2DA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343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4D0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F74AD">
            <w:pPr>
              <w:spacing w:before="0" w:after="0" w:line="240" w:lineRule="auto"/>
              <w:jc w:val="center"/>
            </w:pPr>
            <w:r>
              <w:rPr>
                <w:rFonts w:ascii="宋体" w:hAnsi="宋体" w:eastAsia="宋体" w:cs="宋体"/>
                <w:b w:val="0"/>
                <w:i w:val="0"/>
                <w:sz w:val="18"/>
              </w:rPr>
              <w:t>98.88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533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BA8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65D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B46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9F82C">
            <w:pPr>
              <w:spacing w:before="0" w:after="0" w:line="240" w:lineRule="auto"/>
              <w:jc w:val="center"/>
            </w:pPr>
          </w:p>
        </w:tc>
      </w:tr>
    </w:tbl>
    <w:p w14:paraId="387D6DFF">
      <w:r>
        <w:br w:type="page"/>
      </w:r>
    </w:p>
    <w:p w14:paraId="6C4512DB">
      <w:pPr>
        <w:sectPr>
          <w:type w:val="continuous"/>
          <w:pgSz w:w="11906" w:h="16838"/>
          <w:pgMar w:top="1440" w:right="1800" w:bottom="1440" w:left="1800" w:header="851" w:footer="992" w:gutter="0"/>
          <w:cols w:space="720" w:num="1"/>
          <w:docGrid w:type="lines" w:linePitch="312" w:charSpace="0"/>
        </w:sectPr>
      </w:pPr>
    </w:p>
    <w:p w14:paraId="4A889656">
      <w:pPr>
        <w:spacing w:line="640" w:lineRule="exact"/>
        <w:ind w:firstLine="640"/>
        <w:jc w:val="both"/>
        <w:outlineLvl w:val="2"/>
      </w:pPr>
      <w:r>
        <w:rPr>
          <w:rFonts w:ascii="黑体" w:hAnsi="黑体" w:eastAsia="黑体"/>
          <w:sz w:val="32"/>
        </w:rPr>
        <w:t>十二、其他需说明的事项</w:t>
      </w:r>
    </w:p>
    <w:p w14:paraId="55952678">
      <w:pPr>
        <w:spacing w:line="580" w:lineRule="exact"/>
        <w:ind w:firstLine="640"/>
        <w:jc w:val="both"/>
      </w:pPr>
      <w:r>
        <w:rPr>
          <w:rFonts w:ascii="仿宋_GB2312" w:hAnsi="仿宋_GB2312" w:eastAsia="仿宋_GB2312"/>
          <w:b w:val="0"/>
          <w:sz w:val="32"/>
        </w:rPr>
        <w:t>本年本单位其他项目2个，全年预算数478.00万元，全年执行数478.00万元。</w:t>
      </w:r>
    </w:p>
    <w:p w14:paraId="1D06F345">
      <w:r>
        <w:br w:type="page"/>
      </w:r>
    </w:p>
    <w:p w14:paraId="5F10231B">
      <w:pPr>
        <w:spacing w:line="600" w:lineRule="exact"/>
        <w:jc w:val="center"/>
        <w:outlineLvl w:val="0"/>
      </w:pPr>
      <w:r>
        <w:rPr>
          <w:rFonts w:ascii="黑体" w:hAnsi="黑体" w:eastAsia="黑体"/>
          <w:sz w:val="32"/>
        </w:rPr>
        <w:t>第三部分 专业名词解释</w:t>
      </w:r>
    </w:p>
    <w:p w14:paraId="7A00B137">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A312AC5">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7F0CB2A0">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2F750469">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72A8D8F">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3382CD12">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3794CB5">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CB1ED2E">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E4E9091">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409E79C">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230586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683EC4E">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3230E5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2B9264B">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64FD275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3A4317AA">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4AC9456B">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76A5DB1">
      <w:r>
        <w:br w:type="page"/>
      </w:r>
    </w:p>
    <w:p w14:paraId="7B4574B1">
      <w:pPr>
        <w:spacing w:line="240" w:lineRule="auto"/>
        <w:jc w:val="center"/>
        <w:outlineLvl w:val="1"/>
      </w:pPr>
      <w:r>
        <w:rPr>
          <w:rFonts w:ascii="黑体" w:hAnsi="黑体" w:eastAsia="黑体"/>
          <w:sz w:val="32"/>
        </w:rPr>
        <w:t>第四部分 部门决算报表（见附表）</w:t>
      </w:r>
    </w:p>
    <w:p w14:paraId="7CC3AB30">
      <w:pPr>
        <w:autoSpaceDE w:val="0"/>
        <w:autoSpaceDN w:val="0"/>
        <w:spacing w:line="600" w:lineRule="exact"/>
        <w:ind w:firstLine="640" w:firstLineChars="200"/>
      </w:pPr>
      <w:r>
        <w:rPr>
          <w:rFonts w:ascii="仿宋_GB2312" w:hAnsi="仿宋_GB2312" w:eastAsia="仿宋_GB2312"/>
          <w:b w:val="0"/>
          <w:sz w:val="32"/>
        </w:rPr>
        <w:t>一、《收入支出决算总表》</w:t>
      </w:r>
    </w:p>
    <w:p w14:paraId="32E5E1FD">
      <w:pPr>
        <w:autoSpaceDE w:val="0"/>
        <w:autoSpaceDN w:val="0"/>
        <w:spacing w:line="600" w:lineRule="exact"/>
        <w:ind w:firstLine="640" w:firstLineChars="200"/>
      </w:pPr>
      <w:r>
        <w:rPr>
          <w:rFonts w:ascii="仿宋_GB2312" w:hAnsi="仿宋_GB2312" w:eastAsia="仿宋_GB2312"/>
          <w:b w:val="0"/>
          <w:sz w:val="32"/>
        </w:rPr>
        <w:t>二、《收入决算表》</w:t>
      </w:r>
    </w:p>
    <w:p w14:paraId="2CB125E7">
      <w:pPr>
        <w:autoSpaceDE w:val="0"/>
        <w:autoSpaceDN w:val="0"/>
        <w:spacing w:line="600" w:lineRule="exact"/>
        <w:ind w:firstLine="640" w:firstLineChars="200"/>
      </w:pPr>
      <w:r>
        <w:rPr>
          <w:rFonts w:ascii="仿宋_GB2312" w:hAnsi="仿宋_GB2312" w:eastAsia="仿宋_GB2312"/>
          <w:b w:val="0"/>
          <w:sz w:val="32"/>
        </w:rPr>
        <w:t>三、《支出决算表》</w:t>
      </w:r>
    </w:p>
    <w:p w14:paraId="5F3273D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5B8F346">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2E1C67D">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654C59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7E2626F">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979FA3F">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6E22AD9">
      <w:pPr>
        <w:autoSpaceDE w:val="0"/>
        <w:autoSpaceDN w:val="0"/>
        <w:spacing w:line="600" w:lineRule="exact"/>
        <w:ind w:firstLine="640" w:firstLineChars="200"/>
      </w:pPr>
    </w:p>
    <w:p w14:paraId="67D2B0EF">
      <w:pPr>
        <w:autoSpaceDE w:val="0"/>
        <w:autoSpaceDN w:val="0"/>
        <w:spacing w:line="600" w:lineRule="exact"/>
        <w:ind w:firstLine="640" w:firstLineChars="200"/>
      </w:pPr>
    </w:p>
    <w:p w14:paraId="45899DCD">
      <w:pPr>
        <w:autoSpaceDE w:val="0"/>
        <w:autoSpaceDN w:val="0"/>
        <w:spacing w:line="600" w:lineRule="exact"/>
        <w:ind w:firstLine="640" w:firstLineChars="200"/>
      </w:pPr>
    </w:p>
    <w:p w14:paraId="0E90C59E">
      <w:pPr>
        <w:autoSpaceDE w:val="0"/>
        <w:autoSpaceDN w:val="0"/>
        <w:spacing w:line="600" w:lineRule="exact"/>
        <w:ind w:firstLine="640" w:firstLineChars="200"/>
      </w:pPr>
    </w:p>
    <w:p w14:paraId="2C14B0CD">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A47664-11C0-4E3F-991B-04F734A5AC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34B502CF-B7CD-4599-B263-74CDDEA50AC6}"/>
  </w:font>
  <w:font w:name="仿宋_GB2312">
    <w:panose1 w:val="02010609030101010101"/>
    <w:charset w:val="86"/>
    <w:family w:val="modern"/>
    <w:pitch w:val="default"/>
    <w:sig w:usb0="00000001" w:usb1="080E0000" w:usb2="00000000" w:usb3="00000000" w:csb0="00040000" w:csb1="00000000"/>
    <w:embedRegular r:id="rId3" w:fontKey="{E5AD250D-84C4-4F7C-950A-63BD47EA2834}"/>
  </w:font>
  <w:font w:name="楷体_GB2312">
    <w:panose1 w:val="02010609030101010101"/>
    <w:charset w:val="86"/>
    <w:family w:val="auto"/>
    <w:pitch w:val="default"/>
    <w:sig w:usb0="00000001" w:usb1="080E0000" w:usb2="00000000" w:usb3="00000000" w:csb0="00040000" w:csb1="00000000"/>
    <w:embedRegular r:id="rId4" w:fontKey="{3AF5BD05-8165-4556-B1BA-33CAAAD26F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2D67BE1"/>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21</Words>
  <Characters>24</Characters>
  <Lines>10</Lines>
  <Paragraphs>2</Paragraphs>
  <TotalTime>7</TotalTime>
  <ScaleCrop>false</ScaleCrop>
  <LinksUpToDate>false</LinksUpToDate>
  <CharactersWithSpaces>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2026-10-15T10:51:19Z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