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阜康市人民检察院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7A3B3C5">
      <w:r>
        <w:br w:type="page"/>
      </w:r>
    </w:p>
    <w:p w14:paraId="64FA1B45">
      <w:pPr>
        <w:spacing w:line="640" w:lineRule="exact"/>
        <w:jc w:val="center"/>
        <w:outlineLvl w:val="1"/>
      </w:pPr>
      <w:r>
        <w:rPr>
          <w:rFonts w:ascii="黑体" w:hAnsi="黑体" w:eastAsia="黑体"/>
          <w:sz w:val="32"/>
        </w:rPr>
        <w:t>第一部分 单位概况</w:t>
      </w:r>
    </w:p>
    <w:p w14:paraId="05A08FDF">
      <w:pPr>
        <w:spacing w:line="640" w:lineRule="exact"/>
        <w:ind w:firstLine="640"/>
        <w:jc w:val="both"/>
        <w:outlineLvl w:val="2"/>
      </w:pPr>
      <w:r>
        <w:rPr>
          <w:rFonts w:ascii="黑体" w:hAnsi="黑体" w:eastAsia="黑体"/>
          <w:sz w:val="32"/>
        </w:rPr>
        <w:t>一、主要职能</w:t>
      </w:r>
    </w:p>
    <w:p w14:paraId="61550D04">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长治久安总目标，统一全院检察人员思想和行动，坚持党对检察工作的绝对领导，坚决维护习近平总书记的核心地位，坚决维护党中央权威和集中统一领导。</w:t>
      </w:r>
    </w:p>
    <w:p w14:paraId="05098AF3">
      <w:pPr>
        <w:spacing w:line="580" w:lineRule="exact"/>
        <w:ind w:firstLine="640"/>
        <w:jc w:val="both"/>
      </w:pPr>
      <w:r>
        <w:rPr>
          <w:rFonts w:ascii="仿宋_GB2312" w:hAnsi="仿宋_GB2312" w:eastAsia="仿宋_GB2312"/>
          <w:sz w:val="32"/>
        </w:rPr>
        <w:t>（二）依法向阜康市人民代表大会及其常务委员会提出议案。</w:t>
      </w:r>
    </w:p>
    <w:p w14:paraId="3EAF9A3A">
      <w:pPr>
        <w:spacing w:line="580" w:lineRule="exact"/>
        <w:ind w:firstLine="640"/>
        <w:jc w:val="both"/>
      </w:pPr>
      <w:r>
        <w:rPr>
          <w:rFonts w:ascii="仿宋_GB2312" w:hAnsi="仿宋_GB2312" w:eastAsia="仿宋_GB2312"/>
          <w:sz w:val="32"/>
        </w:rPr>
        <w:t>（三）贯彻落实检察工作方针、总体规划，完成检察工作任务。</w:t>
      </w:r>
    </w:p>
    <w:p w14:paraId="0C27B3E4">
      <w:pPr>
        <w:spacing w:line="580" w:lineRule="exact"/>
        <w:ind w:firstLine="640"/>
        <w:jc w:val="both"/>
      </w:pPr>
      <w:r>
        <w:rPr>
          <w:rFonts w:ascii="仿宋_GB2312" w:hAnsi="仿宋_GB2312" w:eastAsia="仿宋_GB2312"/>
          <w:sz w:val="32"/>
        </w:rPr>
        <w:t>（四）依法开展对刑事犯罪案件的审查批准逮捕、决定逮捕、审查起诉工作。</w:t>
      </w:r>
    </w:p>
    <w:p w14:paraId="28A7D3E2">
      <w:pPr>
        <w:spacing w:line="580" w:lineRule="exact"/>
        <w:ind w:firstLine="640"/>
        <w:jc w:val="both"/>
      </w:pPr>
      <w:r>
        <w:rPr>
          <w:rFonts w:ascii="仿宋_GB2312" w:hAnsi="仿宋_GB2312" w:eastAsia="仿宋_GB2312"/>
          <w:sz w:val="32"/>
        </w:rPr>
        <w:t>（五）负责应由阜康市人民检察院承办的刑事、民事、行政诉讼活动及刑事、民事、行政判决和裁定等生效法律文书执行的法律监督工作。</w:t>
      </w:r>
    </w:p>
    <w:p w14:paraId="5B7CC65A">
      <w:pPr>
        <w:spacing w:line="580" w:lineRule="exact"/>
        <w:ind w:firstLine="640"/>
        <w:jc w:val="both"/>
      </w:pPr>
      <w:r>
        <w:rPr>
          <w:rFonts w:ascii="仿宋_GB2312" w:hAnsi="仿宋_GB2312" w:eastAsia="仿宋_GB2312"/>
          <w:sz w:val="32"/>
        </w:rPr>
        <w:t>（六）负责对阜康市基层人民法院已发生法律效力、确有错误的判决和裁定，依法提请昌吉州人民检察院向昌吉州中级人民法院提出抗诉。</w:t>
      </w:r>
    </w:p>
    <w:p w14:paraId="2F0E16F7">
      <w:pPr>
        <w:spacing w:line="580" w:lineRule="exact"/>
        <w:ind w:firstLine="640"/>
        <w:jc w:val="both"/>
      </w:pPr>
      <w:r>
        <w:rPr>
          <w:rFonts w:ascii="仿宋_GB2312" w:hAnsi="仿宋_GB2312" w:eastAsia="仿宋_GB2312"/>
          <w:sz w:val="32"/>
        </w:rPr>
        <w:t>（七）负责应由阜康市人民检察院承办的提起公益诉讼工作。</w:t>
      </w:r>
    </w:p>
    <w:p w14:paraId="43D97A0C">
      <w:pPr>
        <w:spacing w:line="580" w:lineRule="exact"/>
        <w:ind w:firstLine="640"/>
        <w:jc w:val="both"/>
      </w:pPr>
      <w:r>
        <w:rPr>
          <w:rFonts w:ascii="仿宋_GB2312" w:hAnsi="仿宋_GB2312" w:eastAsia="仿宋_GB2312"/>
          <w:sz w:val="32"/>
        </w:rPr>
        <w:t>（八）负责应由阜康市人民检察院承办的对安置教育机构、看守所、社区矫正机构等执法活动的法律监督工作。</w:t>
      </w:r>
    </w:p>
    <w:p w14:paraId="36518AEF">
      <w:pPr>
        <w:spacing w:line="580" w:lineRule="exact"/>
        <w:ind w:firstLine="640"/>
        <w:jc w:val="both"/>
      </w:pPr>
      <w:r>
        <w:rPr>
          <w:rFonts w:ascii="仿宋_GB2312" w:hAnsi="仿宋_GB2312" w:eastAsia="仿宋_GB2312"/>
          <w:sz w:val="32"/>
        </w:rPr>
        <w:t>（九）受理向阜康市人民检察院的控告申诉，开展控告申诉检察工作。</w:t>
      </w:r>
    </w:p>
    <w:p w14:paraId="3A474666">
      <w:pPr>
        <w:spacing w:line="580" w:lineRule="exact"/>
        <w:ind w:firstLine="640"/>
        <w:jc w:val="both"/>
      </w:pPr>
      <w:r>
        <w:rPr>
          <w:rFonts w:ascii="仿宋_GB2312" w:hAnsi="仿宋_GB2312" w:eastAsia="仿宋_GB2312"/>
          <w:sz w:val="32"/>
        </w:rPr>
        <w:t>（十）开展检察应用和理论研究工作。</w:t>
      </w:r>
    </w:p>
    <w:p w14:paraId="6B0D283D">
      <w:pPr>
        <w:spacing w:line="580" w:lineRule="exact"/>
        <w:ind w:firstLine="640"/>
        <w:jc w:val="both"/>
      </w:pPr>
      <w:r>
        <w:rPr>
          <w:rFonts w:ascii="仿宋_GB2312" w:hAnsi="仿宋_GB2312" w:eastAsia="仿宋_GB2312"/>
          <w:sz w:val="32"/>
        </w:rPr>
        <w:t>（十一）负责本院队伍建设和思想政治工作。依法管理检察官及其他检察人员的工作，开展检察机关教育培训工作。</w:t>
      </w:r>
    </w:p>
    <w:p w14:paraId="7D9AF75C">
      <w:pPr>
        <w:spacing w:line="580" w:lineRule="exact"/>
        <w:ind w:firstLine="640"/>
        <w:jc w:val="both"/>
      </w:pPr>
      <w:r>
        <w:rPr>
          <w:rFonts w:ascii="仿宋_GB2312" w:hAnsi="仿宋_GB2312" w:eastAsia="仿宋_GB2312"/>
          <w:sz w:val="32"/>
        </w:rPr>
        <w:t>（十二）开展本院检务督察工作。</w:t>
      </w:r>
    </w:p>
    <w:p w14:paraId="375C7630">
      <w:pPr>
        <w:spacing w:line="580" w:lineRule="exact"/>
        <w:ind w:firstLine="640"/>
        <w:jc w:val="both"/>
      </w:pPr>
      <w:r>
        <w:rPr>
          <w:rFonts w:ascii="仿宋_GB2312" w:hAnsi="仿宋_GB2312" w:eastAsia="仿宋_GB2312"/>
          <w:sz w:val="32"/>
        </w:rPr>
        <w:t>（十三）开展检察机关的财务装备工作，检察技术信息工作。</w:t>
      </w:r>
    </w:p>
    <w:p w14:paraId="2F1013DA">
      <w:pPr>
        <w:spacing w:line="580" w:lineRule="exact"/>
        <w:ind w:firstLine="640"/>
        <w:jc w:val="both"/>
      </w:pPr>
      <w:r>
        <w:rPr>
          <w:rFonts w:ascii="仿宋_GB2312" w:hAnsi="仿宋_GB2312" w:eastAsia="仿宋_GB2312"/>
          <w:sz w:val="32"/>
        </w:rPr>
        <w:t>（十四）负责其他应当由阜康市人民检察院承办的事项。</w:t>
      </w:r>
    </w:p>
    <w:p w14:paraId="1307E8A7">
      <w:pPr>
        <w:spacing w:line="640" w:lineRule="exact"/>
        <w:ind w:firstLine="640"/>
        <w:jc w:val="both"/>
        <w:outlineLvl w:val="2"/>
      </w:pPr>
      <w:r>
        <w:rPr>
          <w:rFonts w:ascii="黑体" w:hAnsi="黑体" w:eastAsia="黑体"/>
          <w:sz w:val="32"/>
        </w:rPr>
        <w:t>二、机构设置</w:t>
      </w:r>
    </w:p>
    <w:p w14:paraId="52286A0E">
      <w:pPr>
        <w:spacing w:line="580" w:lineRule="exact"/>
        <w:ind w:firstLine="640"/>
        <w:jc w:val="both"/>
      </w:pPr>
      <w:r>
        <w:rPr>
          <w:rFonts w:ascii="仿宋_GB2312" w:hAnsi="仿宋_GB2312" w:eastAsia="仿宋_GB2312"/>
          <w:sz w:val="32"/>
        </w:rPr>
        <w:t>阜康市人民检察院无下属预算单位。</w:t>
      </w:r>
    </w:p>
    <w:p w14:paraId="24DE0752">
      <w:r>
        <w:br w:type="page"/>
      </w:r>
    </w:p>
    <w:p w14:paraId="54545D3B">
      <w:pPr>
        <w:spacing w:line="240" w:lineRule="auto"/>
        <w:jc w:val="center"/>
        <w:outlineLvl w:val="1"/>
      </w:pPr>
      <w:r>
        <w:rPr>
          <w:rFonts w:ascii="黑体" w:hAnsi="黑体" w:eastAsia="黑体"/>
          <w:sz w:val="32"/>
        </w:rPr>
        <w:t>第二部分 部门决算情况说明</w:t>
      </w:r>
    </w:p>
    <w:p w14:paraId="7031849B">
      <w:pPr>
        <w:spacing w:line="640" w:lineRule="exact"/>
        <w:ind w:firstLine="640"/>
        <w:jc w:val="both"/>
        <w:outlineLvl w:val="2"/>
      </w:pPr>
      <w:r>
        <w:rPr>
          <w:rFonts w:ascii="黑体" w:hAnsi="黑体" w:eastAsia="黑体"/>
          <w:sz w:val="32"/>
        </w:rPr>
        <w:t>一、收入支出决算总体情况说明</w:t>
      </w:r>
    </w:p>
    <w:p w14:paraId="61985EBD">
      <w:pPr>
        <w:spacing w:line="580" w:lineRule="exact"/>
        <w:ind w:firstLine="640"/>
        <w:jc w:val="both"/>
      </w:pPr>
      <w:r>
        <w:rPr>
          <w:rFonts w:ascii="仿宋_GB2312" w:hAnsi="仿宋_GB2312" w:eastAsia="仿宋_GB2312"/>
          <w:b/>
          <w:sz w:val="32"/>
        </w:rPr>
        <w:t>2025年度收入总计1,373.08万元，</w:t>
      </w:r>
      <w:r>
        <w:rPr>
          <w:rFonts w:ascii="仿宋_GB2312" w:hAnsi="仿宋_GB2312" w:eastAsia="仿宋_GB2312"/>
          <w:b w:val="0"/>
          <w:sz w:val="32"/>
        </w:rPr>
        <w:t>其中：本年收入合计1,373.08万元，使用非财政拨款结余（含专用结余）0.00万元，年初结转和结余0.00万元。</w:t>
      </w:r>
    </w:p>
    <w:p w14:paraId="414E8916">
      <w:pPr>
        <w:spacing w:line="580" w:lineRule="exact"/>
        <w:ind w:firstLine="640"/>
        <w:jc w:val="both"/>
      </w:pPr>
      <w:r>
        <w:rPr>
          <w:rFonts w:ascii="仿宋_GB2312" w:hAnsi="仿宋_GB2312" w:eastAsia="仿宋_GB2312"/>
          <w:b/>
          <w:sz w:val="32"/>
        </w:rPr>
        <w:t>2025年度支出总计1,373.08万元，</w:t>
      </w:r>
      <w:r>
        <w:rPr>
          <w:rFonts w:ascii="仿宋_GB2312" w:hAnsi="仿宋_GB2312" w:eastAsia="仿宋_GB2312"/>
          <w:b w:val="0"/>
          <w:sz w:val="32"/>
        </w:rPr>
        <w:t>其中：本年支出合计1,373.08万元，结余分配0.00万元，年末结转和结余0.00万元。</w:t>
      </w:r>
    </w:p>
    <w:p w14:paraId="27645817">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增加223.04万元，增长19.39%，主要原因是：本年在职人员增加，在职人员工资调增、社保、公积金基数调增，人员经费增加。增加为民办实事工作经费、专项业务经费。</w:t>
      </w:r>
    </w:p>
    <w:p w14:paraId="26FB47C3">
      <w:pPr>
        <w:spacing w:line="640" w:lineRule="exact"/>
        <w:ind w:firstLine="640"/>
        <w:jc w:val="both"/>
        <w:outlineLvl w:val="2"/>
      </w:pPr>
      <w:r>
        <w:rPr>
          <w:rFonts w:ascii="黑体" w:hAnsi="黑体" w:eastAsia="黑体"/>
          <w:sz w:val="32"/>
        </w:rPr>
        <w:t>二、收入决算情况说明</w:t>
      </w:r>
    </w:p>
    <w:p w14:paraId="6C57FDF5">
      <w:pPr>
        <w:spacing w:line="580" w:lineRule="exact"/>
        <w:ind w:firstLine="640"/>
        <w:jc w:val="both"/>
      </w:pPr>
      <w:r>
        <w:rPr>
          <w:rFonts w:ascii="仿宋_GB2312" w:hAnsi="仿宋_GB2312" w:eastAsia="仿宋_GB2312"/>
          <w:b/>
          <w:sz w:val="32"/>
        </w:rPr>
        <w:t>本年收入1,373.08万元，</w:t>
      </w:r>
      <w:r>
        <w:rPr>
          <w:rFonts w:ascii="仿宋_GB2312" w:hAnsi="仿宋_GB2312" w:eastAsia="仿宋_GB2312"/>
          <w:b w:val="0"/>
          <w:sz w:val="32"/>
        </w:rPr>
        <w:t>其中：财政拨款收入1,373.08万元，占100.00%；上级补助收入0.00万元，占0.00%；事业收入0.00万元，占0.00%；经营收入0.00万元，占0.00%；附属单位上缴收入0.00万元，占0.00%；其他收入0.00万元，占0.00%。</w:t>
      </w:r>
    </w:p>
    <w:p w14:paraId="2150F52A">
      <w:pPr>
        <w:spacing w:line="640" w:lineRule="exact"/>
        <w:ind w:firstLine="640"/>
        <w:jc w:val="both"/>
        <w:outlineLvl w:val="2"/>
      </w:pPr>
      <w:r>
        <w:rPr>
          <w:rFonts w:ascii="黑体" w:hAnsi="黑体" w:eastAsia="黑体"/>
          <w:sz w:val="32"/>
        </w:rPr>
        <w:t>三、支出决算情况说明</w:t>
      </w:r>
    </w:p>
    <w:p w14:paraId="0A54FC37">
      <w:pPr>
        <w:spacing w:line="580" w:lineRule="exact"/>
        <w:ind w:firstLine="640"/>
        <w:jc w:val="both"/>
      </w:pPr>
      <w:r>
        <w:rPr>
          <w:rFonts w:ascii="仿宋_GB2312" w:hAnsi="仿宋_GB2312" w:eastAsia="仿宋_GB2312"/>
          <w:b/>
          <w:sz w:val="32"/>
        </w:rPr>
        <w:t>本年支出1,373.08万元，</w:t>
      </w:r>
      <w:r>
        <w:rPr>
          <w:rFonts w:ascii="仿宋_GB2312" w:hAnsi="仿宋_GB2312" w:eastAsia="仿宋_GB2312"/>
          <w:b w:val="0"/>
          <w:sz w:val="32"/>
        </w:rPr>
        <w:t>其中：基本支出1,069.39万元，占77.88%；项目支出303.69万元，占22.12%；上缴上级支出0.00万元，占0.00%；经营支出0.00万元，占0.00%；对附属单位补助支出0.00万元，占0.00%。</w:t>
      </w:r>
    </w:p>
    <w:p w14:paraId="00B2EB67">
      <w:pPr>
        <w:spacing w:line="640" w:lineRule="exact"/>
        <w:ind w:firstLine="640"/>
        <w:jc w:val="both"/>
        <w:outlineLvl w:val="2"/>
      </w:pPr>
      <w:r>
        <w:rPr>
          <w:rFonts w:ascii="黑体" w:hAnsi="黑体" w:eastAsia="黑体"/>
          <w:sz w:val="32"/>
        </w:rPr>
        <w:t>四、财政拨款收入支出决算总体情况说明</w:t>
      </w:r>
    </w:p>
    <w:p w14:paraId="75229CF3">
      <w:pPr>
        <w:spacing w:line="580" w:lineRule="exact"/>
        <w:ind w:firstLine="640"/>
        <w:jc w:val="both"/>
      </w:pPr>
      <w:r>
        <w:rPr>
          <w:rFonts w:ascii="仿宋_GB2312" w:hAnsi="仿宋_GB2312" w:eastAsia="仿宋_GB2312"/>
          <w:b/>
          <w:sz w:val="32"/>
        </w:rPr>
        <w:t>2025年度财政拨款收入总计1,373.08万元，</w:t>
      </w:r>
      <w:r>
        <w:rPr>
          <w:rFonts w:ascii="仿宋_GB2312" w:hAnsi="仿宋_GB2312" w:eastAsia="仿宋_GB2312"/>
          <w:b w:val="0"/>
          <w:sz w:val="32"/>
        </w:rPr>
        <w:t>其中：年初财政拨款结转和结余0.00万元，本年财政拨款收入1,373.08万元。</w:t>
      </w:r>
      <w:r>
        <w:rPr>
          <w:rFonts w:ascii="仿宋_GB2312" w:hAnsi="仿宋_GB2312" w:eastAsia="仿宋_GB2312"/>
          <w:b/>
          <w:sz w:val="32"/>
        </w:rPr>
        <w:t>财政拨款支出总计1,373.08万元，</w:t>
      </w:r>
      <w:r>
        <w:rPr>
          <w:rFonts w:ascii="仿宋_GB2312" w:hAnsi="仿宋_GB2312" w:eastAsia="仿宋_GB2312"/>
          <w:b w:val="0"/>
          <w:sz w:val="32"/>
        </w:rPr>
        <w:t>其中：年末财政拨款结转和结余0.00万元，本年财政拨款支出1,373.08万元。</w:t>
      </w:r>
    </w:p>
    <w:p w14:paraId="0523646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增加283.04万元，增长25.97%，主要原因是：本年在职人员增加，在职人员工资调增、社保、公积金基数调增，人员经费增加。增加为民办实事工作经费、专项业务经费。</w:t>
      </w:r>
      <w:r>
        <w:rPr>
          <w:rFonts w:ascii="仿宋_GB2312" w:hAnsi="仿宋_GB2312" w:eastAsia="仿宋_GB2312"/>
          <w:b/>
          <w:sz w:val="32"/>
        </w:rPr>
        <w:t>与年初预算相比，</w:t>
      </w:r>
      <w:r>
        <w:rPr>
          <w:rFonts w:ascii="仿宋_GB2312" w:hAnsi="仿宋_GB2312" w:eastAsia="仿宋_GB2312"/>
          <w:b w:val="0"/>
          <w:sz w:val="32"/>
        </w:rPr>
        <w:t>年初预算数1,186.88万元，决算数1,373.08万元，预决算差异率15.69%，主要原因是：年中追加人员工资、社保、公积金基数调增部分资金，导致预决算存在差异。</w:t>
      </w:r>
    </w:p>
    <w:p w14:paraId="37D419C5">
      <w:pPr>
        <w:spacing w:line="640" w:lineRule="exact"/>
        <w:ind w:firstLine="640"/>
        <w:jc w:val="both"/>
        <w:outlineLvl w:val="2"/>
      </w:pPr>
      <w:r>
        <w:rPr>
          <w:rFonts w:ascii="黑体" w:hAnsi="黑体" w:eastAsia="黑体"/>
          <w:sz w:val="32"/>
        </w:rPr>
        <w:t>五、一般公共预算财政拨款支出决算情况说明</w:t>
      </w:r>
    </w:p>
    <w:p w14:paraId="139305B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5651BBD2">
      <w:pPr>
        <w:spacing w:line="580" w:lineRule="exact"/>
        <w:ind w:firstLine="640"/>
        <w:jc w:val="both"/>
      </w:pPr>
      <w:r>
        <w:rPr>
          <w:rFonts w:ascii="仿宋_GB2312" w:hAnsi="仿宋_GB2312" w:eastAsia="仿宋_GB2312"/>
          <w:b w:val="0"/>
          <w:sz w:val="32"/>
        </w:rPr>
        <w:t>按照支出功能分类，公共安全支出（类）检察（款）行政运行（项）的支出占本年财政拨款支出总额的比重最高，2025年度决算数为835.78万元，占比60.87%，主要用于人员工资福利、日常公用经费。</w:t>
      </w:r>
    </w:p>
    <w:p w14:paraId="7D767EA7">
      <w:pPr>
        <w:spacing w:line="640" w:lineRule="exact"/>
        <w:ind w:firstLine="640"/>
        <w:jc w:val="both"/>
        <w:outlineLvl w:val="3"/>
      </w:pPr>
      <w:r>
        <w:rPr>
          <w:rFonts w:ascii="楷体_GB2312" w:hAnsi="楷体_GB2312" w:eastAsia="楷体_GB2312"/>
          <w:b/>
          <w:sz w:val="32"/>
        </w:rPr>
        <w:t>（一）一般公共预算财政拨款支出决算总体情况</w:t>
      </w:r>
    </w:p>
    <w:p w14:paraId="13503BDC">
      <w:pPr>
        <w:spacing w:line="580" w:lineRule="exact"/>
        <w:ind w:firstLine="640"/>
        <w:jc w:val="both"/>
      </w:pPr>
      <w:r>
        <w:rPr>
          <w:rFonts w:ascii="仿宋_GB2312" w:hAnsi="仿宋_GB2312" w:eastAsia="仿宋_GB2312"/>
          <w:b/>
          <w:sz w:val="32"/>
        </w:rPr>
        <w:t>2025年度一般公共预算财政拨款支出1,373.08万元，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增加283.04万元，增长25.97%，主要原因是：本年在职人员增加，在职人员工资调增、社保、公积金基数调增，人员经费增加。增加为民办实事工作经费、专项业务经费。</w:t>
      </w:r>
      <w:r>
        <w:rPr>
          <w:rFonts w:ascii="仿宋_GB2312" w:hAnsi="仿宋_GB2312" w:eastAsia="仿宋_GB2312"/>
          <w:b/>
          <w:sz w:val="32"/>
        </w:rPr>
        <w:t>与年初预算相比，</w:t>
      </w:r>
      <w:r>
        <w:rPr>
          <w:rFonts w:ascii="仿宋_GB2312" w:hAnsi="仿宋_GB2312" w:eastAsia="仿宋_GB2312"/>
          <w:b w:val="0"/>
          <w:sz w:val="32"/>
        </w:rPr>
        <w:t>年初预算数1,186.88万元，决算数1,373.08万元，预决算差异率15.69%，主要原因是：年中追加人员工资、社保、公积金基数调增部分资金，导致预决算存在差异。</w:t>
      </w:r>
    </w:p>
    <w:p w14:paraId="55DCF7D9">
      <w:pPr>
        <w:spacing w:line="640" w:lineRule="exact"/>
        <w:ind w:firstLine="640"/>
        <w:jc w:val="both"/>
        <w:outlineLvl w:val="3"/>
      </w:pPr>
      <w:r>
        <w:rPr>
          <w:rFonts w:ascii="楷体_GB2312" w:hAnsi="楷体_GB2312" w:eastAsia="楷体_GB2312"/>
          <w:b/>
          <w:sz w:val="32"/>
        </w:rPr>
        <w:t>（二）一般公共预算财政拨款支出决算结构情况</w:t>
      </w:r>
    </w:p>
    <w:p w14:paraId="679A634D">
      <w:pPr>
        <w:spacing w:line="580" w:lineRule="exact"/>
        <w:ind w:firstLine="640"/>
        <w:jc w:val="both"/>
      </w:pPr>
      <w:r>
        <w:rPr>
          <w:rFonts w:ascii="仿宋_GB2312" w:hAnsi="仿宋_GB2312" w:eastAsia="仿宋_GB2312"/>
          <w:b w:val="0"/>
          <w:sz w:val="32"/>
        </w:rPr>
        <w:t>1.公共安全支出（类）1,116.06万元，占81.28%。</w:t>
      </w:r>
    </w:p>
    <w:p w14:paraId="46BD59D9">
      <w:pPr>
        <w:spacing w:line="580" w:lineRule="exact"/>
        <w:ind w:firstLine="640"/>
        <w:jc w:val="both"/>
      </w:pPr>
      <w:r>
        <w:rPr>
          <w:rFonts w:ascii="仿宋_GB2312" w:hAnsi="仿宋_GB2312" w:eastAsia="仿宋_GB2312"/>
          <w:b w:val="0"/>
          <w:sz w:val="32"/>
        </w:rPr>
        <w:t>2.社会保障和就业支出（类）118.78万元，占8.65%。</w:t>
      </w:r>
    </w:p>
    <w:p w14:paraId="1D8A0E03">
      <w:pPr>
        <w:spacing w:line="580" w:lineRule="exact"/>
        <w:ind w:firstLine="640"/>
        <w:jc w:val="both"/>
      </w:pPr>
      <w:r>
        <w:rPr>
          <w:rFonts w:ascii="仿宋_GB2312" w:hAnsi="仿宋_GB2312" w:eastAsia="仿宋_GB2312"/>
          <w:b w:val="0"/>
          <w:sz w:val="32"/>
        </w:rPr>
        <w:t>3.卫生健康支出（类）57.38万元，占4.18%。</w:t>
      </w:r>
    </w:p>
    <w:p w14:paraId="45E62921">
      <w:pPr>
        <w:spacing w:line="580" w:lineRule="exact"/>
        <w:ind w:firstLine="640"/>
        <w:jc w:val="both"/>
      </w:pPr>
      <w:r>
        <w:rPr>
          <w:rFonts w:ascii="仿宋_GB2312" w:hAnsi="仿宋_GB2312" w:eastAsia="仿宋_GB2312"/>
          <w:b w:val="0"/>
          <w:sz w:val="32"/>
        </w:rPr>
        <w:t>4.住房保障支出（类）53.81万元，占3.92%。</w:t>
      </w:r>
    </w:p>
    <w:p w14:paraId="06F879A1">
      <w:pPr>
        <w:spacing w:line="580" w:lineRule="exact"/>
        <w:ind w:firstLine="640"/>
        <w:jc w:val="both"/>
      </w:pPr>
      <w:r>
        <w:rPr>
          <w:rFonts w:ascii="仿宋_GB2312" w:hAnsi="仿宋_GB2312" w:eastAsia="仿宋_GB2312"/>
          <w:b w:val="0"/>
          <w:sz w:val="32"/>
        </w:rPr>
        <w:t>5.其他支出（类）27.06万元，占1.97%。</w:t>
      </w:r>
    </w:p>
    <w:p w14:paraId="4CD3B1C7">
      <w:pPr>
        <w:spacing w:line="640" w:lineRule="exact"/>
        <w:ind w:firstLine="640"/>
        <w:jc w:val="both"/>
        <w:outlineLvl w:val="3"/>
      </w:pPr>
      <w:r>
        <w:rPr>
          <w:rFonts w:ascii="楷体_GB2312" w:hAnsi="楷体_GB2312" w:eastAsia="楷体_GB2312"/>
          <w:b/>
          <w:sz w:val="32"/>
        </w:rPr>
        <w:t>（三）一般公共预算财政拨款支出决算具体情况</w:t>
      </w:r>
    </w:p>
    <w:p w14:paraId="2BB54E4C">
      <w:pPr>
        <w:spacing w:line="580" w:lineRule="exact"/>
        <w:ind w:firstLine="640"/>
        <w:jc w:val="both"/>
      </w:pPr>
      <w:r>
        <w:rPr>
          <w:rFonts w:ascii="仿宋_GB2312" w:hAnsi="仿宋_GB2312" w:eastAsia="仿宋_GB2312"/>
          <w:b w:val="0"/>
          <w:sz w:val="32"/>
        </w:rPr>
        <w:t>1.公共安全支出（类）公安（款）一般行政管理事务（项）：支出决算数为0.00万元，比上年决算减少0.19万元，下降100.00%，主要原因是：本年功能科目调整，专项业务经费调整由一般行政管理事务科目调整至其他公共安全支出科目，导致经费支出减少。</w:t>
      </w:r>
    </w:p>
    <w:p w14:paraId="176EF819">
      <w:pPr>
        <w:spacing w:line="580" w:lineRule="exact"/>
        <w:ind w:firstLine="640"/>
        <w:jc w:val="both"/>
      </w:pPr>
      <w:r>
        <w:rPr>
          <w:rFonts w:ascii="仿宋_GB2312" w:hAnsi="仿宋_GB2312" w:eastAsia="仿宋_GB2312"/>
          <w:b w:val="0"/>
          <w:sz w:val="32"/>
        </w:rPr>
        <w:t>2.公共安全支出（类）检察（款）行政运行（项）：支出决算数为835.78万元，比上年决算增加138.70万元，增长19.90%，主要原因是：本年新增在职人员，人员经费增加，导致经费较上年有所增加。</w:t>
      </w:r>
    </w:p>
    <w:p w14:paraId="4DEBDD73">
      <w:pPr>
        <w:spacing w:line="580" w:lineRule="exact"/>
        <w:ind w:firstLine="640"/>
        <w:jc w:val="both"/>
      </w:pPr>
      <w:r>
        <w:rPr>
          <w:rFonts w:ascii="仿宋_GB2312" w:hAnsi="仿宋_GB2312" w:eastAsia="仿宋_GB2312"/>
          <w:b w:val="0"/>
          <w:sz w:val="32"/>
        </w:rPr>
        <w:t>3.公共安全支出（类）检察（款）其他检察支出（项）：支出决算数为271.53万元，比上年决算增加97.53万元，增长56.05%，主要原因是：本年专项业务经费较上年增加，导致经费支出增加。</w:t>
      </w:r>
    </w:p>
    <w:p w14:paraId="78774F5D">
      <w:pPr>
        <w:spacing w:line="580" w:lineRule="exact"/>
        <w:ind w:firstLine="640"/>
        <w:jc w:val="both"/>
      </w:pPr>
      <w:r>
        <w:rPr>
          <w:rFonts w:ascii="仿宋_GB2312" w:hAnsi="仿宋_GB2312" w:eastAsia="仿宋_GB2312"/>
          <w:b w:val="0"/>
          <w:sz w:val="32"/>
        </w:rPr>
        <w:t>4.公共安全支出（类）其他公共安全支出（款）其他公共安全支出（项）：支出决算数为8.75万元，比上年决算增加8.75万元，增长100.00%，主要原因是：本年功能科目调整，专项业务经费调整由一般行政管理事务科目调整至其他公共安全支出科目，导致经费支出增加。</w:t>
      </w:r>
    </w:p>
    <w:p w14:paraId="64F41FB6">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5.社会保障和就业支出（类）行政事业单位养老支出（款）行政单位离退休（项）：支出决算数为19.57万元，比上年决算增加5.39万元，增长38.01%，主要原因是：本年增加退休人员基础绩效奖，退休费支出增加。</w:t>
      </w:r>
    </w:p>
    <w:p w14:paraId="6BA4DBB0">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66.15万元，比上年决算增加2.82万元，增长4.45%，主要原因是：本年在职人员增加，养老保险缴费较上年增加。</w:t>
      </w:r>
    </w:p>
    <w:p w14:paraId="4C7FEA08">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33.07万元，比上年决算增加1.41万元，增长4.45%，主要原因是：本年新增退休人员，职业年金缴费支出增加。</w:t>
      </w:r>
    </w:p>
    <w:p w14:paraId="5C58E24A">
      <w:pPr>
        <w:spacing w:line="580" w:lineRule="exact"/>
        <w:ind w:firstLine="640"/>
        <w:jc w:val="both"/>
      </w:pPr>
      <w:r>
        <w:rPr>
          <w:rFonts w:ascii="仿宋_GB2312" w:hAnsi="仿宋_GB2312" w:eastAsia="仿宋_GB2312"/>
          <w:b w:val="0"/>
          <w:sz w:val="32"/>
        </w:rPr>
        <w:t>8.卫生健康支出（类）行政事业单位医疗（款）行政单位医疗（项）：支出决算数为40.08万元，比上年决算增加8.42万元，增长26.60%，主要原因是：本年在职人员增加，行政单位医疗支出较上年增加。</w:t>
      </w:r>
    </w:p>
    <w:p w14:paraId="4C21119B">
      <w:pPr>
        <w:spacing w:line="580" w:lineRule="exact"/>
        <w:ind w:firstLine="640"/>
        <w:jc w:val="both"/>
      </w:pPr>
      <w:r>
        <w:rPr>
          <w:rFonts w:ascii="仿宋_GB2312" w:hAnsi="仿宋_GB2312" w:eastAsia="仿宋_GB2312"/>
          <w:b w:val="0"/>
          <w:sz w:val="32"/>
        </w:rPr>
        <w:t>9.卫生健康支出（类）行政事业单位医疗（款）公务员医疗补助（项）：支出决算数为16.88万元，比上年决算增加14.90万元，增长752.53%，主要原因是：年在职人员工资基数调增，医疗缴费基数上涨，相应支出增加。</w:t>
      </w:r>
    </w:p>
    <w:p w14:paraId="78944C96">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10.卫生健康支出（类）行政事业单位医疗（款）其他行政事业单位医疗支出（项）：支出决算数为0.42万元，比上年决算增加0.10万元，增长31.25%，主要原因是：本年在职人员增加，大病医疗保险支出较上年增加。</w:t>
      </w:r>
    </w:p>
    <w:p w14:paraId="78BF922A">
      <w:pPr>
        <w:spacing w:line="580" w:lineRule="exact"/>
        <w:ind w:firstLine="640"/>
        <w:jc w:val="both"/>
      </w:pPr>
      <w:r>
        <w:rPr>
          <w:rFonts w:ascii="仿宋_GB2312" w:hAnsi="仿宋_GB2312" w:eastAsia="仿宋_GB2312"/>
          <w:b w:val="0"/>
          <w:sz w:val="32"/>
        </w:rPr>
        <w:t>11.住房保障支出（类）住房改革支出（款）住房公积金（项）：支出决算数为53.81万元，比上年决算增加2.99万元，增长5.88%，主要原因是：本年在职人员增加，住房公积金支出较上年增加。</w:t>
      </w:r>
    </w:p>
    <w:p w14:paraId="5B849FE6">
      <w:pPr>
        <w:spacing w:line="580" w:lineRule="exact"/>
        <w:ind w:firstLine="640"/>
        <w:jc w:val="both"/>
      </w:pPr>
      <w:r>
        <w:rPr>
          <w:rFonts w:ascii="仿宋_GB2312" w:hAnsi="仿宋_GB2312" w:eastAsia="仿宋_GB2312"/>
          <w:b w:val="0"/>
          <w:sz w:val="32"/>
        </w:rPr>
        <w:t>12.其他支出（类）其他支出（款）其他支出（项）：支出决算数为27.06万元，比上年决算增加2.26万元，增长9.11%，主要原因是：本年增加为民办实事工作经费，导致经费较上年有所增加。</w:t>
      </w:r>
    </w:p>
    <w:p w14:paraId="2D8B837C">
      <w:pPr>
        <w:spacing w:line="640" w:lineRule="exact"/>
        <w:ind w:firstLine="640"/>
        <w:jc w:val="both"/>
        <w:outlineLvl w:val="2"/>
      </w:pPr>
      <w:r>
        <w:rPr>
          <w:rFonts w:ascii="黑体" w:hAnsi="黑体" w:eastAsia="黑体"/>
          <w:sz w:val="32"/>
        </w:rPr>
        <w:t>六、一般公共预算财政拨款基本支出决算情况说明</w:t>
      </w:r>
    </w:p>
    <w:p w14:paraId="18650E2D">
      <w:pPr>
        <w:spacing w:line="580" w:lineRule="exact"/>
        <w:ind w:firstLine="640"/>
        <w:jc w:val="both"/>
      </w:pPr>
      <w:r>
        <w:rPr>
          <w:rFonts w:ascii="仿宋_GB2312" w:hAnsi="仿宋_GB2312" w:eastAsia="仿宋_GB2312"/>
          <w:b w:val="0"/>
          <w:sz w:val="32"/>
        </w:rPr>
        <w:t>2025年度一般公共预算财政拨款基本支出1,069.39万元，其中：</w:t>
      </w:r>
      <w:r>
        <w:rPr>
          <w:rFonts w:ascii="仿宋_GB2312" w:hAnsi="仿宋_GB2312" w:eastAsia="仿宋_GB2312"/>
          <w:b/>
          <w:sz w:val="32"/>
        </w:rPr>
        <w:t>人员经费929.96万元，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抚恤金、奖励金。</w:t>
      </w:r>
    </w:p>
    <w:p w14:paraId="52F83BB1">
      <w:pPr>
        <w:spacing w:line="580" w:lineRule="exact"/>
        <w:ind w:firstLine="640"/>
        <w:jc w:val="both"/>
      </w:pPr>
      <w:r>
        <w:rPr>
          <w:rFonts w:ascii="仿宋_GB2312" w:hAnsi="仿宋_GB2312" w:eastAsia="仿宋_GB2312"/>
          <w:b/>
          <w:sz w:val="32"/>
        </w:rPr>
        <w:t>公用经费139.43万元，</w:t>
      </w:r>
      <w:r>
        <w:rPr>
          <w:rFonts w:ascii="仿宋_GB2312" w:hAnsi="仿宋_GB2312" w:eastAsia="仿宋_GB2312"/>
          <w:b w:val="0"/>
          <w:sz w:val="32"/>
        </w:rPr>
        <w:t>包括：办公费、印刷费、水费、电费、邮电费、取暖费、物业管理费、维修（护）费、租赁费、公务接待费、劳务费、委托业务费、工会经费、福利费、公务用车运行维护费、其他商品和服务支出。</w:t>
      </w:r>
    </w:p>
    <w:p w14:paraId="248D9A6A">
      <w:pPr>
        <w:spacing w:line="640" w:lineRule="exact"/>
        <w:ind w:firstLine="640"/>
        <w:jc w:val="both"/>
        <w:outlineLvl w:val="2"/>
      </w:pPr>
      <w:r>
        <w:rPr>
          <w:rFonts w:ascii="黑体" w:hAnsi="黑体" w:eastAsia="黑体"/>
          <w:sz w:val="32"/>
        </w:rPr>
        <w:t>七、政府性基金预算财政拨款收入支出决算情况说明</w:t>
      </w:r>
    </w:p>
    <w:p w14:paraId="1A7FE266">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71D6479B">
      <w:pPr>
        <w:spacing w:line="640" w:lineRule="exact"/>
        <w:ind w:firstLine="640"/>
        <w:jc w:val="both"/>
        <w:outlineLvl w:val="2"/>
      </w:pPr>
      <w:r>
        <w:rPr>
          <w:rFonts w:ascii="黑体" w:hAnsi="黑体" w:eastAsia="黑体"/>
          <w:sz w:val="32"/>
        </w:rPr>
        <w:t>八、国有资本经营预算财政拨款收入支出决算情况说明</w:t>
      </w:r>
    </w:p>
    <w:p w14:paraId="7B160B12">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F782135">
      <w:pPr>
        <w:spacing w:line="640" w:lineRule="exact"/>
        <w:ind w:firstLine="640"/>
        <w:jc w:val="both"/>
        <w:outlineLvl w:val="2"/>
      </w:pPr>
      <w:r>
        <w:rPr>
          <w:rFonts w:ascii="黑体" w:hAnsi="黑体" w:eastAsia="黑体"/>
          <w:sz w:val="32"/>
        </w:rPr>
        <w:t>九、财政拨款“三公”经费支出决算情况说明</w:t>
      </w:r>
    </w:p>
    <w:p w14:paraId="5D944652">
      <w:pPr>
        <w:spacing w:line="580" w:lineRule="exact"/>
        <w:ind w:firstLine="640"/>
        <w:jc w:val="both"/>
      </w:pPr>
      <w:r>
        <w:rPr>
          <w:rFonts w:ascii="仿宋_GB2312" w:hAnsi="仿宋_GB2312" w:eastAsia="仿宋_GB2312"/>
          <w:b/>
          <w:sz w:val="32"/>
        </w:rPr>
        <w:t>2025年度财政拨款“三公”经费支出16.20万元，</w:t>
      </w:r>
      <w:r>
        <w:rPr>
          <w:rFonts w:ascii="仿宋_GB2312" w:hAnsi="仿宋_GB2312" w:eastAsia="仿宋_GB2312"/>
          <w:b w:val="0"/>
          <w:sz w:val="32"/>
        </w:rPr>
        <w:t>比上年增加0.00万元，增长0.00%，主要原因是：本单位财政拨款“三公”经费与上年一致无变化。其中：因公出国（境）费用支出0.00万元，占0.00%，比上年增加0.00万元，增长0.00%，主要原因是：2024年与2025年均无因公出国（境）费用支出。公务用车购置及运行维护费支出15.20万元，占93.83%，比上年增加0.00万元，增长0.00%，主要原因是：本单位公务用车购置及运行维护费与上年一致无变化。公务接待费支出1.00万元，占6.17%，比上年增加0.00万元，增长0.00%，主要原因是：本单位公务接待费与上年一致无变化。</w:t>
      </w:r>
    </w:p>
    <w:p w14:paraId="6ED245B7">
      <w:pPr>
        <w:spacing w:line="580" w:lineRule="exact"/>
        <w:ind w:firstLine="640"/>
        <w:jc w:val="both"/>
      </w:pPr>
      <w:r>
        <w:rPr>
          <w:rFonts w:ascii="仿宋_GB2312" w:hAnsi="仿宋_GB2312" w:eastAsia="仿宋_GB2312"/>
          <w:b/>
          <w:sz w:val="32"/>
        </w:rPr>
        <w:t>具体情况如下：</w:t>
      </w:r>
    </w:p>
    <w:p w14:paraId="3E82178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7102C3D6">
      <w:pPr>
        <w:spacing w:line="580" w:lineRule="exact"/>
        <w:ind w:firstLine="640"/>
        <w:jc w:val="both"/>
      </w:pPr>
      <w:r>
        <w:rPr>
          <w:rFonts w:ascii="仿宋_GB2312" w:hAnsi="仿宋_GB2312" w:eastAsia="仿宋_GB2312"/>
          <w:b w:val="0"/>
          <w:sz w:val="32"/>
        </w:rPr>
        <w:t>公务用车购置及运行维护费15.20万元，其中：公务用车购置费9.50万元，公务用车运行维护费5.70万元。公务用车运行维护费开支内容包括车辆加油费、维修费、保险费、审车费、过路费等。公务用车购置数1辆，公务用车保有量8辆。国有资产占用情况中固定资产车辆8辆，与公务用车保有量差异原因是：本单位公务用车保有量与固定资产车辆一致无差异。</w:t>
      </w:r>
    </w:p>
    <w:p w14:paraId="5950E954">
      <w:pPr>
        <w:spacing w:line="580" w:lineRule="exact"/>
        <w:ind w:firstLine="640"/>
        <w:jc w:val="both"/>
      </w:pPr>
      <w:r>
        <w:rPr>
          <w:rFonts w:ascii="仿宋_GB2312" w:hAnsi="仿宋_GB2312" w:eastAsia="仿宋_GB2312"/>
          <w:b w:val="0"/>
          <w:sz w:val="32"/>
        </w:rPr>
        <w:t>公务接待费1.00万元，开支内容包括接待上级领导检查/督导组检查/工作小组考察学习产生的就餐费。单位全年安排的国内公务接待20批次，210人次。</w:t>
      </w:r>
    </w:p>
    <w:p w14:paraId="3207A483">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16.20万元，决算数16.20万元，预决算差异率0.00%，主要原因是：严格按照预算执行，预决算无差异。其中：因公出国（境）费用全年预算数0.00万元，决算数0.00万元，预决算差异率0.00%，主要原因是：本单位无因公出国（境）费用。公务用车购置费全年预算数9.50万元，决算数9.50万元，预决算差异率0.00%，主要原因是：严格按照预算执行，预决算无差异。公务用车运行维护费全年预算数5.70万元，决算数5.70万元，预决算差异率0.00%，主要原因是：严格按照预算执行，预决算无差异。公务接待费全年预算数1.00万元，决算数1.00万元，预决算差异率0.00%，主要原因是：严格按照预算执行，预决算无差异。</w:t>
      </w:r>
    </w:p>
    <w:p w14:paraId="0BE4BB7D">
      <w:pPr>
        <w:spacing w:line="640" w:lineRule="exact"/>
        <w:ind w:firstLine="640"/>
        <w:jc w:val="both"/>
        <w:outlineLvl w:val="2"/>
      </w:pPr>
      <w:r>
        <w:rPr>
          <w:rFonts w:ascii="黑体" w:hAnsi="黑体" w:eastAsia="黑体"/>
          <w:sz w:val="32"/>
        </w:rPr>
        <w:t>十、其他重要事项的情况说明</w:t>
      </w:r>
    </w:p>
    <w:p w14:paraId="5D63CA3E">
      <w:pPr>
        <w:spacing w:line="640" w:lineRule="exact"/>
        <w:ind w:firstLine="640"/>
        <w:jc w:val="both"/>
        <w:outlineLvl w:val="3"/>
      </w:pPr>
      <w:r>
        <w:rPr>
          <w:rFonts w:ascii="楷体_GB2312" w:hAnsi="楷体_GB2312" w:eastAsia="楷体_GB2312"/>
          <w:b/>
          <w:sz w:val="32"/>
        </w:rPr>
        <w:t>（一）机关运行经费及公用经费支出情况</w:t>
      </w:r>
    </w:p>
    <w:p w14:paraId="72115515">
      <w:pPr>
        <w:spacing w:line="580" w:lineRule="exact"/>
        <w:ind w:firstLine="640"/>
        <w:jc w:val="both"/>
      </w:pPr>
      <w:r>
        <w:rPr>
          <w:rFonts w:ascii="仿宋_GB2312" w:hAnsi="仿宋_GB2312" w:eastAsia="仿宋_GB2312"/>
          <w:b w:val="0"/>
          <w:sz w:val="32"/>
        </w:rPr>
        <w:t>2025年度阜康市人民检察院（行政单位和参照公务员法管理事业单位）机关运行经费支出139.43万元，比上年增加42.56万元，增长43.94%，主要原因是：本年增加劳务费，导致机关运行经费支出增加。</w:t>
      </w:r>
    </w:p>
    <w:p w14:paraId="3B8ABBD6">
      <w:pPr>
        <w:spacing w:line="640" w:lineRule="exact"/>
        <w:ind w:firstLine="640"/>
        <w:jc w:val="both"/>
        <w:outlineLvl w:val="3"/>
      </w:pPr>
      <w:r>
        <w:rPr>
          <w:rFonts w:ascii="楷体_GB2312" w:hAnsi="楷体_GB2312" w:eastAsia="楷体_GB2312"/>
          <w:b/>
          <w:sz w:val="32"/>
        </w:rPr>
        <w:t>（二）政府采购情况</w:t>
      </w:r>
    </w:p>
    <w:p w14:paraId="49BC7605">
      <w:pPr>
        <w:spacing w:line="580" w:lineRule="exact"/>
        <w:ind w:firstLine="640"/>
        <w:jc w:val="both"/>
      </w:pPr>
      <w:r>
        <w:rPr>
          <w:rFonts w:ascii="仿宋_GB2312" w:hAnsi="仿宋_GB2312" w:eastAsia="仿宋_GB2312"/>
          <w:b w:val="0"/>
          <w:sz w:val="32"/>
        </w:rPr>
        <w:t>2025年度政府采购支出总额92.07万元，其中：政府采购货物支出24.26万元、政府采购工程支出0.00万元、政府采购服务支出67.81万元。</w:t>
      </w:r>
    </w:p>
    <w:p w14:paraId="6CF68837">
      <w:pPr>
        <w:spacing w:line="580" w:lineRule="exact"/>
        <w:ind w:firstLine="640"/>
        <w:jc w:val="both"/>
      </w:pPr>
      <w:r>
        <w:rPr>
          <w:rFonts w:ascii="仿宋_GB2312" w:hAnsi="仿宋_GB2312" w:eastAsia="仿宋_GB2312"/>
          <w:b w:val="0"/>
          <w:sz w:val="32"/>
        </w:rPr>
        <w:t>授予中小企业合同金额92.07万元，占政府采购支出总额的100.00%，其中：授予小微企业合同金额92.07万元，占政府采购支出总额的100.00%。</w:t>
      </w:r>
    </w:p>
    <w:p w14:paraId="59C4332E">
      <w:pPr>
        <w:spacing w:line="640" w:lineRule="exact"/>
        <w:ind w:firstLine="640"/>
        <w:jc w:val="both"/>
        <w:outlineLvl w:val="3"/>
      </w:pPr>
      <w:r>
        <w:rPr>
          <w:rFonts w:ascii="楷体_GB2312" w:hAnsi="楷体_GB2312" w:eastAsia="楷体_GB2312"/>
          <w:b/>
          <w:sz w:val="32"/>
        </w:rPr>
        <w:t>（三）国有资产占用情况说明</w:t>
      </w:r>
    </w:p>
    <w:p w14:paraId="536EDA89">
      <w:pPr>
        <w:spacing w:line="580" w:lineRule="exact"/>
        <w:ind w:firstLine="640"/>
        <w:jc w:val="both"/>
      </w:pPr>
      <w:r>
        <w:rPr>
          <w:rFonts w:ascii="仿宋_GB2312" w:hAnsi="仿宋_GB2312" w:eastAsia="仿宋_GB2312"/>
          <w:b w:val="0"/>
          <w:sz w:val="32"/>
        </w:rPr>
        <w:t>截至2025年12月31日，房屋7,463.91平方米，价值2,813.23万元。车辆8辆，价值149.24万元，其中：副部（省）级及以上领导用车0辆、主要负责人用车0辆、机要通信用车0辆、应急保障用车0辆、执法执勤用车7辆、特种专业技术用车0辆、离退休干部服务用车0辆、其他用车1辆，其他用车主要是：一般公务用车。单价100万元（含）以上设备（不含车辆）0台（套）。</w:t>
      </w:r>
    </w:p>
    <w:p w14:paraId="3297D785">
      <w:pPr>
        <w:spacing w:line="640" w:lineRule="exact"/>
        <w:ind w:firstLine="640"/>
        <w:jc w:val="both"/>
        <w:outlineLvl w:val="2"/>
      </w:pPr>
      <w:r>
        <w:rPr>
          <w:rFonts w:ascii="黑体" w:hAnsi="黑体" w:eastAsia="黑体"/>
          <w:sz w:val="32"/>
        </w:rPr>
        <w:t>十一、预算绩效的情况说明</w:t>
      </w:r>
    </w:p>
    <w:p w14:paraId="1FC6926A">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1,373.08万元，实际执行总额1,373.08万元；预算绩效评价项目0个，全年预算数0.00万元，全年执行数0.00万元。预算绩效管理取得的成效：一是为有效推进项目工作开展，提高财政资金使用效益，对照计划全面梳理重点任务，仔细谋划、紧抓落实，理顺内部分工和工作流程，明确责任和时间节点，一项抓好具体落实，确保了项目按时保质完成，保障了项目效益发挥。二是坚持问题导向，加强执行监控，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有效了降低资金偏离政策目标的风险，提高了资金使用效益。发现的问题及原因：预算绩效管理取得的成效：一是预算安排的基本支出保障了正常的工作运转，预算安排的项目支出非常必要，二是在执行上是严格遵守各项财经纪律，在项目资金的使用上也是放的心的，严守法律底线、纪律底线、道德底线。发现的问题及原因：一是对绩效目标理解不透彻，设置目标不准确；二是财务人员工作量大，一个人负责很多，对绩效工作目标设置和单位实际不能步紧扣。下一步改进措施：一是加强预算绩效目标管理工作。明确预算项目绩效目标编制要求，分类别建立科学合理、细化量化、可比可测预算绩效指标体系，突出结果导向，重点考核实绩。二是强化预算绩效执行工作，指定专人负责预算执行监督管理，进一步推动预算绩效管理工作。下一步改进措施：1.扎实推进档案规范化建设，提升档案管理水平。一是进一步完善项目评价资料。项目启动时同步做好档案的归纳与整理，及时整理、收集、汇总，健全档案资料。二是严格落实自治区关于绩效管理工作档案资料归档的相关要求，强化收集力度，确保归档资料的完整齐全。2.高度重视，加强领导。高度重视，加强领导，精心组织。项目绩效领导小组对绩效评价工作进行指导、监督、检查，确保项目绩效评价反映项目完成真实情况。严格执行项目绩效评价工作要求，切实提高项目绩效报告的客观性和公正性。具体附整体支出绩效自评表。</w:t>
      </w:r>
    </w:p>
    <w:p w14:paraId="23767328">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7B125BC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8D8BF43">
            <w:pPr>
              <w:spacing w:before="0" w:after="0" w:line="240" w:lineRule="auto"/>
              <w:jc w:val="center"/>
            </w:pPr>
            <w:r>
              <w:rPr>
                <w:rFonts w:ascii="宋体" w:hAnsi="宋体" w:eastAsia="宋体" w:cs="宋体"/>
                <w:b w:val="0"/>
                <w:i w:val="0"/>
                <w:sz w:val="18"/>
              </w:rPr>
              <w:t>部门（单位）整体支出绩效目标自评表</w:t>
            </w:r>
          </w:p>
        </w:tc>
      </w:tr>
      <w:tr w14:paraId="7DE76270">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3C7A88F">
            <w:pPr>
              <w:spacing w:before="0" w:after="0" w:line="240" w:lineRule="auto"/>
              <w:jc w:val="center"/>
            </w:pPr>
            <w:r>
              <w:rPr>
                <w:rFonts w:ascii="宋体" w:hAnsi="宋体" w:eastAsia="宋体" w:cs="宋体"/>
                <w:b w:val="0"/>
                <w:i w:val="0"/>
                <w:sz w:val="18"/>
              </w:rPr>
              <w:t>（2025年度）</w:t>
            </w:r>
          </w:p>
        </w:tc>
      </w:tr>
      <w:tr w14:paraId="676ED6AA">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4BBC64">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09A3585">
            <w:pPr>
              <w:spacing w:before="0" w:after="0" w:line="240" w:lineRule="auto"/>
              <w:jc w:val="center"/>
            </w:pPr>
            <w:r>
              <w:rPr>
                <w:rFonts w:ascii="宋体" w:hAnsi="宋体" w:eastAsia="宋体" w:cs="宋体"/>
                <w:b w:val="0"/>
                <w:i w:val="0"/>
                <w:sz w:val="18"/>
              </w:rPr>
              <w:t>阜康市人民检察院</w:t>
            </w:r>
          </w:p>
        </w:tc>
      </w:tr>
      <w:tr w14:paraId="74C6DA77">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BE85B3">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3B7F85">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AC1697">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2E52AD">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F61F15">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817344">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B5104">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56C5F3">
            <w:pPr>
              <w:spacing w:before="0" w:after="0" w:line="240" w:lineRule="auto"/>
              <w:jc w:val="center"/>
            </w:pPr>
            <w:r>
              <w:rPr>
                <w:rFonts w:ascii="宋体" w:hAnsi="宋体" w:eastAsia="宋体" w:cs="宋体"/>
                <w:b w:val="0"/>
                <w:i w:val="0"/>
                <w:sz w:val="18"/>
              </w:rPr>
              <w:t>得分</w:t>
            </w:r>
          </w:p>
        </w:tc>
      </w:tr>
      <w:tr w14:paraId="4CAAD66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5FDA5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EA9E83">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197B9A">
            <w:pPr>
              <w:spacing w:before="0" w:after="0" w:line="240" w:lineRule="auto"/>
              <w:jc w:val="center"/>
            </w:pPr>
            <w:r>
              <w:rPr>
                <w:rFonts w:ascii="宋体" w:hAnsi="宋体" w:eastAsia="宋体" w:cs="宋体"/>
                <w:b w:val="0"/>
                <w:i w:val="0"/>
                <w:sz w:val="18"/>
              </w:rPr>
              <w:t>253.00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C07C4A">
            <w:pPr>
              <w:spacing w:before="0" w:after="0" w:line="240" w:lineRule="auto"/>
              <w:jc w:val="center"/>
            </w:pPr>
            <w:r>
              <w:rPr>
                <w:rFonts w:ascii="宋体" w:hAnsi="宋体" w:eastAsia="宋体" w:cs="宋体"/>
                <w:b w:val="0"/>
                <w:i w:val="0"/>
                <w:sz w:val="18"/>
              </w:rPr>
              <w:t>275.00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BF3BAC">
            <w:pPr>
              <w:spacing w:before="0" w:after="0" w:line="240" w:lineRule="auto"/>
              <w:jc w:val="center"/>
            </w:pPr>
            <w:r>
              <w:rPr>
                <w:rFonts w:ascii="宋体" w:hAnsi="宋体" w:eastAsia="宋体" w:cs="宋体"/>
                <w:b w:val="0"/>
                <w:i w:val="0"/>
                <w:sz w:val="18"/>
              </w:rPr>
              <w:t>275.00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D2838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C8E16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C9362D">
            <w:pPr>
              <w:spacing w:before="0" w:after="0" w:line="240" w:lineRule="auto"/>
              <w:jc w:val="center"/>
            </w:pPr>
            <w:r>
              <w:rPr>
                <w:rFonts w:ascii="宋体" w:hAnsi="宋体" w:eastAsia="宋体" w:cs="宋体"/>
                <w:b w:val="0"/>
                <w:i w:val="0"/>
                <w:sz w:val="18"/>
              </w:rPr>
              <w:t>-</w:t>
            </w:r>
          </w:p>
        </w:tc>
      </w:tr>
      <w:tr w14:paraId="6E0257D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DB09D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155230">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F26E89">
            <w:pPr>
              <w:spacing w:before="0" w:after="0" w:line="240" w:lineRule="auto"/>
              <w:jc w:val="center"/>
            </w:pPr>
            <w:r>
              <w:rPr>
                <w:rFonts w:ascii="宋体" w:hAnsi="宋体" w:eastAsia="宋体" w:cs="宋体"/>
                <w:b w:val="0"/>
                <w:i w:val="0"/>
                <w:sz w:val="18"/>
              </w:rPr>
              <w:t>932.96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456075">
            <w:pPr>
              <w:spacing w:before="0" w:after="0" w:line="240" w:lineRule="auto"/>
              <w:jc w:val="center"/>
            </w:pPr>
            <w:r>
              <w:rPr>
                <w:rFonts w:ascii="宋体" w:hAnsi="宋体" w:eastAsia="宋体" w:cs="宋体"/>
                <w:b w:val="0"/>
                <w:i w:val="0"/>
                <w:sz w:val="18"/>
              </w:rPr>
              <w:t>1,097.16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2A22EC">
            <w:pPr>
              <w:spacing w:before="0" w:after="0" w:line="240" w:lineRule="auto"/>
              <w:jc w:val="center"/>
            </w:pPr>
            <w:r>
              <w:rPr>
                <w:rFonts w:ascii="宋体" w:hAnsi="宋体" w:eastAsia="宋体" w:cs="宋体"/>
                <w:b w:val="0"/>
                <w:i w:val="0"/>
                <w:sz w:val="18"/>
              </w:rPr>
              <w:t>1,097.16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FD9F8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A1DC9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6AD962">
            <w:pPr>
              <w:spacing w:before="0" w:after="0" w:line="240" w:lineRule="auto"/>
              <w:jc w:val="center"/>
            </w:pPr>
            <w:r>
              <w:rPr>
                <w:rFonts w:ascii="宋体" w:hAnsi="宋体" w:eastAsia="宋体" w:cs="宋体"/>
                <w:b w:val="0"/>
                <w:i w:val="0"/>
                <w:sz w:val="18"/>
              </w:rPr>
              <w:t>-</w:t>
            </w:r>
          </w:p>
        </w:tc>
      </w:tr>
      <w:tr w14:paraId="0F36759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04732F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3BB3B4">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22D38A">
            <w:pPr>
              <w:spacing w:before="0" w:after="0" w:line="240" w:lineRule="auto"/>
              <w:jc w:val="center"/>
            </w:pPr>
            <w:r>
              <w:rPr>
                <w:rFonts w:ascii="宋体" w:hAnsi="宋体" w:eastAsia="宋体" w:cs="宋体"/>
                <w:b w:val="0"/>
                <w:i w:val="0"/>
                <w:sz w:val="18"/>
              </w:rPr>
              <w:t>15.92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B43E8F">
            <w:pPr>
              <w:spacing w:before="0" w:after="0" w:line="240" w:lineRule="auto"/>
              <w:jc w:val="center"/>
            </w:pPr>
            <w:r>
              <w:rPr>
                <w:rFonts w:ascii="宋体" w:hAnsi="宋体" w:eastAsia="宋体" w:cs="宋体"/>
                <w:b w:val="0"/>
                <w:i w:val="0"/>
                <w:sz w:val="18"/>
              </w:rPr>
              <w:t>0.92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63BC78">
            <w:pPr>
              <w:spacing w:before="0" w:after="0" w:line="240" w:lineRule="auto"/>
              <w:jc w:val="center"/>
            </w:pPr>
            <w:r>
              <w:rPr>
                <w:rFonts w:ascii="宋体" w:hAnsi="宋体" w:eastAsia="宋体" w:cs="宋体"/>
                <w:b w:val="0"/>
                <w:i w:val="0"/>
                <w:sz w:val="18"/>
              </w:rPr>
              <w:t>0.92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7CB2A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0B5307">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17C6E0">
            <w:pPr>
              <w:spacing w:before="0" w:after="0" w:line="240" w:lineRule="auto"/>
              <w:jc w:val="center"/>
            </w:pPr>
            <w:r>
              <w:rPr>
                <w:rFonts w:ascii="宋体" w:hAnsi="宋体" w:eastAsia="宋体" w:cs="宋体"/>
                <w:b w:val="0"/>
                <w:i w:val="0"/>
                <w:sz w:val="18"/>
              </w:rPr>
              <w:t>-</w:t>
            </w:r>
          </w:p>
        </w:tc>
      </w:tr>
      <w:tr w14:paraId="7883A8E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F8888D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B7F44A">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5B4666">
            <w:pPr>
              <w:spacing w:before="0" w:after="0" w:line="240" w:lineRule="auto"/>
              <w:jc w:val="center"/>
            </w:pPr>
            <w:r>
              <w:rPr>
                <w:rFonts w:ascii="宋体" w:hAnsi="宋体" w:eastAsia="宋体" w:cs="宋体"/>
                <w:b w:val="0"/>
                <w:i w:val="0"/>
                <w:sz w:val="18"/>
              </w:rPr>
              <w:t>1,201.88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0A0293">
            <w:pPr>
              <w:spacing w:before="0" w:after="0" w:line="240" w:lineRule="auto"/>
              <w:jc w:val="center"/>
            </w:pPr>
            <w:r>
              <w:rPr>
                <w:rFonts w:ascii="宋体" w:hAnsi="宋体" w:eastAsia="宋体" w:cs="宋体"/>
                <w:b w:val="0"/>
                <w:i w:val="0"/>
                <w:sz w:val="18"/>
              </w:rPr>
              <w:t>1,373.08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EB55F">
            <w:pPr>
              <w:spacing w:before="0" w:after="0" w:line="240" w:lineRule="auto"/>
              <w:jc w:val="center"/>
            </w:pPr>
            <w:r>
              <w:rPr>
                <w:rFonts w:ascii="宋体" w:hAnsi="宋体" w:eastAsia="宋体" w:cs="宋体"/>
                <w:b w:val="0"/>
                <w:i w:val="0"/>
                <w:sz w:val="18"/>
              </w:rPr>
              <w:t>1,373.08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7F4A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9BC4A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C71FDA">
            <w:pPr>
              <w:spacing w:before="0" w:after="0" w:line="240" w:lineRule="auto"/>
              <w:jc w:val="center"/>
            </w:pPr>
            <w:r>
              <w:rPr>
                <w:rFonts w:ascii="宋体" w:hAnsi="宋体" w:eastAsia="宋体" w:cs="宋体"/>
                <w:b w:val="0"/>
                <w:i w:val="0"/>
                <w:sz w:val="18"/>
              </w:rPr>
              <w:t>10</w:t>
            </w:r>
          </w:p>
        </w:tc>
      </w:tr>
      <w:tr w14:paraId="54AE33AA">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2067E8">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0506880">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B02279A">
            <w:pPr>
              <w:spacing w:before="0" w:after="0" w:line="240" w:lineRule="auto"/>
              <w:jc w:val="center"/>
            </w:pPr>
            <w:r>
              <w:rPr>
                <w:rFonts w:ascii="宋体" w:hAnsi="宋体" w:eastAsia="宋体" w:cs="宋体"/>
                <w:b w:val="0"/>
                <w:i w:val="0"/>
                <w:sz w:val="18"/>
              </w:rPr>
              <w:t>实际完成情况</w:t>
            </w:r>
          </w:p>
        </w:tc>
      </w:tr>
      <w:tr w14:paraId="1B05976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AB23F98"/>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537F394">
            <w:pPr>
              <w:spacing w:before="0" w:after="0" w:line="240" w:lineRule="auto"/>
              <w:jc w:val="center"/>
            </w:pPr>
            <w:r>
              <w:rPr>
                <w:rFonts w:ascii="宋体" w:hAnsi="宋体" w:eastAsia="宋体" w:cs="宋体"/>
                <w:b w:val="0"/>
                <w:i w:val="0"/>
                <w:sz w:val="18"/>
              </w:rPr>
              <w:t>025年检察工作要坚持以习近平新时代中国特色社会主义思想为指导，全面学习贯彻党的二十大精神，深入贯彻落实全面贯彻习近平法治思想，</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牢牢扭住社会稳定和长治久安总目标，全面落实《中共中央关于加强新时代检察机关法律监督工作的意见》及区州党委《实施意见》，按照新疆维吾尔自治区人民检察院下发工作要求，我院加强法律监督工作，推动检察工作高质量发展精神，优化“四大检察”“十大业务”法律监督格局，以高质量发展为主题，以完善检察机关法律监督体系、提升法律监督能力为主线，加强基层组织、基础工作、基本能力建设，深化司法体制改革，更好服务经济社会高质量发展、推动检察工作自身高质量发展，为全面建设社会主义现代化国家提供有力司法保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F2A2D6">
            <w:pPr>
              <w:spacing w:before="0" w:after="0" w:line="240" w:lineRule="auto"/>
              <w:jc w:val="center"/>
            </w:pPr>
            <w:r>
              <w:rPr>
                <w:rFonts w:ascii="宋体" w:hAnsi="宋体" w:eastAsia="宋体" w:cs="宋体"/>
                <w:b w:val="0"/>
                <w:i w:val="0"/>
                <w:sz w:val="18"/>
              </w:rPr>
              <w:t>2025年我单位全年预算数为1373.08万元，全年执行数为1373.08万元，总预算执行率为100%。2025年我单位完成以下工作内容：1.检察机关办案数量指标年初设定目标是大于等于200件；年中绩效运行监控时完成值101件；年终实际完成值是572件，指标完成率是286%，达到检察机关办案数量指标的预期目标。2.司法救助案件数指标年初设定目标是大于等于4次；年中绩效运行监控时完成值2次；年终实际完成值是4次，指标完成率是100%，达到检察官进校园授课数量指标的预期目标。3.司法求助案件办结率指标年初设定目标是等于100%；年中绩效运行监控时完成值100%；年终实际完成值是100%，指标完成率是100%，达到开展网络普法指标的预期目标。4.案件办结率指标年初设定目标是大于等于85.00%；年中绩效运行监控时未达监控节点；年终实际完成值是85%，指标完成率是90%，达到案件办结率指标的预期目标。通过以上工作的实施，加强了法律监督工作，推动了检察工作高质量发展精神，优化了“四大检察”“十大业务”法律监督格局，以高质量发展为主题，以完善检察机关法律监督体系、提升法律监督能力为主线，加强了基层组织、基础工作、基本能力建设，深化了司法体制改革，更好地服务了经济社会高质量发展、推动了检察工作自身高质量发展，为全面建设社会主义现代化国家提供有力司法保障。</w:t>
            </w:r>
          </w:p>
        </w:tc>
      </w:tr>
      <w:tr w14:paraId="7906A67C">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C4A42C">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E558F8">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3D3F12">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A5389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F2276B">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600872">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F4C57B">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5C408F">
            <w:pPr>
              <w:keepNext/>
              <w:spacing w:before="0" w:after="0" w:line="240" w:lineRule="auto"/>
              <w:jc w:val="center"/>
            </w:pPr>
            <w:r>
              <w:rPr>
                <w:rFonts w:ascii="宋体" w:hAnsi="宋体" w:eastAsia="宋体" w:cs="宋体"/>
                <w:b w:val="0"/>
                <w:i w:val="0"/>
                <w:sz w:val="18"/>
              </w:rPr>
              <w:t>得分</w:t>
            </w:r>
          </w:p>
        </w:tc>
      </w:tr>
      <w:tr w14:paraId="2B223A81">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A0581B">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43A3AD">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AD2FF8">
            <w:pPr>
              <w:spacing w:before="0" w:after="0" w:line="240" w:lineRule="auto"/>
              <w:jc w:val="center"/>
            </w:pPr>
            <w:r>
              <w:rPr>
                <w:rFonts w:ascii="宋体" w:hAnsi="宋体" w:eastAsia="宋体" w:cs="宋体"/>
                <w:b w:val="0"/>
                <w:i w:val="0"/>
                <w:sz w:val="18"/>
              </w:rPr>
              <w:t>司法救助案件数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FCC42B">
            <w:pPr>
              <w:spacing w:before="0" w:after="0" w:line="240" w:lineRule="auto"/>
              <w:jc w:val="center"/>
            </w:pPr>
            <w:r>
              <w:rPr>
                <w:rFonts w:ascii="宋体" w:hAnsi="宋体" w:eastAsia="宋体" w:cs="宋体"/>
                <w:b w:val="0"/>
                <w:i w:val="0"/>
                <w:sz w:val="18"/>
              </w:rPr>
              <w:t>&gt;=4件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94B5B0">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3A9819">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3A8C09">
            <w:pPr>
              <w:spacing w:before="0" w:after="0" w:line="240" w:lineRule="auto"/>
              <w:jc w:val="center"/>
            </w:pPr>
            <w:r>
              <w:rPr>
                <w:rFonts w:ascii="宋体" w:hAnsi="宋体" w:eastAsia="宋体" w:cs="宋体"/>
                <w:b w:val="0"/>
                <w:i w:val="0"/>
                <w:sz w:val="18"/>
              </w:rPr>
              <w:t>=4件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7F2854">
            <w:pPr>
              <w:spacing w:before="0" w:after="0" w:line="240" w:lineRule="auto"/>
              <w:jc w:val="center"/>
            </w:pPr>
            <w:r>
              <w:rPr>
                <w:rFonts w:ascii="宋体" w:hAnsi="宋体" w:eastAsia="宋体" w:cs="宋体"/>
                <w:b w:val="0"/>
                <w:i w:val="0"/>
                <w:sz w:val="18"/>
              </w:rPr>
              <w:t>20</w:t>
            </w:r>
          </w:p>
        </w:tc>
      </w:tr>
      <w:tr w14:paraId="5DC7036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C60E4E"/>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21840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9258A7">
            <w:pPr>
              <w:spacing w:before="0" w:after="0" w:line="240" w:lineRule="auto"/>
              <w:jc w:val="center"/>
            </w:pPr>
            <w:r>
              <w:rPr>
                <w:rFonts w:ascii="宋体" w:hAnsi="宋体" w:eastAsia="宋体" w:cs="宋体"/>
                <w:b w:val="0"/>
                <w:i w:val="0"/>
                <w:sz w:val="18"/>
              </w:rPr>
              <w:t>支持检察机关办案数量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60AD3D">
            <w:pPr>
              <w:spacing w:before="0" w:after="0" w:line="240" w:lineRule="auto"/>
              <w:jc w:val="center"/>
            </w:pPr>
            <w:r>
              <w:rPr>
                <w:rFonts w:ascii="宋体" w:hAnsi="宋体" w:eastAsia="宋体" w:cs="宋体"/>
                <w:b w:val="0"/>
                <w:i w:val="0"/>
                <w:sz w:val="18"/>
              </w:rPr>
              <w:t>&gt;=200件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39C492">
            <w:pPr>
              <w:spacing w:before="0" w:after="0" w:line="240" w:lineRule="auto"/>
              <w:jc w:val="center"/>
            </w:pPr>
            <w:r>
              <w:rPr>
                <w:rFonts w:ascii="宋体" w:hAnsi="宋体" w:eastAsia="宋体" w:cs="宋体"/>
                <w:b w:val="0"/>
                <w:i w:val="0"/>
                <w:sz w:val="18"/>
              </w:rPr>
              <w:t>关于印发2025年新疆检察案件工作要点的通知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E081DD">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D60F8F">
            <w:pPr>
              <w:spacing w:before="0" w:after="0" w:line="240" w:lineRule="auto"/>
              <w:jc w:val="center"/>
            </w:pPr>
            <w:r>
              <w:rPr>
                <w:rFonts w:ascii="宋体" w:hAnsi="宋体" w:eastAsia="宋体" w:cs="宋体"/>
                <w:b w:val="0"/>
                <w:i w:val="0"/>
                <w:sz w:val="18"/>
              </w:rPr>
              <w:t>=572件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223DCF">
            <w:pPr>
              <w:spacing w:before="0" w:after="0" w:line="240" w:lineRule="auto"/>
              <w:jc w:val="center"/>
            </w:pPr>
            <w:r>
              <w:rPr>
                <w:rFonts w:ascii="宋体" w:hAnsi="宋体" w:eastAsia="宋体" w:cs="宋体"/>
                <w:b w:val="0"/>
                <w:i w:val="0"/>
                <w:sz w:val="18"/>
              </w:rPr>
              <w:t>25</w:t>
            </w:r>
          </w:p>
        </w:tc>
      </w:tr>
      <w:tr w14:paraId="2F7347F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F01F63"/>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C0A0F">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DEB8E4">
            <w:pPr>
              <w:spacing w:before="0" w:after="0" w:line="240" w:lineRule="auto"/>
              <w:jc w:val="center"/>
            </w:pPr>
            <w:r>
              <w:rPr>
                <w:rFonts w:ascii="宋体" w:hAnsi="宋体" w:eastAsia="宋体" w:cs="宋体"/>
                <w:b w:val="0"/>
                <w:i w:val="0"/>
                <w:sz w:val="18"/>
              </w:rPr>
              <w:t>司法求助案件办结率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684C28">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162B9D">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8E6B44">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D057BF">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7787E9">
            <w:pPr>
              <w:spacing w:before="0" w:after="0" w:line="240" w:lineRule="auto"/>
              <w:jc w:val="center"/>
            </w:pPr>
            <w:r>
              <w:rPr>
                <w:rFonts w:ascii="宋体" w:hAnsi="宋体" w:eastAsia="宋体" w:cs="宋体"/>
                <w:b w:val="0"/>
                <w:i w:val="0"/>
                <w:sz w:val="18"/>
              </w:rPr>
              <w:t>20</w:t>
            </w:r>
          </w:p>
        </w:tc>
      </w:tr>
      <w:tr w14:paraId="31DF6AF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3BCABC4"/>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13F72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B8233D">
            <w:pPr>
              <w:spacing w:before="0" w:after="0" w:line="240" w:lineRule="auto"/>
              <w:jc w:val="center"/>
            </w:pPr>
            <w:r>
              <w:rPr>
                <w:rFonts w:ascii="宋体" w:hAnsi="宋体" w:eastAsia="宋体" w:cs="宋体"/>
                <w:b w:val="0"/>
                <w:i w:val="0"/>
                <w:sz w:val="18"/>
              </w:rPr>
              <w:t>认罪认罚适用率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5A0D83">
            <w:pPr>
              <w:spacing w:before="0" w:after="0" w:line="240" w:lineRule="auto"/>
              <w:jc w:val="center"/>
            </w:pPr>
            <w:r>
              <w:rPr>
                <w:rFonts w:ascii="宋体" w:hAnsi="宋体" w:eastAsia="宋体" w:cs="宋体"/>
                <w:b w:val="0"/>
                <w:i w:val="0"/>
                <w:sz w:val="18"/>
              </w:rPr>
              <w:t>&gt;=85%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852E9">
            <w:pPr>
              <w:spacing w:before="0" w:after="0" w:line="240" w:lineRule="auto"/>
              <w:jc w:val="center"/>
            </w:pPr>
            <w:r>
              <w:rPr>
                <w:rFonts w:ascii="宋体" w:hAnsi="宋体" w:eastAsia="宋体" w:cs="宋体"/>
                <w:b w:val="0"/>
                <w:i w:val="0"/>
                <w:sz w:val="18"/>
              </w:rPr>
              <w:t>2025年新疆检察机关控告申诉检察工作要点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71F79F">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8A3810">
            <w:pPr>
              <w:spacing w:before="0" w:after="0" w:line="240" w:lineRule="auto"/>
              <w:jc w:val="center"/>
            </w:pPr>
            <w:r>
              <w:rPr>
                <w:rFonts w:ascii="宋体" w:hAnsi="宋体" w:eastAsia="宋体" w:cs="宋体"/>
                <w:b w:val="0"/>
                <w:i w:val="0"/>
                <w:sz w:val="18"/>
              </w:rPr>
              <w:t>=90%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7A1912">
            <w:pPr>
              <w:spacing w:before="0" w:after="0" w:line="240" w:lineRule="auto"/>
              <w:jc w:val="center"/>
            </w:pPr>
            <w:r>
              <w:rPr>
                <w:rFonts w:ascii="宋体" w:hAnsi="宋体" w:eastAsia="宋体" w:cs="宋体"/>
                <w:b w:val="0"/>
                <w:i w:val="0"/>
                <w:sz w:val="18"/>
              </w:rPr>
              <w:t>25</w:t>
            </w:r>
          </w:p>
        </w:tc>
      </w:tr>
    </w:tbl>
    <w:p w14:paraId="633451F8">
      <w:r>
        <w:br w:type="page"/>
      </w:r>
    </w:p>
    <w:p w14:paraId="47BA1FBD">
      <w:pPr>
        <w:spacing w:line="640" w:lineRule="exact"/>
        <w:ind w:firstLine="640"/>
        <w:jc w:val="both"/>
        <w:outlineLvl w:val="2"/>
      </w:pPr>
      <w:r>
        <w:rPr>
          <w:rFonts w:ascii="黑体" w:hAnsi="黑体" w:eastAsia="黑体"/>
          <w:sz w:val="32"/>
        </w:rPr>
        <w:t>十二、其他需说明的事项</w:t>
      </w:r>
    </w:p>
    <w:p w14:paraId="3218EB8B">
      <w:pPr>
        <w:spacing w:line="580" w:lineRule="exact"/>
        <w:ind w:firstLine="640"/>
        <w:jc w:val="both"/>
      </w:pPr>
      <w:r>
        <w:rPr>
          <w:rFonts w:ascii="仿宋_GB2312" w:hAnsi="仿宋_GB2312" w:eastAsia="仿宋_GB2312"/>
          <w:b w:val="0"/>
          <w:sz w:val="32"/>
        </w:rPr>
        <w:t>本年本单位其他项目4个，全年预算数308.5万元，全年执行数308.5万元。</w:t>
      </w:r>
    </w:p>
    <w:p w14:paraId="4EA42396">
      <w:r>
        <w:br w:type="page"/>
      </w:r>
    </w:p>
    <w:p w14:paraId="72BD8B2A">
      <w:pPr>
        <w:spacing w:line="600" w:lineRule="exact"/>
        <w:jc w:val="center"/>
        <w:outlineLvl w:val="0"/>
      </w:pPr>
      <w:r>
        <w:rPr>
          <w:rFonts w:ascii="黑体" w:hAnsi="黑体" w:eastAsia="黑体"/>
          <w:sz w:val="32"/>
        </w:rPr>
        <w:t>第三部分 专业名词解释</w:t>
      </w:r>
    </w:p>
    <w:p w14:paraId="7D749F62">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0BFA6BBD">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9C7ADC5">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4C7CA24">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06034A80">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7658690">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E75538A">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ACB8B74">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55A32D50">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041EDCEE">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CB6DE7F">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392B40D">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34F1AB07">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FF6A6F7">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3D97BD7">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0C5143C0">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179A400">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4DDD399">
      <w:r>
        <w:br w:type="page"/>
      </w:r>
    </w:p>
    <w:p w14:paraId="223E9120">
      <w:pPr>
        <w:spacing w:line="240" w:lineRule="auto"/>
        <w:jc w:val="center"/>
        <w:outlineLvl w:val="1"/>
      </w:pPr>
      <w:r>
        <w:rPr>
          <w:rFonts w:ascii="黑体" w:hAnsi="黑体" w:eastAsia="黑体"/>
          <w:sz w:val="32"/>
        </w:rPr>
        <w:t>第四部分 部门决算报表（见附表）</w:t>
      </w:r>
    </w:p>
    <w:p w14:paraId="480E23D4">
      <w:pPr>
        <w:autoSpaceDE w:val="0"/>
        <w:autoSpaceDN w:val="0"/>
        <w:spacing w:line="600" w:lineRule="exact"/>
        <w:ind w:firstLine="640" w:firstLineChars="200"/>
      </w:pPr>
      <w:r>
        <w:rPr>
          <w:rFonts w:ascii="仿宋_GB2312" w:hAnsi="仿宋_GB2312" w:eastAsia="仿宋_GB2312"/>
          <w:b w:val="0"/>
          <w:sz w:val="32"/>
        </w:rPr>
        <w:t>一、《收入支出决算总表》</w:t>
      </w:r>
    </w:p>
    <w:p w14:paraId="31475DB7">
      <w:pPr>
        <w:autoSpaceDE w:val="0"/>
        <w:autoSpaceDN w:val="0"/>
        <w:spacing w:line="600" w:lineRule="exact"/>
        <w:ind w:firstLine="640" w:firstLineChars="200"/>
      </w:pPr>
      <w:r>
        <w:rPr>
          <w:rFonts w:ascii="仿宋_GB2312" w:hAnsi="仿宋_GB2312" w:eastAsia="仿宋_GB2312"/>
          <w:b w:val="0"/>
          <w:sz w:val="32"/>
        </w:rPr>
        <w:t>二、《收入决算表》</w:t>
      </w:r>
    </w:p>
    <w:p w14:paraId="3982C888">
      <w:pPr>
        <w:autoSpaceDE w:val="0"/>
        <w:autoSpaceDN w:val="0"/>
        <w:spacing w:line="600" w:lineRule="exact"/>
        <w:ind w:firstLine="640" w:firstLineChars="200"/>
      </w:pPr>
      <w:r>
        <w:rPr>
          <w:rFonts w:ascii="仿宋_GB2312" w:hAnsi="仿宋_GB2312" w:eastAsia="仿宋_GB2312"/>
          <w:b w:val="0"/>
          <w:sz w:val="32"/>
        </w:rPr>
        <w:t>三、《支出决算表》</w:t>
      </w:r>
    </w:p>
    <w:p w14:paraId="6A0223AB">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19CEBF6">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8B433A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AECF737">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557E8D0C">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6A6F7B7">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6FA0C7F0">
      <w:pPr>
        <w:autoSpaceDE w:val="0"/>
        <w:autoSpaceDN w:val="0"/>
        <w:spacing w:line="600" w:lineRule="exact"/>
        <w:ind w:firstLine="640" w:firstLineChars="200"/>
      </w:pPr>
    </w:p>
    <w:p w14:paraId="76501E59">
      <w:pPr>
        <w:autoSpaceDE w:val="0"/>
        <w:autoSpaceDN w:val="0"/>
        <w:spacing w:line="600" w:lineRule="exact"/>
        <w:ind w:firstLine="640" w:firstLineChars="200"/>
      </w:pPr>
    </w:p>
    <w:p w14:paraId="47B4F1A2">
      <w:pPr>
        <w:autoSpaceDE w:val="0"/>
        <w:autoSpaceDN w:val="0"/>
        <w:spacing w:line="600" w:lineRule="exact"/>
        <w:ind w:firstLine="640" w:firstLineChars="200"/>
      </w:pPr>
    </w:p>
    <w:p w14:paraId="69F172A7">
      <w:pPr>
        <w:autoSpaceDE w:val="0"/>
        <w:autoSpaceDN w:val="0"/>
        <w:spacing w:line="600" w:lineRule="exact"/>
        <w:ind w:firstLine="640" w:firstLineChars="200"/>
      </w:pPr>
    </w:p>
    <w:p w14:paraId="7A076932">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CFC25A-3774-43E2-AF69-9C20D5626E3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0DAAB44C-B00B-404F-A649-5CD2CD67C721}"/>
  </w:font>
  <w:font w:name="仿宋_GB2312">
    <w:panose1 w:val="02010609030101010101"/>
    <w:charset w:val="86"/>
    <w:family w:val="modern"/>
    <w:pitch w:val="default"/>
    <w:sig w:usb0="00000001" w:usb1="080E0000" w:usb2="00000000" w:usb3="00000000" w:csb0="00040000" w:csb1="00000000"/>
    <w:embedRegular r:id="rId3" w:fontKey="{E2000683-F76A-403B-AA9E-4279FC6B008D}"/>
  </w:font>
  <w:font w:name="楷体_GB2312">
    <w:panose1 w:val="02010609030101010101"/>
    <w:charset w:val="86"/>
    <w:family w:val="auto"/>
    <w:pitch w:val="default"/>
    <w:sig w:usb0="00000001" w:usb1="080E0000" w:usb2="00000000" w:usb3="00000000" w:csb0="00040000" w:csb1="00000000"/>
    <w:embedRegular r:id="rId4" w:fontKey="{BD6061A3-641E-4D96-ABA1-126A4A3199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18626C"/>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21</Words>
  <Characters>24</Characters>
  <Lines>10</Lines>
  <Paragraphs>2</Paragraphs>
  <TotalTime>7</TotalTime>
  <ScaleCrop>false</ScaleCrop>
  <LinksUpToDate>false</LinksUpToDate>
  <CharactersWithSpaces>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2026-10-15T10:49:41Z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