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昌吉州生态环境保护综合行政执法支队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121C7B3">
      <w:r>
        <w:br w:type="page"/>
      </w:r>
    </w:p>
    <w:p w14:paraId="4E4B1775">
      <w:pPr>
        <w:spacing w:line="640" w:lineRule="exact"/>
        <w:jc w:val="center"/>
        <w:outlineLvl w:val="1"/>
      </w:pPr>
      <w:r>
        <w:rPr>
          <w:rFonts w:ascii="黑体" w:hAnsi="黑体" w:eastAsia="黑体"/>
          <w:sz w:val="32"/>
        </w:rPr>
        <w:t>第一部分 单位概况</w:t>
      </w:r>
    </w:p>
    <w:p w14:paraId="3F14E58B">
      <w:pPr>
        <w:spacing w:line="640" w:lineRule="exact"/>
        <w:ind w:firstLine="640"/>
        <w:jc w:val="both"/>
        <w:outlineLvl w:val="2"/>
      </w:pPr>
      <w:r>
        <w:rPr>
          <w:rFonts w:ascii="黑体" w:hAnsi="黑体" w:eastAsia="黑体"/>
          <w:sz w:val="32"/>
        </w:rPr>
        <w:t>一、主要职能</w:t>
      </w:r>
    </w:p>
    <w:p w14:paraId="359E4A02">
      <w:pPr>
        <w:spacing w:line="580" w:lineRule="exact"/>
        <w:ind w:firstLine="640"/>
        <w:jc w:val="both"/>
      </w:pPr>
      <w:r>
        <w:rPr>
          <w:rFonts w:ascii="仿宋_GB2312" w:hAnsi="仿宋_GB2312" w:eastAsia="仿宋_GB2312"/>
          <w:sz w:val="32"/>
        </w:rPr>
        <w:t>(1)根据国家和自治区有关法律、法规和政策，负责全州环境执法检查工作。</w:t>
      </w:r>
    </w:p>
    <w:p w14:paraId="17C3489A">
      <w:pPr>
        <w:spacing w:line="580" w:lineRule="exact"/>
        <w:ind w:firstLine="640"/>
        <w:jc w:val="both"/>
      </w:pPr>
      <w:r>
        <w:rPr>
          <w:rFonts w:ascii="仿宋_GB2312" w:hAnsi="仿宋_GB2312" w:eastAsia="仿宋_GB2312"/>
          <w:sz w:val="32"/>
        </w:rPr>
        <w:t>(2)接收授权和委托，调查处理全州重大环境违法案件。</w:t>
      </w:r>
    </w:p>
    <w:p w14:paraId="5808E964">
      <w:pPr>
        <w:spacing w:line="580" w:lineRule="exact"/>
        <w:ind w:firstLine="640"/>
        <w:jc w:val="both"/>
      </w:pPr>
      <w:r>
        <w:rPr>
          <w:rFonts w:ascii="仿宋_GB2312" w:hAnsi="仿宋_GB2312" w:eastAsia="仿宋_GB2312"/>
          <w:sz w:val="32"/>
        </w:rPr>
        <w:t>(3)组织开展排污费征收等工作。</w:t>
      </w:r>
    </w:p>
    <w:p w14:paraId="482FB082">
      <w:pPr>
        <w:spacing w:line="580" w:lineRule="exact"/>
        <w:ind w:firstLine="640"/>
        <w:jc w:val="both"/>
      </w:pPr>
      <w:r>
        <w:rPr>
          <w:rFonts w:ascii="仿宋_GB2312" w:hAnsi="仿宋_GB2312" w:eastAsia="仿宋_GB2312"/>
          <w:sz w:val="32"/>
        </w:rPr>
        <w:t>(4)负责行政主管部门领导交办其他工作。</w:t>
      </w:r>
    </w:p>
    <w:p w14:paraId="5FEAEA89">
      <w:pPr>
        <w:spacing w:line="640" w:lineRule="exact"/>
        <w:ind w:firstLine="640"/>
        <w:jc w:val="both"/>
        <w:outlineLvl w:val="2"/>
      </w:pPr>
      <w:r>
        <w:rPr>
          <w:rFonts w:ascii="黑体" w:hAnsi="黑体" w:eastAsia="黑体"/>
          <w:sz w:val="32"/>
        </w:rPr>
        <w:t>二、机构设置</w:t>
      </w:r>
    </w:p>
    <w:p w14:paraId="377A831E">
      <w:pPr>
        <w:spacing w:line="580" w:lineRule="exact"/>
        <w:ind w:firstLine="640"/>
        <w:jc w:val="both"/>
      </w:pPr>
      <w:r>
        <w:rPr>
          <w:rFonts w:ascii="仿宋_GB2312" w:hAnsi="仿宋_GB2312" w:eastAsia="仿宋_GB2312"/>
          <w:sz w:val="32"/>
        </w:rPr>
        <w:t>昌吉州生态环境保护综合行政执法支队无下属预算单位。</w:t>
      </w:r>
    </w:p>
    <w:p w14:paraId="322FCC03">
      <w:r>
        <w:br w:type="page"/>
      </w:r>
    </w:p>
    <w:p w14:paraId="7700F2B8">
      <w:pPr>
        <w:spacing w:line="240" w:lineRule="auto"/>
        <w:jc w:val="center"/>
        <w:outlineLvl w:val="1"/>
      </w:pPr>
      <w:r>
        <w:rPr>
          <w:rFonts w:ascii="黑体" w:hAnsi="黑体" w:eastAsia="黑体"/>
          <w:sz w:val="32"/>
        </w:rPr>
        <w:t>第二部分 部门决算情况说明</w:t>
      </w:r>
    </w:p>
    <w:p w14:paraId="463F1AF5">
      <w:pPr>
        <w:spacing w:line="640" w:lineRule="exact"/>
        <w:ind w:firstLine="640"/>
        <w:jc w:val="both"/>
        <w:outlineLvl w:val="2"/>
      </w:pPr>
      <w:r>
        <w:rPr>
          <w:rFonts w:ascii="黑体" w:hAnsi="黑体" w:eastAsia="黑体"/>
          <w:sz w:val="32"/>
        </w:rPr>
        <w:t>一、收入支出决算总体情况说明</w:t>
      </w:r>
    </w:p>
    <w:p w14:paraId="3276091D">
      <w:pPr>
        <w:spacing w:line="580" w:lineRule="exact"/>
        <w:ind w:firstLine="640"/>
        <w:jc w:val="both"/>
      </w:pPr>
      <w:r>
        <w:rPr>
          <w:rFonts w:ascii="仿宋_GB2312" w:hAnsi="仿宋_GB2312" w:eastAsia="仿宋_GB2312"/>
          <w:b/>
          <w:sz w:val="32"/>
        </w:rPr>
        <w:t>2025年度收入总计945.74万元，</w:t>
      </w:r>
      <w:r>
        <w:rPr>
          <w:rFonts w:ascii="仿宋_GB2312" w:hAnsi="仿宋_GB2312" w:eastAsia="仿宋_GB2312"/>
          <w:b w:val="0"/>
          <w:sz w:val="32"/>
        </w:rPr>
        <w:t>其中：本年收入合计906.75万元，使用非财政拨款结余（含专用结余）0.00万元，年初结转和结余38.99万元。</w:t>
      </w:r>
    </w:p>
    <w:p w14:paraId="2B9F874A">
      <w:pPr>
        <w:spacing w:line="580" w:lineRule="exact"/>
        <w:ind w:firstLine="640"/>
        <w:jc w:val="both"/>
      </w:pPr>
      <w:r>
        <w:rPr>
          <w:rFonts w:ascii="仿宋_GB2312" w:hAnsi="仿宋_GB2312" w:eastAsia="仿宋_GB2312"/>
          <w:b/>
          <w:sz w:val="32"/>
        </w:rPr>
        <w:t>2025年度支出总计945.74万元，</w:t>
      </w:r>
      <w:r>
        <w:rPr>
          <w:rFonts w:ascii="仿宋_GB2312" w:hAnsi="仿宋_GB2312" w:eastAsia="仿宋_GB2312"/>
          <w:b w:val="0"/>
          <w:sz w:val="32"/>
        </w:rPr>
        <w:t>其中：本年支出合计906.60万元，结余分配0.00万元，年末结转和结余39.13万元。</w:t>
      </w:r>
    </w:p>
    <w:p w14:paraId="2152E5A9">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增加51.18万元，增长5.72%，主要原因是：本年在职人员工资调增，社保、公积金基数调增，人员经费增加。本年增加生态环境违法行为举报奖励资金等项目。</w:t>
      </w:r>
    </w:p>
    <w:p w14:paraId="53D4DA36">
      <w:pPr>
        <w:spacing w:line="640" w:lineRule="exact"/>
        <w:ind w:firstLine="640"/>
        <w:jc w:val="both"/>
        <w:outlineLvl w:val="2"/>
      </w:pPr>
      <w:r>
        <w:rPr>
          <w:rFonts w:ascii="黑体" w:hAnsi="黑体" w:eastAsia="黑体"/>
          <w:sz w:val="32"/>
        </w:rPr>
        <w:t>二、收入决算情况说明</w:t>
      </w:r>
    </w:p>
    <w:p w14:paraId="6F11D127">
      <w:pPr>
        <w:spacing w:line="580" w:lineRule="exact"/>
        <w:ind w:firstLine="640"/>
        <w:jc w:val="both"/>
      </w:pPr>
      <w:r>
        <w:rPr>
          <w:rFonts w:ascii="仿宋_GB2312" w:hAnsi="仿宋_GB2312" w:eastAsia="仿宋_GB2312"/>
          <w:b/>
          <w:sz w:val="32"/>
        </w:rPr>
        <w:t>本年收入906.75万元，</w:t>
      </w:r>
      <w:r>
        <w:rPr>
          <w:rFonts w:ascii="仿宋_GB2312" w:hAnsi="仿宋_GB2312" w:eastAsia="仿宋_GB2312"/>
          <w:b w:val="0"/>
          <w:sz w:val="32"/>
        </w:rPr>
        <w:t>其中：财政拨款收入906.60万元，占99.98%；上级补助收入0.00万元，占0.00%；事业收入0.00万元，占0.00%；经营收入0.00万元，占0.00%；附属单位上缴收入0.00万元，占0.00%；其他收入0.14万元，占0.02%。</w:t>
      </w:r>
    </w:p>
    <w:p w14:paraId="18D1AE3A">
      <w:pPr>
        <w:spacing w:line="640" w:lineRule="exact"/>
        <w:ind w:firstLine="640"/>
        <w:jc w:val="both"/>
        <w:outlineLvl w:val="2"/>
      </w:pPr>
      <w:r>
        <w:rPr>
          <w:rFonts w:ascii="黑体" w:hAnsi="黑体" w:eastAsia="黑体"/>
          <w:sz w:val="32"/>
        </w:rPr>
        <w:t>三、支出决算情况说明</w:t>
      </w:r>
    </w:p>
    <w:p w14:paraId="56B6C39D">
      <w:pPr>
        <w:spacing w:line="580" w:lineRule="exact"/>
        <w:ind w:firstLine="640"/>
        <w:jc w:val="both"/>
      </w:pPr>
      <w:r>
        <w:rPr>
          <w:rFonts w:ascii="仿宋_GB2312" w:hAnsi="仿宋_GB2312" w:eastAsia="仿宋_GB2312"/>
          <w:b/>
          <w:sz w:val="32"/>
        </w:rPr>
        <w:t>本年支出906.60万元，</w:t>
      </w:r>
      <w:r>
        <w:rPr>
          <w:rFonts w:ascii="仿宋_GB2312" w:hAnsi="仿宋_GB2312" w:eastAsia="仿宋_GB2312"/>
          <w:b w:val="0"/>
          <w:sz w:val="32"/>
        </w:rPr>
        <w:t>其中：基本支出810.70万元，占89.42%；项目支出95.90万元，占10.58%；上缴上级支出0.00万元，占0.00%；经营支出0.00万元，占0.00%；对附属单位补助支出0.00万元，占0.00%。</w:t>
      </w:r>
    </w:p>
    <w:p w14:paraId="20EC665D">
      <w:pPr>
        <w:spacing w:line="640" w:lineRule="exact"/>
        <w:ind w:firstLine="640"/>
        <w:jc w:val="both"/>
        <w:outlineLvl w:val="2"/>
      </w:pPr>
      <w:r>
        <w:rPr>
          <w:rFonts w:ascii="黑体" w:hAnsi="黑体" w:eastAsia="黑体"/>
          <w:sz w:val="32"/>
        </w:rPr>
        <w:t>四、财政拨款收入支出决算总体情况说明</w:t>
      </w:r>
    </w:p>
    <w:p w14:paraId="44C2E8EB">
      <w:pPr>
        <w:spacing w:line="580" w:lineRule="exact"/>
        <w:ind w:firstLine="640"/>
        <w:jc w:val="both"/>
      </w:pPr>
      <w:r>
        <w:rPr>
          <w:rFonts w:ascii="仿宋_GB2312" w:hAnsi="仿宋_GB2312" w:eastAsia="仿宋_GB2312"/>
          <w:b/>
          <w:sz w:val="32"/>
        </w:rPr>
        <w:t>2025年度财政拨款收入总计906.60万元，</w:t>
      </w:r>
      <w:r>
        <w:rPr>
          <w:rFonts w:ascii="仿宋_GB2312" w:hAnsi="仿宋_GB2312" w:eastAsia="仿宋_GB2312"/>
          <w:b w:val="0"/>
          <w:sz w:val="32"/>
        </w:rPr>
        <w:t>其中：年初财政拨款结转和结余0.00万元，本年财政拨款收入906.60万元。</w:t>
      </w:r>
      <w:r>
        <w:rPr>
          <w:rFonts w:ascii="仿宋_GB2312" w:hAnsi="仿宋_GB2312" w:eastAsia="仿宋_GB2312"/>
          <w:b/>
          <w:sz w:val="32"/>
        </w:rPr>
        <w:t>财政拨款支出总计906.60万元，</w:t>
      </w:r>
      <w:r>
        <w:rPr>
          <w:rFonts w:ascii="仿宋_GB2312" w:hAnsi="仿宋_GB2312" w:eastAsia="仿宋_GB2312"/>
          <w:b w:val="0"/>
          <w:sz w:val="32"/>
        </w:rPr>
        <w:t>其中：年末财政拨款结转和结余0.00万元，本年财政拨款支出906.60万元。</w:t>
      </w:r>
    </w:p>
    <w:p w14:paraId="7A533A1A">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增加51.02万元，增长5.96%，主要原因是：本年在职人员工资调增，社保、公积金基数调增，人员经费增加。本年增加生态环境违法行为举报奖励资金等项目。</w:t>
      </w:r>
      <w:r>
        <w:rPr>
          <w:rFonts w:ascii="仿宋_GB2312" w:hAnsi="仿宋_GB2312" w:eastAsia="仿宋_GB2312"/>
          <w:b/>
          <w:sz w:val="32"/>
        </w:rPr>
        <w:t>与年初预算相比，</w:t>
      </w:r>
      <w:r>
        <w:rPr>
          <w:rFonts w:ascii="仿宋_GB2312" w:hAnsi="仿宋_GB2312" w:eastAsia="仿宋_GB2312"/>
          <w:b w:val="0"/>
          <w:sz w:val="32"/>
        </w:rPr>
        <w:t>年初预算数796.27万元，决算数906.60万元，预决算差异率13.86%，主要原因是：年中追加退休人员的职业年金、追加了生态环境违法行为举报奖励资金等，导致预决算存在差异。</w:t>
      </w:r>
    </w:p>
    <w:p w14:paraId="7C73ADB3">
      <w:pPr>
        <w:spacing w:line="640" w:lineRule="exact"/>
        <w:ind w:firstLine="640"/>
        <w:jc w:val="both"/>
        <w:outlineLvl w:val="2"/>
      </w:pPr>
      <w:r>
        <w:rPr>
          <w:rFonts w:ascii="黑体" w:hAnsi="黑体" w:eastAsia="黑体"/>
          <w:sz w:val="32"/>
        </w:rPr>
        <w:t>五、一般公共预算财政拨款支出决算情况说明</w:t>
      </w:r>
    </w:p>
    <w:p w14:paraId="3A7C6C2F">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生态环境违法行为举报奖励、环境污染监管监控、执法监测技术服务等重点支出，体现在有关支出科目中。</w:t>
      </w:r>
    </w:p>
    <w:p w14:paraId="1833D2AF">
      <w:pPr>
        <w:spacing w:line="580" w:lineRule="exact"/>
        <w:ind w:firstLine="640"/>
        <w:jc w:val="both"/>
      </w:pPr>
      <w:r>
        <w:rPr>
          <w:rFonts w:ascii="仿宋_GB2312" w:hAnsi="仿宋_GB2312" w:eastAsia="仿宋_GB2312"/>
          <w:b w:val="0"/>
          <w:sz w:val="32"/>
        </w:rPr>
        <w:t>按照支出功能分类，节能环保支出（类）污染减排（款）生态环境监测与信息（项）的支出占本年财政拨款支出总额的比重最高，2025年度决算数为655.20万元，占比72.27%，主要用于人员工资、生态环境违法行为举报奖励资金、环境污染监管监控资金项目。</w:t>
      </w:r>
    </w:p>
    <w:p w14:paraId="7C0C05B2">
      <w:pPr>
        <w:spacing w:line="640" w:lineRule="exact"/>
        <w:ind w:firstLine="640"/>
        <w:jc w:val="both"/>
        <w:outlineLvl w:val="3"/>
      </w:pPr>
      <w:r>
        <w:rPr>
          <w:rFonts w:ascii="楷体_GB2312" w:hAnsi="楷体_GB2312" w:eastAsia="楷体_GB2312"/>
          <w:b/>
          <w:sz w:val="32"/>
        </w:rPr>
        <w:t>（一）一般公共预算财政拨款支出决算总体情况</w:t>
      </w:r>
    </w:p>
    <w:p w14:paraId="6B0B1C26">
      <w:pPr>
        <w:spacing w:line="580" w:lineRule="exact"/>
        <w:ind w:firstLine="640"/>
        <w:jc w:val="both"/>
      </w:pPr>
      <w:r>
        <w:rPr>
          <w:rFonts w:ascii="仿宋_GB2312" w:hAnsi="仿宋_GB2312" w:eastAsia="仿宋_GB2312"/>
          <w:b/>
          <w:sz w:val="32"/>
        </w:rPr>
        <w:t>2025年度一般公共预算财政拨款支出906.60万元，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增加51.02万元，增长5.96%，主要原因是：本年在职人员工资调增，社保、公积金基数调增，人员经费增加。本年增加生态环境违法行为举报奖励资金等项目。</w:t>
      </w:r>
      <w:r>
        <w:rPr>
          <w:rFonts w:ascii="仿宋_GB2312" w:hAnsi="仿宋_GB2312" w:eastAsia="仿宋_GB2312"/>
          <w:b/>
          <w:sz w:val="32"/>
        </w:rPr>
        <w:t>与年初预算相比，</w:t>
      </w:r>
      <w:r>
        <w:rPr>
          <w:rFonts w:ascii="仿宋_GB2312" w:hAnsi="仿宋_GB2312" w:eastAsia="仿宋_GB2312"/>
          <w:b w:val="0"/>
          <w:sz w:val="32"/>
        </w:rPr>
        <w:t>年初预算数796.27万元，决算数906.60万元，预决算差异率13.86%，主要原因是：年中追加退休人员的职业年金、追加了生态环境违法行为举报奖励资金等，导致预决算存在差异。</w:t>
      </w:r>
    </w:p>
    <w:p w14:paraId="2D553650">
      <w:pPr>
        <w:spacing w:line="640" w:lineRule="exact"/>
        <w:ind w:firstLine="640"/>
        <w:jc w:val="both"/>
        <w:outlineLvl w:val="3"/>
      </w:pPr>
      <w:r>
        <w:rPr>
          <w:rFonts w:ascii="楷体_GB2312" w:hAnsi="楷体_GB2312" w:eastAsia="楷体_GB2312"/>
          <w:b/>
          <w:sz w:val="32"/>
        </w:rPr>
        <w:t>（二）一般公共预算财政拨款支出决算结构情况</w:t>
      </w:r>
    </w:p>
    <w:p w14:paraId="76E7B057">
      <w:pPr>
        <w:spacing w:line="580" w:lineRule="exact"/>
        <w:ind w:firstLine="640"/>
        <w:jc w:val="both"/>
      </w:pPr>
      <w:r>
        <w:rPr>
          <w:rFonts w:ascii="仿宋_GB2312" w:hAnsi="仿宋_GB2312" w:eastAsia="仿宋_GB2312"/>
          <w:b w:val="0"/>
          <w:sz w:val="32"/>
        </w:rPr>
        <w:t>1.社会保障和就业支出（类）106.36万元，占11.73%。</w:t>
      </w:r>
    </w:p>
    <w:p w14:paraId="3C64158D">
      <w:pPr>
        <w:spacing w:line="580" w:lineRule="exact"/>
        <w:ind w:firstLine="640"/>
        <w:jc w:val="both"/>
      </w:pPr>
      <w:r>
        <w:rPr>
          <w:rFonts w:ascii="仿宋_GB2312" w:hAnsi="仿宋_GB2312" w:eastAsia="仿宋_GB2312"/>
          <w:b w:val="0"/>
          <w:sz w:val="32"/>
        </w:rPr>
        <w:t>2.卫生健康支出（类）46.54万元，占5.13%。</w:t>
      </w:r>
    </w:p>
    <w:p w14:paraId="3EC5EC46">
      <w:pPr>
        <w:spacing w:line="580" w:lineRule="exact"/>
        <w:ind w:firstLine="640"/>
        <w:jc w:val="both"/>
      </w:pPr>
      <w:r>
        <w:rPr>
          <w:rFonts w:ascii="仿宋_GB2312" w:hAnsi="仿宋_GB2312" w:eastAsia="仿宋_GB2312"/>
          <w:b w:val="0"/>
          <w:sz w:val="32"/>
        </w:rPr>
        <w:t>3.节能环保支出（类）701.30万元，占77.35%。</w:t>
      </w:r>
    </w:p>
    <w:p w14:paraId="489A3D56">
      <w:pPr>
        <w:spacing w:line="580" w:lineRule="exact"/>
        <w:ind w:firstLine="640"/>
        <w:jc w:val="both"/>
      </w:pPr>
      <w:r>
        <w:rPr>
          <w:rFonts w:ascii="仿宋_GB2312" w:hAnsi="仿宋_GB2312" w:eastAsia="仿宋_GB2312"/>
          <w:b w:val="0"/>
          <w:sz w:val="32"/>
        </w:rPr>
        <w:t>4.资源勘探工业信息等支出（类）1.97万元，占0.22%。</w:t>
      </w:r>
    </w:p>
    <w:p w14:paraId="009603AA">
      <w:pPr>
        <w:spacing w:line="580" w:lineRule="exact"/>
        <w:ind w:firstLine="640"/>
        <w:jc w:val="both"/>
      </w:pPr>
      <w:r>
        <w:rPr>
          <w:rFonts w:ascii="仿宋_GB2312" w:hAnsi="仿宋_GB2312" w:eastAsia="仿宋_GB2312"/>
          <w:b w:val="0"/>
          <w:sz w:val="32"/>
        </w:rPr>
        <w:t>5.住房保障支出（类）50.44万元，占5.56%。</w:t>
      </w:r>
    </w:p>
    <w:p w14:paraId="7CC25470">
      <w:pPr>
        <w:spacing w:line="640" w:lineRule="exact"/>
        <w:ind w:firstLine="640"/>
        <w:jc w:val="both"/>
        <w:outlineLvl w:val="3"/>
      </w:pPr>
      <w:r>
        <w:rPr>
          <w:rFonts w:ascii="楷体_GB2312" w:hAnsi="楷体_GB2312" w:eastAsia="楷体_GB2312"/>
          <w:b/>
          <w:sz w:val="32"/>
        </w:rPr>
        <w:t>（三）一般公共预算财政拨款支出决算具体情况</w:t>
      </w:r>
    </w:p>
    <w:p w14:paraId="07BDE46B">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13.52万元，比上年决算增加4.96万元，增长57.94%，主要原因是：本年退休人员增加，退休人员采暖费增加，相应支出增加。</w:t>
      </w:r>
    </w:p>
    <w:p w14:paraId="03081655">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61.89万元，比上年决算减少5.97万元，下降8.80%，主要原因是：本年在职人员调入调出，人员职级不同，缴费基数不同，导致养老保险缴费较上年减少。</w:t>
      </w:r>
    </w:p>
    <w:p w14:paraId="6D1759DF">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30.95万元，比上年决算减少10.63万元，下降25.57%，主要原因是：本年在职转退休人员较上年减少，职业年金缴费较上年减少。</w:t>
      </w:r>
    </w:p>
    <w:p w14:paraId="194EB7EB">
      <w:pPr>
        <w:spacing w:line="580" w:lineRule="exact"/>
        <w:ind w:firstLine="640"/>
        <w:jc w:val="both"/>
      </w:pPr>
      <w:r>
        <w:rPr>
          <w:rFonts w:ascii="仿宋_GB2312" w:hAnsi="仿宋_GB2312" w:eastAsia="仿宋_GB2312"/>
          <w:b w:val="0"/>
          <w:sz w:val="32"/>
        </w:rPr>
        <w:t>4.卫生健康支出（类）行政事业单位医疗（款）行政单位医疗（项）：支出决算数为26.59万元，比上年决算增加2.35万元，增长9.69%，主要原因是：本年有3名职工由事业人员调入本单位参照公务员管理人员，相关经费增加。</w:t>
      </w:r>
    </w:p>
    <w:p w14:paraId="485F5180">
      <w:pPr>
        <w:spacing w:line="580" w:lineRule="exact"/>
        <w:ind w:firstLine="640"/>
        <w:jc w:val="both"/>
      </w:pPr>
      <w:r>
        <w:rPr>
          <w:rFonts w:ascii="仿宋_GB2312" w:hAnsi="仿宋_GB2312" w:eastAsia="仿宋_GB2312"/>
          <w:b w:val="0"/>
          <w:sz w:val="32"/>
        </w:rPr>
        <w:t>5.卫生健康支出（类）行政事业单位医疗（款）事业单位医疗（项）：支出决算数为4.36万元，比上年决算减少7.76万元，下降64.03%，主要原因是：本年有3名职工由事业人员调入本单位参照公务员管理人员，故相关经费减少。</w:t>
      </w:r>
    </w:p>
    <w:p w14:paraId="2C6463AF">
      <w:pPr>
        <w:spacing w:line="580" w:lineRule="exact"/>
        <w:ind w:firstLine="640"/>
        <w:jc w:val="both"/>
      </w:pPr>
      <w:r>
        <w:rPr>
          <w:rFonts w:ascii="仿宋_GB2312" w:hAnsi="仿宋_GB2312" w:eastAsia="仿宋_GB2312"/>
          <w:b w:val="0"/>
          <w:sz w:val="32"/>
        </w:rPr>
        <w:t>6.卫生健康支出（类）行政事业单位医疗（款）公务员医疗补助（项）：支出决算数为15.18万元，比上年决算增加13.07万元，增长619.43%，主要原因是：本年在职人员工资基数调增，医疗缴费基数上涨，相应支出增加。</w:t>
      </w:r>
    </w:p>
    <w:p w14:paraId="63C4D726">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0.41万元，比上年决算增加0.04万元，增长10.81%，主要原因是：本年在职人员工资基数调增，医疗缴费基数上涨，相应支出增加。</w:t>
      </w:r>
    </w:p>
    <w:p w14:paraId="3658C53F">
      <w:pPr>
        <w:spacing w:line="580" w:lineRule="exact"/>
        <w:ind w:firstLine="640"/>
        <w:jc w:val="both"/>
      </w:pPr>
      <w:r>
        <w:rPr>
          <w:rFonts w:ascii="仿宋_GB2312" w:hAnsi="仿宋_GB2312" w:eastAsia="仿宋_GB2312"/>
          <w:b w:val="0"/>
          <w:sz w:val="32"/>
        </w:rPr>
        <w:t>8.节能环保支出（类）污染减排（款）生态环境监测与信息（项）：支出决算数为655.20万元，比上年决算增加48.46万元，增长7.99%，主要原因是：本年在职人员增加，人员经费较上年有所增加。</w:t>
      </w:r>
    </w:p>
    <w:p w14:paraId="57B6B16C">
      <w:pPr>
        <w:spacing w:line="580" w:lineRule="exact"/>
        <w:ind w:firstLine="640"/>
        <w:jc w:val="both"/>
      </w:pPr>
      <w:r>
        <w:rPr>
          <w:rFonts w:ascii="仿宋_GB2312" w:hAnsi="仿宋_GB2312" w:eastAsia="仿宋_GB2312"/>
          <w:b w:val="0"/>
          <w:sz w:val="32"/>
        </w:rPr>
        <w:t>9.节能环保支出（类）污染减排（款）清洁生产专项支出（项）：支出决算数为0.00万元，比上年决算减少14.50万元，下降100.00%，主要原因是：本年减少聘请专家开展核查评估项目。</w:t>
      </w:r>
    </w:p>
    <w:p w14:paraId="53C90E97">
      <w:pPr>
        <w:spacing w:line="580" w:lineRule="exact"/>
        <w:ind w:firstLine="640"/>
        <w:jc w:val="both"/>
      </w:pPr>
      <w:r>
        <w:rPr>
          <w:rFonts w:ascii="仿宋_GB2312" w:hAnsi="仿宋_GB2312" w:eastAsia="仿宋_GB2312"/>
          <w:b w:val="0"/>
          <w:sz w:val="32"/>
        </w:rPr>
        <w:t>10.节能环保支出（类）污染减排（款）其他污染减排支出（项）：支出决算数为46.10万元，比上年决算增加22.70万元，增长97.01%，主要原因是：执法监测技术服务项目较上年安排有所增加。</w:t>
      </w:r>
    </w:p>
    <w:p w14:paraId="17BCCB69">
      <w:pPr>
        <w:spacing w:line="580" w:lineRule="exact"/>
        <w:ind w:firstLine="640"/>
        <w:jc w:val="both"/>
      </w:pPr>
      <w:r>
        <w:rPr>
          <w:rFonts w:ascii="仿宋_GB2312" w:hAnsi="仿宋_GB2312" w:eastAsia="仿宋_GB2312"/>
          <w:b w:val="0"/>
          <w:sz w:val="32"/>
        </w:rPr>
        <w:t>11.资源勘探工业信息等支出（类）制造业（款）通信设备、计算机及其他电子设备制造业（项）：支出决算数为1.97万元，比上年决算增加1.97万元，增长100.00%，主要原因是：本年较上年增加了专项项目。</w:t>
      </w:r>
    </w:p>
    <w:p w14:paraId="662B8F3B">
      <w:pPr>
        <w:spacing w:line="580" w:lineRule="exact"/>
        <w:ind w:firstLine="640"/>
        <w:jc w:val="both"/>
      </w:pPr>
      <w:r>
        <w:rPr>
          <w:rFonts w:ascii="仿宋_GB2312" w:hAnsi="仿宋_GB2312" w:eastAsia="仿宋_GB2312"/>
          <w:b w:val="0"/>
          <w:sz w:val="32"/>
        </w:rPr>
        <w:t>12.住房保障支出（类）住房改革支出（款）住房公积金（项）：支出决算数为50.44万元，比上年决算减少3.67万元，下降6.78%，主要原因是：本年在职人员调入调出，人员职级不同，缴费基数不同，导致住房公积金较上年减少。</w:t>
      </w:r>
    </w:p>
    <w:p w14:paraId="746F4D99">
      <w:pPr>
        <w:spacing w:line="640" w:lineRule="exact"/>
        <w:ind w:firstLine="640"/>
        <w:jc w:val="both"/>
        <w:outlineLvl w:val="2"/>
      </w:pPr>
      <w:r>
        <w:rPr>
          <w:rFonts w:ascii="黑体" w:hAnsi="黑体" w:eastAsia="黑体"/>
          <w:sz w:val="32"/>
        </w:rPr>
        <w:t>六、一般公共预算财政拨款基本支出决算情况说明</w:t>
      </w:r>
    </w:p>
    <w:p w14:paraId="1588AA4D">
      <w:pPr>
        <w:spacing w:line="580" w:lineRule="exact"/>
        <w:ind w:firstLine="640"/>
        <w:jc w:val="both"/>
      </w:pPr>
      <w:r>
        <w:rPr>
          <w:rFonts w:ascii="仿宋_GB2312" w:hAnsi="仿宋_GB2312" w:eastAsia="仿宋_GB2312"/>
          <w:b w:val="0"/>
          <w:sz w:val="32"/>
        </w:rPr>
        <w:t>2025年度一般公共预算财政拨款基本支出810.70万元，其中：</w:t>
      </w:r>
      <w:r>
        <w:rPr>
          <w:rFonts w:ascii="仿宋_GB2312" w:hAnsi="仿宋_GB2312" w:eastAsia="仿宋_GB2312"/>
          <w:b/>
          <w:sz w:val="32"/>
        </w:rPr>
        <w:t>人员经费641.18万元，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405FE831">
      <w:pPr>
        <w:spacing w:line="580" w:lineRule="exact"/>
        <w:ind w:firstLine="640"/>
        <w:jc w:val="both"/>
      </w:pPr>
      <w:r>
        <w:rPr>
          <w:rFonts w:ascii="仿宋_GB2312" w:hAnsi="仿宋_GB2312" w:eastAsia="仿宋_GB2312"/>
          <w:b/>
          <w:sz w:val="32"/>
        </w:rPr>
        <w:t>公用经费169.52万元，</w:t>
      </w:r>
      <w:r>
        <w:rPr>
          <w:rFonts w:ascii="仿宋_GB2312" w:hAnsi="仿宋_GB2312" w:eastAsia="仿宋_GB2312"/>
          <w:b w:val="0"/>
          <w:sz w:val="32"/>
        </w:rPr>
        <w:t>包括：办公费、印刷费、电费、邮电费、差旅费、维修（护）费、劳务费、工会经费、福利费、公务用车运行维护费、其他交通费用、税金及附加费用、其他商品和服务支出。</w:t>
      </w:r>
    </w:p>
    <w:p w14:paraId="734CD504">
      <w:pPr>
        <w:spacing w:line="640" w:lineRule="exact"/>
        <w:ind w:firstLine="640"/>
        <w:jc w:val="both"/>
        <w:outlineLvl w:val="2"/>
      </w:pPr>
      <w:r>
        <w:rPr>
          <w:rFonts w:ascii="黑体" w:hAnsi="黑体" w:eastAsia="黑体"/>
          <w:sz w:val="32"/>
        </w:rPr>
        <w:t>七、政府性基金预算财政拨款收入支出决算情况说明</w:t>
      </w:r>
    </w:p>
    <w:p w14:paraId="0007570D">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A441C28">
      <w:pPr>
        <w:spacing w:line="640" w:lineRule="exact"/>
        <w:ind w:firstLine="640"/>
        <w:jc w:val="both"/>
        <w:outlineLvl w:val="2"/>
      </w:pPr>
      <w:r>
        <w:rPr>
          <w:rFonts w:ascii="黑体" w:hAnsi="黑体" w:eastAsia="黑体"/>
          <w:sz w:val="32"/>
        </w:rPr>
        <w:t>八、国有资本经营预算财政拨款收入支出决算情况说明</w:t>
      </w:r>
    </w:p>
    <w:p w14:paraId="546B56AC">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535CEB4">
      <w:pPr>
        <w:spacing w:line="640" w:lineRule="exact"/>
        <w:ind w:firstLine="640"/>
        <w:jc w:val="both"/>
        <w:outlineLvl w:val="2"/>
      </w:pPr>
      <w:r>
        <w:rPr>
          <w:rFonts w:ascii="黑体" w:hAnsi="黑体" w:eastAsia="黑体"/>
          <w:sz w:val="32"/>
        </w:rPr>
        <w:t>九、财政拨款“三公”经费支出决算情况说明</w:t>
      </w:r>
    </w:p>
    <w:p w14:paraId="2DDF2E7B">
      <w:pPr>
        <w:spacing w:line="580" w:lineRule="exact"/>
        <w:ind w:firstLine="640"/>
        <w:jc w:val="both"/>
      </w:pPr>
      <w:r>
        <w:rPr>
          <w:rFonts w:ascii="仿宋_GB2312" w:hAnsi="仿宋_GB2312" w:eastAsia="仿宋_GB2312"/>
          <w:b/>
          <w:sz w:val="32"/>
        </w:rPr>
        <w:t>2025年度财政拨款“三公”经费支出7.99万元，</w:t>
      </w:r>
      <w:r>
        <w:rPr>
          <w:rFonts w:ascii="仿宋_GB2312" w:hAnsi="仿宋_GB2312" w:eastAsia="仿宋_GB2312"/>
          <w:b w:val="0"/>
          <w:sz w:val="32"/>
        </w:rPr>
        <w:t>比上年增加1.99万元，增长33.17%，主要原因是：财政根据单位车辆实有数，结合因业务需求，用车次数增加，燃油费增加，导致公务用车运行维护费较上年增加。其中：因公出国（境）费用支出0.00万元，占0.00%，比上年增加0.00万元，增长0.00%，主要原因是：2024年与2025年均无因公出国（境）费用支出。公务用车购置及运行维护费支出7.99万元，占100.00%，比上年增加1.99万元，增长33.17%，主要原因是：财政根据单位车辆实有数，结合因业务需求，用车次数增加，燃油费增加，导致公务用车运行维护费较上年增加。公务接待费支出0.00万元，占0.00%，比上年增加0.00万元，增长0.00%，主要原因是：2024年与2025年均无公务接待费支出。</w:t>
      </w:r>
    </w:p>
    <w:p w14:paraId="08375B43">
      <w:pPr>
        <w:spacing w:line="580" w:lineRule="exact"/>
        <w:ind w:firstLine="640"/>
        <w:jc w:val="both"/>
      </w:pPr>
      <w:r>
        <w:rPr>
          <w:rFonts w:ascii="仿宋_GB2312" w:hAnsi="仿宋_GB2312" w:eastAsia="仿宋_GB2312"/>
          <w:b/>
          <w:sz w:val="32"/>
        </w:rPr>
        <w:t>具体情况如下：</w:t>
      </w:r>
    </w:p>
    <w:p w14:paraId="3F7A384B">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42D0C626">
      <w:pPr>
        <w:spacing w:line="580" w:lineRule="exact"/>
        <w:ind w:firstLine="640"/>
        <w:jc w:val="both"/>
      </w:pPr>
      <w:r>
        <w:rPr>
          <w:rFonts w:ascii="仿宋_GB2312" w:hAnsi="仿宋_GB2312" w:eastAsia="仿宋_GB2312"/>
          <w:b w:val="0"/>
          <w:sz w:val="32"/>
        </w:rPr>
        <w:t>公务用车购置及运行维护费7.99万元，其中：公务用车购置费0.00万元，公务用车运行维护费7.99万元。公务用车运行维护费开支内容包括车辆加油费、维修费、保险费、审车费、过路费。公务用车购置数0辆，公务用车保有量6辆。国有资产占用情况中固定资产车辆6辆，与公务用车保有量差异原因是：本单位公务用车保有量与固定资产车辆一致无差异。</w:t>
      </w:r>
    </w:p>
    <w:p w14:paraId="3BFADDE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130926D9">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7.99万元，决算数7.99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7.99万元，决算数7.99万元，预决算差异率0.00%，主要原因是：严格按照预算执行，预决算无差异。公务接待费全年预算数0.00万元，决算数0.00万元，预决算差异率0.00%，主要原因是：本单位无公务接待费。</w:t>
      </w:r>
    </w:p>
    <w:p w14:paraId="4C33A8C7">
      <w:pPr>
        <w:spacing w:line="640" w:lineRule="exact"/>
        <w:ind w:firstLine="640"/>
        <w:jc w:val="both"/>
        <w:outlineLvl w:val="2"/>
      </w:pPr>
      <w:r>
        <w:rPr>
          <w:rFonts w:ascii="黑体" w:hAnsi="黑体" w:eastAsia="黑体"/>
          <w:sz w:val="32"/>
        </w:rPr>
        <w:t>十、其他重要事项的情况说明</w:t>
      </w:r>
    </w:p>
    <w:p w14:paraId="16CFA0EB">
      <w:pPr>
        <w:spacing w:line="640" w:lineRule="exact"/>
        <w:ind w:firstLine="640"/>
        <w:jc w:val="both"/>
        <w:outlineLvl w:val="3"/>
      </w:pPr>
      <w:r>
        <w:rPr>
          <w:rFonts w:ascii="楷体_GB2312" w:hAnsi="楷体_GB2312" w:eastAsia="楷体_GB2312"/>
          <w:b/>
          <w:sz w:val="32"/>
        </w:rPr>
        <w:t>（一）机关运行经费及公用经费支出情况</w:t>
      </w:r>
    </w:p>
    <w:p w14:paraId="4EA5A5B0">
      <w:pPr>
        <w:spacing w:line="580" w:lineRule="exact"/>
        <w:ind w:firstLine="640"/>
        <w:jc w:val="both"/>
      </w:pPr>
      <w:r>
        <w:rPr>
          <w:rFonts w:ascii="仿宋_GB2312" w:hAnsi="仿宋_GB2312" w:eastAsia="仿宋_GB2312"/>
          <w:b w:val="0"/>
          <w:sz w:val="32"/>
        </w:rPr>
        <w:t>2025年度昌吉州生态环境保护综合行政执法支队（事业单位）公用经费支出169.52万元，比上年增加115.99万元，增长216.68%，主要原因是：本年增加劳务经费，导致公用经费增加。</w:t>
      </w:r>
    </w:p>
    <w:p w14:paraId="673646F8">
      <w:pPr>
        <w:spacing w:line="640" w:lineRule="exact"/>
        <w:ind w:firstLine="640"/>
        <w:jc w:val="both"/>
        <w:outlineLvl w:val="3"/>
      </w:pPr>
      <w:r>
        <w:rPr>
          <w:rFonts w:ascii="楷体_GB2312" w:hAnsi="楷体_GB2312" w:eastAsia="楷体_GB2312"/>
          <w:b/>
          <w:sz w:val="32"/>
        </w:rPr>
        <w:t>（二）政府采购情况</w:t>
      </w:r>
    </w:p>
    <w:p w14:paraId="519733AC">
      <w:pPr>
        <w:spacing w:line="580" w:lineRule="exact"/>
        <w:ind w:firstLine="640"/>
        <w:jc w:val="both"/>
      </w:pPr>
      <w:r>
        <w:rPr>
          <w:rFonts w:ascii="仿宋_GB2312" w:hAnsi="仿宋_GB2312" w:eastAsia="仿宋_GB2312"/>
          <w:b w:val="0"/>
          <w:sz w:val="32"/>
        </w:rPr>
        <w:t>2025年度政府采购支出总额34.44万元，其中：政府采购货物支出1.56万元、政府采购工程支出0.00万元、政府采购服务支出32.87万元。</w:t>
      </w:r>
    </w:p>
    <w:p w14:paraId="59120CF2">
      <w:pPr>
        <w:spacing w:line="580" w:lineRule="exact"/>
        <w:ind w:firstLine="640"/>
        <w:jc w:val="both"/>
      </w:pPr>
      <w:r>
        <w:rPr>
          <w:rFonts w:ascii="仿宋_GB2312" w:hAnsi="仿宋_GB2312" w:eastAsia="仿宋_GB2312"/>
          <w:b w:val="0"/>
          <w:sz w:val="32"/>
        </w:rPr>
        <w:t>授予中小企业合同金额14.89万元，占政府采购支出总额的43.23%，其中：授予小微企业合同金额10.89万元，占政府采购支出总额的31.62%。</w:t>
      </w:r>
    </w:p>
    <w:p w14:paraId="6135D041">
      <w:pPr>
        <w:spacing w:line="640" w:lineRule="exact"/>
        <w:ind w:firstLine="640"/>
        <w:jc w:val="both"/>
        <w:outlineLvl w:val="3"/>
      </w:pPr>
      <w:r>
        <w:rPr>
          <w:rFonts w:ascii="楷体_GB2312" w:hAnsi="楷体_GB2312" w:eastAsia="楷体_GB2312"/>
          <w:b/>
          <w:sz w:val="32"/>
        </w:rPr>
        <w:t>（三）国有资产占用情况说明</w:t>
      </w:r>
    </w:p>
    <w:p w14:paraId="18693148">
      <w:pPr>
        <w:spacing w:line="580" w:lineRule="exact"/>
        <w:ind w:firstLine="640"/>
        <w:jc w:val="both"/>
      </w:pPr>
      <w:r>
        <w:rPr>
          <w:rFonts w:ascii="仿宋_GB2312" w:hAnsi="仿宋_GB2312" w:eastAsia="仿宋_GB2312"/>
          <w:b w:val="0"/>
          <w:sz w:val="32"/>
        </w:rPr>
        <w:t>截至2025年12月31日，房屋0.00平方米，价值0.00万元。车辆6辆，价值151.78万元，其中：副部（省）级及以上领导用车0辆、主要负责人用车0辆、机要通信用车0辆、应急保障用车0辆、执法执勤用车5辆、特种专业技术用车0辆、离退休干部服务用车0辆、其他用车1辆，其他用车主要是：一般公务用车。单价100万元（含）以上设备（不含车辆）0台（套）。</w:t>
      </w:r>
    </w:p>
    <w:p w14:paraId="0E3DD499">
      <w:pPr>
        <w:spacing w:line="640" w:lineRule="exact"/>
        <w:ind w:firstLine="640"/>
        <w:jc w:val="both"/>
        <w:outlineLvl w:val="2"/>
      </w:pPr>
      <w:r>
        <w:rPr>
          <w:rFonts w:ascii="黑体" w:hAnsi="黑体" w:eastAsia="黑体"/>
          <w:sz w:val="32"/>
        </w:rPr>
        <w:t>十一、预算绩效的情况说明</w:t>
      </w:r>
    </w:p>
    <w:p w14:paraId="71FD8A4F">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945.74万元，实际执行总额906.60万元；预算绩效评价项目2个，全年预算数95.60万元，全年执行数93.93万元。预算绩效管理取得的成效：一是旗帜鲜明讲政治，深刻领悟“两个确立”的决定性意义，深刻理解昌吉州在国家生态安全屏障中的重要地位，按照局党组要求，研究制定2025年执法重点，不折不扣贯彻落实党中央、国务院关于生态环境保护的决策部署、区州党委、政府工作安排和州生态环境局党组的工作要求；二是优化机制规范流程，内部运转顺畅高效。领导班子着力构建系统完备、科学规范、运行高效的管理体制和工作机制，确保执法工作规范有序开展；三是严格执法守护生态，环境质量持续改善。领导班子带领全体执法人员严格环境执法检查，全州生态环境质量持续改善。一是严格执法检查。严格落实“双随机”“一公开”制度，州支队全年查处疑难重大、跨区域的生态环境违法行为案件52件。发现的问题及原因：一是我单位部门整体绩效指标设置不科学、不合理，部分目标与部门核心职能结合度不高，绩效指标偏重数据上报数量，对数据质量、污染防控成效等核心指标权重偏低，原因是未能全面深入认识理解绩效管理工作的意义，对绩效目标编制的重要性认识不足，未能将单位履职效能转化为具体、可衡量的产出与结果。绩效管理经验不足，预算绩效管理工作有待进一步落实；二是我单位涉及执法检测专项领域较多，目前依托社会服务力量完成，就现阶段存在项目前期谋划不充分，部分项目前期调研、方案设计、招投标流程推进缓慢，导致资金无法按计划及时支付，或者资金执行进度与目标任务实际完成进度不符。原因是对项目谋划的必要性、紧迫性认识不到位，忽视前期基础工作的重要性。下一步改进措施：一是加强预算绩效目标管理工作。明确预算项目绩效目标编制要求，设置目标时考虑目标的可实现，结合单位职能及年度重点工作，科学设定涵盖“产出指标”和“效益指标”的量化指标。建立科学合理、细化量化、明确清晰、可比可测预算绩效指标体系，突出结果导向，重点考核实绩；二是树立提前谋划、统筹推进、全程监控的项目管理理念，明确项目谋划的重要性，压实各业务科室主体责任，同时加强业务人员培训，提升项目谋划、前期手续办理、方案编制等业务能力，全面提升项目前期工作质效，财务部门与业务部门定期对接，全面分析预算执行进度，对资金执行和任务完成进度偏离度较大的项目及时预警，提前制定应对方案，进一步推动预算绩效管理工作。具体附整体支出绩效自评表、项目支出绩效自评表及项目支出绩效评价报告。</w:t>
      </w:r>
    </w:p>
    <w:p w14:paraId="54AA2A1A">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188A31E3">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C577E9E">
            <w:pPr>
              <w:spacing w:before="0" w:after="0" w:line="240" w:lineRule="auto"/>
              <w:jc w:val="center"/>
            </w:pPr>
            <w:r>
              <w:rPr>
                <w:rFonts w:ascii="宋体" w:hAnsi="宋体" w:eastAsia="宋体" w:cs="宋体"/>
                <w:b w:val="0"/>
                <w:i w:val="0"/>
                <w:sz w:val="18"/>
              </w:rPr>
              <w:t>部门（单位）整体支出绩效目标自评表</w:t>
            </w:r>
          </w:p>
        </w:tc>
      </w:tr>
      <w:tr w14:paraId="5E474CFB">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D1DA012">
            <w:pPr>
              <w:spacing w:before="0" w:after="0" w:line="240" w:lineRule="auto"/>
              <w:jc w:val="center"/>
            </w:pPr>
            <w:r>
              <w:rPr>
                <w:rFonts w:ascii="宋体" w:hAnsi="宋体" w:eastAsia="宋体" w:cs="宋体"/>
                <w:b w:val="0"/>
                <w:i w:val="0"/>
                <w:sz w:val="18"/>
              </w:rPr>
              <w:t>（2025年度）</w:t>
            </w:r>
          </w:p>
        </w:tc>
      </w:tr>
      <w:tr w14:paraId="704F74D0">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EB4ECC">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6CAFC3">
            <w:pPr>
              <w:spacing w:before="0" w:after="0" w:line="240" w:lineRule="auto"/>
              <w:jc w:val="center"/>
            </w:pPr>
            <w:r>
              <w:rPr>
                <w:rFonts w:ascii="宋体" w:hAnsi="宋体" w:eastAsia="宋体" w:cs="宋体"/>
                <w:b w:val="0"/>
                <w:i w:val="0"/>
                <w:sz w:val="18"/>
              </w:rPr>
              <w:t>昌吉州生态环境保护综合行政执法支队</w:t>
            </w:r>
          </w:p>
        </w:tc>
      </w:tr>
      <w:tr w14:paraId="64C07BB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942F43">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7CEA47">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3F69E7">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423CBE">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F56C39">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2A49CA">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86AB73">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FE8987">
            <w:pPr>
              <w:spacing w:before="0" w:after="0" w:line="240" w:lineRule="auto"/>
              <w:jc w:val="center"/>
            </w:pPr>
            <w:r>
              <w:rPr>
                <w:rFonts w:ascii="宋体" w:hAnsi="宋体" w:eastAsia="宋体" w:cs="宋体"/>
                <w:b w:val="0"/>
                <w:i w:val="0"/>
                <w:sz w:val="18"/>
              </w:rPr>
              <w:t>得分</w:t>
            </w:r>
          </w:p>
        </w:tc>
      </w:tr>
      <w:tr w14:paraId="01776BC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F9D8C9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6A0184">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A61979">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EFAF8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BBE940">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DC9DD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653B7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04B245">
            <w:pPr>
              <w:spacing w:before="0" w:after="0" w:line="240" w:lineRule="auto"/>
              <w:jc w:val="center"/>
            </w:pPr>
            <w:r>
              <w:rPr>
                <w:rFonts w:ascii="宋体" w:hAnsi="宋体" w:eastAsia="宋体" w:cs="宋体"/>
                <w:b w:val="0"/>
                <w:i w:val="0"/>
                <w:sz w:val="18"/>
              </w:rPr>
              <w:t>-</w:t>
            </w:r>
          </w:p>
        </w:tc>
      </w:tr>
      <w:tr w14:paraId="6A33018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0A7781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C0BAF9">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7440A0">
            <w:pPr>
              <w:spacing w:before="0" w:after="0" w:line="240" w:lineRule="auto"/>
              <w:jc w:val="center"/>
            </w:pPr>
            <w:r>
              <w:rPr>
                <w:rFonts w:ascii="宋体" w:hAnsi="宋体" w:eastAsia="宋体" w:cs="宋体"/>
                <w:b w:val="0"/>
                <w:i w:val="0"/>
                <w:sz w:val="18"/>
              </w:rPr>
              <w:t>796.27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4C5A58">
            <w:pPr>
              <w:spacing w:before="0" w:after="0" w:line="240" w:lineRule="auto"/>
              <w:jc w:val="center"/>
            </w:pPr>
            <w:r>
              <w:rPr>
                <w:rFonts w:ascii="宋体" w:hAnsi="宋体" w:eastAsia="宋体" w:cs="宋体"/>
                <w:b w:val="0"/>
                <w:i w:val="0"/>
                <w:sz w:val="18"/>
              </w:rPr>
              <w:t>945.74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F55C12">
            <w:pPr>
              <w:spacing w:before="0" w:after="0" w:line="240" w:lineRule="auto"/>
              <w:jc w:val="center"/>
            </w:pPr>
            <w:r>
              <w:rPr>
                <w:rFonts w:ascii="宋体" w:hAnsi="宋体" w:eastAsia="宋体" w:cs="宋体"/>
                <w:b w:val="0"/>
                <w:i w:val="0"/>
                <w:sz w:val="18"/>
              </w:rPr>
              <w:t>906.60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DC3B7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F0F26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1AE03F">
            <w:pPr>
              <w:spacing w:before="0" w:after="0" w:line="240" w:lineRule="auto"/>
              <w:jc w:val="center"/>
            </w:pPr>
            <w:r>
              <w:rPr>
                <w:rFonts w:ascii="宋体" w:hAnsi="宋体" w:eastAsia="宋体" w:cs="宋体"/>
                <w:b w:val="0"/>
                <w:i w:val="0"/>
                <w:sz w:val="18"/>
              </w:rPr>
              <w:t>-</w:t>
            </w:r>
          </w:p>
        </w:tc>
      </w:tr>
      <w:tr w14:paraId="5D50E78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2CBCD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43EAA5">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FFA58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71F6C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3DA966">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D24EC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37BF0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A41129">
            <w:pPr>
              <w:spacing w:before="0" w:after="0" w:line="240" w:lineRule="auto"/>
              <w:jc w:val="center"/>
            </w:pPr>
            <w:r>
              <w:rPr>
                <w:rFonts w:ascii="宋体" w:hAnsi="宋体" w:eastAsia="宋体" w:cs="宋体"/>
                <w:b w:val="0"/>
                <w:i w:val="0"/>
                <w:sz w:val="18"/>
              </w:rPr>
              <w:t>-</w:t>
            </w:r>
          </w:p>
        </w:tc>
      </w:tr>
      <w:tr w14:paraId="6F3866E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40D86B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7CB9DA">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E97E99">
            <w:pPr>
              <w:spacing w:before="0" w:after="0" w:line="240" w:lineRule="auto"/>
              <w:jc w:val="center"/>
            </w:pPr>
            <w:r>
              <w:rPr>
                <w:rFonts w:ascii="宋体" w:hAnsi="宋体" w:eastAsia="宋体" w:cs="宋体"/>
                <w:b w:val="0"/>
                <w:i w:val="0"/>
                <w:sz w:val="18"/>
              </w:rPr>
              <w:t>796.27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CC19D7">
            <w:pPr>
              <w:spacing w:before="0" w:after="0" w:line="240" w:lineRule="auto"/>
              <w:jc w:val="center"/>
            </w:pPr>
            <w:r>
              <w:rPr>
                <w:rFonts w:ascii="宋体" w:hAnsi="宋体" w:eastAsia="宋体" w:cs="宋体"/>
                <w:b w:val="0"/>
                <w:i w:val="0"/>
                <w:sz w:val="18"/>
              </w:rPr>
              <w:t>945.74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4DF253">
            <w:pPr>
              <w:spacing w:before="0" w:after="0" w:line="240" w:lineRule="auto"/>
              <w:jc w:val="center"/>
            </w:pPr>
            <w:r>
              <w:rPr>
                <w:rFonts w:ascii="宋体" w:hAnsi="宋体" w:eastAsia="宋体" w:cs="宋体"/>
                <w:b w:val="0"/>
                <w:i w:val="0"/>
                <w:sz w:val="18"/>
              </w:rPr>
              <w:t>906.60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C7FBCA">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A2E257">
            <w:pPr>
              <w:spacing w:before="0" w:after="0" w:line="240" w:lineRule="auto"/>
              <w:jc w:val="center"/>
            </w:pPr>
            <w:r>
              <w:rPr>
                <w:rFonts w:ascii="宋体" w:hAnsi="宋体" w:eastAsia="宋体" w:cs="宋体"/>
                <w:b w:val="0"/>
                <w:i w:val="0"/>
                <w:sz w:val="18"/>
              </w:rPr>
              <w:t>95.86%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488F9E">
            <w:pPr>
              <w:spacing w:before="0" w:after="0" w:line="240" w:lineRule="auto"/>
              <w:jc w:val="center"/>
            </w:pPr>
            <w:r>
              <w:rPr>
                <w:rFonts w:ascii="宋体" w:hAnsi="宋体" w:eastAsia="宋体" w:cs="宋体"/>
                <w:b w:val="0"/>
                <w:i w:val="0"/>
                <w:sz w:val="18"/>
              </w:rPr>
              <w:t>9.59</w:t>
            </w:r>
          </w:p>
        </w:tc>
      </w:tr>
      <w:tr w14:paraId="32F23F9F">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3A130">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6D29F4F">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CB60DC">
            <w:pPr>
              <w:spacing w:before="0" w:after="0" w:line="240" w:lineRule="auto"/>
              <w:jc w:val="center"/>
            </w:pPr>
            <w:r>
              <w:rPr>
                <w:rFonts w:ascii="宋体" w:hAnsi="宋体" w:eastAsia="宋体" w:cs="宋体"/>
                <w:b w:val="0"/>
                <w:i w:val="0"/>
                <w:sz w:val="18"/>
              </w:rPr>
              <w:t>实际完成情况</w:t>
            </w:r>
          </w:p>
        </w:tc>
      </w:tr>
      <w:tr w14:paraId="0A33542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5AD7153"/>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C7C54BB">
            <w:pPr>
              <w:spacing w:before="0" w:after="0" w:line="240" w:lineRule="auto"/>
              <w:jc w:val="center"/>
            </w:pPr>
            <w:r>
              <w:rPr>
                <w:rFonts w:ascii="宋体" w:hAnsi="宋体" w:eastAsia="宋体" w:cs="宋体"/>
                <w:b w:val="0"/>
                <w:i w:val="0"/>
                <w:sz w:val="18"/>
              </w:rPr>
              <w:t>根据《自治区“乌—昌—石”区域大气环境整治2024—2025年行动方案》、《关于印发&lt;昌吉州“乌-昌-石”区域大气环境整治2024-2025年行动方案&gt;的通知》结合全州</w:t>
            </w:r>
            <w:r>
              <w:rPr>
                <w:rFonts w:hint="eastAsia" w:ascii="宋体" w:hAnsi="宋体" w:cs="宋体"/>
                <w:b w:val="0"/>
                <w:i w:val="0"/>
                <w:sz w:val="18"/>
                <w:lang w:eastAsia="zh-CN"/>
              </w:rPr>
              <w:t>生态环境保护</w:t>
            </w:r>
            <w:r>
              <w:rPr>
                <w:rFonts w:ascii="宋体" w:hAnsi="宋体" w:eastAsia="宋体" w:cs="宋体"/>
                <w:b w:val="0"/>
                <w:i w:val="0"/>
                <w:sz w:val="18"/>
              </w:rPr>
              <w:t>实际，围绕全局中心工作，主要开展大气污染联防联控（含无组织、VOCs等）、煤田灭火、环评与排污许可监管、第三方服务机构、机动车检验检测机构、机动车尾气污染、自动监控设施、新污染物等专项执法行动，重点开展打击危险废物和重点排污单位自动监测数据弄虚作假环境违法犯罪专项行动。一、创新实战练兵方式，强化理论考核、无人机等新配发装备操作、VR模拟现场执法、案卷制作等培训，持续开展2025年技能比武竞赛活动，切实提升执法人员技能水平。二、统筹“线上+线下”双向发力，利用视频监控、无人机、污染源在线自动监控、排污许可管理平台等手段，在减少对企业正常生产干扰的同时，使生态环境执法更加规范化、智能化、精准化。</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691597A">
            <w:pPr>
              <w:spacing w:before="0" w:after="0" w:line="240" w:lineRule="auto"/>
              <w:jc w:val="center"/>
            </w:pPr>
            <w:r>
              <w:rPr>
                <w:rFonts w:ascii="宋体" w:hAnsi="宋体" w:eastAsia="宋体" w:cs="宋体"/>
                <w:b w:val="0"/>
                <w:i w:val="0"/>
                <w:sz w:val="18"/>
              </w:rPr>
              <w:t>2025年我单位全年预算数为945.74万元，全年执行数为906.60万元，总预算执行率为95.86%。2025年我单位完成以下工作内容：1.联合住建部门开展“双随机、一公开”联合抽查。；2.举办2025年执法实战大练兵技能比武活动；3.各类专项执法检查、兵地交叉执法、大气帮扶工作等。通过以上工作的实施，截至12月31日，昌吉市优良天数295天，同比上升1.7%、增加5天；PM2.5平均浓度35μg/m3，同比下降2.8%。全州9条河流、2座湖库共22个监测断面水质优良率持续保持100%，受污染耕地安全利用率、重点建设用地安全利用率均达100%。。</w:t>
            </w:r>
          </w:p>
        </w:tc>
      </w:tr>
      <w:tr w14:paraId="28EDBBE8">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5EDE7C">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0FF6E5">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E44D2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791E8C">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3FE8F1">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46A198">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813947">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048C53">
            <w:pPr>
              <w:keepNext/>
              <w:spacing w:before="0" w:after="0" w:line="240" w:lineRule="auto"/>
              <w:jc w:val="center"/>
            </w:pPr>
            <w:r>
              <w:rPr>
                <w:rFonts w:ascii="宋体" w:hAnsi="宋体" w:eastAsia="宋体" w:cs="宋体"/>
                <w:b w:val="0"/>
                <w:i w:val="0"/>
                <w:sz w:val="18"/>
              </w:rPr>
              <w:t>得分</w:t>
            </w:r>
          </w:p>
        </w:tc>
      </w:tr>
      <w:tr w14:paraId="3A7CE3A3">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461D93">
            <w:pPr>
              <w:spacing w:before="0" w:after="0" w:line="240" w:lineRule="auto"/>
              <w:jc w:val="center"/>
            </w:pPr>
            <w:r>
              <w:rPr>
                <w:rFonts w:ascii="宋体" w:hAnsi="宋体" w:eastAsia="宋体" w:cs="宋体"/>
                <w:b w:val="0"/>
                <w:i w:val="0"/>
                <w:sz w:val="18"/>
              </w:rPr>
              <w:t>履职效能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04F69F">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F0CE29">
            <w:pPr>
              <w:spacing w:before="0" w:after="0" w:line="240" w:lineRule="auto"/>
              <w:jc w:val="center"/>
            </w:pPr>
            <w:r>
              <w:rPr>
                <w:rFonts w:ascii="宋体" w:hAnsi="宋体" w:eastAsia="宋体" w:cs="宋体"/>
                <w:b w:val="0"/>
                <w:i w:val="0"/>
                <w:sz w:val="18"/>
              </w:rPr>
              <w:t>确保信访办理一次通过率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5AE40D">
            <w:pPr>
              <w:spacing w:before="0" w:after="0" w:line="240" w:lineRule="auto"/>
              <w:jc w:val="center"/>
            </w:pPr>
            <w:r>
              <w:rPr>
                <w:rFonts w:ascii="宋体" w:hAnsi="宋体" w:eastAsia="宋体" w:cs="宋体"/>
                <w:b w:val="0"/>
                <w:i w:val="0"/>
                <w:sz w:val="18"/>
              </w:rPr>
              <w:t>&gt;=90%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3C2F61">
            <w:pPr>
              <w:spacing w:before="0" w:after="0" w:line="240" w:lineRule="auto"/>
              <w:jc w:val="center"/>
            </w:pPr>
            <w:r>
              <w:rPr>
                <w:rFonts w:ascii="宋体" w:hAnsi="宋体" w:eastAsia="宋体" w:cs="宋体"/>
                <w:b w:val="0"/>
                <w:i w:val="0"/>
                <w:sz w:val="18"/>
              </w:rPr>
              <w:t>自治区“乌—昌—石”区域大气环境整治2024—2025年行动方案、关于印发《昌吉州“乌-昌-石”区域大气环境整治2024-2025年行动方案》的通知、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CBF67C">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EAA158">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A38C2D">
            <w:pPr>
              <w:spacing w:before="0" w:after="0" w:line="240" w:lineRule="auto"/>
              <w:jc w:val="center"/>
            </w:pPr>
            <w:r>
              <w:rPr>
                <w:rFonts w:ascii="宋体" w:hAnsi="宋体" w:eastAsia="宋体" w:cs="宋体"/>
                <w:b w:val="0"/>
                <w:i w:val="0"/>
                <w:sz w:val="18"/>
              </w:rPr>
              <w:t>25</w:t>
            </w:r>
          </w:p>
        </w:tc>
      </w:tr>
      <w:tr w14:paraId="484C560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FE888EE"/>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51BDF4">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D94F1D">
            <w:pPr>
              <w:spacing w:before="0" w:after="0" w:line="240" w:lineRule="auto"/>
              <w:jc w:val="center"/>
            </w:pPr>
            <w:r>
              <w:rPr>
                <w:rFonts w:ascii="宋体" w:hAnsi="宋体" w:eastAsia="宋体" w:cs="宋体"/>
                <w:b w:val="0"/>
                <w:i w:val="0"/>
                <w:sz w:val="18"/>
              </w:rPr>
              <w:t>开展双随机抽查次数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7D79D9">
            <w:pPr>
              <w:spacing w:before="0" w:after="0" w:line="240" w:lineRule="auto"/>
              <w:jc w:val="center"/>
            </w:pPr>
            <w:r>
              <w:rPr>
                <w:rFonts w:ascii="宋体" w:hAnsi="宋体" w:eastAsia="宋体" w:cs="宋体"/>
                <w:b w:val="0"/>
                <w:i w:val="0"/>
                <w:sz w:val="18"/>
              </w:rPr>
              <w:t>&gt;=4次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EF70FA">
            <w:pPr>
              <w:spacing w:before="0" w:after="0" w:line="240" w:lineRule="auto"/>
              <w:jc w:val="center"/>
            </w:pPr>
            <w:r>
              <w:rPr>
                <w:rFonts w:ascii="宋体" w:hAnsi="宋体" w:eastAsia="宋体" w:cs="宋体"/>
                <w:b w:val="0"/>
                <w:i w:val="0"/>
                <w:sz w:val="18"/>
              </w:rPr>
              <w:t>自治区“乌—昌—石”区域大气环境整治2024—2025年行动方案、关于印发《昌吉州“乌-昌-石”区域大气环境整治2024-2025年行动方案》的通知、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027C04">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F6BEE1">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AC1D5A">
            <w:pPr>
              <w:spacing w:before="0" w:after="0" w:line="240" w:lineRule="auto"/>
              <w:jc w:val="center"/>
            </w:pPr>
            <w:r>
              <w:rPr>
                <w:rFonts w:ascii="宋体" w:hAnsi="宋体" w:eastAsia="宋体" w:cs="宋体"/>
                <w:b w:val="0"/>
                <w:i w:val="0"/>
                <w:sz w:val="18"/>
              </w:rPr>
              <w:t>30</w:t>
            </w:r>
          </w:p>
        </w:tc>
      </w:tr>
      <w:tr w14:paraId="6B55694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4B31614"/>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372CF5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F957D3">
            <w:pPr>
              <w:spacing w:before="0" w:after="0" w:line="240" w:lineRule="auto"/>
              <w:jc w:val="center"/>
            </w:pPr>
            <w:r>
              <w:rPr>
                <w:rFonts w:ascii="宋体" w:hAnsi="宋体" w:eastAsia="宋体" w:cs="宋体"/>
                <w:b w:val="0"/>
                <w:i w:val="0"/>
                <w:sz w:val="18"/>
              </w:rPr>
              <w:t>开展2025年技能比武竞赛活动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0F3D2B">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16FDC5">
            <w:pPr>
              <w:spacing w:before="0" w:after="0" w:line="240" w:lineRule="auto"/>
              <w:jc w:val="center"/>
            </w:pPr>
            <w:r>
              <w:rPr>
                <w:rFonts w:ascii="宋体" w:hAnsi="宋体" w:eastAsia="宋体" w:cs="宋体"/>
                <w:b w:val="0"/>
                <w:i w:val="0"/>
                <w:sz w:val="18"/>
              </w:rPr>
              <w:t>自治区“乌—昌—石”区域大气环境整治2024—2025年行动方案、关于印发《昌吉州“乌-昌-石”区域大气环境整治2024-2025年行动方案》的通知、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1B0CC">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E3D798">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BFC543">
            <w:pPr>
              <w:spacing w:before="0" w:after="0" w:line="240" w:lineRule="auto"/>
              <w:jc w:val="center"/>
            </w:pPr>
            <w:r>
              <w:rPr>
                <w:rFonts w:ascii="宋体" w:hAnsi="宋体" w:eastAsia="宋体" w:cs="宋体"/>
                <w:b w:val="0"/>
                <w:i w:val="0"/>
                <w:sz w:val="18"/>
              </w:rPr>
              <w:t>25</w:t>
            </w:r>
          </w:p>
        </w:tc>
      </w:tr>
      <w:tr w14:paraId="26D8E73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FC9B3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49790B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2EE025">
            <w:pPr>
              <w:spacing w:before="0" w:after="0" w:line="240" w:lineRule="auto"/>
              <w:jc w:val="center"/>
            </w:pPr>
            <w:r>
              <w:rPr>
                <w:rFonts w:ascii="宋体" w:hAnsi="宋体" w:eastAsia="宋体" w:cs="宋体"/>
                <w:b w:val="0"/>
                <w:i w:val="0"/>
                <w:sz w:val="18"/>
              </w:rPr>
              <w:t>全州城镇污水处理厂开展抽查数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EC8E76">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55EEB6">
            <w:pPr>
              <w:spacing w:before="0" w:after="0" w:line="240" w:lineRule="auto"/>
              <w:jc w:val="center"/>
            </w:pPr>
            <w:r>
              <w:rPr>
                <w:rFonts w:ascii="宋体" w:hAnsi="宋体" w:eastAsia="宋体" w:cs="宋体"/>
                <w:b w:val="0"/>
                <w:i w:val="0"/>
                <w:sz w:val="18"/>
              </w:rPr>
              <w:t>自治区“乌—昌—石”区域大气环境整治2024—2025年行动方案、关于印发《昌吉州“乌-昌-石”区域大气环境整治2024-2025年行动方案》的通知、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D318EB">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AE8D13">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5955D4">
            <w:pPr>
              <w:spacing w:before="0" w:after="0" w:line="240" w:lineRule="auto"/>
              <w:jc w:val="center"/>
            </w:pPr>
            <w:r>
              <w:rPr>
                <w:rFonts w:ascii="宋体" w:hAnsi="宋体" w:eastAsia="宋体" w:cs="宋体"/>
                <w:b w:val="0"/>
                <w:i w:val="0"/>
                <w:sz w:val="18"/>
              </w:rPr>
              <w:t>10</w:t>
            </w:r>
          </w:p>
        </w:tc>
      </w:tr>
    </w:tbl>
    <w:p w14:paraId="30CB96CD">
      <w:r>
        <w:br w:type="page"/>
      </w:r>
    </w:p>
    <w:p w14:paraId="00FA6D7E">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11"/>
        <w:gridCol w:w="511"/>
        <w:gridCol w:w="511"/>
        <w:gridCol w:w="612"/>
        <w:gridCol w:w="593"/>
        <w:gridCol w:w="576"/>
        <w:gridCol w:w="702"/>
        <w:gridCol w:w="702"/>
        <w:gridCol w:w="593"/>
        <w:gridCol w:w="511"/>
        <w:gridCol w:w="554"/>
        <w:gridCol w:w="527"/>
        <w:gridCol w:w="521"/>
        <w:gridCol w:w="882"/>
      </w:tblGrid>
      <w:tr w14:paraId="71FB888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69591D3">
            <w:pPr>
              <w:spacing w:before="0" w:after="0" w:line="240" w:lineRule="auto"/>
              <w:jc w:val="center"/>
            </w:pPr>
            <w:r>
              <w:rPr>
                <w:rFonts w:ascii="宋体" w:hAnsi="宋体" w:eastAsia="宋体" w:cs="宋体"/>
                <w:b/>
                <w:i w:val="0"/>
                <w:sz w:val="18"/>
              </w:rPr>
              <w:t>项目支出绩效自评表</w:t>
            </w:r>
          </w:p>
        </w:tc>
      </w:tr>
      <w:tr w14:paraId="22D82C6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92CAC6">
            <w:pPr>
              <w:spacing w:before="0" w:after="0" w:line="240" w:lineRule="auto"/>
              <w:jc w:val="center"/>
            </w:pPr>
            <w:r>
              <w:rPr>
                <w:rFonts w:ascii="宋体" w:hAnsi="宋体" w:eastAsia="宋体" w:cs="宋体"/>
                <w:b w:val="0"/>
                <w:i w:val="0"/>
                <w:sz w:val="18"/>
              </w:rPr>
              <w:t>(2025年度)</w:t>
            </w:r>
          </w:p>
        </w:tc>
      </w:tr>
      <w:tr w14:paraId="3A35246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2EDC0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86083FD">
            <w:pPr>
              <w:spacing w:before="0" w:after="0" w:line="240" w:lineRule="auto"/>
              <w:jc w:val="center"/>
            </w:pPr>
            <w:r>
              <w:rPr>
                <w:rFonts w:ascii="宋体" w:hAnsi="宋体" w:eastAsia="宋体" w:cs="宋体"/>
                <w:b w:val="0"/>
                <w:i w:val="0"/>
                <w:sz w:val="18"/>
              </w:rPr>
              <w:t>执法监测技术服务项目</w:t>
            </w:r>
          </w:p>
        </w:tc>
      </w:tr>
      <w:tr w14:paraId="2A96B8F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61DC8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7FF6568">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3AF63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C6A0B7">
            <w:pPr>
              <w:spacing w:before="0" w:after="0" w:line="240" w:lineRule="auto"/>
              <w:jc w:val="center"/>
            </w:pPr>
            <w:r>
              <w:rPr>
                <w:rFonts w:ascii="宋体" w:hAnsi="宋体" w:eastAsia="宋体" w:cs="宋体"/>
                <w:b w:val="0"/>
                <w:i w:val="0"/>
                <w:sz w:val="18"/>
              </w:rPr>
              <w:t>昌吉州生态环境保护综合行政执法支队</w:t>
            </w:r>
          </w:p>
        </w:tc>
      </w:tr>
      <w:tr w14:paraId="40DFA51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7ED8E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7E46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2428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CB43D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9231B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989A5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A7CC4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BBAC31">
            <w:pPr>
              <w:spacing w:before="0" w:after="0" w:line="240" w:lineRule="auto"/>
              <w:jc w:val="center"/>
            </w:pPr>
            <w:r>
              <w:rPr>
                <w:rFonts w:ascii="宋体" w:hAnsi="宋体" w:eastAsia="宋体" w:cs="宋体"/>
                <w:b/>
                <w:i w:val="0"/>
                <w:sz w:val="18"/>
              </w:rPr>
              <w:t>得分</w:t>
            </w:r>
          </w:p>
        </w:tc>
      </w:tr>
      <w:tr w14:paraId="5C57E84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D933A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319A4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7BAA4">
            <w:pPr>
              <w:spacing w:before="0" w:after="0" w:line="240" w:lineRule="auto"/>
              <w:jc w:val="center"/>
            </w:pPr>
            <w:r>
              <w:rPr>
                <w:rFonts w:ascii="宋体" w:hAnsi="宋体" w:eastAsia="宋体" w:cs="宋体"/>
                <w:b w:val="0"/>
                <w:i w:val="0"/>
                <w:sz w:val="18"/>
              </w:rPr>
              <w:t>47.00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077C7A">
            <w:pPr>
              <w:spacing w:before="0" w:after="0" w:line="240" w:lineRule="auto"/>
              <w:jc w:val="center"/>
            </w:pPr>
            <w:r>
              <w:rPr>
                <w:rFonts w:ascii="宋体" w:hAnsi="宋体" w:eastAsia="宋体" w:cs="宋体"/>
                <w:b w:val="0"/>
                <w:i w:val="0"/>
                <w:sz w:val="18"/>
              </w:rPr>
              <w:t>47.00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E5F9BA">
            <w:pPr>
              <w:spacing w:before="0" w:after="0" w:line="240" w:lineRule="auto"/>
              <w:jc w:val="center"/>
            </w:pPr>
            <w:r>
              <w:rPr>
                <w:rFonts w:ascii="宋体" w:hAnsi="宋体" w:eastAsia="宋体" w:cs="宋体"/>
                <w:b w:val="0"/>
                <w:i w:val="0"/>
                <w:sz w:val="18"/>
              </w:rPr>
              <w:t>46.10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F2FE9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AF19D2">
            <w:pPr>
              <w:spacing w:before="0" w:after="0" w:line="240" w:lineRule="auto"/>
              <w:jc w:val="center"/>
            </w:pPr>
            <w:r>
              <w:rPr>
                <w:rFonts w:ascii="宋体" w:hAnsi="宋体" w:eastAsia="宋体" w:cs="宋体"/>
                <w:b w:val="0"/>
                <w:i w:val="0"/>
                <w:sz w:val="18"/>
              </w:rPr>
              <w:t>98.09%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CF4567">
            <w:pPr>
              <w:spacing w:before="0" w:after="0" w:line="240" w:lineRule="auto"/>
              <w:jc w:val="center"/>
            </w:pPr>
            <w:r>
              <w:rPr>
                <w:rFonts w:ascii="宋体" w:hAnsi="宋体" w:eastAsia="宋体" w:cs="宋体"/>
                <w:b w:val="0"/>
                <w:i w:val="0"/>
                <w:sz w:val="18"/>
              </w:rPr>
              <w:t>10</w:t>
            </w:r>
          </w:p>
        </w:tc>
      </w:tr>
      <w:tr w14:paraId="663D47A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3D3DB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8ECB4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D1C46">
            <w:pPr>
              <w:spacing w:before="0" w:after="0" w:line="240" w:lineRule="auto"/>
              <w:jc w:val="center"/>
            </w:pPr>
            <w:r>
              <w:rPr>
                <w:rFonts w:ascii="宋体" w:hAnsi="宋体" w:eastAsia="宋体" w:cs="宋体"/>
                <w:b w:val="0"/>
                <w:i w:val="0"/>
                <w:sz w:val="18"/>
              </w:rPr>
              <w:t>47.00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5D6C8A">
            <w:pPr>
              <w:spacing w:before="0" w:after="0" w:line="240" w:lineRule="auto"/>
              <w:jc w:val="center"/>
            </w:pPr>
            <w:r>
              <w:rPr>
                <w:rFonts w:ascii="宋体" w:hAnsi="宋体" w:eastAsia="宋体" w:cs="宋体"/>
                <w:b w:val="0"/>
                <w:i w:val="0"/>
                <w:sz w:val="18"/>
              </w:rPr>
              <w:t>47.00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3100B8">
            <w:pPr>
              <w:spacing w:before="0" w:after="0" w:line="240" w:lineRule="auto"/>
              <w:jc w:val="center"/>
            </w:pPr>
            <w:r>
              <w:rPr>
                <w:rFonts w:ascii="宋体" w:hAnsi="宋体" w:eastAsia="宋体" w:cs="宋体"/>
                <w:b w:val="0"/>
                <w:i w:val="0"/>
                <w:sz w:val="18"/>
              </w:rPr>
              <w:t>46.10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B3546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D470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C096BA">
            <w:pPr>
              <w:spacing w:before="0" w:after="0" w:line="240" w:lineRule="auto"/>
              <w:jc w:val="center"/>
            </w:pPr>
            <w:r>
              <w:rPr>
                <w:rFonts w:ascii="宋体" w:hAnsi="宋体" w:eastAsia="宋体" w:cs="宋体"/>
                <w:b w:val="0"/>
                <w:i w:val="0"/>
                <w:sz w:val="18"/>
              </w:rPr>
              <w:t>—</w:t>
            </w:r>
          </w:p>
        </w:tc>
      </w:tr>
      <w:tr w14:paraId="51F85A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85BEB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1255F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3DCA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ABF12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0DD19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4B050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9A1E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0D8C2D">
            <w:pPr>
              <w:spacing w:before="0" w:after="0" w:line="240" w:lineRule="auto"/>
              <w:jc w:val="center"/>
            </w:pPr>
            <w:r>
              <w:rPr>
                <w:rFonts w:ascii="宋体" w:hAnsi="宋体" w:eastAsia="宋体" w:cs="宋体"/>
                <w:b w:val="0"/>
                <w:i w:val="0"/>
                <w:sz w:val="18"/>
              </w:rPr>
              <w:t>—</w:t>
            </w:r>
          </w:p>
        </w:tc>
      </w:tr>
      <w:tr w14:paraId="1A0AB1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43985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8221B7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2A2AB7A">
            <w:pPr>
              <w:spacing w:before="0" w:after="0" w:line="240" w:lineRule="auto"/>
              <w:jc w:val="center"/>
            </w:pPr>
            <w:r>
              <w:rPr>
                <w:rFonts w:ascii="宋体" w:hAnsi="宋体" w:eastAsia="宋体" w:cs="宋体"/>
                <w:b/>
                <w:i w:val="0"/>
                <w:sz w:val="18"/>
              </w:rPr>
              <w:t>实际完成情况</w:t>
            </w:r>
          </w:p>
        </w:tc>
      </w:tr>
      <w:tr w14:paraId="77FC3CC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9209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4E5F5A">
            <w:pPr>
              <w:spacing w:before="0" w:after="0" w:line="240" w:lineRule="auto"/>
              <w:jc w:val="center"/>
            </w:pPr>
            <w:r>
              <w:rPr>
                <w:rFonts w:ascii="宋体" w:hAnsi="宋体" w:eastAsia="宋体" w:cs="宋体"/>
                <w:b w:val="0"/>
                <w:i w:val="0"/>
                <w:sz w:val="18"/>
              </w:rPr>
              <w:t>委托第三方通过不定期开展重点行业专项检查、污染源双随机抽查现场监督检查、生态环境执法大练兵等环境执法工作，保障自治州本级环境执法工作有序开展。针对符合立案程序的案件实现100%立案，确保按时完成各项业务工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6845F83">
            <w:pPr>
              <w:spacing w:before="0" w:after="0" w:line="240" w:lineRule="auto"/>
              <w:jc w:val="center"/>
            </w:pPr>
            <w:r>
              <w:rPr>
                <w:rFonts w:ascii="宋体" w:hAnsi="宋体" w:eastAsia="宋体" w:cs="宋体"/>
                <w:b w:val="0"/>
                <w:i w:val="0"/>
                <w:sz w:val="18"/>
              </w:rPr>
              <w:t>截至2025年12月31日，本项目支出资金46.1万元，资金执行率98.09%，本项目实际完成2家第三方采购，并委托全年开展监测共91次，委托行业专家辅助完成现场执法工作全年151次，通过本项目的实施，加强了进一步优化执法方式，提升了环境监管执法水平和执法效能，促进了实现精准治污、科学治污、依法治污。</w:t>
            </w:r>
          </w:p>
        </w:tc>
      </w:tr>
      <w:tr w14:paraId="4C7B088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10F1C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C8770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D7D05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99FE3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5C86A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04B13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5BBEB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DDB01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5CCCA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13DDF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4AA2F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F330D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D09E5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691CA8">
            <w:pPr>
              <w:keepNext/>
              <w:spacing w:before="0" w:after="0" w:line="240" w:lineRule="auto"/>
              <w:jc w:val="center"/>
            </w:pPr>
            <w:r>
              <w:rPr>
                <w:rFonts w:ascii="宋体" w:hAnsi="宋体" w:eastAsia="宋体" w:cs="宋体"/>
                <w:b/>
                <w:i w:val="0"/>
                <w:sz w:val="18"/>
              </w:rPr>
              <w:t>偏差原因分析及改进措施</w:t>
            </w:r>
          </w:p>
        </w:tc>
      </w:tr>
      <w:tr w14:paraId="15FF388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803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996D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7B78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8A81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A41A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5E3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D005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E66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981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697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CFDF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391F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041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0D93C1"/>
        </w:tc>
      </w:tr>
      <w:tr w14:paraId="22F5DE2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62D9F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B4B17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080D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3DD34">
            <w:pPr>
              <w:spacing w:before="0" w:after="0" w:line="240" w:lineRule="auto"/>
              <w:jc w:val="center"/>
            </w:pPr>
            <w:r>
              <w:rPr>
                <w:rFonts w:ascii="宋体" w:hAnsi="宋体" w:eastAsia="宋体" w:cs="宋体"/>
                <w:b w:val="0"/>
                <w:i w:val="0"/>
                <w:sz w:val="18"/>
              </w:rPr>
              <w:t>全年开展监测次数（次）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ABB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073BA">
            <w:pPr>
              <w:spacing w:before="0" w:after="0" w:line="240" w:lineRule="auto"/>
              <w:jc w:val="center"/>
            </w:pPr>
            <w:r>
              <w:rPr>
                <w:rFonts w:ascii="宋体" w:hAnsi="宋体" w:eastAsia="宋体" w:cs="宋体"/>
                <w:b w:val="0"/>
                <w:i w:val="0"/>
                <w:sz w:val="18"/>
              </w:rPr>
              <w:t>&gt;=85次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8E350">
            <w:pPr>
              <w:spacing w:before="0" w:after="0" w:line="240" w:lineRule="auto"/>
              <w:jc w:val="center"/>
            </w:pPr>
            <w:r>
              <w:rPr>
                <w:rFonts w:ascii="宋体" w:hAnsi="宋体" w:eastAsia="宋体" w:cs="宋体"/>
                <w:b w:val="0"/>
                <w:i w:val="0"/>
                <w:sz w:val="18"/>
              </w:rPr>
              <w:t>=91次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FAB99">
            <w:pPr>
              <w:spacing w:before="0" w:after="0" w:line="240" w:lineRule="auto"/>
              <w:jc w:val="center"/>
            </w:pPr>
            <w:r>
              <w:rPr>
                <w:rFonts w:ascii="宋体" w:hAnsi="宋体" w:eastAsia="宋体" w:cs="宋体"/>
                <w:b w:val="0"/>
                <w:i w:val="0"/>
                <w:sz w:val="18"/>
              </w:rPr>
              <w:t>107.06%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534D8">
            <w:pPr>
              <w:spacing w:before="0" w:after="0" w:line="240" w:lineRule="auto"/>
              <w:jc w:val="center"/>
            </w:pPr>
            <w:r>
              <w:rPr>
                <w:rFonts w:ascii="宋体" w:hAnsi="宋体" w:eastAsia="宋体" w:cs="宋体"/>
                <w:b w:val="0"/>
                <w:i w:val="0"/>
                <w:sz w:val="18"/>
              </w:rPr>
              <w:t>9.29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A95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64DC8">
            <w:pPr>
              <w:spacing w:before="0" w:after="0" w:line="240" w:lineRule="auto"/>
              <w:jc w:val="center"/>
            </w:pPr>
            <w:r>
              <w:rPr>
                <w:rFonts w:ascii="宋体" w:hAnsi="宋体" w:eastAsia="宋体" w:cs="宋体"/>
                <w:b w:val="0"/>
                <w:i w:val="0"/>
                <w:sz w:val="18"/>
              </w:rPr>
              <w:t>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9A0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E61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C277D">
            <w:pPr>
              <w:spacing w:before="0" w:after="0" w:line="240" w:lineRule="auto"/>
              <w:jc w:val="center"/>
            </w:pPr>
            <w:r>
              <w:rPr>
                <w:rFonts w:ascii="宋体" w:hAnsi="宋体" w:eastAsia="宋体" w:cs="宋体"/>
                <w:b w:val="0"/>
                <w:i w:val="0"/>
                <w:sz w:val="18"/>
              </w:rPr>
              <w:t>此项指标已完成，存在偏差，偏差率为-7.06%，偏差原因为：我单位在设定数量指标时，为确保项目产出的安全性和底线思维，设定了全年开展监测次数≥80次的保守目标值，故与实际完成值产生偏差；下一年度改进措施：总结本次项目成功经验，在编制下一年绩效目标时，结合实际执行能力，将目标值适当上调。</w:t>
            </w:r>
          </w:p>
        </w:tc>
      </w:tr>
      <w:tr w14:paraId="3F1622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0B8D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2439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9566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F789C">
            <w:pPr>
              <w:spacing w:before="0" w:after="0" w:line="240" w:lineRule="auto"/>
              <w:jc w:val="center"/>
            </w:pPr>
            <w:r>
              <w:rPr>
                <w:rFonts w:ascii="宋体" w:hAnsi="宋体" w:eastAsia="宋体" w:cs="宋体"/>
                <w:b w:val="0"/>
                <w:i w:val="0"/>
                <w:sz w:val="18"/>
              </w:rPr>
              <w:t>委托行业专家辅助完成现场执法工作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B196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7C79F">
            <w:pPr>
              <w:spacing w:before="0" w:after="0" w:line="240" w:lineRule="auto"/>
              <w:jc w:val="center"/>
            </w:pPr>
            <w:r>
              <w:rPr>
                <w:rFonts w:ascii="宋体" w:hAnsi="宋体" w:eastAsia="宋体" w:cs="宋体"/>
                <w:b w:val="0"/>
                <w:i w:val="0"/>
                <w:sz w:val="18"/>
              </w:rPr>
              <w:t>&gt;=90人次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46C4A">
            <w:pPr>
              <w:spacing w:before="0" w:after="0" w:line="240" w:lineRule="auto"/>
              <w:jc w:val="center"/>
            </w:pPr>
            <w:r>
              <w:rPr>
                <w:rFonts w:ascii="宋体" w:hAnsi="宋体" w:eastAsia="宋体" w:cs="宋体"/>
                <w:b w:val="0"/>
                <w:i w:val="0"/>
                <w:sz w:val="18"/>
              </w:rPr>
              <w:t>=151人次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2DAAAA">
            <w:pPr>
              <w:spacing w:before="0" w:after="0" w:line="240" w:lineRule="auto"/>
              <w:jc w:val="center"/>
            </w:pPr>
            <w:r>
              <w:rPr>
                <w:rFonts w:ascii="宋体" w:hAnsi="宋体" w:eastAsia="宋体" w:cs="宋体"/>
                <w:b w:val="0"/>
                <w:i w:val="0"/>
                <w:sz w:val="18"/>
              </w:rPr>
              <w:t>167.78%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0DAD30">
            <w:pPr>
              <w:spacing w:before="0" w:after="0" w:line="240" w:lineRule="auto"/>
              <w:jc w:val="center"/>
            </w:pPr>
            <w:r>
              <w:rPr>
                <w:rFonts w:ascii="宋体" w:hAnsi="宋体" w:eastAsia="宋体" w:cs="宋体"/>
                <w:b w:val="0"/>
                <w:i w:val="0"/>
                <w:sz w:val="18"/>
              </w:rPr>
              <w:t>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E49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CC559">
            <w:pPr>
              <w:spacing w:before="0" w:after="0" w:line="240" w:lineRule="auto"/>
              <w:jc w:val="center"/>
            </w:pPr>
            <w:r>
              <w:rPr>
                <w:rFonts w:ascii="宋体" w:hAnsi="宋体" w:eastAsia="宋体" w:cs="宋体"/>
                <w:b w:val="0"/>
                <w:i w:val="0"/>
                <w:sz w:val="18"/>
              </w:rPr>
              <w:t>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57C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9BC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2149F">
            <w:pPr>
              <w:spacing w:before="0" w:after="0" w:line="240" w:lineRule="auto"/>
              <w:jc w:val="center"/>
            </w:pPr>
            <w:r>
              <w:rPr>
                <w:rFonts w:ascii="宋体" w:hAnsi="宋体" w:eastAsia="宋体" w:cs="宋体"/>
                <w:b w:val="0"/>
                <w:i w:val="0"/>
                <w:sz w:val="18"/>
              </w:rPr>
              <w:t>此项指标已完成，存在偏差，偏差率为-67.78%，偏差原因为：我单位在设定数量指标时，为确保项目产出的安全性和底线思维，设定了委托行业专家辅助完成现场执法工作次数≥100次的保守目标值，故与实际完成值产生偏差；下一年度改进措施：总结本次项目的成功经验，在编制下一年度绩效目标时，结合实际执行能力，将目标值适当上调。</w:t>
            </w:r>
          </w:p>
        </w:tc>
      </w:tr>
      <w:tr w14:paraId="76017D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60FE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5BDF0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1A40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3B50C">
            <w:pPr>
              <w:spacing w:before="0" w:after="0" w:line="240" w:lineRule="auto"/>
              <w:jc w:val="center"/>
            </w:pPr>
            <w:r>
              <w:rPr>
                <w:rFonts w:ascii="宋体" w:hAnsi="宋体" w:eastAsia="宋体" w:cs="宋体"/>
                <w:b w:val="0"/>
                <w:i w:val="0"/>
                <w:sz w:val="18"/>
              </w:rPr>
              <w:t>采购第三方数量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5C3F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BC19C">
            <w:pPr>
              <w:spacing w:before="0" w:after="0" w:line="240" w:lineRule="auto"/>
              <w:jc w:val="center"/>
            </w:pPr>
            <w:r>
              <w:rPr>
                <w:rFonts w:ascii="宋体" w:hAnsi="宋体" w:eastAsia="宋体" w:cs="宋体"/>
                <w:b w:val="0"/>
                <w:i w:val="0"/>
                <w:sz w:val="18"/>
              </w:rPr>
              <w:t>=2家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69408">
            <w:pPr>
              <w:spacing w:before="0" w:after="0" w:line="240" w:lineRule="auto"/>
              <w:jc w:val="center"/>
            </w:pPr>
            <w:r>
              <w:rPr>
                <w:rFonts w:ascii="宋体" w:hAnsi="宋体" w:eastAsia="宋体" w:cs="宋体"/>
                <w:b w:val="0"/>
                <w:i w:val="0"/>
                <w:sz w:val="18"/>
              </w:rPr>
              <w:t>=2家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2C7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85F0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A6E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9928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9465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895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8B3DD">
            <w:pPr>
              <w:spacing w:before="0" w:after="0" w:line="240" w:lineRule="auto"/>
              <w:jc w:val="center"/>
            </w:pPr>
          </w:p>
        </w:tc>
      </w:tr>
      <w:tr w14:paraId="13BB4C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CE26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C9EE1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9D9E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45D87">
            <w:pPr>
              <w:spacing w:before="0" w:after="0" w:line="240" w:lineRule="auto"/>
              <w:jc w:val="center"/>
            </w:pPr>
            <w:r>
              <w:rPr>
                <w:rFonts w:ascii="宋体" w:hAnsi="宋体" w:eastAsia="宋体" w:cs="宋体"/>
                <w:b w:val="0"/>
                <w:i w:val="0"/>
                <w:sz w:val="18"/>
              </w:rPr>
              <w:t>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C1A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FD0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643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3D5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BE4A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AF1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C09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623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04D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0DB15">
            <w:pPr>
              <w:spacing w:before="0" w:after="0" w:line="240" w:lineRule="auto"/>
              <w:jc w:val="center"/>
            </w:pPr>
          </w:p>
        </w:tc>
      </w:tr>
      <w:tr w14:paraId="2712B8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5B8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2399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81BE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29FD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D651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C8BC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A3AEB">
            <w:pPr>
              <w:spacing w:before="0" w:after="0" w:line="240" w:lineRule="auto"/>
              <w:jc w:val="center"/>
            </w:pPr>
            <w:r>
              <w:rPr>
                <w:rFonts w:ascii="宋体" w:hAnsi="宋体" w:eastAsia="宋体" w:cs="宋体"/>
                <w:b w:val="0"/>
                <w:i w:val="0"/>
                <w:sz w:val="18"/>
              </w:rPr>
              <w:t>2025年11月24日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93E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BA5D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783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42B62">
            <w:pPr>
              <w:spacing w:before="0" w:after="0" w:line="240" w:lineRule="auto"/>
              <w:jc w:val="center"/>
            </w:pPr>
            <w:r>
              <w:rPr>
                <w:rFonts w:ascii="宋体" w:hAnsi="宋体" w:eastAsia="宋体" w:cs="宋体"/>
                <w:b w:val="0"/>
                <w:i w:val="0"/>
                <w:sz w:val="18"/>
              </w:rPr>
              <w:t>2024年11月30日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1328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6EF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626BC">
            <w:pPr>
              <w:spacing w:before="0" w:after="0" w:line="240" w:lineRule="auto"/>
              <w:jc w:val="center"/>
            </w:pPr>
          </w:p>
        </w:tc>
      </w:tr>
      <w:tr w14:paraId="3C6FA5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2FA4C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FA296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9AD2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731B8">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5763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EBC0A">
            <w:pPr>
              <w:spacing w:before="0" w:after="0" w:line="240" w:lineRule="auto"/>
              <w:jc w:val="center"/>
            </w:pPr>
            <w:r>
              <w:rPr>
                <w:rFonts w:ascii="宋体" w:hAnsi="宋体" w:eastAsia="宋体" w:cs="宋体"/>
                <w:b w:val="0"/>
                <w:i w:val="0"/>
                <w:sz w:val="18"/>
              </w:rPr>
              <w:t>&lt;=47万元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6367D">
            <w:pPr>
              <w:spacing w:before="0" w:after="0" w:line="240" w:lineRule="auto"/>
              <w:jc w:val="center"/>
            </w:pPr>
            <w:r>
              <w:rPr>
                <w:rFonts w:ascii="宋体" w:hAnsi="宋体" w:eastAsia="宋体" w:cs="宋体"/>
                <w:b w:val="0"/>
                <w:i w:val="0"/>
                <w:sz w:val="18"/>
              </w:rPr>
              <w:t>=46.1万元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F4E637">
            <w:pPr>
              <w:spacing w:before="0" w:after="0" w:line="240" w:lineRule="auto"/>
              <w:jc w:val="center"/>
            </w:pPr>
            <w:r>
              <w:rPr>
                <w:rFonts w:ascii="宋体" w:hAnsi="宋体" w:eastAsia="宋体" w:cs="宋体"/>
                <w:b w:val="0"/>
                <w:i w:val="0"/>
                <w:sz w:val="18"/>
              </w:rPr>
              <w:t>98.09%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47C21">
            <w:pPr>
              <w:spacing w:before="0" w:after="0" w:line="240" w:lineRule="auto"/>
              <w:jc w:val="center"/>
            </w:pPr>
            <w:r>
              <w:rPr>
                <w:rFonts w:ascii="宋体" w:hAnsi="宋体" w:eastAsia="宋体" w:cs="宋体"/>
                <w:b w:val="0"/>
                <w:i w:val="0"/>
                <w:sz w:val="18"/>
              </w:rPr>
              <w:t>11.43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154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C8194">
            <w:pPr>
              <w:spacing w:before="0" w:after="0" w:line="240" w:lineRule="auto"/>
              <w:jc w:val="center"/>
            </w:pPr>
            <w:r>
              <w:rPr>
                <w:rFonts w:ascii="宋体" w:hAnsi="宋体" w:eastAsia="宋体" w:cs="宋体"/>
                <w:b w:val="0"/>
                <w:i w:val="0"/>
                <w:sz w:val="18"/>
              </w:rPr>
              <w:t>46.8万元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FAE4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A040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24083">
            <w:pPr>
              <w:spacing w:before="0" w:after="0" w:line="240" w:lineRule="auto"/>
              <w:jc w:val="center"/>
            </w:pPr>
            <w:r>
              <w:rPr>
                <w:rFonts w:ascii="宋体" w:hAnsi="宋体" w:eastAsia="宋体" w:cs="宋体"/>
                <w:b w:val="0"/>
                <w:i w:val="0"/>
                <w:sz w:val="18"/>
              </w:rPr>
              <w:t>此项指标存在偏差，偏差率1.91%，主要原因是合同采购阶段，在保障项目功能范围、交付标准与服务质量完全符合需求的前提下，最终实际签约金额47万元较预算46.1万元节约0.9万元，属于良性的成本管控成果，既保障了项目实施质量，也实现了合理的资金节约。下一步改进措施方面，将进一步细化预算测算颗粒度，在预算编制阶段结合市场行情、历史项目数据与供应商报价区间开展更精准的成本测算，同时建立项目全流程成本管控机制，从预算编制、招标采购到合同签订各环节设置成本校验节点，持续提升预算精准度与资金使用效率。</w:t>
            </w:r>
          </w:p>
        </w:tc>
      </w:tr>
      <w:tr w14:paraId="0E85A4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4A3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3FC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CC32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31107">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1995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0D9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F6274">
            <w:pPr>
              <w:spacing w:before="0" w:after="0" w:line="240" w:lineRule="auto"/>
              <w:jc w:val="center"/>
            </w:pPr>
            <w:r>
              <w:rPr>
                <w:rFonts w:ascii="宋体" w:hAnsi="宋体" w:eastAsia="宋体" w:cs="宋体"/>
                <w:b w:val="0"/>
                <w:i w:val="0"/>
                <w:sz w:val="18"/>
              </w:rPr>
              <w:t>=98.09%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432E4">
            <w:pPr>
              <w:spacing w:before="0" w:after="0" w:line="240" w:lineRule="auto"/>
              <w:jc w:val="center"/>
            </w:pPr>
            <w:r>
              <w:rPr>
                <w:rFonts w:ascii="宋体" w:hAnsi="宋体" w:eastAsia="宋体" w:cs="宋体"/>
                <w:b w:val="0"/>
                <w:i w:val="0"/>
                <w:sz w:val="18"/>
              </w:rPr>
              <w:t>98.09%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EE07B5">
            <w:pPr>
              <w:spacing w:before="0" w:after="0" w:line="240" w:lineRule="auto"/>
              <w:jc w:val="center"/>
            </w:pPr>
            <w:r>
              <w:rPr>
                <w:rFonts w:ascii="宋体" w:hAnsi="宋体" w:eastAsia="宋体" w:cs="宋体"/>
                <w:b w:val="0"/>
                <w:i w:val="0"/>
                <w:sz w:val="18"/>
              </w:rPr>
              <w:t>7.62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ADD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5D0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ADC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A4CB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2BE01">
            <w:pPr>
              <w:spacing w:before="0" w:after="0" w:line="240" w:lineRule="auto"/>
              <w:jc w:val="center"/>
            </w:pPr>
            <w:r>
              <w:rPr>
                <w:rFonts w:ascii="宋体" w:hAnsi="宋体" w:eastAsia="宋体" w:cs="宋体"/>
                <w:b w:val="0"/>
                <w:i w:val="0"/>
                <w:sz w:val="18"/>
              </w:rPr>
              <w:t>此项指标存在偏差，偏差率1.91%，偏差原因是合同采购阶段，在保障项目功能范围、交付标准与服务质量完全符合需求的前提下，最终实际签约金额47万元较预算46.1万元节约0.9万元，属于良性的成本管控成果，既保障了项目实施质量，也实现了合理的资金节约。下一步改进措施方面，将进一步细化预算测算颗粒度，在预算编制阶段结合市场行情、历史项目数据与供应商报价区间开展更精准的成本测算，同时建立项目全流程成本管控机制，从预算编制、招标采购到合同签订各环节设置成本校验节点，持续提升预算精准度与资金使用效率。</w:t>
            </w:r>
          </w:p>
        </w:tc>
      </w:tr>
      <w:tr w14:paraId="5FABAB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D886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D093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429C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9C48B">
            <w:pPr>
              <w:spacing w:before="0" w:after="0" w:line="240" w:lineRule="auto"/>
              <w:jc w:val="center"/>
            </w:pPr>
            <w:r>
              <w:rPr>
                <w:rFonts w:ascii="宋体" w:hAnsi="宋体" w:eastAsia="宋体" w:cs="宋体"/>
                <w:b w:val="0"/>
                <w:i w:val="0"/>
                <w:sz w:val="18"/>
              </w:rPr>
              <w:t>提升环境违法行为的打击力度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6F7C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3D24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34C4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8E8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5754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42C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BF689">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67E1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BA0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B1C84">
            <w:pPr>
              <w:spacing w:before="0" w:after="0" w:line="240" w:lineRule="auto"/>
              <w:jc w:val="center"/>
            </w:pPr>
          </w:p>
        </w:tc>
      </w:tr>
      <w:tr w14:paraId="536DA4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9757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D777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04D0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73927">
            <w:pPr>
              <w:spacing w:before="0" w:after="0" w:line="240" w:lineRule="auto"/>
              <w:jc w:val="center"/>
            </w:pPr>
            <w:r>
              <w:rPr>
                <w:rFonts w:ascii="宋体" w:hAnsi="宋体" w:eastAsia="宋体" w:cs="宋体"/>
                <w:b w:val="0"/>
                <w:i w:val="0"/>
                <w:sz w:val="18"/>
              </w:rPr>
              <w:t>对第三方执法监测服务满意度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F50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2C0A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C5027">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A2890">
            <w:pPr>
              <w:spacing w:before="0" w:after="0" w:line="240" w:lineRule="auto"/>
              <w:jc w:val="center"/>
            </w:pPr>
            <w:r>
              <w:rPr>
                <w:rFonts w:ascii="宋体" w:hAnsi="宋体" w:eastAsia="宋体" w:cs="宋体"/>
                <w:b w:val="0"/>
                <w:i w:val="0"/>
                <w:sz w:val="18"/>
              </w:rPr>
              <w:t>106.67%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B23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A0D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CB2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D59C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1BC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F1519">
            <w:pPr>
              <w:spacing w:before="0" w:after="0" w:line="240" w:lineRule="auto"/>
              <w:jc w:val="center"/>
            </w:pPr>
            <w:r>
              <w:rPr>
                <w:rFonts w:ascii="宋体" w:hAnsi="宋体" w:eastAsia="宋体" w:cs="宋体"/>
                <w:b w:val="0"/>
                <w:i w:val="0"/>
                <w:sz w:val="18"/>
              </w:rPr>
              <w:t>此项指标已完成，存在偏差，偏差率为-6.67%，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60CA727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3AE916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571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F8D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982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C07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2192D">
            <w:pPr>
              <w:spacing w:before="0" w:after="0" w:line="240" w:lineRule="auto"/>
              <w:jc w:val="center"/>
            </w:pPr>
            <w:r>
              <w:rPr>
                <w:rFonts w:ascii="宋体" w:hAnsi="宋体" w:eastAsia="宋体" w:cs="宋体"/>
                <w:b w:val="0"/>
                <w:i w:val="0"/>
                <w:sz w:val="18"/>
              </w:rPr>
              <w:t>92.24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34A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135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680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FE2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A43BF">
            <w:pPr>
              <w:spacing w:before="0" w:after="0" w:line="240" w:lineRule="auto"/>
              <w:jc w:val="center"/>
            </w:pPr>
          </w:p>
        </w:tc>
      </w:tr>
    </w:tbl>
    <w:p w14:paraId="65A1CC90">
      <w:r>
        <w:br w:type="page"/>
      </w:r>
    </w:p>
    <w:tbl>
      <w:tblPr>
        <w:tblStyle w:val="8"/>
        <w:tblW w:w="5000" w:type="pct"/>
        <w:tblInd w:w="0" w:type="dxa"/>
        <w:tblLayout w:type="autofit"/>
        <w:tblCellMar>
          <w:top w:w="36" w:type="dxa"/>
          <w:left w:w="36" w:type="dxa"/>
          <w:bottom w:w="36" w:type="dxa"/>
          <w:right w:w="36" w:type="dxa"/>
        </w:tblCellMar>
      </w:tblPr>
      <w:tblGrid>
        <w:gridCol w:w="532"/>
        <w:gridCol w:w="533"/>
        <w:gridCol w:w="533"/>
        <w:gridCol w:w="533"/>
        <w:gridCol w:w="593"/>
        <w:gridCol w:w="702"/>
        <w:gridCol w:w="612"/>
        <w:gridCol w:w="702"/>
        <w:gridCol w:w="593"/>
        <w:gridCol w:w="533"/>
        <w:gridCol w:w="564"/>
        <w:gridCol w:w="544"/>
        <w:gridCol w:w="540"/>
        <w:gridCol w:w="792"/>
      </w:tblGrid>
      <w:tr w14:paraId="1D0CBC3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AE61AB1">
            <w:pPr>
              <w:spacing w:before="0" w:after="0" w:line="240" w:lineRule="auto"/>
              <w:jc w:val="center"/>
            </w:pPr>
            <w:r>
              <w:rPr>
                <w:rFonts w:ascii="宋体" w:hAnsi="宋体" w:eastAsia="宋体" w:cs="宋体"/>
                <w:b/>
                <w:i w:val="0"/>
                <w:sz w:val="18"/>
              </w:rPr>
              <w:t>项目支出绩效自评表</w:t>
            </w:r>
          </w:p>
        </w:tc>
      </w:tr>
      <w:tr w14:paraId="18AA218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982851">
            <w:pPr>
              <w:spacing w:before="0" w:after="0" w:line="240" w:lineRule="auto"/>
              <w:jc w:val="center"/>
            </w:pPr>
            <w:r>
              <w:rPr>
                <w:rFonts w:ascii="宋体" w:hAnsi="宋体" w:eastAsia="宋体" w:cs="宋体"/>
                <w:b w:val="0"/>
                <w:i w:val="0"/>
                <w:sz w:val="18"/>
              </w:rPr>
              <w:t>(2025年度)</w:t>
            </w:r>
          </w:p>
        </w:tc>
      </w:tr>
      <w:tr w14:paraId="1B9C6DF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E34EF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EA3160B">
            <w:pPr>
              <w:spacing w:before="0" w:after="0" w:line="240" w:lineRule="auto"/>
              <w:jc w:val="center"/>
            </w:pPr>
            <w:r>
              <w:rPr>
                <w:rFonts w:ascii="宋体" w:hAnsi="宋体" w:eastAsia="宋体" w:cs="宋体"/>
                <w:b w:val="0"/>
                <w:i w:val="0"/>
                <w:sz w:val="18"/>
              </w:rPr>
              <w:t>环境污染监管监控资金项目</w:t>
            </w:r>
          </w:p>
        </w:tc>
      </w:tr>
      <w:tr w14:paraId="460F26D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274AA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DC99BC">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A3E5D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A972EE">
            <w:pPr>
              <w:spacing w:before="0" w:after="0" w:line="240" w:lineRule="auto"/>
              <w:jc w:val="center"/>
            </w:pPr>
            <w:r>
              <w:rPr>
                <w:rFonts w:ascii="宋体" w:hAnsi="宋体" w:eastAsia="宋体" w:cs="宋体"/>
                <w:b w:val="0"/>
                <w:i w:val="0"/>
                <w:sz w:val="18"/>
              </w:rPr>
              <w:t>昌吉州生态环境保护综合行政执法支队</w:t>
            </w:r>
          </w:p>
        </w:tc>
      </w:tr>
      <w:tr w14:paraId="115C9E2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960FB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9921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45DC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D896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EAFDA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1AEF2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1B052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FF3695">
            <w:pPr>
              <w:spacing w:before="0" w:after="0" w:line="240" w:lineRule="auto"/>
              <w:jc w:val="center"/>
            </w:pPr>
            <w:r>
              <w:rPr>
                <w:rFonts w:ascii="宋体" w:hAnsi="宋体" w:eastAsia="宋体" w:cs="宋体"/>
                <w:b/>
                <w:i w:val="0"/>
                <w:sz w:val="18"/>
              </w:rPr>
              <w:t>得分</w:t>
            </w:r>
          </w:p>
        </w:tc>
      </w:tr>
      <w:tr w14:paraId="65DA038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77C8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D66A8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E7BE1">
            <w:pPr>
              <w:spacing w:before="0" w:after="0" w:line="240" w:lineRule="auto"/>
              <w:jc w:val="center"/>
            </w:pPr>
            <w:r>
              <w:rPr>
                <w:rFonts w:ascii="宋体" w:hAnsi="宋体" w:eastAsia="宋体" w:cs="宋体"/>
                <w:b w:val="0"/>
                <w:i w:val="0"/>
                <w:sz w:val="18"/>
              </w:rPr>
              <w:t>48.00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2510D0">
            <w:pPr>
              <w:spacing w:before="0" w:after="0" w:line="240" w:lineRule="auto"/>
              <w:jc w:val="center"/>
            </w:pPr>
            <w:r>
              <w:rPr>
                <w:rFonts w:ascii="宋体" w:hAnsi="宋体" w:eastAsia="宋体" w:cs="宋体"/>
                <w:b w:val="0"/>
                <w:i w:val="0"/>
                <w:sz w:val="18"/>
              </w:rPr>
              <w:t>48.60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11FB7C">
            <w:pPr>
              <w:spacing w:before="0" w:after="0" w:line="240" w:lineRule="auto"/>
              <w:jc w:val="center"/>
            </w:pPr>
            <w:r>
              <w:rPr>
                <w:rFonts w:ascii="宋体" w:hAnsi="宋体" w:eastAsia="宋体" w:cs="宋体"/>
                <w:b w:val="0"/>
                <w:i w:val="0"/>
                <w:sz w:val="18"/>
              </w:rPr>
              <w:t>47.83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85A30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716E3F">
            <w:pPr>
              <w:spacing w:before="0" w:after="0" w:line="240" w:lineRule="auto"/>
              <w:jc w:val="center"/>
            </w:pPr>
            <w:r>
              <w:rPr>
                <w:rFonts w:ascii="宋体" w:hAnsi="宋体" w:eastAsia="宋体" w:cs="宋体"/>
                <w:b w:val="0"/>
                <w:i w:val="0"/>
                <w:sz w:val="18"/>
              </w:rPr>
              <w:t>98.42%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E27592">
            <w:pPr>
              <w:spacing w:before="0" w:after="0" w:line="240" w:lineRule="auto"/>
              <w:jc w:val="center"/>
            </w:pPr>
            <w:r>
              <w:rPr>
                <w:rFonts w:ascii="宋体" w:hAnsi="宋体" w:eastAsia="宋体" w:cs="宋体"/>
                <w:b w:val="0"/>
                <w:i w:val="0"/>
                <w:sz w:val="18"/>
              </w:rPr>
              <w:t>9.61</w:t>
            </w:r>
          </w:p>
        </w:tc>
      </w:tr>
      <w:tr w14:paraId="30BF3D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86D8E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20FC4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71142">
            <w:pPr>
              <w:spacing w:before="0" w:after="0" w:line="240" w:lineRule="auto"/>
              <w:jc w:val="center"/>
            </w:pPr>
            <w:r>
              <w:rPr>
                <w:rFonts w:ascii="宋体" w:hAnsi="宋体" w:eastAsia="宋体" w:cs="宋体"/>
                <w:b w:val="0"/>
                <w:i w:val="0"/>
                <w:sz w:val="18"/>
              </w:rPr>
              <w:t>48.00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CC2EB6">
            <w:pPr>
              <w:spacing w:before="0" w:after="0" w:line="240" w:lineRule="auto"/>
              <w:jc w:val="center"/>
            </w:pPr>
            <w:r>
              <w:rPr>
                <w:rFonts w:ascii="宋体" w:hAnsi="宋体" w:eastAsia="宋体" w:cs="宋体"/>
                <w:b w:val="0"/>
                <w:i w:val="0"/>
                <w:sz w:val="18"/>
              </w:rPr>
              <w:t>48.60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D0C82E">
            <w:pPr>
              <w:spacing w:before="0" w:after="0" w:line="240" w:lineRule="auto"/>
              <w:jc w:val="center"/>
            </w:pPr>
            <w:r>
              <w:rPr>
                <w:rFonts w:ascii="宋体" w:hAnsi="宋体" w:eastAsia="宋体" w:cs="宋体"/>
                <w:b w:val="0"/>
                <w:i w:val="0"/>
                <w:sz w:val="18"/>
              </w:rPr>
              <w:t>47.83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32675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0510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27039">
            <w:pPr>
              <w:spacing w:before="0" w:after="0" w:line="240" w:lineRule="auto"/>
              <w:jc w:val="center"/>
            </w:pPr>
            <w:r>
              <w:rPr>
                <w:rFonts w:ascii="宋体" w:hAnsi="宋体" w:eastAsia="宋体" w:cs="宋体"/>
                <w:b w:val="0"/>
                <w:i w:val="0"/>
                <w:sz w:val="18"/>
              </w:rPr>
              <w:t>—</w:t>
            </w:r>
          </w:p>
        </w:tc>
      </w:tr>
      <w:tr w14:paraId="76A5A0A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7AE99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F1689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6B0D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AAABF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85E3D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80B1A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F3EB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6D7B19">
            <w:pPr>
              <w:spacing w:before="0" w:after="0" w:line="240" w:lineRule="auto"/>
              <w:jc w:val="center"/>
            </w:pPr>
            <w:r>
              <w:rPr>
                <w:rFonts w:ascii="宋体" w:hAnsi="宋体" w:eastAsia="宋体" w:cs="宋体"/>
                <w:b w:val="0"/>
                <w:i w:val="0"/>
                <w:sz w:val="18"/>
              </w:rPr>
              <w:t>—</w:t>
            </w:r>
          </w:p>
        </w:tc>
      </w:tr>
      <w:tr w14:paraId="37987C1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24E1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B5243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13D55EB">
            <w:pPr>
              <w:spacing w:before="0" w:after="0" w:line="240" w:lineRule="auto"/>
              <w:jc w:val="center"/>
            </w:pPr>
            <w:r>
              <w:rPr>
                <w:rFonts w:ascii="宋体" w:hAnsi="宋体" w:eastAsia="宋体" w:cs="宋体"/>
                <w:b/>
                <w:i w:val="0"/>
                <w:sz w:val="18"/>
              </w:rPr>
              <w:t>实际完成情况</w:t>
            </w:r>
          </w:p>
        </w:tc>
      </w:tr>
      <w:tr w14:paraId="6E029BC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EC4A3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11051B">
            <w:pPr>
              <w:spacing w:before="0" w:after="0" w:line="240" w:lineRule="auto"/>
              <w:jc w:val="center"/>
            </w:pPr>
            <w:r>
              <w:rPr>
                <w:rFonts w:ascii="宋体" w:hAnsi="宋体" w:eastAsia="宋体" w:cs="宋体"/>
                <w:b w:val="0"/>
                <w:i w:val="0"/>
                <w:sz w:val="18"/>
              </w:rPr>
              <w:t>通过租车25天及不少于100天保障执法天数，确保不定期重点行业专项检查、污染源双随机抽查现场监督检查、生态环境执法大练兵等环境执法工作的开展，达到自治州本级环境执法工作有序开展。委托第三方开展1次资产清查工作，摸清家底针。对符合立案程序的案件的环境违法行为的举报者根据奖励办法予以奖励。通过以上工作德开展达到提升环境违法行为的打击力度的目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FEC8B16">
            <w:pPr>
              <w:spacing w:before="0" w:after="0" w:line="240" w:lineRule="auto"/>
              <w:jc w:val="center"/>
            </w:pPr>
            <w:r>
              <w:rPr>
                <w:rFonts w:ascii="宋体" w:hAnsi="宋体" w:eastAsia="宋体" w:cs="宋体"/>
                <w:b w:val="0"/>
                <w:i w:val="0"/>
                <w:sz w:val="18"/>
              </w:rPr>
              <w:t>截至2025年12月31日，本项目支出资金47.83万元，资金执行率98.41%，本项目实际完成开展资产清查1次，租车19次，保障执法检查111.5天；通过本项目的实施，加强了执法运行工作的保障，提升了单位执法工作的效率、提高环境违法行为打击力度，，促进了生态环境执法专项行动及重点区域、重点领域任务攻坚，不断强化日常监管，持续提升执法效能，从严依法查处辖区内生态环境违法行为，切实解决影响社会经济高质量发展和群众身体健康的突出环境问题。</w:t>
            </w:r>
          </w:p>
        </w:tc>
      </w:tr>
      <w:tr w14:paraId="2EA9C7E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2E7A9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A7655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97A19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9904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C94F6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9FB6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5176F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DFD05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D2D2F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A7766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05078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F91B2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8BB28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5E679E">
            <w:pPr>
              <w:keepNext/>
              <w:spacing w:before="0" w:after="0" w:line="240" w:lineRule="auto"/>
              <w:jc w:val="center"/>
            </w:pPr>
            <w:r>
              <w:rPr>
                <w:rFonts w:ascii="宋体" w:hAnsi="宋体" w:eastAsia="宋体" w:cs="宋体"/>
                <w:b/>
                <w:i w:val="0"/>
                <w:sz w:val="18"/>
              </w:rPr>
              <w:t>偏差原因分析及改进措施</w:t>
            </w:r>
          </w:p>
        </w:tc>
      </w:tr>
      <w:tr w14:paraId="7326D29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F954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B21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775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85C8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9164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3005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DE0E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1B3B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9B6D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81A4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0621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A74E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5EDC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1C5EF"/>
        </w:tc>
      </w:tr>
      <w:tr w14:paraId="1EA88DF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F1C71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5E853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709F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BB235">
            <w:pPr>
              <w:spacing w:before="0" w:after="0" w:line="240" w:lineRule="auto"/>
              <w:jc w:val="center"/>
            </w:pPr>
            <w:r>
              <w:rPr>
                <w:rFonts w:ascii="宋体" w:hAnsi="宋体" w:eastAsia="宋体" w:cs="宋体"/>
                <w:b w:val="0"/>
                <w:i w:val="0"/>
                <w:sz w:val="18"/>
              </w:rPr>
              <w:t>租车次数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9BE4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2F7A9">
            <w:pPr>
              <w:spacing w:before="0" w:after="0" w:line="240" w:lineRule="auto"/>
              <w:jc w:val="center"/>
            </w:pPr>
            <w:r>
              <w:rPr>
                <w:rFonts w:ascii="宋体" w:hAnsi="宋体" w:eastAsia="宋体" w:cs="宋体"/>
                <w:b w:val="0"/>
                <w:i w:val="0"/>
                <w:sz w:val="18"/>
              </w:rPr>
              <w:t>&gt;=25次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68316">
            <w:pPr>
              <w:spacing w:before="0" w:after="0" w:line="240" w:lineRule="auto"/>
              <w:jc w:val="center"/>
            </w:pPr>
            <w:r>
              <w:rPr>
                <w:rFonts w:ascii="宋体" w:hAnsi="宋体" w:eastAsia="宋体" w:cs="宋体"/>
                <w:b w:val="0"/>
                <w:i w:val="0"/>
                <w:sz w:val="18"/>
              </w:rPr>
              <w:t>=19次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75D678">
            <w:pPr>
              <w:spacing w:before="0" w:after="0" w:line="240" w:lineRule="auto"/>
              <w:jc w:val="center"/>
            </w:pPr>
            <w:r>
              <w:rPr>
                <w:rFonts w:ascii="宋体" w:hAnsi="宋体" w:eastAsia="宋体" w:cs="宋体"/>
                <w:b w:val="0"/>
                <w:i w:val="0"/>
                <w:sz w:val="18"/>
              </w:rPr>
              <w:t>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CE5B9D">
            <w:pPr>
              <w:spacing w:before="0" w:after="0" w:line="240" w:lineRule="auto"/>
              <w:jc w:val="center"/>
            </w:pPr>
            <w:r>
              <w:rPr>
                <w:rFonts w:ascii="宋体" w:hAnsi="宋体" w:eastAsia="宋体" w:cs="宋体"/>
                <w:b w:val="0"/>
                <w:i w:val="0"/>
                <w:sz w:val="18"/>
              </w:rPr>
              <w:t>3.75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791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F5F37">
            <w:pPr>
              <w:spacing w:before="0" w:after="0" w:line="240" w:lineRule="auto"/>
              <w:jc w:val="center"/>
            </w:pPr>
            <w:r>
              <w:rPr>
                <w:rFonts w:ascii="宋体" w:hAnsi="宋体" w:eastAsia="宋体" w:cs="宋体"/>
                <w:b w:val="0"/>
                <w:i w:val="0"/>
                <w:sz w:val="18"/>
              </w:rPr>
              <w:t>34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1D8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7C7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BAF35">
            <w:pPr>
              <w:spacing w:before="0" w:after="0" w:line="240" w:lineRule="auto"/>
              <w:jc w:val="center"/>
            </w:pPr>
            <w:r>
              <w:rPr>
                <w:rFonts w:ascii="宋体" w:hAnsi="宋体" w:eastAsia="宋体" w:cs="宋体"/>
                <w:b w:val="0"/>
                <w:i w:val="0"/>
                <w:sz w:val="18"/>
              </w:rPr>
              <w:t>此项指标未完成，存在偏差，偏差率为25%，偏差原因为：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14:paraId="262ECE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8B2C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B69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0EF6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8C01E">
            <w:pPr>
              <w:spacing w:before="0" w:after="0" w:line="240" w:lineRule="auto"/>
              <w:jc w:val="center"/>
            </w:pPr>
            <w:r>
              <w:rPr>
                <w:rFonts w:ascii="宋体" w:hAnsi="宋体" w:eastAsia="宋体" w:cs="宋体"/>
                <w:b w:val="0"/>
                <w:i w:val="0"/>
                <w:sz w:val="18"/>
              </w:rPr>
              <w:t>开展资产清查次数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E625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3156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A57C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7826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A870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D3F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FF074">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815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98C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40C84">
            <w:pPr>
              <w:spacing w:before="0" w:after="0" w:line="240" w:lineRule="auto"/>
              <w:jc w:val="center"/>
            </w:pPr>
          </w:p>
        </w:tc>
      </w:tr>
      <w:tr w14:paraId="752660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E775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1EF0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7434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E0B74">
            <w:pPr>
              <w:spacing w:before="0" w:after="0" w:line="240" w:lineRule="auto"/>
              <w:jc w:val="center"/>
            </w:pPr>
            <w:r>
              <w:rPr>
                <w:rFonts w:ascii="宋体" w:hAnsi="宋体" w:eastAsia="宋体" w:cs="宋体"/>
                <w:b w:val="0"/>
                <w:i w:val="0"/>
                <w:sz w:val="18"/>
              </w:rPr>
              <w:t>保障执法检查天数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9D8D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7DAB2">
            <w:pPr>
              <w:spacing w:before="0" w:after="0" w:line="240" w:lineRule="auto"/>
              <w:jc w:val="center"/>
            </w:pPr>
            <w:r>
              <w:rPr>
                <w:rFonts w:ascii="宋体" w:hAnsi="宋体" w:eastAsia="宋体" w:cs="宋体"/>
                <w:b w:val="0"/>
                <w:i w:val="0"/>
                <w:sz w:val="18"/>
              </w:rPr>
              <w:t>&gt;=100天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09964">
            <w:pPr>
              <w:spacing w:before="0" w:after="0" w:line="240" w:lineRule="auto"/>
              <w:jc w:val="center"/>
            </w:pPr>
            <w:r>
              <w:rPr>
                <w:rFonts w:ascii="宋体" w:hAnsi="宋体" w:eastAsia="宋体" w:cs="宋体"/>
                <w:b w:val="0"/>
                <w:i w:val="0"/>
                <w:sz w:val="18"/>
              </w:rPr>
              <w:t>=111.5天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939DB">
            <w:pPr>
              <w:spacing w:before="0" w:after="0" w:line="240" w:lineRule="auto"/>
              <w:jc w:val="center"/>
            </w:pPr>
            <w:r>
              <w:rPr>
                <w:rFonts w:ascii="宋体" w:hAnsi="宋体" w:eastAsia="宋体" w:cs="宋体"/>
                <w:b w:val="0"/>
                <w:i w:val="0"/>
                <w:sz w:val="18"/>
              </w:rPr>
              <w:t>111.5%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7ABA4">
            <w:pPr>
              <w:spacing w:before="0" w:after="0" w:line="240" w:lineRule="auto"/>
              <w:jc w:val="center"/>
            </w:pPr>
            <w:r>
              <w:rPr>
                <w:rFonts w:ascii="宋体" w:hAnsi="宋体" w:eastAsia="宋体" w:cs="宋体"/>
                <w:b w:val="0"/>
                <w:i w:val="0"/>
                <w:sz w:val="18"/>
              </w:rPr>
              <w:t>8.85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285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5F035">
            <w:pPr>
              <w:spacing w:before="0" w:after="0" w:line="240" w:lineRule="auto"/>
              <w:jc w:val="center"/>
            </w:pPr>
            <w:r>
              <w:rPr>
                <w:rFonts w:ascii="宋体" w:hAnsi="宋体" w:eastAsia="宋体" w:cs="宋体"/>
                <w:b w:val="0"/>
                <w:i w:val="0"/>
                <w:sz w:val="18"/>
              </w:rPr>
              <w:t>108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EF7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4C0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524E0">
            <w:pPr>
              <w:spacing w:before="0" w:after="0" w:line="240" w:lineRule="auto"/>
              <w:jc w:val="center"/>
            </w:pPr>
            <w:r>
              <w:rPr>
                <w:rFonts w:ascii="宋体" w:hAnsi="宋体" w:eastAsia="宋体" w:cs="宋体"/>
                <w:b w:val="0"/>
                <w:i w:val="0"/>
                <w:sz w:val="18"/>
              </w:rPr>
              <w:t>此项指标已完成，存在偏差，偏差率为-11.5%，偏差原因为：年初设定的数量指标指标值较为保守，设定偏低。项目在正常推进过程中，实际完成情况远超预期，完成率过高；下一年度改进措施：充分利用本年度项目执行的实际数据作为基数，结合下一年度业务增长预期，适当调高数量指标。确保目标值设定的合理性，防止因指标过低而失去考核意义。</w:t>
            </w:r>
          </w:p>
        </w:tc>
      </w:tr>
      <w:tr w14:paraId="7C191D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1B82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295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D9CB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22513">
            <w:pPr>
              <w:spacing w:before="0" w:after="0" w:line="240" w:lineRule="auto"/>
              <w:jc w:val="center"/>
            </w:pPr>
            <w:r>
              <w:rPr>
                <w:rFonts w:ascii="宋体" w:hAnsi="宋体" w:eastAsia="宋体" w:cs="宋体"/>
                <w:b w:val="0"/>
                <w:i w:val="0"/>
                <w:sz w:val="18"/>
              </w:rPr>
              <w:t>执法保障率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75C72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D48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532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E4B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08C63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A4D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F2C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07C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08F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8EC92">
            <w:pPr>
              <w:spacing w:before="0" w:after="0" w:line="240" w:lineRule="auto"/>
              <w:jc w:val="center"/>
            </w:pPr>
          </w:p>
        </w:tc>
      </w:tr>
      <w:tr w14:paraId="046354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6182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F38D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FD39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C6E43">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FE4F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F3AE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3B9F4">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09B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8ACE3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1F8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0AD3B">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00B4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2AD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95608">
            <w:pPr>
              <w:spacing w:before="0" w:after="0" w:line="240" w:lineRule="auto"/>
              <w:jc w:val="center"/>
            </w:pPr>
          </w:p>
        </w:tc>
      </w:tr>
      <w:tr w14:paraId="0998732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4564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4DE3D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6F41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6C451">
            <w:pPr>
              <w:spacing w:before="0" w:after="0" w:line="240" w:lineRule="auto"/>
              <w:jc w:val="center"/>
            </w:pPr>
            <w:r>
              <w:rPr>
                <w:rFonts w:ascii="宋体" w:hAnsi="宋体" w:eastAsia="宋体" w:cs="宋体"/>
                <w:b w:val="0"/>
                <w:i w:val="0"/>
                <w:sz w:val="18"/>
              </w:rPr>
              <w:t>车辆租赁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2C819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51CAA">
            <w:pPr>
              <w:spacing w:before="0" w:after="0" w:line="240" w:lineRule="auto"/>
              <w:jc w:val="center"/>
            </w:pPr>
            <w:r>
              <w:rPr>
                <w:rFonts w:ascii="宋体" w:hAnsi="宋体" w:eastAsia="宋体" w:cs="宋体"/>
                <w:b w:val="0"/>
                <w:i w:val="0"/>
                <w:sz w:val="18"/>
              </w:rPr>
              <w:t>&lt;=13万元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95FEE">
            <w:pPr>
              <w:spacing w:before="0" w:after="0" w:line="240" w:lineRule="auto"/>
              <w:jc w:val="center"/>
            </w:pPr>
            <w:r>
              <w:rPr>
                <w:rFonts w:ascii="宋体" w:hAnsi="宋体" w:eastAsia="宋体" w:cs="宋体"/>
                <w:b w:val="0"/>
                <w:i w:val="0"/>
                <w:sz w:val="18"/>
              </w:rPr>
              <w:t>=13万元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A93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B168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5B5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55D5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0C1C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303A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BF99D">
            <w:pPr>
              <w:spacing w:before="0" w:after="0" w:line="240" w:lineRule="auto"/>
              <w:jc w:val="center"/>
            </w:pPr>
          </w:p>
        </w:tc>
      </w:tr>
      <w:tr w14:paraId="56F1D3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CDA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CADF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3136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D53BA">
            <w:pPr>
              <w:spacing w:before="0" w:after="0" w:line="240" w:lineRule="auto"/>
              <w:jc w:val="center"/>
            </w:pPr>
            <w:r>
              <w:rPr>
                <w:rFonts w:ascii="宋体" w:hAnsi="宋体" w:eastAsia="宋体" w:cs="宋体"/>
                <w:b w:val="0"/>
                <w:i w:val="0"/>
                <w:sz w:val="18"/>
              </w:rPr>
              <w:t>物业费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3D2FE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C0954">
            <w:pPr>
              <w:spacing w:before="0" w:after="0" w:line="240" w:lineRule="auto"/>
              <w:jc w:val="center"/>
            </w:pPr>
            <w:r>
              <w:rPr>
                <w:rFonts w:ascii="宋体" w:hAnsi="宋体" w:eastAsia="宋体" w:cs="宋体"/>
                <w:b w:val="0"/>
                <w:i w:val="0"/>
                <w:sz w:val="18"/>
              </w:rPr>
              <w:t>&lt;=9.20万元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FFE4E">
            <w:pPr>
              <w:spacing w:before="0" w:after="0" w:line="240" w:lineRule="auto"/>
              <w:jc w:val="center"/>
            </w:pPr>
            <w:r>
              <w:rPr>
                <w:rFonts w:ascii="宋体" w:hAnsi="宋体" w:eastAsia="宋体" w:cs="宋体"/>
                <w:b w:val="0"/>
                <w:i w:val="0"/>
                <w:sz w:val="18"/>
              </w:rPr>
              <w:t>=9.2万元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1D5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A53EE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FD8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55B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406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2A04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61B50">
            <w:pPr>
              <w:spacing w:before="0" w:after="0" w:line="240" w:lineRule="auto"/>
              <w:jc w:val="center"/>
            </w:pPr>
          </w:p>
        </w:tc>
      </w:tr>
      <w:tr w14:paraId="49877C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A9EC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430A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AAA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4508D">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CD7C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7627E">
            <w:pPr>
              <w:spacing w:before="0" w:after="0" w:line="240" w:lineRule="auto"/>
              <w:jc w:val="center"/>
            </w:pPr>
            <w:r>
              <w:rPr>
                <w:rFonts w:ascii="宋体" w:hAnsi="宋体" w:eastAsia="宋体" w:cs="宋体"/>
                <w:b w:val="0"/>
                <w:i w:val="0"/>
                <w:sz w:val="18"/>
              </w:rPr>
              <w:t>&lt;=11.11万元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C5843">
            <w:pPr>
              <w:spacing w:before="0" w:after="0" w:line="240" w:lineRule="auto"/>
              <w:jc w:val="center"/>
            </w:pPr>
            <w:r>
              <w:rPr>
                <w:rFonts w:ascii="宋体" w:hAnsi="宋体" w:eastAsia="宋体" w:cs="宋体"/>
                <w:b w:val="0"/>
                <w:i w:val="0"/>
                <w:sz w:val="18"/>
              </w:rPr>
              <w:t>=11.07万元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E5E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08C3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2EB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1EA3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28C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B93A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FB634">
            <w:pPr>
              <w:spacing w:before="0" w:after="0" w:line="240" w:lineRule="auto"/>
              <w:jc w:val="center"/>
            </w:pPr>
          </w:p>
        </w:tc>
      </w:tr>
      <w:tr w14:paraId="39EE32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1EFE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CBB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C309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E51A0">
            <w:pPr>
              <w:spacing w:before="0" w:after="0" w:line="240" w:lineRule="auto"/>
              <w:jc w:val="center"/>
            </w:pPr>
            <w:r>
              <w:rPr>
                <w:rFonts w:ascii="宋体" w:hAnsi="宋体" w:eastAsia="宋体" w:cs="宋体"/>
                <w:b w:val="0"/>
                <w:i w:val="0"/>
                <w:sz w:val="18"/>
              </w:rPr>
              <w:t>办公及其他费用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B1E2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D51CC">
            <w:pPr>
              <w:spacing w:before="0" w:after="0" w:line="240" w:lineRule="auto"/>
              <w:jc w:val="center"/>
            </w:pPr>
            <w:r>
              <w:rPr>
                <w:rFonts w:ascii="宋体" w:hAnsi="宋体" w:eastAsia="宋体" w:cs="宋体"/>
                <w:b w:val="0"/>
                <w:i w:val="0"/>
                <w:sz w:val="18"/>
              </w:rPr>
              <w:t>&lt;=12.19万元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1845C">
            <w:pPr>
              <w:spacing w:before="0" w:after="0" w:line="240" w:lineRule="auto"/>
              <w:jc w:val="center"/>
            </w:pPr>
            <w:r>
              <w:rPr>
                <w:rFonts w:ascii="宋体" w:hAnsi="宋体" w:eastAsia="宋体" w:cs="宋体"/>
                <w:b w:val="0"/>
                <w:i w:val="0"/>
                <w:sz w:val="18"/>
              </w:rPr>
              <w:t>=11.46万元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EAE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3F9D7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C87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823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BFB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CA5F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23C3F">
            <w:pPr>
              <w:spacing w:before="0" w:after="0" w:line="240" w:lineRule="auto"/>
              <w:jc w:val="center"/>
            </w:pPr>
            <w:r>
              <w:rPr>
                <w:rFonts w:ascii="宋体" w:hAnsi="宋体" w:eastAsia="宋体" w:cs="宋体"/>
                <w:b w:val="0"/>
                <w:i w:val="0"/>
                <w:sz w:val="18"/>
              </w:rPr>
              <w:t>此项指标未完成，存在偏差，偏差率为5.99%，偏差原因为：劳务费及委托业务费因严格控制支出，导致实际支出较年初预算有一定的节余，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0.73万元；下一年度改进措施：提高预算编制准确性，确保后续各类项目严格按照预算进行支出。</w:t>
            </w:r>
          </w:p>
        </w:tc>
      </w:tr>
      <w:tr w14:paraId="1AE2AD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A0D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15F7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C6EA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DFAC3">
            <w:pPr>
              <w:spacing w:before="0" w:after="0" w:line="240" w:lineRule="auto"/>
              <w:jc w:val="center"/>
            </w:pPr>
            <w:r>
              <w:rPr>
                <w:rFonts w:ascii="宋体" w:hAnsi="宋体" w:eastAsia="宋体" w:cs="宋体"/>
                <w:b w:val="0"/>
                <w:i w:val="0"/>
                <w:sz w:val="18"/>
              </w:rPr>
              <w:t>举报奖励金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E2907">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00551">
            <w:pPr>
              <w:spacing w:before="0" w:after="0" w:line="240" w:lineRule="auto"/>
              <w:jc w:val="center"/>
            </w:pPr>
            <w:r>
              <w:rPr>
                <w:rFonts w:ascii="宋体" w:hAnsi="宋体" w:eastAsia="宋体" w:cs="宋体"/>
                <w:b w:val="0"/>
                <w:i w:val="0"/>
                <w:sz w:val="18"/>
              </w:rPr>
              <w:t>&lt;=3.10万元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A7630">
            <w:pPr>
              <w:spacing w:before="0" w:after="0" w:line="240" w:lineRule="auto"/>
              <w:jc w:val="center"/>
            </w:pPr>
            <w:r>
              <w:rPr>
                <w:rFonts w:ascii="宋体" w:hAnsi="宋体" w:eastAsia="宋体" w:cs="宋体"/>
                <w:b w:val="0"/>
                <w:i w:val="0"/>
                <w:sz w:val="18"/>
              </w:rPr>
              <w:t>=3.1万元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9602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12269">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E226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9AAB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19F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2AA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AFDCC">
            <w:pPr>
              <w:spacing w:before="0" w:after="0" w:line="240" w:lineRule="auto"/>
              <w:jc w:val="center"/>
            </w:pPr>
          </w:p>
        </w:tc>
      </w:tr>
      <w:tr w14:paraId="344C9C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4C9D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D914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F736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1EE9A">
            <w:pPr>
              <w:spacing w:before="0" w:after="0" w:line="240" w:lineRule="auto"/>
              <w:jc w:val="center"/>
            </w:pPr>
            <w:r>
              <w:rPr>
                <w:rFonts w:ascii="宋体" w:hAnsi="宋体" w:eastAsia="宋体" w:cs="宋体"/>
                <w:b w:val="0"/>
                <w:i w:val="0"/>
                <w:sz w:val="18"/>
              </w:rPr>
              <w:t>提升环境违法行为的打击力度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FD039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75D16">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69DD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111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5037E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CDC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A30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B365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E4C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5ED73">
            <w:pPr>
              <w:spacing w:before="0" w:after="0" w:line="240" w:lineRule="auto"/>
              <w:jc w:val="center"/>
            </w:pPr>
          </w:p>
        </w:tc>
      </w:tr>
      <w:tr w14:paraId="0D42C5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2D7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F258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4A61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B9516">
            <w:pPr>
              <w:spacing w:before="0" w:after="0" w:line="240" w:lineRule="auto"/>
              <w:jc w:val="center"/>
            </w:pPr>
            <w:r>
              <w:rPr>
                <w:rFonts w:ascii="宋体" w:hAnsi="宋体" w:eastAsia="宋体" w:cs="宋体"/>
                <w:b w:val="0"/>
                <w:i w:val="0"/>
                <w:sz w:val="18"/>
              </w:rPr>
              <w:t>职工对物业服务的满意度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5ED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42A7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A7833">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FADA3F">
            <w:pPr>
              <w:spacing w:before="0" w:after="0" w:line="240" w:lineRule="auto"/>
              <w:jc w:val="center"/>
            </w:pPr>
            <w:r>
              <w:rPr>
                <w:rFonts w:ascii="宋体" w:hAnsi="宋体" w:eastAsia="宋体" w:cs="宋体"/>
                <w:b w:val="0"/>
                <w:i w:val="0"/>
                <w:sz w:val="18"/>
              </w:rPr>
              <w:t>106.67%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0428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2EC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11E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3BCB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C18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31E8B">
            <w:pPr>
              <w:spacing w:before="0" w:after="0" w:line="240" w:lineRule="auto"/>
              <w:jc w:val="center"/>
            </w:pPr>
            <w:r>
              <w:rPr>
                <w:rFonts w:ascii="宋体" w:hAnsi="宋体" w:eastAsia="宋体" w:cs="宋体"/>
                <w:b w:val="0"/>
                <w:i w:val="0"/>
                <w:sz w:val="18"/>
              </w:rPr>
              <w:t>此项指标已完成，存在偏差，偏差率为-6.67%，偏差原因为：我单位在前期设定满意度指标时，设定了≥90%的保守目标值，实际滴啊差对物业工作认可度较高，故与实际完成值产生偏差；下一年度改进措施：总结本次项目的成功经验，在编制下一年度绩效目标时，结合实际执行能力，将满意度目标值适当上调，以此倒逼服务质量持续提升。</w:t>
            </w:r>
          </w:p>
        </w:tc>
      </w:tr>
      <w:tr w14:paraId="23E8728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6C48FE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E452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FFD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CB1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55C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ADC876">
            <w:pPr>
              <w:spacing w:before="0" w:after="0" w:line="240" w:lineRule="auto"/>
              <w:jc w:val="center"/>
            </w:pPr>
            <w:r>
              <w:rPr>
                <w:rFonts w:ascii="宋体" w:hAnsi="宋体" w:eastAsia="宋体" w:cs="宋体"/>
                <w:b w:val="0"/>
                <w:i w:val="0"/>
                <w:sz w:val="18"/>
              </w:rPr>
              <w:t>92.21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4ED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149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578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89D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4606E">
            <w:pPr>
              <w:spacing w:before="0" w:after="0" w:line="240" w:lineRule="auto"/>
              <w:jc w:val="center"/>
            </w:pPr>
          </w:p>
        </w:tc>
      </w:tr>
    </w:tbl>
    <w:p w14:paraId="2349BE7F">
      <w:r>
        <w:br w:type="page"/>
      </w:r>
    </w:p>
    <w:p w14:paraId="2F9D663B">
      <w:pPr>
        <w:sectPr>
          <w:type w:val="continuous"/>
          <w:pgSz w:w="11906" w:h="16838"/>
          <w:pgMar w:top="1440" w:right="1800" w:bottom="1440" w:left="1800" w:header="851" w:footer="992" w:gutter="0"/>
          <w:cols w:space="720" w:num="1"/>
          <w:docGrid w:type="lines" w:linePitch="312" w:charSpace="0"/>
        </w:sectPr>
      </w:pPr>
    </w:p>
    <w:p w14:paraId="57FCA964">
      <w:pPr>
        <w:spacing w:line="640" w:lineRule="exact"/>
        <w:ind w:firstLine="640"/>
        <w:jc w:val="both"/>
        <w:outlineLvl w:val="2"/>
      </w:pPr>
      <w:r>
        <w:rPr>
          <w:rFonts w:ascii="黑体" w:hAnsi="黑体" w:eastAsia="黑体"/>
          <w:sz w:val="32"/>
        </w:rPr>
        <w:t>十二、其他需说明的事项</w:t>
      </w:r>
    </w:p>
    <w:p w14:paraId="0B62BC58">
      <w:pPr>
        <w:spacing w:line="580" w:lineRule="exact"/>
        <w:ind w:firstLine="640"/>
        <w:jc w:val="both"/>
      </w:pPr>
      <w:r>
        <w:rPr>
          <w:rFonts w:ascii="仿宋_GB2312" w:hAnsi="仿宋_GB2312" w:eastAsia="仿宋_GB2312"/>
          <w:b w:val="0"/>
          <w:sz w:val="32"/>
        </w:rPr>
        <w:t>本年本单位其他项目1个，全年预算数1.97万元，全年执行数1.97万元。</w:t>
      </w:r>
    </w:p>
    <w:p w14:paraId="5B77D23F">
      <w:r>
        <w:br w:type="page"/>
      </w:r>
    </w:p>
    <w:p w14:paraId="245537E7">
      <w:pPr>
        <w:spacing w:line="600" w:lineRule="exact"/>
        <w:jc w:val="center"/>
        <w:outlineLvl w:val="0"/>
      </w:pPr>
      <w:r>
        <w:rPr>
          <w:rFonts w:ascii="黑体" w:hAnsi="黑体" w:eastAsia="黑体"/>
          <w:sz w:val="32"/>
        </w:rPr>
        <w:t>第三部分 专业名词解释</w:t>
      </w:r>
    </w:p>
    <w:p w14:paraId="5AA6CC46">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146EA9C">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2DDE1BB">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44BC6D1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8FCF70E">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E93C419">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4551A56">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FB2B2A4">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C2EF849">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6D24DB9">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36D9AF2">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85A776A">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50EBD4E">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1D4CD0D">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72F0FB8">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6E9D097">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CC85BB5">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9467B2A">
      <w:r>
        <w:br w:type="page"/>
      </w:r>
    </w:p>
    <w:p w14:paraId="55E9F2A5">
      <w:pPr>
        <w:spacing w:line="240" w:lineRule="auto"/>
        <w:jc w:val="center"/>
        <w:outlineLvl w:val="1"/>
      </w:pPr>
      <w:r>
        <w:rPr>
          <w:rFonts w:ascii="黑体" w:hAnsi="黑体" w:eastAsia="黑体"/>
          <w:sz w:val="32"/>
        </w:rPr>
        <w:t>第四部分 部门决算报表（见附表）</w:t>
      </w:r>
    </w:p>
    <w:p w14:paraId="72367AB8">
      <w:pPr>
        <w:autoSpaceDE w:val="0"/>
        <w:autoSpaceDN w:val="0"/>
        <w:spacing w:line="600" w:lineRule="exact"/>
        <w:ind w:firstLine="640" w:firstLineChars="200"/>
      </w:pPr>
      <w:r>
        <w:rPr>
          <w:rFonts w:ascii="仿宋_GB2312" w:hAnsi="仿宋_GB2312" w:eastAsia="仿宋_GB2312"/>
          <w:b w:val="0"/>
          <w:sz w:val="32"/>
        </w:rPr>
        <w:t>一、《收入支出决算总表》</w:t>
      </w:r>
    </w:p>
    <w:p w14:paraId="42148872">
      <w:pPr>
        <w:autoSpaceDE w:val="0"/>
        <w:autoSpaceDN w:val="0"/>
        <w:spacing w:line="600" w:lineRule="exact"/>
        <w:ind w:firstLine="640" w:firstLineChars="200"/>
      </w:pPr>
      <w:r>
        <w:rPr>
          <w:rFonts w:ascii="仿宋_GB2312" w:hAnsi="仿宋_GB2312" w:eastAsia="仿宋_GB2312"/>
          <w:b w:val="0"/>
          <w:sz w:val="32"/>
        </w:rPr>
        <w:t>二、《收入决算表》</w:t>
      </w:r>
    </w:p>
    <w:p w14:paraId="3367DC8F">
      <w:pPr>
        <w:autoSpaceDE w:val="0"/>
        <w:autoSpaceDN w:val="0"/>
        <w:spacing w:line="600" w:lineRule="exact"/>
        <w:ind w:firstLine="640" w:firstLineChars="200"/>
      </w:pPr>
      <w:r>
        <w:rPr>
          <w:rFonts w:ascii="仿宋_GB2312" w:hAnsi="仿宋_GB2312" w:eastAsia="仿宋_GB2312"/>
          <w:b w:val="0"/>
          <w:sz w:val="32"/>
        </w:rPr>
        <w:t>三、《支出决算表》</w:t>
      </w:r>
    </w:p>
    <w:p w14:paraId="580E9A3B">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2389AAA">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35C23E0C">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19454FF">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8AECE0B">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9EE014B">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553978A">
      <w:pPr>
        <w:autoSpaceDE w:val="0"/>
        <w:autoSpaceDN w:val="0"/>
        <w:spacing w:line="600" w:lineRule="exact"/>
        <w:ind w:firstLine="640" w:firstLineChars="200"/>
      </w:pPr>
    </w:p>
    <w:p w14:paraId="5F12BCAE">
      <w:pPr>
        <w:autoSpaceDE w:val="0"/>
        <w:autoSpaceDN w:val="0"/>
        <w:spacing w:line="600" w:lineRule="exact"/>
        <w:ind w:firstLine="640" w:firstLineChars="200"/>
      </w:pPr>
    </w:p>
    <w:p w14:paraId="49F5E872">
      <w:pPr>
        <w:autoSpaceDE w:val="0"/>
        <w:autoSpaceDN w:val="0"/>
        <w:spacing w:line="600" w:lineRule="exact"/>
        <w:ind w:firstLine="640" w:firstLineChars="200"/>
      </w:pPr>
    </w:p>
    <w:p w14:paraId="1BB19222">
      <w:pPr>
        <w:autoSpaceDE w:val="0"/>
        <w:autoSpaceDN w:val="0"/>
        <w:spacing w:line="600" w:lineRule="exact"/>
        <w:ind w:firstLine="640" w:firstLineChars="200"/>
      </w:pPr>
    </w:p>
    <w:p w14:paraId="70050438">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B8E777-11F9-4E5A-B460-0CF4435670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ADE8D189-F528-454F-8959-C79A29B79C10}"/>
  </w:font>
  <w:font w:name="仿宋_GB2312">
    <w:panose1 w:val="02010609030101010101"/>
    <w:charset w:val="86"/>
    <w:family w:val="modern"/>
    <w:pitch w:val="default"/>
    <w:sig w:usb0="00000001" w:usb1="080E0000" w:usb2="00000000" w:usb3="00000000" w:csb0="00040000" w:csb1="00000000"/>
    <w:embedRegular r:id="rId3" w:fontKey="{11ADA288-6836-4DC9-A46A-E6319FF069BA}"/>
  </w:font>
  <w:font w:name="楷体_GB2312">
    <w:panose1 w:val="02010609030101010101"/>
    <w:charset w:val="86"/>
    <w:family w:val="auto"/>
    <w:pitch w:val="default"/>
    <w:sig w:usb0="00000001" w:usb1="080E0000" w:usb2="00000000" w:usb3="00000000" w:csb0="00040000" w:csb1="00000000"/>
    <w:embedRegular r:id="rId4" w:fontKey="{E84447E1-4F6F-4E99-BA60-A0AF2F265B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CC13446"/>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35</Pages>
  <Words>30</Words>
  <Characters>33</Characters>
  <Lines>10</Lines>
  <Paragraphs>2</Paragraphs>
  <TotalTime>7</TotalTime>
  <ScaleCrop>false</ScaleCrop>
  <LinksUpToDate>false</LinksUpToDate>
  <CharactersWithSpaces>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2026-10-15T10:46:41Z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