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昌吉市人民检察院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14B43C5">
      <w:r>
        <w:br w:type="page"/>
      </w:r>
    </w:p>
    <w:p w14:paraId="1B6232D4">
      <w:pPr>
        <w:spacing w:line="640" w:lineRule="exact"/>
        <w:jc w:val="center"/>
        <w:outlineLvl w:val="1"/>
      </w:pPr>
      <w:r>
        <w:rPr>
          <w:rFonts w:ascii="黑体" w:hAnsi="黑体" w:eastAsia="黑体"/>
          <w:sz w:val="32"/>
        </w:rPr>
        <w:t>第一部分 单位概况</w:t>
      </w:r>
    </w:p>
    <w:p w14:paraId="58F777F3">
      <w:pPr>
        <w:spacing w:line="640" w:lineRule="exact"/>
        <w:ind w:firstLine="640"/>
        <w:jc w:val="both"/>
        <w:outlineLvl w:val="2"/>
      </w:pPr>
      <w:r>
        <w:rPr>
          <w:rFonts w:ascii="黑体" w:hAnsi="黑体" w:eastAsia="黑体"/>
          <w:sz w:val="32"/>
        </w:rPr>
        <w:t>一、主要职能</w:t>
      </w:r>
    </w:p>
    <w:p w14:paraId="0C64FEA8">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社会稳定和长治久安总目标，统一全院检察人员思想和行动，坚持党对检察工作的绝对领导，坚决维护习近平总书记的核心地位，坚决维护党中央权威和集中统一领导。</w:t>
      </w:r>
    </w:p>
    <w:p w14:paraId="1627D4B7">
      <w:pPr>
        <w:spacing w:line="580" w:lineRule="exact"/>
        <w:ind w:firstLine="640"/>
        <w:jc w:val="both"/>
      </w:pPr>
      <w:r>
        <w:rPr>
          <w:rFonts w:ascii="仿宋_GB2312" w:hAnsi="仿宋_GB2312" w:eastAsia="仿宋_GB2312"/>
          <w:sz w:val="32"/>
        </w:rPr>
        <w:t>(二)依法向昌吉市人民代表大会及其常务委员会提出议案。</w:t>
      </w:r>
    </w:p>
    <w:p w14:paraId="617D2E4A">
      <w:pPr>
        <w:spacing w:line="580" w:lineRule="exact"/>
        <w:ind w:firstLine="640"/>
        <w:jc w:val="both"/>
      </w:pPr>
      <w:r>
        <w:rPr>
          <w:rFonts w:ascii="仿宋_GB2312" w:hAnsi="仿宋_GB2312" w:eastAsia="仿宋_GB2312"/>
          <w:sz w:val="32"/>
        </w:rPr>
        <w:t>(三)贯彻落实检察工作方针、总体规划，完成检察工作任务。</w:t>
      </w:r>
    </w:p>
    <w:p w14:paraId="4B17438B">
      <w:pPr>
        <w:spacing w:line="580" w:lineRule="exact"/>
        <w:ind w:firstLine="640"/>
        <w:jc w:val="both"/>
      </w:pPr>
      <w:r>
        <w:rPr>
          <w:rFonts w:ascii="仿宋_GB2312" w:hAnsi="仿宋_GB2312" w:eastAsia="仿宋_GB2312"/>
          <w:sz w:val="32"/>
        </w:rPr>
        <w:t>(四)依法开展对刑事犯罪案件的审查批准逮捕、决定逮捕、审查起诉工作。</w:t>
      </w:r>
    </w:p>
    <w:p w14:paraId="1F8F4AF0">
      <w:pPr>
        <w:spacing w:line="580" w:lineRule="exact"/>
        <w:ind w:firstLine="640"/>
        <w:jc w:val="both"/>
      </w:pPr>
      <w:r>
        <w:rPr>
          <w:rFonts w:ascii="仿宋_GB2312" w:hAnsi="仿宋_GB2312" w:eastAsia="仿宋_GB2312"/>
          <w:sz w:val="32"/>
        </w:rPr>
        <w:t>(五)负责应由昌吉市人民检察院承办的刑事、民事、行政诉讼活动及刑事、民事、行政判决和裁定等生效法律文书执行的法律监督工作。</w:t>
      </w:r>
    </w:p>
    <w:p w14:paraId="66A2BDF8">
      <w:pPr>
        <w:spacing w:line="580" w:lineRule="exact"/>
        <w:ind w:firstLine="640"/>
        <w:jc w:val="both"/>
      </w:pPr>
      <w:r>
        <w:rPr>
          <w:rFonts w:ascii="仿宋_GB2312" w:hAnsi="仿宋_GB2312" w:eastAsia="仿宋_GB2312"/>
          <w:sz w:val="32"/>
        </w:rPr>
        <w:t>(六)负责对昌吉市人民法院已发生法律效力、确有错误的判决和裁定，依法提请昌吉州人民检察院向昌吉州中级人民法院提出抗诉。</w:t>
      </w:r>
    </w:p>
    <w:p w14:paraId="3B9B6757">
      <w:pPr>
        <w:spacing w:line="580" w:lineRule="exact"/>
        <w:ind w:firstLine="640"/>
        <w:jc w:val="both"/>
      </w:pPr>
      <w:r>
        <w:rPr>
          <w:rFonts w:ascii="仿宋_GB2312" w:hAnsi="仿宋_GB2312" w:eastAsia="仿宋_GB2312"/>
          <w:sz w:val="32"/>
        </w:rPr>
        <w:t>(七)负责应由昌吉市人民检察院承办的提起公益诉讼工作。</w:t>
      </w:r>
    </w:p>
    <w:p w14:paraId="20EDFE29">
      <w:pPr>
        <w:spacing w:line="580" w:lineRule="exact"/>
        <w:ind w:firstLine="640"/>
        <w:jc w:val="both"/>
      </w:pPr>
      <w:r>
        <w:rPr>
          <w:rFonts w:ascii="仿宋_GB2312" w:hAnsi="仿宋_GB2312" w:eastAsia="仿宋_GB2312"/>
          <w:sz w:val="32"/>
        </w:rPr>
        <w:t>(八)负责应由昌吉市人民检察院承办的看守所、社区矫正机构等执法活动的法律监督工作。</w:t>
      </w:r>
    </w:p>
    <w:p w14:paraId="6166730E">
      <w:pPr>
        <w:spacing w:line="580" w:lineRule="exact"/>
        <w:ind w:firstLine="640"/>
        <w:jc w:val="both"/>
      </w:pPr>
      <w:r>
        <w:rPr>
          <w:rFonts w:ascii="仿宋_GB2312" w:hAnsi="仿宋_GB2312" w:eastAsia="仿宋_GB2312"/>
          <w:sz w:val="32"/>
        </w:rPr>
        <w:t>(九)受理向昌吉市人民检察院的控告申诉，开展控告申诉检察工作。</w:t>
      </w:r>
    </w:p>
    <w:p w14:paraId="5983622A">
      <w:pPr>
        <w:spacing w:line="580" w:lineRule="exact"/>
        <w:ind w:firstLine="640"/>
        <w:jc w:val="both"/>
      </w:pPr>
      <w:r>
        <w:rPr>
          <w:rFonts w:ascii="仿宋_GB2312" w:hAnsi="仿宋_GB2312" w:eastAsia="仿宋_GB2312"/>
          <w:sz w:val="32"/>
        </w:rPr>
        <w:t>(十)开展检察应用和理论研究工作。</w:t>
      </w:r>
    </w:p>
    <w:p w14:paraId="32660C39">
      <w:pPr>
        <w:spacing w:line="580" w:lineRule="exact"/>
        <w:ind w:firstLine="640"/>
        <w:jc w:val="both"/>
      </w:pPr>
      <w:r>
        <w:rPr>
          <w:rFonts w:ascii="仿宋_GB2312" w:hAnsi="仿宋_GB2312" w:eastAsia="仿宋_GB2312"/>
          <w:sz w:val="32"/>
        </w:rPr>
        <w:t>(十一)负责本院队伍建设和思想政治工作。依法管理检察官及其他检察人员的工作，开展检察机关教育培训工作。</w:t>
      </w:r>
    </w:p>
    <w:p w14:paraId="588907BD">
      <w:pPr>
        <w:spacing w:line="580" w:lineRule="exact"/>
        <w:ind w:firstLine="640"/>
        <w:jc w:val="both"/>
      </w:pPr>
      <w:r>
        <w:rPr>
          <w:rFonts w:ascii="仿宋_GB2312" w:hAnsi="仿宋_GB2312" w:eastAsia="仿宋_GB2312"/>
          <w:sz w:val="32"/>
        </w:rPr>
        <w:t>(十二)开展本院检务督察工作。</w:t>
      </w:r>
    </w:p>
    <w:p w14:paraId="6D749EA2">
      <w:pPr>
        <w:spacing w:line="580" w:lineRule="exact"/>
        <w:ind w:firstLine="640"/>
        <w:jc w:val="both"/>
      </w:pPr>
      <w:r>
        <w:rPr>
          <w:rFonts w:ascii="仿宋_GB2312" w:hAnsi="仿宋_GB2312" w:eastAsia="仿宋_GB2312"/>
          <w:sz w:val="32"/>
        </w:rPr>
        <w:t>(十三)开展检察机关的财务装备工作，检察技术信息工作。</w:t>
      </w:r>
    </w:p>
    <w:p w14:paraId="78EA0E7B">
      <w:pPr>
        <w:spacing w:line="580" w:lineRule="exact"/>
        <w:ind w:firstLine="640"/>
        <w:jc w:val="both"/>
      </w:pPr>
      <w:r>
        <w:rPr>
          <w:rFonts w:ascii="仿宋_GB2312" w:hAnsi="仿宋_GB2312" w:eastAsia="仿宋_GB2312"/>
          <w:sz w:val="32"/>
        </w:rPr>
        <w:t>(十四)负责其他应当由昌吉市人民检察院承办的事项。</w:t>
      </w:r>
    </w:p>
    <w:p w14:paraId="7B8BBF19">
      <w:pPr>
        <w:spacing w:line="640" w:lineRule="exact"/>
        <w:ind w:firstLine="640"/>
        <w:jc w:val="both"/>
        <w:outlineLvl w:val="2"/>
      </w:pPr>
      <w:r>
        <w:rPr>
          <w:rFonts w:ascii="黑体" w:hAnsi="黑体" w:eastAsia="黑体"/>
          <w:sz w:val="32"/>
        </w:rPr>
        <w:t>二、机构设置</w:t>
      </w:r>
    </w:p>
    <w:p w14:paraId="4493CA1A">
      <w:pPr>
        <w:spacing w:line="580" w:lineRule="exact"/>
        <w:ind w:firstLine="640"/>
        <w:jc w:val="both"/>
      </w:pPr>
      <w:r>
        <w:rPr>
          <w:rFonts w:ascii="仿宋_GB2312" w:hAnsi="仿宋_GB2312" w:eastAsia="仿宋_GB2312"/>
          <w:sz w:val="32"/>
        </w:rPr>
        <w:t>昌吉市人民检察院无下属预算单位。</w:t>
      </w:r>
    </w:p>
    <w:p w14:paraId="2BB947B2">
      <w:r>
        <w:br w:type="page"/>
      </w:r>
    </w:p>
    <w:p w14:paraId="22029D23">
      <w:pPr>
        <w:spacing w:line="240" w:lineRule="auto"/>
        <w:jc w:val="center"/>
        <w:outlineLvl w:val="1"/>
      </w:pPr>
      <w:r>
        <w:rPr>
          <w:rFonts w:ascii="黑体" w:hAnsi="黑体" w:eastAsia="黑体"/>
          <w:sz w:val="32"/>
        </w:rPr>
        <w:t>第二部分 部门决算情况说明</w:t>
      </w:r>
    </w:p>
    <w:p w14:paraId="7F80D828">
      <w:pPr>
        <w:spacing w:line="640" w:lineRule="exact"/>
        <w:ind w:firstLine="640"/>
        <w:jc w:val="both"/>
        <w:outlineLvl w:val="2"/>
      </w:pPr>
      <w:r>
        <w:rPr>
          <w:rFonts w:ascii="黑体" w:hAnsi="黑体" w:eastAsia="黑体"/>
          <w:sz w:val="32"/>
        </w:rPr>
        <w:t>一、收入支出决算总体情况说明</w:t>
      </w:r>
    </w:p>
    <w:p w14:paraId="2D997147">
      <w:pPr>
        <w:spacing w:line="580" w:lineRule="exact"/>
        <w:ind w:firstLine="640"/>
        <w:jc w:val="both"/>
      </w:pPr>
      <w:r>
        <w:rPr>
          <w:rFonts w:ascii="仿宋_GB2312" w:hAnsi="仿宋_GB2312" w:eastAsia="仿宋_GB2312"/>
          <w:b/>
          <w:sz w:val="32"/>
        </w:rPr>
        <w:t>2025年度收入总计1,846.28万元，</w:t>
      </w:r>
      <w:r>
        <w:rPr>
          <w:rFonts w:ascii="仿宋_GB2312" w:hAnsi="仿宋_GB2312" w:eastAsia="仿宋_GB2312"/>
          <w:b w:val="0"/>
          <w:sz w:val="32"/>
        </w:rPr>
        <w:t>其中：本年收入合计1,844.45万元，使用非财政拨款结余（含专用结余）0.00万元，年初结转和结余1.83万元。</w:t>
      </w:r>
    </w:p>
    <w:p w14:paraId="74F0D2F4">
      <w:pPr>
        <w:spacing w:line="580" w:lineRule="exact"/>
        <w:ind w:firstLine="640"/>
        <w:jc w:val="both"/>
      </w:pPr>
      <w:r>
        <w:rPr>
          <w:rFonts w:ascii="仿宋_GB2312" w:hAnsi="仿宋_GB2312" w:eastAsia="仿宋_GB2312"/>
          <w:b/>
          <w:sz w:val="32"/>
        </w:rPr>
        <w:t>2025年度支出总计1,846.28万元，</w:t>
      </w:r>
      <w:r>
        <w:rPr>
          <w:rFonts w:ascii="仿宋_GB2312" w:hAnsi="仿宋_GB2312" w:eastAsia="仿宋_GB2312"/>
          <w:b w:val="0"/>
          <w:sz w:val="32"/>
        </w:rPr>
        <w:t>其中：本年支出合计1,814.44万元，结余分配0.00万元，年末结转和结余31.84万元。</w:t>
      </w:r>
    </w:p>
    <w:p w14:paraId="7DFEF610">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增加173.81万元，增长10.39%，主要原因是：本年在职人员增加，在职人员工资调增、社保、公积金基数调增，人员经费增加。本年新增远程会商室项目，上级专项资金增加。</w:t>
      </w:r>
    </w:p>
    <w:p w14:paraId="6856A280">
      <w:pPr>
        <w:spacing w:line="640" w:lineRule="exact"/>
        <w:ind w:firstLine="640"/>
        <w:jc w:val="both"/>
        <w:outlineLvl w:val="2"/>
      </w:pPr>
      <w:r>
        <w:rPr>
          <w:rFonts w:ascii="黑体" w:hAnsi="黑体" w:eastAsia="黑体"/>
          <w:sz w:val="32"/>
        </w:rPr>
        <w:t>二、收入决算情况说明</w:t>
      </w:r>
    </w:p>
    <w:p w14:paraId="0FAF3092">
      <w:pPr>
        <w:spacing w:line="580" w:lineRule="exact"/>
        <w:ind w:firstLine="640"/>
        <w:jc w:val="both"/>
      </w:pPr>
      <w:r>
        <w:rPr>
          <w:rFonts w:ascii="仿宋_GB2312" w:hAnsi="仿宋_GB2312" w:eastAsia="仿宋_GB2312"/>
          <w:b/>
          <w:sz w:val="32"/>
        </w:rPr>
        <w:t>本年收入1,844.45万元，</w:t>
      </w:r>
      <w:r>
        <w:rPr>
          <w:rFonts w:ascii="仿宋_GB2312" w:hAnsi="仿宋_GB2312" w:eastAsia="仿宋_GB2312"/>
          <w:b w:val="0"/>
          <w:sz w:val="32"/>
        </w:rPr>
        <w:t>其中：财政拨款收入1,814.44万元，占98.37%；上级补助收入0.00万元，占0.00%；事业收入0.00万元，占0.00%；经营收入0.00万元，占0.00%；附属单位上缴收入0.00万元，占0.00%；其他收入30.01万元，占1.63%。</w:t>
      </w:r>
    </w:p>
    <w:p w14:paraId="2F929847">
      <w:pPr>
        <w:spacing w:line="640" w:lineRule="exact"/>
        <w:ind w:firstLine="640"/>
        <w:jc w:val="both"/>
        <w:outlineLvl w:val="2"/>
      </w:pPr>
      <w:r>
        <w:rPr>
          <w:rFonts w:ascii="黑体" w:hAnsi="黑体" w:eastAsia="黑体"/>
          <w:sz w:val="32"/>
        </w:rPr>
        <w:t>三、支出决算情况说明</w:t>
      </w:r>
    </w:p>
    <w:p w14:paraId="7058AB65">
      <w:pPr>
        <w:spacing w:line="580" w:lineRule="exact"/>
        <w:ind w:firstLine="640"/>
        <w:jc w:val="both"/>
      </w:pPr>
      <w:r>
        <w:rPr>
          <w:rFonts w:ascii="仿宋_GB2312" w:hAnsi="仿宋_GB2312" w:eastAsia="仿宋_GB2312"/>
          <w:b/>
          <w:sz w:val="32"/>
        </w:rPr>
        <w:t>本年支出1,814.44万元，</w:t>
      </w:r>
      <w:r>
        <w:rPr>
          <w:rFonts w:ascii="仿宋_GB2312" w:hAnsi="仿宋_GB2312" w:eastAsia="仿宋_GB2312"/>
          <w:b w:val="0"/>
          <w:sz w:val="32"/>
        </w:rPr>
        <w:t>其中：基本支出1,437.00万元，占79.20%；项目支出377.44万元，占20.80%；上缴上级支出0.00万元，占0.00%；经营支出0.00万元，占0.00%；对附属单位补助支出0.00万元，占0.00%。</w:t>
      </w:r>
    </w:p>
    <w:p w14:paraId="1818D048">
      <w:pPr>
        <w:spacing w:line="640" w:lineRule="exact"/>
        <w:ind w:firstLine="640"/>
        <w:jc w:val="both"/>
        <w:outlineLvl w:val="2"/>
      </w:pPr>
      <w:r>
        <w:rPr>
          <w:rFonts w:ascii="黑体" w:hAnsi="黑体" w:eastAsia="黑体"/>
          <w:sz w:val="32"/>
        </w:rPr>
        <w:t>四、财政拨款收入支出决算总体情况说明</w:t>
      </w:r>
    </w:p>
    <w:p w14:paraId="1E513603">
      <w:pPr>
        <w:spacing w:line="580" w:lineRule="exact"/>
        <w:ind w:firstLine="640"/>
        <w:jc w:val="both"/>
      </w:pPr>
      <w:r>
        <w:rPr>
          <w:rFonts w:ascii="仿宋_GB2312" w:hAnsi="仿宋_GB2312" w:eastAsia="仿宋_GB2312"/>
          <w:b/>
          <w:sz w:val="32"/>
        </w:rPr>
        <w:t>2025年度财政拨款收入总计1,814.44万元，</w:t>
      </w:r>
      <w:r>
        <w:rPr>
          <w:rFonts w:ascii="仿宋_GB2312" w:hAnsi="仿宋_GB2312" w:eastAsia="仿宋_GB2312"/>
          <w:b w:val="0"/>
          <w:sz w:val="32"/>
        </w:rPr>
        <w:t>其中：年初财政拨款结转和结余0.00万元，本年财政拨款收入1,814.44万元。</w:t>
      </w:r>
      <w:r>
        <w:rPr>
          <w:rFonts w:ascii="仿宋_GB2312" w:hAnsi="仿宋_GB2312" w:eastAsia="仿宋_GB2312"/>
          <w:b/>
          <w:sz w:val="32"/>
        </w:rPr>
        <w:t>财政拨款支出总计1,814.44万元，</w:t>
      </w:r>
      <w:r>
        <w:rPr>
          <w:rFonts w:ascii="仿宋_GB2312" w:hAnsi="仿宋_GB2312" w:eastAsia="仿宋_GB2312"/>
          <w:b w:val="0"/>
          <w:sz w:val="32"/>
        </w:rPr>
        <w:t>其中：年末财政拨款结转和结余0.00万元，本年财政拨款支出1,814.44万元。</w:t>
      </w:r>
    </w:p>
    <w:p w14:paraId="59E84A09">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增加233.80万元，增长14.79%，主要原因是：本年在职人员增加，在职人员工资调增、社保、公积金基数调增，人员经费增加。本年新增远程会商室项目，上级专项资金增加。</w:t>
      </w:r>
      <w:r>
        <w:rPr>
          <w:rFonts w:ascii="仿宋_GB2312" w:hAnsi="仿宋_GB2312" w:eastAsia="仿宋_GB2312"/>
          <w:b/>
          <w:sz w:val="32"/>
        </w:rPr>
        <w:t>与年初预算相比，</w:t>
      </w:r>
      <w:r>
        <w:rPr>
          <w:rFonts w:ascii="仿宋_GB2312" w:hAnsi="仿宋_GB2312" w:eastAsia="仿宋_GB2312"/>
          <w:b w:val="0"/>
          <w:sz w:val="32"/>
        </w:rPr>
        <w:t>年初预算数1,566.28万元，决算数1,814.44万元，预决算差异率15.84%，主要原因是：本年在职人员增加，年中追加人员经费及人员工资、社保、公积金基数调增部分资金；年中追加驻村工作自治区补助经费（为民办实事经费）及中央政法转移支付资金，导致预决算存在差异。</w:t>
      </w:r>
    </w:p>
    <w:p w14:paraId="51872D95">
      <w:pPr>
        <w:spacing w:line="640" w:lineRule="exact"/>
        <w:ind w:firstLine="640"/>
        <w:jc w:val="both"/>
        <w:outlineLvl w:val="2"/>
      </w:pPr>
      <w:r>
        <w:rPr>
          <w:rFonts w:ascii="黑体" w:hAnsi="黑体" w:eastAsia="黑体"/>
          <w:sz w:val="32"/>
        </w:rPr>
        <w:t>五、一般公共预算财政拨款支出决算情况说明</w:t>
      </w:r>
    </w:p>
    <w:p w14:paraId="78AFCC5E">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09D1B5F6">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按照支出功能分类，公共安全支出（类）检察（款）行政运行（项）的支出占本年财政拨款支出总额的比重最高，2025年度决算数为1,105.21万元，占比60.91%，主要用于人员工资福利、日常公用经费。</w:t>
      </w:r>
    </w:p>
    <w:p w14:paraId="56001AB5">
      <w:pPr>
        <w:spacing w:line="640" w:lineRule="exact"/>
        <w:ind w:firstLine="640"/>
        <w:jc w:val="both"/>
        <w:outlineLvl w:val="3"/>
      </w:pPr>
      <w:r>
        <w:rPr>
          <w:rFonts w:ascii="楷体_GB2312" w:hAnsi="楷体_GB2312" w:eastAsia="楷体_GB2312"/>
          <w:b/>
          <w:sz w:val="32"/>
        </w:rPr>
        <w:t>（一）一般公共预算财政拨款支出决算总体情况</w:t>
      </w:r>
    </w:p>
    <w:p w14:paraId="62726F66">
      <w:pPr>
        <w:spacing w:line="580" w:lineRule="exact"/>
        <w:ind w:firstLine="640"/>
        <w:jc w:val="both"/>
      </w:pPr>
      <w:r>
        <w:rPr>
          <w:rFonts w:ascii="仿宋_GB2312" w:hAnsi="仿宋_GB2312" w:eastAsia="仿宋_GB2312"/>
          <w:b/>
          <w:sz w:val="32"/>
        </w:rPr>
        <w:t>2025年度一般公共预算财政拨款支出1,814.44万元，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增加233.80万元，增长14.79%，主要原因是：本年在职人员增加，在职人员工资调增、社保、公积金基数调增，人员经费增加。本年新增远程会商室项目，上级专项资金增加。</w:t>
      </w:r>
      <w:r>
        <w:rPr>
          <w:rFonts w:ascii="仿宋_GB2312" w:hAnsi="仿宋_GB2312" w:eastAsia="仿宋_GB2312"/>
          <w:b/>
          <w:sz w:val="32"/>
        </w:rPr>
        <w:t>与年初预算相比，</w:t>
      </w:r>
      <w:r>
        <w:rPr>
          <w:rFonts w:ascii="仿宋_GB2312" w:hAnsi="仿宋_GB2312" w:eastAsia="仿宋_GB2312"/>
          <w:b w:val="0"/>
          <w:sz w:val="32"/>
        </w:rPr>
        <w:t>年初预算数1,566.28万元，决算数1,814.44万元，预决算差异率15.84%，主要原因是：本年在职人员增加，年中追加人员经费及人员工资、社保、公积金基数调增部分资金；年中追加驻村工作自治区补助经费（为民办实事经费）及中央政转移支付资金，导致预决算存在差异。</w:t>
      </w:r>
    </w:p>
    <w:p w14:paraId="175590DA">
      <w:pPr>
        <w:spacing w:line="640" w:lineRule="exact"/>
        <w:ind w:firstLine="640"/>
        <w:jc w:val="both"/>
        <w:outlineLvl w:val="3"/>
      </w:pPr>
      <w:r>
        <w:rPr>
          <w:rFonts w:ascii="楷体_GB2312" w:hAnsi="楷体_GB2312" w:eastAsia="楷体_GB2312"/>
          <w:b/>
          <w:sz w:val="32"/>
        </w:rPr>
        <w:t>（二）一般公共预算财政拨款支出决算结构情况</w:t>
      </w:r>
    </w:p>
    <w:p w14:paraId="527BD336">
      <w:pPr>
        <w:spacing w:line="580" w:lineRule="exact"/>
        <w:ind w:firstLine="640"/>
        <w:jc w:val="both"/>
      </w:pPr>
      <w:r>
        <w:rPr>
          <w:rFonts w:ascii="仿宋_GB2312" w:hAnsi="仿宋_GB2312" w:eastAsia="仿宋_GB2312"/>
          <w:b w:val="0"/>
          <w:sz w:val="32"/>
        </w:rPr>
        <w:t>1.公共安全支出（类）1,465.16万元，占80.75%。</w:t>
      </w:r>
    </w:p>
    <w:p w14:paraId="1F83D69E">
      <w:pPr>
        <w:spacing w:line="580" w:lineRule="exact"/>
        <w:ind w:firstLine="640"/>
        <w:jc w:val="both"/>
      </w:pPr>
      <w:r>
        <w:rPr>
          <w:rFonts w:ascii="仿宋_GB2312" w:hAnsi="仿宋_GB2312" w:eastAsia="仿宋_GB2312"/>
          <w:b w:val="0"/>
          <w:sz w:val="32"/>
        </w:rPr>
        <w:t>2.社会保障和就业支出（类）174.09万元，占9.59%。</w:t>
      </w:r>
    </w:p>
    <w:p w14:paraId="64C40570">
      <w:pPr>
        <w:spacing w:line="580" w:lineRule="exact"/>
        <w:ind w:firstLine="640"/>
        <w:jc w:val="both"/>
      </w:pPr>
      <w:r>
        <w:rPr>
          <w:rFonts w:ascii="仿宋_GB2312" w:hAnsi="仿宋_GB2312" w:eastAsia="仿宋_GB2312"/>
          <w:b w:val="0"/>
          <w:sz w:val="32"/>
        </w:rPr>
        <w:t>3.卫生健康支出（类）79.97万元，占4.41%。</w:t>
      </w:r>
    </w:p>
    <w:p w14:paraId="26881ECA">
      <w:pPr>
        <w:spacing w:line="580" w:lineRule="exact"/>
        <w:ind w:firstLine="640"/>
        <w:jc w:val="both"/>
      </w:pPr>
      <w:r>
        <w:rPr>
          <w:rFonts w:ascii="仿宋_GB2312" w:hAnsi="仿宋_GB2312" w:eastAsia="仿宋_GB2312"/>
          <w:b w:val="0"/>
          <w:sz w:val="32"/>
        </w:rPr>
        <w:t>4.住房保障支出（类）74.10万元，占4.08%。</w:t>
      </w:r>
    </w:p>
    <w:p w14:paraId="19F63F4B">
      <w:pPr>
        <w:spacing w:line="580" w:lineRule="exact"/>
        <w:ind w:firstLine="640"/>
        <w:jc w:val="both"/>
      </w:pPr>
      <w:r>
        <w:rPr>
          <w:rFonts w:ascii="仿宋_GB2312" w:hAnsi="仿宋_GB2312" w:eastAsia="仿宋_GB2312"/>
          <w:b w:val="0"/>
          <w:sz w:val="32"/>
        </w:rPr>
        <w:t>5.其他支出（类）21.13万元，占1.16%。</w:t>
      </w:r>
    </w:p>
    <w:p w14:paraId="2C638503">
      <w:pPr>
        <w:spacing w:line="640" w:lineRule="exact"/>
        <w:ind w:firstLine="640"/>
        <w:jc w:val="both"/>
        <w:outlineLvl w:val="3"/>
      </w:pPr>
      <w:r>
        <w:rPr>
          <w:rFonts w:ascii="楷体_GB2312" w:hAnsi="楷体_GB2312" w:eastAsia="楷体_GB2312"/>
          <w:b/>
          <w:sz w:val="32"/>
        </w:rPr>
        <w:t>（三）一般公共预算财政拨款支出决算具体情况</w:t>
      </w:r>
    </w:p>
    <w:p w14:paraId="0D4FAA99">
      <w:pPr>
        <w:spacing w:line="580" w:lineRule="exact"/>
        <w:ind w:firstLine="640"/>
        <w:jc w:val="both"/>
      </w:pPr>
      <w:r>
        <w:rPr>
          <w:rFonts w:ascii="仿宋_GB2312" w:hAnsi="仿宋_GB2312" w:eastAsia="仿宋_GB2312"/>
          <w:b w:val="0"/>
          <w:sz w:val="32"/>
        </w:rPr>
        <w:t>1.公共安全支出（类）检察（款）行政运行（项）：支出决算数为1,105.21万元，比上年决算增加94.40万元，增长9.34%，主要原因是：本年新增在职人员，人员经费增加，导致经费较上年有所增加。</w:t>
      </w:r>
    </w:p>
    <w:p w14:paraId="71FF800C">
      <w:pPr>
        <w:spacing w:line="580" w:lineRule="exact"/>
        <w:ind w:firstLine="640"/>
        <w:jc w:val="both"/>
      </w:pPr>
      <w:r>
        <w:rPr>
          <w:rFonts w:ascii="仿宋_GB2312" w:hAnsi="仿宋_GB2312" w:eastAsia="仿宋_GB2312"/>
          <w:b w:val="0"/>
          <w:sz w:val="32"/>
        </w:rPr>
        <w:t>2.公共安全支出（类）检察（款）其他检察支出（项）：支出决算数为349.94万元，比上年决算增加80.61万元，增长29.93%，主要原因是：本年新增远程会商室项目，上级专项资金增加。</w:t>
      </w:r>
    </w:p>
    <w:p w14:paraId="6597AAB0">
      <w:pPr>
        <w:spacing w:line="580" w:lineRule="exact"/>
        <w:ind w:firstLine="640"/>
        <w:jc w:val="both"/>
      </w:pPr>
      <w:r>
        <w:rPr>
          <w:rFonts w:ascii="仿宋_GB2312" w:hAnsi="仿宋_GB2312" w:eastAsia="仿宋_GB2312"/>
          <w:b w:val="0"/>
          <w:sz w:val="32"/>
        </w:rPr>
        <w:t>3.公共安全支出（类）其他公共安全支出（款）其他公共安全支出（项）：支出决算数为10.00万元，比上年决算增加10.00万元，增长100.00%，主要原因是：本年功能科目调整，司法救助金上年在其他检察支出科目列支，本年调整至其他公共安全支出科目单独列支，导致经费较上年增加。</w:t>
      </w:r>
    </w:p>
    <w:p w14:paraId="1D521C09">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4.社会保障和就业支出（类）行政事业单位养老支出（款）行政单位离退休（项）：支出决算数为37.41万元，比上年决算增加11.47万元，增长44.22%，主要原因是：本年退休人员增加，退休费支出增加。</w:t>
      </w:r>
    </w:p>
    <w:p w14:paraId="65C2258E">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91.12万元，比上年决算增加2.66万元，增长3.01%，主要原因是：本年在职人员增加，养老保险缴费较上年增加。</w:t>
      </w:r>
    </w:p>
    <w:p w14:paraId="350A2892">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45.56万元，比上年决算减少3.68万元，下降7.47%，主要原因是：本年新增退休、辞职调出人员较上年减少，职业年金缴费较上年减少。</w:t>
      </w:r>
    </w:p>
    <w:p w14:paraId="68781688">
      <w:pPr>
        <w:spacing w:line="580" w:lineRule="exact"/>
        <w:ind w:firstLine="640"/>
        <w:jc w:val="both"/>
      </w:pPr>
      <w:r>
        <w:rPr>
          <w:rFonts w:ascii="仿宋_GB2312" w:hAnsi="仿宋_GB2312" w:eastAsia="仿宋_GB2312"/>
          <w:b w:val="0"/>
          <w:sz w:val="32"/>
        </w:rPr>
        <w:t>7.卫生健康支出（类）行政事业单位医疗（款）行政单位医疗（项）：支出决算数为55.87万元，比上年决算增加11.64万元，增长26.32%，主要原因是：本年在职人员增加，行政单位医疗支出较上年增加。</w:t>
      </w:r>
    </w:p>
    <w:p w14:paraId="4F277D72">
      <w:pPr>
        <w:spacing w:line="580" w:lineRule="exact"/>
        <w:ind w:firstLine="640"/>
        <w:jc w:val="both"/>
      </w:pPr>
      <w:r>
        <w:rPr>
          <w:rFonts w:ascii="仿宋_GB2312" w:hAnsi="仿宋_GB2312" w:eastAsia="仿宋_GB2312"/>
          <w:b w:val="0"/>
          <w:sz w:val="32"/>
        </w:rPr>
        <w:t>8.卫生健康支出（类）行政事业单位医疗（款）公务员医疗补助（项）：支出决算数为23.52万元，比上年决算增加20.76万元，增长752.17%，主要原因是：本年在职人员增加，公务员医疗补助较上年增加。</w:t>
      </w:r>
    </w:p>
    <w:p w14:paraId="219289C4">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9.卫生健康支出（类）行政事业单位医疗（款）其他行政事业单位医疗支出（项）：支出决算数为0.58万元，比上年决算增加0.13万元，增长28.89%，主要原因是：本年在职人员增加，大病医疗保险支出较上年增加。</w:t>
      </w:r>
    </w:p>
    <w:p w14:paraId="6C9FE592">
      <w:pPr>
        <w:spacing w:line="580" w:lineRule="exact"/>
        <w:ind w:firstLine="640"/>
        <w:jc w:val="both"/>
      </w:pPr>
      <w:r>
        <w:rPr>
          <w:rFonts w:ascii="仿宋_GB2312" w:hAnsi="仿宋_GB2312" w:eastAsia="仿宋_GB2312"/>
          <w:b w:val="0"/>
          <w:sz w:val="32"/>
        </w:rPr>
        <w:t>10.住房保障支出（类）住房改革支出（款）住房公积金（项）：支出决算数为74.10万元，比上年决算增加3.32万元，增长4.69%，主要原因是：本年在职人员增加，住房公积金支出较上年增加。</w:t>
      </w:r>
    </w:p>
    <w:p w14:paraId="09E804B9">
      <w:pPr>
        <w:spacing w:line="580" w:lineRule="exact"/>
        <w:ind w:firstLine="640"/>
        <w:jc w:val="both"/>
      </w:pPr>
      <w:r>
        <w:rPr>
          <w:rFonts w:ascii="仿宋_GB2312" w:hAnsi="仿宋_GB2312" w:eastAsia="仿宋_GB2312"/>
          <w:b w:val="0"/>
          <w:sz w:val="32"/>
        </w:rPr>
        <w:t>11.其他支出（类）其他支出（款）其他支出（项）：支出决算数为21.13万元，比上年决算增加2.50万元，增长13.42%，主要原因是：本年工作队第一书记为民办实事经费增加，其他支出项较上年增加。</w:t>
      </w:r>
    </w:p>
    <w:p w14:paraId="7B93FD0D">
      <w:pPr>
        <w:spacing w:line="640" w:lineRule="exact"/>
        <w:ind w:firstLine="640"/>
        <w:jc w:val="both"/>
        <w:outlineLvl w:val="2"/>
      </w:pPr>
      <w:r>
        <w:rPr>
          <w:rFonts w:ascii="黑体" w:hAnsi="黑体" w:eastAsia="黑体"/>
          <w:sz w:val="32"/>
        </w:rPr>
        <w:t>六、一般公共预算财政拨款基本支出决算情况说明</w:t>
      </w:r>
    </w:p>
    <w:p w14:paraId="5BB0A486">
      <w:pPr>
        <w:spacing w:line="580" w:lineRule="exact"/>
        <w:ind w:firstLine="640"/>
        <w:jc w:val="both"/>
      </w:pPr>
      <w:r>
        <w:rPr>
          <w:rFonts w:ascii="仿宋_GB2312" w:hAnsi="仿宋_GB2312" w:eastAsia="仿宋_GB2312"/>
          <w:b w:val="0"/>
          <w:sz w:val="32"/>
        </w:rPr>
        <w:t>2025年度一般公共预算财政拨款基本支出1,437.00万元，其中：</w:t>
      </w:r>
      <w:r>
        <w:rPr>
          <w:rFonts w:ascii="仿宋_GB2312" w:hAnsi="仿宋_GB2312" w:eastAsia="仿宋_GB2312"/>
          <w:b/>
          <w:sz w:val="32"/>
        </w:rPr>
        <w:t>人员经费1,269.76万元，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生活补助、奖励金。</w:t>
      </w:r>
    </w:p>
    <w:p w14:paraId="512BE52D">
      <w:pPr>
        <w:spacing w:line="580" w:lineRule="exact"/>
        <w:ind w:firstLine="640"/>
        <w:jc w:val="both"/>
      </w:pPr>
      <w:r>
        <w:rPr>
          <w:rFonts w:ascii="仿宋_GB2312" w:hAnsi="仿宋_GB2312" w:eastAsia="仿宋_GB2312"/>
          <w:b/>
          <w:sz w:val="32"/>
        </w:rPr>
        <w:t>公用经费167.25万元，</w:t>
      </w:r>
      <w:r>
        <w:rPr>
          <w:rFonts w:ascii="仿宋_GB2312" w:hAnsi="仿宋_GB2312" w:eastAsia="仿宋_GB2312"/>
          <w:b w:val="0"/>
          <w:sz w:val="32"/>
        </w:rPr>
        <w:t>包括：办公费、印刷费、水费、电费、取暖费、物业管理费、维修（护）费、租赁费、公务接待费、劳务费、工会经费、福利费、其他商品和服务支出。</w:t>
      </w:r>
    </w:p>
    <w:p w14:paraId="2F4F770E">
      <w:pPr>
        <w:spacing w:line="640" w:lineRule="exact"/>
        <w:ind w:firstLine="640"/>
        <w:jc w:val="both"/>
        <w:outlineLvl w:val="2"/>
      </w:pPr>
      <w:r>
        <w:rPr>
          <w:rFonts w:ascii="黑体" w:hAnsi="黑体" w:eastAsia="黑体"/>
          <w:sz w:val="32"/>
        </w:rPr>
        <w:t>七、政府性基金预算财政拨款收入支出决算情况说明</w:t>
      </w:r>
    </w:p>
    <w:p w14:paraId="2DCDF407">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C150BC3">
      <w:pPr>
        <w:spacing w:line="640" w:lineRule="exact"/>
        <w:ind w:firstLine="640"/>
        <w:jc w:val="both"/>
        <w:outlineLvl w:val="2"/>
      </w:pPr>
      <w:r>
        <w:rPr>
          <w:rFonts w:ascii="黑体" w:hAnsi="黑体" w:eastAsia="黑体"/>
          <w:sz w:val="32"/>
        </w:rPr>
        <w:t>八、国有资本经营预算财政拨款收入支出决算情况说明</w:t>
      </w:r>
    </w:p>
    <w:p w14:paraId="7CFDDBB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3D587A5">
      <w:pPr>
        <w:spacing w:line="640" w:lineRule="exact"/>
        <w:ind w:firstLine="640"/>
        <w:jc w:val="both"/>
        <w:outlineLvl w:val="2"/>
      </w:pPr>
      <w:r>
        <w:rPr>
          <w:rFonts w:ascii="黑体" w:hAnsi="黑体" w:eastAsia="黑体"/>
          <w:sz w:val="32"/>
        </w:rPr>
        <w:t>九、财政拨款“三公”经费支出决算情况说明</w:t>
      </w:r>
    </w:p>
    <w:p w14:paraId="08A0BEA1">
      <w:pPr>
        <w:spacing w:line="580" w:lineRule="exact"/>
        <w:ind w:firstLine="640"/>
        <w:jc w:val="both"/>
      </w:pPr>
      <w:r>
        <w:rPr>
          <w:rFonts w:ascii="仿宋_GB2312" w:hAnsi="仿宋_GB2312" w:eastAsia="仿宋_GB2312"/>
          <w:b/>
          <w:sz w:val="32"/>
        </w:rPr>
        <w:t>2025年度财政拨款“三公”经费支出26.38万元，</w:t>
      </w:r>
      <w:r>
        <w:rPr>
          <w:rFonts w:ascii="仿宋_GB2312" w:hAnsi="仿宋_GB2312" w:eastAsia="仿宋_GB2312"/>
          <w:b w:val="0"/>
          <w:sz w:val="32"/>
        </w:rPr>
        <w:t>比上年减少0.14万元，下降0.53%，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26.00万元，占98.56%，比上年减少0.30万元，下降1.14%，主要原因是：严格落实中央八项规定精神，厉行节约，减少公务用车运行维护费。公务接待费支出0.38万元，占1.44%，比上年增加0.16万元，增长72.73%，主要原因是：本年度接待人次较上年增加，导致公务接待费较上年增加。</w:t>
      </w:r>
    </w:p>
    <w:p w14:paraId="5D994F4A">
      <w:pPr>
        <w:spacing w:line="580" w:lineRule="exact"/>
        <w:ind w:firstLine="640"/>
        <w:jc w:val="both"/>
      </w:pPr>
      <w:r>
        <w:rPr>
          <w:rFonts w:ascii="仿宋_GB2312" w:hAnsi="仿宋_GB2312" w:eastAsia="仿宋_GB2312"/>
          <w:b/>
          <w:sz w:val="32"/>
        </w:rPr>
        <w:t>具体情况如下：</w:t>
      </w:r>
    </w:p>
    <w:p w14:paraId="13FFFC09">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2D64D6B">
      <w:pPr>
        <w:spacing w:line="580" w:lineRule="exact"/>
        <w:ind w:firstLine="640"/>
        <w:jc w:val="both"/>
      </w:pPr>
      <w:r>
        <w:rPr>
          <w:rFonts w:ascii="仿宋_GB2312" w:hAnsi="仿宋_GB2312" w:eastAsia="仿宋_GB2312"/>
          <w:b w:val="0"/>
          <w:sz w:val="32"/>
        </w:rPr>
        <w:t>公务用车购置及运行维护费26.00万元，其中：公务用车购置费17.99万元，公务用车运行维护费8.01万元。公务用车运行维护费开支内容包括车辆加油费、维修费、保险费、审车费、过路费等。公务用车购置数1辆，公务用车保有量11辆。国有资产占用情况中固定资产车辆11辆，与公务用车保有量差异原因是：本单位公务用车保有量与固定资产车辆一致无差异。</w:t>
      </w:r>
    </w:p>
    <w:p w14:paraId="35752B7A">
      <w:pPr>
        <w:spacing w:line="580" w:lineRule="exact"/>
        <w:ind w:firstLine="640"/>
        <w:jc w:val="both"/>
      </w:pPr>
      <w:r>
        <w:rPr>
          <w:rFonts w:ascii="仿宋_GB2312" w:hAnsi="仿宋_GB2312" w:eastAsia="仿宋_GB2312"/>
          <w:b w:val="0"/>
          <w:sz w:val="32"/>
        </w:rPr>
        <w:t>公务接待费0.38万元，开支内容包括接待福建泉州检察机关对口援疆工作人员，产生的就餐费。单位全年安排的国内公务接待3批次，32人次。</w:t>
      </w:r>
    </w:p>
    <w:p w14:paraId="2DC5DB7C">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26.38万元，决算数26.38万元，预决算差异率0.00%，主要原因是：严格按照预算执行，预决算无差异。其中：因公出国（境）费用全年预算数0.00万元，决算数0.00万元，预决算差异率0.00%，主要原因是：本单位无因公出国（境）费用。公务用车购置费全年预算数17.99万元，决算数17.99万元，预决算差异率0.00%，主要原因是：严格按照预算执行，预决算无差异。公务用车运行维护费全年预算数8.01万元，决算数8.01万元，预决算差异率0.00%，主要原因是：严格按照预算执行，预决算无差异。公务接待费全年预算数0.38万元，决算数0.38万元，预决算差异率0.00%，主要原因是：严格按照预算执行，预决算无差异。</w:t>
      </w:r>
    </w:p>
    <w:p w14:paraId="457D6342">
      <w:pPr>
        <w:spacing w:line="640" w:lineRule="exact"/>
        <w:ind w:firstLine="640"/>
        <w:jc w:val="both"/>
        <w:outlineLvl w:val="2"/>
      </w:pPr>
      <w:r>
        <w:rPr>
          <w:rFonts w:ascii="黑体" w:hAnsi="黑体" w:eastAsia="黑体"/>
          <w:sz w:val="32"/>
        </w:rPr>
        <w:t>十、其他重要事项的情况说明</w:t>
      </w:r>
    </w:p>
    <w:p w14:paraId="688CBB85">
      <w:pPr>
        <w:spacing w:line="640" w:lineRule="exact"/>
        <w:ind w:firstLine="640"/>
        <w:jc w:val="both"/>
        <w:outlineLvl w:val="3"/>
      </w:pPr>
      <w:r>
        <w:rPr>
          <w:rFonts w:ascii="楷体_GB2312" w:hAnsi="楷体_GB2312" w:eastAsia="楷体_GB2312"/>
          <w:b/>
          <w:sz w:val="32"/>
        </w:rPr>
        <w:t>（一）机关运行经费及公用经费支出情况</w:t>
      </w:r>
    </w:p>
    <w:p w14:paraId="544F104B">
      <w:pPr>
        <w:spacing w:line="580" w:lineRule="exact"/>
        <w:ind w:firstLine="640"/>
        <w:jc w:val="both"/>
      </w:pPr>
      <w:r>
        <w:rPr>
          <w:rFonts w:ascii="仿宋_GB2312" w:hAnsi="仿宋_GB2312" w:eastAsia="仿宋_GB2312"/>
          <w:b w:val="0"/>
          <w:sz w:val="32"/>
        </w:rPr>
        <w:t>2025年度昌吉市人民检察院（行政单位和参照公务员法管理事业单位）机关运行经费支出167.25万元，比上年增加43.62万元，增长35.28%，主要原因是：本年增加劳务派遣经费，导致公用经费增加。</w:t>
      </w:r>
    </w:p>
    <w:p w14:paraId="7E4F5608">
      <w:pPr>
        <w:spacing w:line="640" w:lineRule="exact"/>
        <w:ind w:firstLine="640"/>
        <w:jc w:val="both"/>
        <w:outlineLvl w:val="3"/>
      </w:pPr>
      <w:r>
        <w:rPr>
          <w:rFonts w:ascii="楷体_GB2312" w:hAnsi="楷体_GB2312" w:eastAsia="楷体_GB2312"/>
          <w:b/>
          <w:sz w:val="32"/>
        </w:rPr>
        <w:t>（二）政府采购情况</w:t>
      </w:r>
    </w:p>
    <w:p w14:paraId="270295F5">
      <w:pPr>
        <w:spacing w:line="580" w:lineRule="exact"/>
        <w:ind w:firstLine="640"/>
        <w:jc w:val="both"/>
      </w:pPr>
      <w:r>
        <w:rPr>
          <w:rFonts w:ascii="仿宋_GB2312" w:hAnsi="仿宋_GB2312" w:eastAsia="仿宋_GB2312"/>
          <w:b w:val="0"/>
          <w:sz w:val="32"/>
        </w:rPr>
        <w:t>2025年度政府采购支出总额321.85万元，其中：政府采购货物支出151.02万元、政府采购工程支出0.00万元、政府采购服务支出170.83万元。</w:t>
      </w:r>
    </w:p>
    <w:p w14:paraId="3A6B2B24">
      <w:pPr>
        <w:spacing w:line="580" w:lineRule="exact"/>
        <w:ind w:firstLine="640"/>
        <w:jc w:val="both"/>
      </w:pPr>
      <w:r>
        <w:rPr>
          <w:rFonts w:ascii="仿宋_GB2312" w:hAnsi="仿宋_GB2312" w:eastAsia="仿宋_GB2312"/>
          <w:b w:val="0"/>
          <w:sz w:val="32"/>
        </w:rPr>
        <w:t>授予中小企业合同金额321.85万元，占政府采购支出总额的100.00%，其中：授予小微企业合同金额321.85万元，占政府采购支出总额的100.00%。</w:t>
      </w:r>
    </w:p>
    <w:p w14:paraId="20FDA07F">
      <w:pPr>
        <w:spacing w:line="640" w:lineRule="exact"/>
        <w:ind w:firstLine="640"/>
        <w:jc w:val="both"/>
        <w:outlineLvl w:val="3"/>
      </w:pPr>
      <w:r>
        <w:rPr>
          <w:rFonts w:ascii="楷体_GB2312" w:hAnsi="楷体_GB2312" w:eastAsia="楷体_GB2312"/>
          <w:b/>
          <w:sz w:val="32"/>
        </w:rPr>
        <w:t>（三）国有资产占用情况说明</w:t>
      </w:r>
    </w:p>
    <w:p w14:paraId="71F83847">
      <w:pPr>
        <w:spacing w:line="580" w:lineRule="exact"/>
        <w:ind w:firstLine="640"/>
        <w:jc w:val="both"/>
      </w:pPr>
      <w:r>
        <w:rPr>
          <w:rFonts w:ascii="仿宋_GB2312" w:hAnsi="仿宋_GB2312" w:eastAsia="仿宋_GB2312"/>
          <w:b w:val="0"/>
          <w:sz w:val="32"/>
        </w:rPr>
        <w:t>截至2025年12月31日，房屋4,800.00平方米，价值840.30万元。车辆11辆，价值286.87万元，其中：副部（省）级及以上领导用车0辆、主要负责人用车0辆、机要通信用车0辆、应急保障用车0辆、执法执勤用车11辆、特种专业技术用车0辆、离退休干部服务用车0辆、其他用车0辆，其他用车主要是：本单位无其他用车。单价100万元（含）以上设备（不含车辆）0台（套）。</w:t>
      </w:r>
    </w:p>
    <w:p w14:paraId="5399749C">
      <w:pPr>
        <w:spacing w:line="640" w:lineRule="exact"/>
        <w:ind w:firstLine="640"/>
        <w:jc w:val="both"/>
        <w:outlineLvl w:val="2"/>
      </w:pPr>
      <w:r>
        <w:rPr>
          <w:rFonts w:ascii="黑体" w:hAnsi="黑体" w:eastAsia="黑体"/>
          <w:sz w:val="32"/>
        </w:rPr>
        <w:t>十一、预算绩效的情况说明</w:t>
      </w:r>
    </w:p>
    <w:p w14:paraId="46E3E37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1,846.28万元，实际执行总额1,814.44万元；预算绩效评价项目0个，全年预算数0.00万元，全年执行数0.00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人员结构不合理。基层检察院面临办案力量不足、年轻干警经验不足、干警业务素质参差不齐等问题；二是检察监督理念需转变，还存在不敢监督、不善监督、监督不准确、手段不足等问题；三是实现“四大检察”业务全面协调充分发展有差距，补齐业务短板还需更多实招硬招；四是检察队伍整体素能存在差距，案多人少人弱的矛盾仍然突出。下一步改进措施：一是优化人员结构。通过招聘、培等方式、提高检察官的业务素质和办案能力，建立合理的人才梯队。提高本单位工作人员的绩效管理能力和工作水平，为预算绩效管理相关工作的顺利开展提供保障；二是加强预算管理和资源配置。细化预算编制，提高预算执行率，确保检察官及辅助人员的工资和日常公用经费充足；三是促进跨部门合作。加强与公安部门、法院、法律服务所等机构的沟通协作，形成工作合力。具体附整体支出绩效自评表。</w:t>
      </w:r>
    </w:p>
    <w:p w14:paraId="07148048">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135A44F">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0264BB5">
            <w:pPr>
              <w:spacing w:before="0" w:after="0" w:line="240" w:lineRule="auto"/>
              <w:jc w:val="center"/>
            </w:pPr>
            <w:r>
              <w:rPr>
                <w:rFonts w:ascii="宋体" w:hAnsi="宋体" w:eastAsia="宋体" w:cs="宋体"/>
                <w:b w:val="0"/>
                <w:i w:val="0"/>
                <w:sz w:val="18"/>
              </w:rPr>
              <w:t>部门（单位）整体支出绩效目标自评表</w:t>
            </w:r>
          </w:p>
        </w:tc>
      </w:tr>
      <w:tr w14:paraId="72D65339">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E46D6D4">
            <w:pPr>
              <w:spacing w:before="0" w:after="0" w:line="240" w:lineRule="auto"/>
              <w:jc w:val="center"/>
            </w:pPr>
            <w:r>
              <w:rPr>
                <w:rFonts w:ascii="宋体" w:hAnsi="宋体" w:eastAsia="宋体" w:cs="宋体"/>
                <w:b w:val="0"/>
                <w:i w:val="0"/>
                <w:sz w:val="18"/>
              </w:rPr>
              <w:t>（2025年度）</w:t>
            </w:r>
          </w:p>
        </w:tc>
      </w:tr>
      <w:tr w14:paraId="2889F16D">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283357">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7BF99B4">
            <w:pPr>
              <w:spacing w:before="0" w:after="0" w:line="240" w:lineRule="auto"/>
              <w:jc w:val="center"/>
            </w:pPr>
            <w:r>
              <w:rPr>
                <w:rFonts w:ascii="宋体" w:hAnsi="宋体" w:eastAsia="宋体" w:cs="宋体"/>
                <w:b w:val="0"/>
                <w:i w:val="0"/>
                <w:sz w:val="18"/>
              </w:rPr>
              <w:t>昌吉市人民检察院</w:t>
            </w:r>
          </w:p>
        </w:tc>
      </w:tr>
      <w:tr w14:paraId="7AA6590D">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86C3B1">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627D5F">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FBB36B">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017072">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25C2A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612908">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DB972E">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33C158">
            <w:pPr>
              <w:spacing w:before="0" w:after="0" w:line="240" w:lineRule="auto"/>
              <w:jc w:val="center"/>
            </w:pPr>
            <w:r>
              <w:rPr>
                <w:rFonts w:ascii="宋体" w:hAnsi="宋体" w:eastAsia="宋体" w:cs="宋体"/>
                <w:b w:val="0"/>
                <w:i w:val="0"/>
                <w:sz w:val="18"/>
              </w:rPr>
              <w:t>得分</w:t>
            </w:r>
          </w:p>
        </w:tc>
      </w:tr>
      <w:tr w14:paraId="1EE0CA4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DB537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DBB72B">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A26B70">
            <w:pPr>
              <w:spacing w:before="0" w:after="0" w:line="240" w:lineRule="auto"/>
              <w:jc w:val="center"/>
            </w:pPr>
            <w:r>
              <w:rPr>
                <w:rFonts w:ascii="宋体" w:hAnsi="宋体" w:eastAsia="宋体" w:cs="宋体"/>
                <w:b w:val="0"/>
                <w:i w:val="0"/>
                <w:sz w:val="18"/>
              </w:rPr>
              <w:t>323.00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E4DC3D">
            <w:pPr>
              <w:spacing w:before="0" w:after="0" w:line="240" w:lineRule="auto"/>
              <w:jc w:val="center"/>
            </w:pPr>
            <w:r>
              <w:rPr>
                <w:rFonts w:ascii="宋体" w:hAnsi="宋体" w:eastAsia="宋体" w:cs="宋体"/>
                <w:b w:val="0"/>
                <w:i w:val="0"/>
                <w:sz w:val="18"/>
              </w:rPr>
              <w:t>377.44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208B69">
            <w:pPr>
              <w:spacing w:before="0" w:after="0" w:line="240" w:lineRule="auto"/>
              <w:jc w:val="center"/>
            </w:pPr>
            <w:r>
              <w:rPr>
                <w:rFonts w:ascii="宋体" w:hAnsi="宋体" w:eastAsia="宋体" w:cs="宋体"/>
                <w:b w:val="0"/>
                <w:i w:val="0"/>
                <w:sz w:val="18"/>
              </w:rPr>
              <w:t>377.44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D72AB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CFA7A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B1F62F">
            <w:pPr>
              <w:spacing w:before="0" w:after="0" w:line="240" w:lineRule="auto"/>
              <w:jc w:val="center"/>
            </w:pPr>
            <w:r>
              <w:rPr>
                <w:rFonts w:ascii="宋体" w:hAnsi="宋体" w:eastAsia="宋体" w:cs="宋体"/>
                <w:b w:val="0"/>
                <w:i w:val="0"/>
                <w:sz w:val="18"/>
              </w:rPr>
              <w:t>-</w:t>
            </w:r>
          </w:p>
        </w:tc>
      </w:tr>
      <w:tr w14:paraId="0C2E169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4E46F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3D2BE7">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7422E1">
            <w:pPr>
              <w:spacing w:before="0" w:after="0" w:line="240" w:lineRule="auto"/>
              <w:jc w:val="center"/>
            </w:pPr>
            <w:r>
              <w:rPr>
                <w:rFonts w:ascii="宋体" w:hAnsi="宋体" w:eastAsia="宋体" w:cs="宋体"/>
                <w:b w:val="0"/>
                <w:i w:val="0"/>
                <w:sz w:val="18"/>
              </w:rPr>
              <w:t>1,242.33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8D6CB9">
            <w:pPr>
              <w:spacing w:before="0" w:after="0" w:line="240" w:lineRule="auto"/>
              <w:jc w:val="center"/>
            </w:pPr>
            <w:r>
              <w:rPr>
                <w:rFonts w:ascii="宋体" w:hAnsi="宋体" w:eastAsia="宋体" w:cs="宋体"/>
                <w:b w:val="0"/>
                <w:i w:val="0"/>
                <w:sz w:val="18"/>
              </w:rPr>
              <w:t>1,437.00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2690D1">
            <w:pPr>
              <w:spacing w:before="0" w:after="0" w:line="240" w:lineRule="auto"/>
              <w:jc w:val="center"/>
            </w:pPr>
            <w:r>
              <w:rPr>
                <w:rFonts w:ascii="宋体" w:hAnsi="宋体" w:eastAsia="宋体" w:cs="宋体"/>
                <w:b w:val="0"/>
                <w:i w:val="0"/>
                <w:sz w:val="18"/>
              </w:rPr>
              <w:t>1,437.00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E40F5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9C81D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CA0E8C">
            <w:pPr>
              <w:spacing w:before="0" w:after="0" w:line="240" w:lineRule="auto"/>
              <w:jc w:val="center"/>
            </w:pPr>
            <w:r>
              <w:rPr>
                <w:rFonts w:ascii="宋体" w:hAnsi="宋体" w:eastAsia="宋体" w:cs="宋体"/>
                <w:b w:val="0"/>
                <w:i w:val="0"/>
                <w:sz w:val="18"/>
              </w:rPr>
              <w:t>-</w:t>
            </w:r>
          </w:p>
        </w:tc>
      </w:tr>
      <w:tr w14:paraId="402B551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224B2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1D0CAE">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72043B">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5FCC62">
            <w:pPr>
              <w:spacing w:before="0" w:after="0" w:line="240" w:lineRule="auto"/>
              <w:jc w:val="center"/>
            </w:pPr>
            <w:r>
              <w:rPr>
                <w:rFonts w:ascii="宋体" w:hAnsi="宋体" w:eastAsia="宋体" w:cs="宋体"/>
                <w:b w:val="0"/>
                <w:i w:val="0"/>
                <w:sz w:val="18"/>
              </w:rPr>
              <w:t>31.84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3575F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B2E88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3D7E9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B629A2">
            <w:pPr>
              <w:spacing w:before="0" w:after="0" w:line="240" w:lineRule="auto"/>
              <w:jc w:val="center"/>
            </w:pPr>
            <w:r>
              <w:rPr>
                <w:rFonts w:ascii="宋体" w:hAnsi="宋体" w:eastAsia="宋体" w:cs="宋体"/>
                <w:b w:val="0"/>
                <w:i w:val="0"/>
                <w:sz w:val="18"/>
              </w:rPr>
              <w:t>-</w:t>
            </w:r>
          </w:p>
        </w:tc>
      </w:tr>
      <w:tr w14:paraId="61ED9E3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35B4C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5E3F9B">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756CC">
            <w:pPr>
              <w:spacing w:before="0" w:after="0" w:line="240" w:lineRule="auto"/>
              <w:jc w:val="center"/>
            </w:pPr>
            <w:r>
              <w:rPr>
                <w:rFonts w:ascii="宋体" w:hAnsi="宋体" w:eastAsia="宋体" w:cs="宋体"/>
                <w:b w:val="0"/>
                <w:i w:val="0"/>
                <w:sz w:val="18"/>
              </w:rPr>
              <w:t>1,565.33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0D46C9">
            <w:pPr>
              <w:spacing w:before="0" w:after="0" w:line="240" w:lineRule="auto"/>
              <w:jc w:val="center"/>
            </w:pPr>
            <w:r>
              <w:rPr>
                <w:rFonts w:ascii="宋体" w:hAnsi="宋体" w:eastAsia="宋体" w:cs="宋体"/>
                <w:b w:val="0"/>
                <w:i w:val="0"/>
                <w:sz w:val="18"/>
              </w:rPr>
              <w:t>1,846.28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5D92E9">
            <w:pPr>
              <w:spacing w:before="0" w:after="0" w:line="240" w:lineRule="auto"/>
              <w:jc w:val="center"/>
            </w:pPr>
            <w:r>
              <w:rPr>
                <w:rFonts w:ascii="宋体" w:hAnsi="宋体" w:eastAsia="宋体" w:cs="宋体"/>
                <w:b w:val="0"/>
                <w:i w:val="0"/>
                <w:sz w:val="18"/>
              </w:rPr>
              <w:t>1,814.44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90EC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49CF8F">
            <w:pPr>
              <w:spacing w:before="0" w:after="0" w:line="240" w:lineRule="auto"/>
              <w:jc w:val="center"/>
            </w:pPr>
            <w:r>
              <w:rPr>
                <w:rFonts w:ascii="宋体" w:hAnsi="宋体" w:eastAsia="宋体" w:cs="宋体"/>
                <w:b w:val="0"/>
                <w:i w:val="0"/>
                <w:sz w:val="18"/>
              </w:rPr>
              <w:t>98.28%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C1F8D8">
            <w:pPr>
              <w:spacing w:before="0" w:after="0" w:line="240" w:lineRule="auto"/>
              <w:jc w:val="center"/>
            </w:pPr>
            <w:r>
              <w:rPr>
                <w:rFonts w:ascii="宋体" w:hAnsi="宋体" w:eastAsia="宋体" w:cs="宋体"/>
                <w:b w:val="0"/>
                <w:i w:val="0"/>
                <w:sz w:val="18"/>
              </w:rPr>
              <w:t>9.83</w:t>
            </w:r>
          </w:p>
        </w:tc>
      </w:tr>
      <w:tr w14:paraId="3F9DB64D">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93AFBB">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BA708F5">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C8B6F9">
            <w:pPr>
              <w:spacing w:before="0" w:after="0" w:line="240" w:lineRule="auto"/>
              <w:jc w:val="center"/>
            </w:pPr>
            <w:r>
              <w:rPr>
                <w:rFonts w:ascii="宋体" w:hAnsi="宋体" w:eastAsia="宋体" w:cs="宋体"/>
                <w:b w:val="0"/>
                <w:i w:val="0"/>
                <w:sz w:val="18"/>
              </w:rPr>
              <w:t>实际完成情况</w:t>
            </w:r>
          </w:p>
        </w:tc>
      </w:tr>
      <w:tr w14:paraId="0A4694FB">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FF41DF"/>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B4C907B">
            <w:pPr>
              <w:spacing w:before="0" w:after="0" w:line="240" w:lineRule="auto"/>
              <w:jc w:val="center"/>
            </w:pPr>
            <w:r>
              <w:rPr>
                <w:rFonts w:ascii="宋体" w:hAnsi="宋体" w:eastAsia="宋体" w:cs="宋体"/>
                <w:b w:val="0"/>
                <w:i w:val="0"/>
                <w:sz w:val="18"/>
              </w:rPr>
              <w:t>2025年，昌吉市人民检察院检察工作要坚持以习近平新时代中国特色社会主义思想为指导，全面学习贯彻党的二十大精神，深入贯彻落实全面贯彻习近平法治思想，</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牢牢扭住社会稳定和长治久安总目标，全面落实《中共中央关于加强新时代检察机关法律监督工作的意见》及区州党委《实施意见》，加强法律监督工作，推动检察工作高质量发展精神，优化“四大检察”“十大业务”法律监督格局，以高质量发展为主题，以完善检察机关法律监督体系、提升法律监督能力为主线，加强基层组织、基础工作、基本能力建设，深化司法体制改革，更好服务经济社会高质量发展、推动检察工作自身高质量发展，为全面建设社会主义现代化国家提供有力司法保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72AEB4">
            <w:pPr>
              <w:spacing w:before="0" w:after="0" w:line="240" w:lineRule="auto"/>
              <w:jc w:val="center"/>
            </w:pPr>
            <w:r>
              <w:rPr>
                <w:rFonts w:ascii="宋体" w:hAnsi="宋体" w:eastAsia="宋体" w:cs="宋体"/>
                <w:b w:val="0"/>
                <w:i w:val="0"/>
                <w:sz w:val="18"/>
              </w:rPr>
              <w:t>2025 年我单位全年预算数为1846.28万元，全年执行数为1814.44万元，总预算执行率为98.28%。2025年我单位完成司法救助案件2件，支持检察机关办案1874件，司法求助案件办结率100%，司法救助案件办结率100%，通过单位工作实施，提升法律监督能力为主线，加强基层组织、基础工作、基本能力建设，深化司法体制改革，更好服务经济社会高质量发展、推动检察工作自身高质量发展，为全面建设社会主义现代化国家提供有力司法保障。</w:t>
            </w:r>
          </w:p>
        </w:tc>
      </w:tr>
      <w:tr w14:paraId="28AF3DAF">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95A30F">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3D8DAC">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7058D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66FD59">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37FFE0">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4C8201">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B2B0D">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F26633">
            <w:pPr>
              <w:keepNext/>
              <w:spacing w:before="0" w:after="0" w:line="240" w:lineRule="auto"/>
              <w:jc w:val="center"/>
            </w:pPr>
            <w:r>
              <w:rPr>
                <w:rFonts w:ascii="宋体" w:hAnsi="宋体" w:eastAsia="宋体" w:cs="宋体"/>
                <w:b w:val="0"/>
                <w:i w:val="0"/>
                <w:sz w:val="18"/>
              </w:rPr>
              <w:t>得分</w:t>
            </w:r>
          </w:p>
        </w:tc>
      </w:tr>
      <w:tr w14:paraId="020057A5">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B0DC47">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55495">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656162">
            <w:pPr>
              <w:spacing w:before="0" w:after="0" w:line="240" w:lineRule="auto"/>
              <w:jc w:val="center"/>
            </w:pPr>
            <w:r>
              <w:rPr>
                <w:rFonts w:ascii="宋体" w:hAnsi="宋体" w:eastAsia="宋体" w:cs="宋体"/>
                <w:b w:val="0"/>
                <w:i w:val="0"/>
                <w:sz w:val="18"/>
              </w:rPr>
              <w:t>支持办案数量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95E3A3">
            <w:pPr>
              <w:spacing w:before="0" w:after="0" w:line="240" w:lineRule="auto"/>
              <w:jc w:val="center"/>
            </w:pPr>
            <w:r>
              <w:rPr>
                <w:rFonts w:ascii="宋体" w:hAnsi="宋体" w:eastAsia="宋体" w:cs="宋体"/>
                <w:b w:val="0"/>
                <w:i w:val="0"/>
                <w:sz w:val="18"/>
              </w:rPr>
              <w:t>&gt;=1000件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35A001">
            <w:pPr>
              <w:spacing w:before="0" w:after="0" w:line="240" w:lineRule="auto"/>
              <w:jc w:val="center"/>
            </w:pPr>
            <w:r>
              <w:rPr>
                <w:rFonts w:ascii="宋体" w:hAnsi="宋体" w:eastAsia="宋体" w:cs="宋体"/>
                <w:b w:val="0"/>
                <w:i w:val="0"/>
                <w:sz w:val="18"/>
              </w:rPr>
              <w:t>关于印发2025年新疆检察案件管理工作要点的通知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722853">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C909B8">
            <w:pPr>
              <w:spacing w:before="0" w:after="0" w:line="240" w:lineRule="auto"/>
              <w:jc w:val="center"/>
            </w:pPr>
            <w:r>
              <w:rPr>
                <w:rFonts w:ascii="宋体" w:hAnsi="宋体" w:eastAsia="宋体" w:cs="宋体"/>
                <w:b w:val="0"/>
                <w:i w:val="0"/>
                <w:sz w:val="18"/>
              </w:rPr>
              <w:t>=1874件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109DB3">
            <w:pPr>
              <w:spacing w:before="0" w:after="0" w:line="240" w:lineRule="auto"/>
              <w:jc w:val="center"/>
            </w:pPr>
            <w:r>
              <w:rPr>
                <w:rFonts w:ascii="宋体" w:hAnsi="宋体" w:eastAsia="宋体" w:cs="宋体"/>
                <w:b w:val="0"/>
                <w:i w:val="0"/>
                <w:sz w:val="18"/>
              </w:rPr>
              <w:t>15</w:t>
            </w:r>
          </w:p>
        </w:tc>
      </w:tr>
      <w:tr w14:paraId="6D9F8D3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21441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132BD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714F15">
            <w:pPr>
              <w:spacing w:before="0" w:after="0" w:line="240" w:lineRule="auto"/>
              <w:jc w:val="center"/>
            </w:pPr>
            <w:r>
              <w:rPr>
                <w:rFonts w:ascii="宋体" w:hAnsi="宋体" w:eastAsia="宋体" w:cs="宋体"/>
                <w:b w:val="0"/>
                <w:i w:val="0"/>
                <w:sz w:val="18"/>
              </w:rPr>
              <w:t>司法救助案件办理数量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BE9985">
            <w:pPr>
              <w:spacing w:before="0" w:after="0" w:line="240" w:lineRule="auto"/>
              <w:jc w:val="center"/>
            </w:pPr>
            <w:r>
              <w:rPr>
                <w:rFonts w:ascii="宋体" w:hAnsi="宋体" w:eastAsia="宋体" w:cs="宋体"/>
                <w:b w:val="0"/>
                <w:i w:val="0"/>
                <w:sz w:val="18"/>
              </w:rPr>
              <w:t>&gt;=2件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8E8950">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5F7AB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069262">
            <w:pPr>
              <w:spacing w:before="0" w:after="0" w:line="240" w:lineRule="auto"/>
              <w:jc w:val="center"/>
            </w:pPr>
            <w:r>
              <w:rPr>
                <w:rFonts w:ascii="宋体" w:hAnsi="宋体" w:eastAsia="宋体" w:cs="宋体"/>
                <w:b w:val="0"/>
                <w:i w:val="0"/>
                <w:sz w:val="18"/>
              </w:rPr>
              <w:t>=2件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DD0C9C">
            <w:pPr>
              <w:spacing w:before="0" w:after="0" w:line="240" w:lineRule="auto"/>
              <w:jc w:val="center"/>
            </w:pPr>
            <w:r>
              <w:rPr>
                <w:rFonts w:ascii="宋体" w:hAnsi="宋体" w:eastAsia="宋体" w:cs="宋体"/>
                <w:b w:val="0"/>
                <w:i w:val="0"/>
                <w:sz w:val="18"/>
              </w:rPr>
              <w:t>10</w:t>
            </w:r>
          </w:p>
        </w:tc>
      </w:tr>
      <w:tr w14:paraId="7E76302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AFC8D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57A090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AD04C1">
            <w:pPr>
              <w:spacing w:before="0" w:after="0" w:line="240" w:lineRule="auto"/>
              <w:jc w:val="center"/>
            </w:pPr>
            <w:r>
              <w:rPr>
                <w:rFonts w:ascii="宋体" w:hAnsi="宋体" w:eastAsia="宋体" w:cs="宋体"/>
                <w:b w:val="0"/>
                <w:i w:val="0"/>
                <w:sz w:val="18"/>
              </w:rPr>
              <w:t>检察官进校园授课次数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AAFA2F">
            <w:pPr>
              <w:spacing w:before="0" w:after="0" w:line="240" w:lineRule="auto"/>
              <w:jc w:val="center"/>
            </w:pPr>
            <w:r>
              <w:rPr>
                <w:rFonts w:ascii="宋体" w:hAnsi="宋体" w:eastAsia="宋体" w:cs="宋体"/>
                <w:b w:val="0"/>
                <w:i w:val="0"/>
                <w:sz w:val="18"/>
              </w:rPr>
              <w:t>&gt;=10次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CCED72">
            <w:pPr>
              <w:spacing w:before="0" w:after="0" w:line="240" w:lineRule="auto"/>
              <w:jc w:val="center"/>
            </w:pPr>
            <w:r>
              <w:rPr>
                <w:rFonts w:ascii="宋体" w:hAnsi="宋体" w:eastAsia="宋体" w:cs="宋体"/>
                <w:b w:val="0"/>
                <w:i w:val="0"/>
                <w:sz w:val="18"/>
              </w:rPr>
              <w:t>关于印发新疆维吾尔自治区中小学法治副校长履职评价指南的通知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C09A0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CA1428">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1E31BA">
            <w:pPr>
              <w:spacing w:before="0" w:after="0" w:line="240" w:lineRule="auto"/>
              <w:jc w:val="center"/>
            </w:pPr>
            <w:r>
              <w:rPr>
                <w:rFonts w:ascii="宋体" w:hAnsi="宋体" w:eastAsia="宋体" w:cs="宋体"/>
                <w:b w:val="0"/>
                <w:i w:val="0"/>
                <w:sz w:val="18"/>
              </w:rPr>
              <w:t>10</w:t>
            </w:r>
          </w:p>
        </w:tc>
      </w:tr>
      <w:tr w14:paraId="177F74A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3F2DB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90F679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8D6F65">
            <w:pPr>
              <w:spacing w:before="0" w:after="0" w:line="240" w:lineRule="auto"/>
              <w:jc w:val="center"/>
            </w:pPr>
            <w:r>
              <w:rPr>
                <w:rFonts w:ascii="宋体" w:hAnsi="宋体" w:eastAsia="宋体" w:cs="宋体"/>
                <w:b w:val="0"/>
                <w:i w:val="0"/>
                <w:sz w:val="18"/>
              </w:rPr>
              <w:t>开展直播听证次数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5242F">
            <w:pPr>
              <w:spacing w:before="0" w:after="0" w:line="240" w:lineRule="auto"/>
              <w:jc w:val="center"/>
            </w:pPr>
            <w:r>
              <w:rPr>
                <w:rFonts w:ascii="宋体" w:hAnsi="宋体" w:eastAsia="宋体" w:cs="宋体"/>
                <w:b w:val="0"/>
                <w:i w:val="0"/>
                <w:sz w:val="18"/>
              </w:rPr>
              <w:t>&gt;=10次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1079C1">
            <w:pPr>
              <w:spacing w:before="0" w:after="0" w:line="240" w:lineRule="auto"/>
              <w:jc w:val="center"/>
            </w:pPr>
            <w:r>
              <w:rPr>
                <w:rFonts w:ascii="宋体" w:hAnsi="宋体" w:eastAsia="宋体" w:cs="宋体"/>
                <w:b w:val="0"/>
                <w:i w:val="0"/>
                <w:sz w:val="18"/>
              </w:rPr>
              <w:t>全疆检察机关2024年检察听证工作开展情况通报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3C5C4A">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8E284F">
            <w:pPr>
              <w:spacing w:before="0" w:after="0" w:line="240" w:lineRule="auto"/>
              <w:jc w:val="center"/>
            </w:pPr>
            <w:r>
              <w:rPr>
                <w:rFonts w:ascii="宋体" w:hAnsi="宋体" w:eastAsia="宋体" w:cs="宋体"/>
                <w:b w:val="0"/>
                <w:i w:val="0"/>
                <w:sz w:val="18"/>
              </w:rPr>
              <w:t>=15次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29CD5C">
            <w:pPr>
              <w:spacing w:before="0" w:after="0" w:line="240" w:lineRule="auto"/>
              <w:jc w:val="center"/>
            </w:pPr>
            <w:r>
              <w:rPr>
                <w:rFonts w:ascii="宋体" w:hAnsi="宋体" w:eastAsia="宋体" w:cs="宋体"/>
                <w:b w:val="0"/>
                <w:i w:val="0"/>
                <w:sz w:val="18"/>
              </w:rPr>
              <w:t>15</w:t>
            </w:r>
          </w:p>
        </w:tc>
      </w:tr>
      <w:tr w14:paraId="5181ED7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9556D3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97557F">
            <w:pPr>
              <w:spacing w:before="0" w:after="0" w:line="240" w:lineRule="auto"/>
              <w:jc w:val="center"/>
            </w:pPr>
            <w:r>
              <w:rPr>
                <w:rFonts w:ascii="宋体" w:hAnsi="宋体" w:eastAsia="宋体" w:cs="宋体"/>
                <w:b w:val="0"/>
                <w:i w:val="0"/>
                <w:sz w:val="18"/>
              </w:rPr>
              <w:t>时效指标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F8C5AE">
            <w:pPr>
              <w:spacing w:before="0" w:after="0" w:line="240" w:lineRule="auto"/>
              <w:jc w:val="center"/>
            </w:pPr>
            <w:r>
              <w:rPr>
                <w:rFonts w:ascii="宋体" w:hAnsi="宋体" w:eastAsia="宋体" w:cs="宋体"/>
                <w:b w:val="0"/>
                <w:i w:val="0"/>
                <w:sz w:val="18"/>
              </w:rPr>
              <w:t>信访案件处理及时率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9C2798">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81024">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4A6BAF">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688DD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BFDD18">
            <w:pPr>
              <w:spacing w:before="0" w:after="0" w:line="240" w:lineRule="auto"/>
              <w:jc w:val="center"/>
            </w:pPr>
            <w:r>
              <w:rPr>
                <w:rFonts w:ascii="宋体" w:hAnsi="宋体" w:eastAsia="宋体" w:cs="宋体"/>
                <w:b w:val="0"/>
                <w:i w:val="0"/>
                <w:sz w:val="18"/>
              </w:rPr>
              <w:t>20</w:t>
            </w:r>
          </w:p>
        </w:tc>
      </w:tr>
      <w:tr w14:paraId="0C63FC5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96F5F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27C422">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0559E3">
            <w:pPr>
              <w:spacing w:before="0" w:after="0" w:line="240" w:lineRule="auto"/>
              <w:jc w:val="center"/>
            </w:pPr>
            <w:r>
              <w:rPr>
                <w:rFonts w:ascii="宋体" w:hAnsi="宋体" w:eastAsia="宋体" w:cs="宋体"/>
                <w:b w:val="0"/>
                <w:i w:val="0"/>
                <w:sz w:val="18"/>
              </w:rPr>
              <w:t>司法救助案件办结率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7C6D4E">
            <w:pPr>
              <w:spacing w:before="0" w:after="0" w:line="240" w:lineRule="auto"/>
              <w:jc w:val="center"/>
            </w:pPr>
            <w:r>
              <w:rPr>
                <w:rFonts w:ascii="宋体" w:hAnsi="宋体" w:eastAsia="宋体" w:cs="宋体"/>
                <w:b w:val="0"/>
                <w:i w:val="0"/>
                <w:sz w:val="18"/>
              </w:rPr>
              <w:t>&gt;=100%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0CE586">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B702D9">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1F4B94">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B62F3E">
            <w:pPr>
              <w:spacing w:before="0" w:after="0" w:line="240" w:lineRule="auto"/>
              <w:jc w:val="center"/>
            </w:pPr>
            <w:r>
              <w:rPr>
                <w:rFonts w:ascii="宋体" w:hAnsi="宋体" w:eastAsia="宋体" w:cs="宋体"/>
                <w:b w:val="0"/>
                <w:i w:val="0"/>
                <w:sz w:val="18"/>
              </w:rPr>
              <w:t>20</w:t>
            </w:r>
          </w:p>
        </w:tc>
      </w:tr>
    </w:tbl>
    <w:p w14:paraId="316D721A">
      <w:r>
        <w:br w:type="page"/>
      </w:r>
    </w:p>
    <w:p w14:paraId="79A0250A">
      <w:pPr>
        <w:spacing w:line="640" w:lineRule="exact"/>
        <w:ind w:firstLine="640"/>
        <w:jc w:val="both"/>
        <w:outlineLvl w:val="2"/>
      </w:pPr>
      <w:r>
        <w:rPr>
          <w:rFonts w:ascii="黑体" w:hAnsi="黑体" w:eastAsia="黑体"/>
          <w:sz w:val="32"/>
        </w:rPr>
        <w:t>十二、其他需说明的事项</w:t>
      </w:r>
    </w:p>
    <w:p w14:paraId="54BFBAAC">
      <w:pPr>
        <w:spacing w:line="580" w:lineRule="exact"/>
        <w:ind w:firstLine="640"/>
        <w:jc w:val="both"/>
      </w:pPr>
      <w:r>
        <w:rPr>
          <w:rFonts w:ascii="仿宋_GB2312" w:hAnsi="仿宋_GB2312" w:eastAsia="仿宋_GB2312"/>
          <w:b w:val="0"/>
          <w:sz w:val="32"/>
        </w:rPr>
        <w:t>本年本单位其他项目3个，全年预算数340.5万元，全年执行数340.5万元。</w:t>
      </w:r>
    </w:p>
    <w:p w14:paraId="4F15004B">
      <w:r>
        <w:br w:type="page"/>
      </w:r>
    </w:p>
    <w:p w14:paraId="3DE157BB">
      <w:pPr>
        <w:spacing w:line="600" w:lineRule="exact"/>
        <w:jc w:val="center"/>
        <w:outlineLvl w:val="0"/>
      </w:pPr>
      <w:r>
        <w:rPr>
          <w:rFonts w:ascii="黑体" w:hAnsi="黑体" w:eastAsia="黑体"/>
          <w:sz w:val="32"/>
        </w:rPr>
        <w:t>第三部分 专业名词解释</w:t>
      </w:r>
    </w:p>
    <w:p w14:paraId="2945293F">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A7C75F1">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C7AD2E4">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53E40E8">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0E34CC3">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40459CCF">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61EEF1E">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4657450">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A45F0D4">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2B2E8472">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3D8B609">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90C0833">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EA03538">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610867BC">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6742BF91">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3724D208">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712A245">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8A8A71B">
      <w:r>
        <w:br w:type="page"/>
      </w:r>
    </w:p>
    <w:p w14:paraId="22608689">
      <w:pPr>
        <w:spacing w:line="240" w:lineRule="auto"/>
        <w:jc w:val="center"/>
        <w:outlineLvl w:val="1"/>
      </w:pPr>
      <w:r>
        <w:rPr>
          <w:rFonts w:ascii="黑体" w:hAnsi="黑体" w:eastAsia="黑体"/>
          <w:sz w:val="32"/>
        </w:rPr>
        <w:t>第四部分 部门决算报表（见附表）</w:t>
      </w:r>
    </w:p>
    <w:p w14:paraId="27240C5E">
      <w:pPr>
        <w:autoSpaceDE w:val="0"/>
        <w:autoSpaceDN w:val="0"/>
        <w:spacing w:line="600" w:lineRule="exact"/>
        <w:ind w:firstLine="640" w:firstLineChars="200"/>
      </w:pPr>
      <w:r>
        <w:rPr>
          <w:rFonts w:ascii="仿宋_GB2312" w:hAnsi="仿宋_GB2312" w:eastAsia="仿宋_GB2312"/>
          <w:b w:val="0"/>
          <w:sz w:val="32"/>
        </w:rPr>
        <w:t>一、《收入支出决算总表》</w:t>
      </w:r>
    </w:p>
    <w:p w14:paraId="68E8F0B7">
      <w:pPr>
        <w:autoSpaceDE w:val="0"/>
        <w:autoSpaceDN w:val="0"/>
        <w:spacing w:line="600" w:lineRule="exact"/>
        <w:ind w:firstLine="640" w:firstLineChars="200"/>
      </w:pPr>
      <w:r>
        <w:rPr>
          <w:rFonts w:ascii="仿宋_GB2312" w:hAnsi="仿宋_GB2312" w:eastAsia="仿宋_GB2312"/>
          <w:b w:val="0"/>
          <w:sz w:val="32"/>
        </w:rPr>
        <w:t>二、《收入决算表》</w:t>
      </w:r>
    </w:p>
    <w:p w14:paraId="3562F3BB">
      <w:pPr>
        <w:autoSpaceDE w:val="0"/>
        <w:autoSpaceDN w:val="0"/>
        <w:spacing w:line="600" w:lineRule="exact"/>
        <w:ind w:firstLine="640" w:firstLineChars="200"/>
      </w:pPr>
      <w:r>
        <w:rPr>
          <w:rFonts w:ascii="仿宋_GB2312" w:hAnsi="仿宋_GB2312" w:eastAsia="仿宋_GB2312"/>
          <w:b w:val="0"/>
          <w:sz w:val="32"/>
        </w:rPr>
        <w:t>三、《支出决算表》</w:t>
      </w:r>
    </w:p>
    <w:p w14:paraId="28D1228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35FC1D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B922021">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F18EA5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C8A9B4D">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39774B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04FD7C6">
      <w:pPr>
        <w:autoSpaceDE w:val="0"/>
        <w:autoSpaceDN w:val="0"/>
        <w:spacing w:line="600" w:lineRule="exact"/>
        <w:ind w:firstLine="640" w:firstLineChars="200"/>
      </w:pPr>
    </w:p>
    <w:p w14:paraId="2A155092">
      <w:pPr>
        <w:autoSpaceDE w:val="0"/>
        <w:autoSpaceDN w:val="0"/>
        <w:spacing w:line="600" w:lineRule="exact"/>
        <w:ind w:firstLine="640" w:firstLineChars="200"/>
      </w:pPr>
    </w:p>
    <w:p w14:paraId="257460DA">
      <w:pPr>
        <w:autoSpaceDE w:val="0"/>
        <w:autoSpaceDN w:val="0"/>
        <w:spacing w:line="600" w:lineRule="exact"/>
        <w:ind w:firstLine="640" w:firstLineChars="200"/>
      </w:pPr>
    </w:p>
    <w:p w14:paraId="1736A7E6">
      <w:pPr>
        <w:autoSpaceDE w:val="0"/>
        <w:autoSpaceDN w:val="0"/>
        <w:spacing w:line="600" w:lineRule="exact"/>
        <w:ind w:firstLine="640" w:firstLineChars="200"/>
      </w:pPr>
    </w:p>
    <w:p w14:paraId="5A6B20D9">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E92089-4C1D-47C2-BD8C-15138674DA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6664B4E-8CE2-43B6-A9EA-ACA7D62E2E4E}"/>
  </w:font>
  <w:font w:name="仿宋_GB2312">
    <w:panose1 w:val="02010609030101010101"/>
    <w:charset w:val="86"/>
    <w:family w:val="modern"/>
    <w:pitch w:val="default"/>
    <w:sig w:usb0="00000001" w:usb1="080E0000" w:usb2="00000000" w:usb3="00000000" w:csb0="00040000" w:csb1="00000000"/>
    <w:embedRegular r:id="rId3" w:fontKey="{D117737B-4A99-4293-8FE7-867518954B49}"/>
  </w:font>
  <w:font w:name="楷体_GB2312">
    <w:panose1 w:val="02010609030101010101"/>
    <w:charset w:val="86"/>
    <w:family w:val="auto"/>
    <w:pitch w:val="default"/>
    <w:sig w:usb0="00000001" w:usb1="080E0000" w:usb2="00000000" w:usb3="00000000" w:csb0="00040000" w:csb1="00000000"/>
    <w:embedRegular r:id="rId4" w:fontKey="{42849310-2116-4A01-AB0F-C082B2415D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0C43426"/>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21</Words>
  <Characters>24</Characters>
  <Lines>10</Lines>
  <Paragraphs>2</Paragraphs>
  <TotalTime>7</TotalTime>
  <ScaleCrop>false</ScaleCrop>
  <LinksUpToDate>false</LinksUpToDate>
  <CharactersWithSpaces>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2026-10-15T10:37:52Z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