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昌吉回族自治州信访局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015FAA8">
      <w:r>
        <w:br w:type="page"/>
      </w:r>
    </w:p>
    <w:p w14:paraId="4C9F106E">
      <w:pPr>
        <w:spacing w:line="640" w:lineRule="exact"/>
        <w:jc w:val="center"/>
        <w:outlineLvl w:val="1"/>
      </w:pPr>
      <w:r>
        <w:rPr>
          <w:rFonts w:ascii="黑体" w:hAnsi="黑体" w:eastAsia="黑体"/>
          <w:sz w:val="32"/>
        </w:rPr>
        <w:t>第一部分 单位概况</w:t>
      </w:r>
    </w:p>
    <w:p w14:paraId="06091366">
      <w:pPr>
        <w:spacing w:line="640" w:lineRule="exact"/>
        <w:ind w:firstLine="640"/>
        <w:jc w:val="both"/>
        <w:outlineLvl w:val="2"/>
      </w:pPr>
      <w:r>
        <w:rPr>
          <w:rFonts w:ascii="黑体" w:hAnsi="黑体" w:eastAsia="黑体"/>
          <w:sz w:val="32"/>
        </w:rPr>
        <w:t>一、主要职能</w:t>
      </w:r>
    </w:p>
    <w:p w14:paraId="0504E197">
      <w:pPr>
        <w:spacing w:line="580" w:lineRule="exact"/>
        <w:ind w:firstLine="640"/>
        <w:jc w:val="both"/>
      </w:pPr>
      <w:r>
        <w:rPr>
          <w:rFonts w:ascii="仿宋_GB2312" w:hAnsi="仿宋_GB2312" w:eastAsia="仿宋_GB2312"/>
          <w:sz w:val="32"/>
        </w:rPr>
        <w:t>1.贯彻落实党中央、国务院和自治区党委、人民政府及自治区信访局关于信访工作的方针、政策、和法规，指导自治州的信访工作。</w:t>
      </w:r>
    </w:p>
    <w:p w14:paraId="551C046C">
      <w:pPr>
        <w:spacing w:line="580" w:lineRule="exact"/>
        <w:ind w:firstLine="640"/>
        <w:jc w:val="both"/>
      </w:pPr>
      <w:r>
        <w:rPr>
          <w:rFonts w:ascii="仿宋_GB2312" w:hAnsi="仿宋_GB2312" w:eastAsia="仿宋_GB2312"/>
          <w:sz w:val="32"/>
        </w:rPr>
        <w:t>2.总结、推广各县市（园区）、各部门的信访工作经验，提出改进和加强信访工作的意见和建议。</w:t>
      </w:r>
    </w:p>
    <w:p w14:paraId="15657356">
      <w:pPr>
        <w:spacing w:line="580" w:lineRule="exact"/>
        <w:ind w:firstLine="640"/>
        <w:jc w:val="both"/>
      </w:pPr>
      <w:r>
        <w:rPr>
          <w:rFonts w:ascii="仿宋_GB2312" w:hAnsi="仿宋_GB2312" w:eastAsia="仿宋_GB2312"/>
          <w:sz w:val="32"/>
        </w:rPr>
        <w:t>3.代表自治州党委、自治州人民政府受理人民群众给自治州党委、自治州人民政府及其主要领导人的来信，接待群众来访，受理网上投诉，为来信来访群众提供有关法律、法规和政策咨询服务。</w:t>
      </w:r>
    </w:p>
    <w:p w14:paraId="70FB8CCB">
      <w:pPr>
        <w:spacing w:line="580" w:lineRule="exact"/>
        <w:ind w:firstLine="640"/>
        <w:jc w:val="both"/>
      </w:pPr>
      <w:r>
        <w:rPr>
          <w:rFonts w:ascii="仿宋_GB2312" w:hAnsi="仿宋_GB2312" w:eastAsia="仿宋_GB2312"/>
          <w:sz w:val="32"/>
        </w:rPr>
        <w:t>4.负责分析研究自治州信访工作形势，开展调查研究，征集群众建议，向自治州党委、自治州人民政府提供信访信息和工作建议。</w:t>
      </w:r>
    </w:p>
    <w:p w14:paraId="59AA9AE4">
      <w:pPr>
        <w:spacing w:line="580" w:lineRule="exact"/>
        <w:ind w:firstLine="640"/>
        <w:jc w:val="both"/>
      </w:pPr>
      <w:r>
        <w:rPr>
          <w:rFonts w:ascii="仿宋_GB2312" w:hAnsi="仿宋_GB2312" w:eastAsia="仿宋_GB2312"/>
          <w:sz w:val="32"/>
        </w:rPr>
        <w:t>5.承办上级领导机关、自治州党委和自治州人民政府领导交办的信访事项，督促检查领导批示件落实情况；向有关单位交办信访事项；组织和协调有关部门联合办理信访事项，会同处理复杂疑难信访事项；督促检查重要信访事项的处理和落实。</w:t>
      </w:r>
    </w:p>
    <w:p w14:paraId="19245E0C">
      <w:pPr>
        <w:spacing w:line="580" w:lineRule="exact"/>
        <w:ind w:firstLine="640"/>
        <w:jc w:val="both"/>
      </w:pPr>
      <w:r>
        <w:rPr>
          <w:rFonts w:ascii="仿宋_GB2312" w:hAnsi="仿宋_GB2312" w:eastAsia="仿宋_GB2312"/>
          <w:sz w:val="32"/>
        </w:rPr>
        <w:t>6.协调处理跨地区、跨部门、跨行业和人事分离、人户分离、人事户分离的信访事项、群众集体上访和突发上访事件；督促检查、协调指导州直各县市部门和各县市、各部门信访工作。</w:t>
      </w:r>
    </w:p>
    <w:p w14:paraId="6ED65251">
      <w:pPr>
        <w:spacing w:line="580" w:lineRule="exact"/>
        <w:ind w:firstLine="640"/>
        <w:jc w:val="both"/>
      </w:pPr>
      <w:r>
        <w:rPr>
          <w:rFonts w:ascii="仿宋_GB2312" w:hAnsi="仿宋_GB2312" w:eastAsia="仿宋_GB2312"/>
          <w:sz w:val="32"/>
        </w:rPr>
        <w:t>7.承担自治州信访联席会议的日常工作，督促落实联席会议决定的事项，负责自治州重大矛盾纠纷排查调处的组织协调工作，建立排查调处工作机制，掌握矛盾纠纷排查调处动态，负责对涉及自治州有关行业、系统社会政治稳定的重大信访问题进行督办。</w:t>
      </w:r>
    </w:p>
    <w:p w14:paraId="1893CDCB">
      <w:pPr>
        <w:spacing w:line="580" w:lineRule="exact"/>
        <w:ind w:firstLine="640"/>
        <w:jc w:val="both"/>
      </w:pPr>
      <w:r>
        <w:rPr>
          <w:rFonts w:ascii="仿宋_GB2312" w:hAnsi="仿宋_GB2312" w:eastAsia="仿宋_GB2312"/>
          <w:sz w:val="32"/>
        </w:rPr>
        <w:t>8.负责《信访条例》的宣传工作；负责自治州信访信息系统办公自动化建设。</w:t>
      </w:r>
    </w:p>
    <w:p w14:paraId="2C86F84C">
      <w:pPr>
        <w:spacing w:line="580" w:lineRule="exact"/>
        <w:ind w:firstLine="640"/>
        <w:jc w:val="both"/>
      </w:pPr>
      <w:r>
        <w:rPr>
          <w:rFonts w:ascii="仿宋_GB2312" w:hAnsi="仿宋_GB2312" w:eastAsia="仿宋_GB2312"/>
          <w:sz w:val="32"/>
        </w:rPr>
        <w:t>9.完成自治州党委、自治州人民政府交办的其它任务。</w:t>
      </w:r>
    </w:p>
    <w:p w14:paraId="43A3EC60">
      <w:pPr>
        <w:spacing w:line="640" w:lineRule="exact"/>
        <w:ind w:firstLine="640"/>
        <w:jc w:val="both"/>
        <w:outlineLvl w:val="2"/>
      </w:pPr>
      <w:r>
        <w:rPr>
          <w:rFonts w:ascii="黑体" w:hAnsi="黑体" w:eastAsia="黑体"/>
          <w:sz w:val="32"/>
        </w:rPr>
        <w:t>二、机构设置</w:t>
      </w:r>
    </w:p>
    <w:p w14:paraId="4506E928">
      <w:pPr>
        <w:spacing w:line="580" w:lineRule="exact"/>
        <w:ind w:firstLine="640"/>
        <w:jc w:val="both"/>
      </w:pPr>
      <w:r>
        <w:rPr>
          <w:rFonts w:ascii="仿宋_GB2312" w:hAnsi="仿宋_GB2312" w:eastAsia="仿宋_GB2312"/>
          <w:sz w:val="32"/>
        </w:rPr>
        <w:t>昌吉回族自治州信访局无下属预算单位。</w:t>
      </w:r>
    </w:p>
    <w:p w14:paraId="4AA4C270">
      <w:r>
        <w:br w:type="page"/>
      </w:r>
    </w:p>
    <w:p w14:paraId="236230A4">
      <w:pPr>
        <w:spacing w:line="240" w:lineRule="auto"/>
        <w:jc w:val="center"/>
        <w:outlineLvl w:val="1"/>
      </w:pPr>
      <w:r>
        <w:rPr>
          <w:rFonts w:ascii="黑体" w:hAnsi="黑体" w:eastAsia="黑体"/>
          <w:sz w:val="32"/>
        </w:rPr>
        <w:t>第二部分 部门决算情况说明</w:t>
      </w:r>
    </w:p>
    <w:p w14:paraId="3B35E554">
      <w:pPr>
        <w:spacing w:line="640" w:lineRule="exact"/>
        <w:ind w:firstLine="640"/>
        <w:jc w:val="both"/>
        <w:outlineLvl w:val="2"/>
      </w:pPr>
      <w:r>
        <w:rPr>
          <w:rFonts w:ascii="黑体" w:hAnsi="黑体" w:eastAsia="黑体"/>
          <w:sz w:val="32"/>
        </w:rPr>
        <w:t>一、收入支出决算总体情况说明</w:t>
      </w:r>
    </w:p>
    <w:p w14:paraId="3FC9FAB9">
      <w:pPr>
        <w:spacing w:line="580" w:lineRule="exact"/>
        <w:ind w:firstLine="640"/>
        <w:jc w:val="both"/>
      </w:pPr>
      <w:r>
        <w:rPr>
          <w:rFonts w:ascii="仿宋_GB2312" w:hAnsi="仿宋_GB2312" w:eastAsia="仿宋_GB2312"/>
          <w:b/>
          <w:sz w:val="32"/>
        </w:rPr>
        <w:t>2025年度收入总计581.98万元，</w:t>
      </w:r>
      <w:r>
        <w:rPr>
          <w:rFonts w:ascii="仿宋_GB2312" w:hAnsi="仿宋_GB2312" w:eastAsia="仿宋_GB2312"/>
          <w:b w:val="0"/>
          <w:sz w:val="32"/>
        </w:rPr>
        <w:t>其中：本年收入合计578.74万元，使用非财政拨款结余（含专用结余）0.00万元，年初结转和结余3.24万元。</w:t>
      </w:r>
    </w:p>
    <w:p w14:paraId="245DF990">
      <w:pPr>
        <w:spacing w:line="580" w:lineRule="exact"/>
        <w:ind w:firstLine="640"/>
        <w:jc w:val="both"/>
      </w:pPr>
      <w:r>
        <w:rPr>
          <w:rFonts w:ascii="仿宋_GB2312" w:hAnsi="仿宋_GB2312" w:eastAsia="仿宋_GB2312"/>
          <w:b/>
          <w:sz w:val="32"/>
        </w:rPr>
        <w:t>2025年度支出总计581.98万元，</w:t>
      </w:r>
      <w:r>
        <w:rPr>
          <w:rFonts w:ascii="仿宋_GB2312" w:hAnsi="仿宋_GB2312" w:eastAsia="仿宋_GB2312"/>
          <w:b w:val="0"/>
          <w:sz w:val="32"/>
        </w:rPr>
        <w:t>其中：本年支出合计578.74万元，结余分配0.00万元，年末结转和结余3.24万元。</w:t>
      </w:r>
    </w:p>
    <w:p w14:paraId="0B0318FD">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增加61.54万元，增长11.82%，主要原因是：本年在职人员增加，在职人员工资调增、社保、公积金基数调增，人员经费增加。</w:t>
      </w:r>
    </w:p>
    <w:p w14:paraId="45F47933">
      <w:pPr>
        <w:spacing w:line="640" w:lineRule="exact"/>
        <w:ind w:firstLine="640"/>
        <w:jc w:val="both"/>
        <w:outlineLvl w:val="2"/>
      </w:pPr>
      <w:r>
        <w:rPr>
          <w:rFonts w:ascii="黑体" w:hAnsi="黑体" w:eastAsia="黑体"/>
          <w:sz w:val="32"/>
        </w:rPr>
        <w:t>二、收入决算情况说明</w:t>
      </w:r>
    </w:p>
    <w:p w14:paraId="0FDE941F">
      <w:pPr>
        <w:spacing w:line="580" w:lineRule="exact"/>
        <w:ind w:firstLine="640"/>
        <w:jc w:val="both"/>
      </w:pPr>
      <w:r>
        <w:rPr>
          <w:rFonts w:ascii="仿宋_GB2312" w:hAnsi="仿宋_GB2312" w:eastAsia="仿宋_GB2312"/>
          <w:b/>
          <w:sz w:val="32"/>
        </w:rPr>
        <w:t>本年收入578.74万元，</w:t>
      </w:r>
      <w:r>
        <w:rPr>
          <w:rFonts w:ascii="仿宋_GB2312" w:hAnsi="仿宋_GB2312" w:eastAsia="仿宋_GB2312"/>
          <w:b w:val="0"/>
          <w:sz w:val="32"/>
        </w:rPr>
        <w:t>其中：财政拨款收入562.54万元，占97.20%；上级补助收入0.00万元，占0.00%；事业收入0.00万元，占0.00%；经营收入0.00万元，占0.00%；附属单位上缴收入0.00万元，占0.00%；其他收入16.20万元，占2.80%。</w:t>
      </w:r>
    </w:p>
    <w:p w14:paraId="01CC8F29">
      <w:pPr>
        <w:spacing w:line="640" w:lineRule="exact"/>
        <w:ind w:firstLine="640"/>
        <w:jc w:val="both"/>
        <w:outlineLvl w:val="2"/>
      </w:pPr>
      <w:r>
        <w:rPr>
          <w:rFonts w:ascii="黑体" w:hAnsi="黑体" w:eastAsia="黑体"/>
          <w:sz w:val="32"/>
        </w:rPr>
        <w:t>三、支出决算情况说明</w:t>
      </w:r>
    </w:p>
    <w:p w14:paraId="20AD4AA2">
      <w:pPr>
        <w:spacing w:line="580" w:lineRule="exact"/>
        <w:ind w:firstLine="640"/>
        <w:jc w:val="both"/>
      </w:pPr>
      <w:r>
        <w:rPr>
          <w:rFonts w:ascii="仿宋_GB2312" w:hAnsi="仿宋_GB2312" w:eastAsia="仿宋_GB2312"/>
          <w:b/>
          <w:sz w:val="32"/>
        </w:rPr>
        <w:t>本年支出578.74万元，</w:t>
      </w:r>
      <w:r>
        <w:rPr>
          <w:rFonts w:ascii="仿宋_GB2312" w:hAnsi="仿宋_GB2312" w:eastAsia="仿宋_GB2312"/>
          <w:b w:val="0"/>
          <w:sz w:val="32"/>
        </w:rPr>
        <w:t>其中：基本支出465.15万元，占80.37%；项目支出113.60万元，占19.63%；上缴上级支出0.00万元，占0.00%；经营支出0.00万元，占0.00%；对附属单位补助支出0.00万元，占0.00%。</w:t>
      </w:r>
    </w:p>
    <w:p w14:paraId="69F63D85">
      <w:pPr>
        <w:spacing w:line="640" w:lineRule="exact"/>
        <w:ind w:firstLine="640"/>
        <w:jc w:val="both"/>
        <w:outlineLvl w:val="2"/>
      </w:pPr>
      <w:r>
        <w:rPr>
          <w:rFonts w:ascii="黑体" w:hAnsi="黑体" w:eastAsia="黑体"/>
          <w:sz w:val="32"/>
        </w:rPr>
        <w:t>四、财政拨款收入支出决算总体情况说明</w:t>
      </w:r>
    </w:p>
    <w:p w14:paraId="329797D1">
      <w:pPr>
        <w:spacing w:line="580" w:lineRule="exact"/>
        <w:ind w:firstLine="640"/>
        <w:jc w:val="both"/>
      </w:pPr>
      <w:r>
        <w:rPr>
          <w:rFonts w:ascii="仿宋_GB2312" w:hAnsi="仿宋_GB2312" w:eastAsia="仿宋_GB2312"/>
          <w:b/>
          <w:sz w:val="32"/>
        </w:rPr>
        <w:t>2025年度财政拨款收入总计562.54万元，</w:t>
      </w:r>
      <w:r>
        <w:rPr>
          <w:rFonts w:ascii="仿宋_GB2312" w:hAnsi="仿宋_GB2312" w:eastAsia="仿宋_GB2312"/>
          <w:b w:val="0"/>
          <w:sz w:val="32"/>
        </w:rPr>
        <w:t>其中：年初财政拨款结转和结余0.00万元，本年财政拨款收入562.54万元。</w:t>
      </w:r>
      <w:r>
        <w:rPr>
          <w:rFonts w:ascii="仿宋_GB2312" w:hAnsi="仿宋_GB2312" w:eastAsia="仿宋_GB2312"/>
          <w:b/>
          <w:sz w:val="32"/>
        </w:rPr>
        <w:t>财政拨款支出总计562.54万元，</w:t>
      </w:r>
      <w:r>
        <w:rPr>
          <w:rFonts w:ascii="仿宋_GB2312" w:hAnsi="仿宋_GB2312" w:eastAsia="仿宋_GB2312"/>
          <w:b w:val="0"/>
          <w:sz w:val="32"/>
        </w:rPr>
        <w:t>其中：年末财政拨款结转和结余0.00万元，本年财政拨款支出562.54万元。</w:t>
      </w:r>
    </w:p>
    <w:p w14:paraId="06EB8F6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增加45.34万元，增长8.77%，主要原因是：本年在职人员增加，在职人员工资调增、社保、公积金基数调增，人员经费增加，机关运行补助项目经费增加。</w:t>
      </w:r>
      <w:r>
        <w:rPr>
          <w:rFonts w:ascii="仿宋_GB2312" w:hAnsi="仿宋_GB2312" w:eastAsia="仿宋_GB2312"/>
          <w:b/>
          <w:sz w:val="32"/>
        </w:rPr>
        <w:t>与年初预算相比，</w:t>
      </w:r>
      <w:r>
        <w:rPr>
          <w:rFonts w:ascii="仿宋_GB2312" w:hAnsi="仿宋_GB2312" w:eastAsia="仿宋_GB2312"/>
          <w:b w:val="0"/>
          <w:sz w:val="32"/>
        </w:rPr>
        <w:t>年初预算数482.12万元，决算数562.54万元，预决算差异率16.68%，主要原因是：本年在职人员增加，年中追加人员经费及人员工资、社保、公积金基数调增部分资金，导致预决算存在差异。</w:t>
      </w:r>
    </w:p>
    <w:p w14:paraId="5F5774A6">
      <w:pPr>
        <w:spacing w:line="640" w:lineRule="exact"/>
        <w:ind w:firstLine="640"/>
        <w:jc w:val="both"/>
        <w:outlineLvl w:val="2"/>
      </w:pPr>
      <w:r>
        <w:rPr>
          <w:rFonts w:ascii="黑体" w:hAnsi="黑体" w:eastAsia="黑体"/>
          <w:sz w:val="32"/>
        </w:rPr>
        <w:t>五、一般公共预算财政拨款支出决算情况说明</w:t>
      </w:r>
    </w:p>
    <w:p w14:paraId="0F9A4F3B">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79ADA04B">
      <w:pPr>
        <w:spacing w:line="580" w:lineRule="exact"/>
        <w:ind w:firstLine="640"/>
        <w:jc w:val="both"/>
      </w:pPr>
      <w:r>
        <w:rPr>
          <w:rFonts w:ascii="仿宋_GB2312" w:hAnsi="仿宋_GB2312" w:eastAsia="仿宋_GB2312"/>
          <w:b w:val="0"/>
          <w:sz w:val="32"/>
        </w:rPr>
        <w:t>按照支出功能分类，一般公共服务支出（类）政府办公厅（室）及相关机构事务（款）行政运行（项）的支出占本年财政拨款支出总额的比重最高，2025年度决算数为245.10万元，占比43.57%，主要用于人员工资及相关工资福利、公用经费支出。</w:t>
      </w:r>
    </w:p>
    <w:p w14:paraId="63A80771">
      <w:pPr>
        <w:spacing w:line="640" w:lineRule="exact"/>
        <w:ind w:firstLine="640"/>
        <w:jc w:val="both"/>
        <w:outlineLvl w:val="3"/>
      </w:pPr>
      <w:r>
        <w:rPr>
          <w:rFonts w:ascii="楷体_GB2312" w:hAnsi="楷体_GB2312" w:eastAsia="楷体_GB2312"/>
          <w:b/>
          <w:sz w:val="32"/>
        </w:rPr>
        <w:t>（一）一般公共预算财政拨款支出决算总体情况</w:t>
      </w:r>
    </w:p>
    <w:p w14:paraId="0CEE48B3">
      <w:pPr>
        <w:spacing w:line="580" w:lineRule="exact"/>
        <w:ind w:firstLine="640"/>
        <w:jc w:val="both"/>
      </w:pPr>
      <w:r>
        <w:rPr>
          <w:rFonts w:ascii="仿宋_GB2312" w:hAnsi="仿宋_GB2312" w:eastAsia="仿宋_GB2312"/>
          <w:b/>
          <w:sz w:val="32"/>
        </w:rPr>
        <w:t>2025年度一般公共预算财政拨款支出562.54万元，</w:t>
      </w:r>
      <w:r>
        <w:rPr>
          <w:rFonts w:ascii="仿宋_GB2312" w:hAnsi="仿宋_GB2312" w:eastAsia="仿宋_GB2312"/>
          <w:b w:val="0"/>
          <w:sz w:val="32"/>
        </w:rPr>
        <w:t>占本年支出合计的97.20%。</w:t>
      </w:r>
      <w:r>
        <w:rPr>
          <w:rFonts w:ascii="仿宋_GB2312" w:hAnsi="仿宋_GB2312" w:eastAsia="仿宋_GB2312"/>
          <w:b/>
          <w:sz w:val="32"/>
        </w:rPr>
        <w:t>与上年相比，</w:t>
      </w:r>
      <w:r>
        <w:rPr>
          <w:rFonts w:ascii="仿宋_GB2312" w:hAnsi="仿宋_GB2312" w:eastAsia="仿宋_GB2312"/>
          <w:b w:val="0"/>
          <w:sz w:val="32"/>
        </w:rPr>
        <w:t>增加51.90万元，增长10.16%，主要原因是：本年在职人员增加，相关人员经费增加，机关运行补助经费项目资金较上年增加。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年初预算数482.12万元，决算数562.54万元，预决算差异率16.68%，主要原因是：本年在职人员增加，年中追加人员经费及人员工资、社保、公积金基数调增部分资金，导致预决算存在差异。</w:t>
      </w:r>
    </w:p>
    <w:p w14:paraId="5C7D14E1">
      <w:pPr>
        <w:spacing w:line="640" w:lineRule="exact"/>
        <w:ind w:firstLine="640"/>
        <w:jc w:val="both"/>
        <w:outlineLvl w:val="3"/>
      </w:pPr>
      <w:r>
        <w:rPr>
          <w:rFonts w:ascii="楷体_GB2312" w:hAnsi="楷体_GB2312" w:eastAsia="楷体_GB2312"/>
          <w:b/>
          <w:sz w:val="32"/>
        </w:rPr>
        <w:t>（二）一般公共预算财政拨款支出决算结构情况</w:t>
      </w:r>
    </w:p>
    <w:p w14:paraId="209634CA">
      <w:pPr>
        <w:spacing w:line="580" w:lineRule="exact"/>
        <w:ind w:firstLine="640"/>
        <w:jc w:val="both"/>
      </w:pPr>
      <w:r>
        <w:rPr>
          <w:rFonts w:ascii="仿宋_GB2312" w:hAnsi="仿宋_GB2312" w:eastAsia="仿宋_GB2312"/>
          <w:b w:val="0"/>
          <w:sz w:val="32"/>
        </w:rPr>
        <w:t>1.一般公共服务支出（类）412.86万元，占73.39%。</w:t>
      </w:r>
    </w:p>
    <w:p w14:paraId="0D4D80C1">
      <w:pPr>
        <w:spacing w:line="580" w:lineRule="exact"/>
        <w:ind w:firstLine="640"/>
        <w:jc w:val="both"/>
      </w:pPr>
      <w:r>
        <w:rPr>
          <w:rFonts w:ascii="仿宋_GB2312" w:hAnsi="仿宋_GB2312" w:eastAsia="仿宋_GB2312"/>
          <w:b w:val="0"/>
          <w:sz w:val="32"/>
        </w:rPr>
        <w:t>2.社会保障和就业支出（类）83.26万元，占14.80%。</w:t>
      </w:r>
    </w:p>
    <w:p w14:paraId="42B12DF3">
      <w:pPr>
        <w:spacing w:line="580" w:lineRule="exact"/>
        <w:ind w:firstLine="640"/>
        <w:jc w:val="both"/>
      </w:pPr>
      <w:r>
        <w:rPr>
          <w:rFonts w:ascii="仿宋_GB2312" w:hAnsi="仿宋_GB2312" w:eastAsia="仿宋_GB2312"/>
          <w:b w:val="0"/>
          <w:sz w:val="32"/>
        </w:rPr>
        <w:t>3.卫生健康支出（类）33.87万元，占6.02%。</w:t>
      </w:r>
    </w:p>
    <w:p w14:paraId="0F63C932">
      <w:pPr>
        <w:spacing w:line="580" w:lineRule="exact"/>
        <w:ind w:firstLine="640"/>
        <w:jc w:val="both"/>
      </w:pPr>
      <w:r>
        <w:rPr>
          <w:rFonts w:ascii="仿宋_GB2312" w:hAnsi="仿宋_GB2312" w:eastAsia="仿宋_GB2312"/>
          <w:b w:val="0"/>
          <w:sz w:val="32"/>
        </w:rPr>
        <w:t>4.住房保障支出（类）32.55万元，占5.79%。</w:t>
      </w:r>
    </w:p>
    <w:p w14:paraId="3A9268EB">
      <w:pPr>
        <w:spacing w:line="640" w:lineRule="exact"/>
        <w:ind w:firstLine="640"/>
        <w:jc w:val="both"/>
        <w:outlineLvl w:val="3"/>
      </w:pPr>
      <w:r>
        <w:rPr>
          <w:rFonts w:ascii="楷体_GB2312" w:hAnsi="楷体_GB2312" w:eastAsia="楷体_GB2312"/>
          <w:b/>
          <w:sz w:val="32"/>
        </w:rPr>
        <w:t>（三）一般公共预算财政拨款支出决算具体情况</w:t>
      </w:r>
    </w:p>
    <w:p w14:paraId="4DBC19AD">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245.10万元，比上年决算增加9.73万元，增长4.13%，主要原因是：本年在职人员工资调增，导致相关人员经费较上年有所增加。</w:t>
      </w:r>
    </w:p>
    <w:p w14:paraId="3A69678B">
      <w:pPr>
        <w:spacing w:line="580" w:lineRule="exact"/>
        <w:ind w:firstLine="640"/>
        <w:jc w:val="both"/>
      </w:pPr>
      <w:r>
        <w:rPr>
          <w:rFonts w:ascii="仿宋_GB2312" w:hAnsi="仿宋_GB2312" w:eastAsia="仿宋_GB2312"/>
          <w:b w:val="0"/>
          <w:sz w:val="32"/>
        </w:rPr>
        <w:t>2.一般公共服务支出（类）政府办公厅（室）及相关机构事务（款）一般行政管理事务（项）：支出决算数为2.20万元，比上年决算减少7.03万元，下降76.16%，主要原因是：本年科目调整，开展信访业务项目上年在一般行政管理事务列支，本年调整至其他政府办公厅（室）及相关机构事务支出列支，导致经费减少。</w:t>
      </w:r>
    </w:p>
    <w:p w14:paraId="3E846497">
      <w:pPr>
        <w:spacing w:line="580" w:lineRule="exact"/>
        <w:ind w:firstLine="640"/>
        <w:jc w:val="both"/>
      </w:pPr>
      <w:r>
        <w:rPr>
          <w:rFonts w:ascii="仿宋_GB2312" w:hAnsi="仿宋_GB2312" w:eastAsia="仿宋_GB2312"/>
          <w:b w:val="0"/>
          <w:sz w:val="32"/>
        </w:rPr>
        <w:t>3.一般公共服务支出（类）政府办公厅（室）及相关机构事务（款）事业运行（项）：支出决算数为69.40万元，比上年决算增加0.06万元，增长0.09%，主要原因是：本年在职人员工资调增，导致相关人员经费较上年有所增加。</w:t>
      </w:r>
    </w:p>
    <w:p w14:paraId="6046AF92">
      <w:pPr>
        <w:spacing w:line="580" w:lineRule="exact"/>
        <w:ind w:firstLine="640"/>
        <w:jc w:val="both"/>
      </w:pPr>
      <w:r>
        <w:rPr>
          <w:rFonts w:ascii="仿宋_GB2312" w:hAnsi="仿宋_GB2312" w:eastAsia="仿宋_GB2312"/>
          <w:b w:val="0"/>
          <w:sz w:val="32"/>
        </w:rPr>
        <w:t>4.一般公共服务支出（类）政府办公厅（室）及相关机构事务（款）其他政府办公厅（室）及相关机构事务支出（项）：支出决算数为95.20万元，比上年决算增加25.31万元，增长36.21%，主要原因是：本年在职人员工资调增，导致相关人员经费较上年有所增加。</w:t>
      </w:r>
    </w:p>
    <w:p w14:paraId="6F78A265">
      <w:pPr>
        <w:spacing w:line="580" w:lineRule="exact"/>
        <w:ind w:firstLine="640"/>
        <w:jc w:val="both"/>
      </w:pPr>
      <w:r>
        <w:rPr>
          <w:rFonts w:ascii="仿宋_GB2312" w:hAnsi="仿宋_GB2312" w:eastAsia="仿宋_GB2312"/>
          <w:b w:val="0"/>
          <w:sz w:val="32"/>
        </w:rPr>
        <w:t>5.一般公共服务支出（类）信访事务（款）行政运行（项）：支出决算数为0.97万元，比上年决算增加0.97万元，增长100.00%，主要原因是：本年功能科目调整，部分公用经费上年度在主科目，本年调整至此科目列支，导致经费较上年增加。</w:t>
      </w:r>
    </w:p>
    <w:p w14:paraId="570259BD">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6.社会保障和就业支出（类）行政事业单位养老支出（款）行政单位离退休（项）：支出决算数为6.63万元，比上年决算增加2.19万元，增长49.32%，主要原因是：本年增加退休人员基础绩效奖，退休费支出增加。</w:t>
      </w:r>
    </w:p>
    <w:p w14:paraId="5B7C2C1E">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40.36万元，比上年决算增加0.38万元，增长0.95%，主要原因是：本年在职人员工资基数调增，养老缴费基数上涨，相应支出增加。</w:t>
      </w:r>
    </w:p>
    <w:p w14:paraId="7BB83EFE">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36.27万元，比上年决算增加8.38万元，增长30.05%，主要原因是：本年度在职人员按月缴纳职业年金，导致职业年金缴费支出增加。</w:t>
      </w:r>
    </w:p>
    <w:p w14:paraId="3212D3CB">
      <w:pPr>
        <w:spacing w:line="580" w:lineRule="exact"/>
        <w:ind w:firstLine="640"/>
        <w:jc w:val="both"/>
      </w:pPr>
      <w:r>
        <w:rPr>
          <w:rFonts w:ascii="仿宋_GB2312" w:hAnsi="仿宋_GB2312" w:eastAsia="仿宋_GB2312"/>
          <w:b w:val="0"/>
          <w:sz w:val="32"/>
        </w:rPr>
        <w:t>9.卫生健康支出（类）行政事业单位医疗（款）行政单位医疗（项）：支出决算数为17.63万元，比上年决算增加2.46万元，增长16.22%，主要原因是：本年在职人员工资基数调增，医疗缴费基数上涨，相应支出增加。</w:t>
      </w:r>
    </w:p>
    <w:p w14:paraId="404329C6">
      <w:pPr>
        <w:spacing w:line="580" w:lineRule="exact"/>
        <w:ind w:firstLine="640"/>
        <w:jc w:val="both"/>
      </w:pPr>
      <w:r>
        <w:rPr>
          <w:rFonts w:ascii="仿宋_GB2312" w:hAnsi="仿宋_GB2312" w:eastAsia="仿宋_GB2312"/>
          <w:b w:val="0"/>
          <w:sz w:val="32"/>
        </w:rPr>
        <w:t>10.卫生健康支出（类）行政事业单位医疗（款）事业单位医疗（项）：支出决算数为6.03万元，比上年决算增加1.21万元，增长25.10%，主要原因是：本年在职人员工资基数调增，医疗缴费基数上涨，相应支出增加。</w:t>
      </w:r>
    </w:p>
    <w:p w14:paraId="0BD30168">
      <w:pPr>
        <w:spacing w:line="580" w:lineRule="exact"/>
        <w:ind w:firstLine="640"/>
        <w:jc w:val="both"/>
      </w:pPr>
      <w:r>
        <w:rPr>
          <w:rFonts w:ascii="仿宋_GB2312" w:hAnsi="仿宋_GB2312" w:eastAsia="仿宋_GB2312"/>
          <w:b w:val="0"/>
          <w:sz w:val="32"/>
        </w:rPr>
        <w:t>11.卫生健康支出（类）行政事业单位医疗（款）公务员医疗补助（项）：支出决算数为9.96万元，比上年决算增加8.71万元，增长696.80%，主要原因是：本年在职人员工资基数调增，医疗缴费基数上涨，相应支出增加。</w:t>
      </w:r>
    </w:p>
    <w:p w14:paraId="5549C332">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0.25万元，比上年决算增加0.10万元，增长66.67%，主要原因是：本年在职人员工资基数调增，医疗缴费基数上涨，相应支出增加。</w:t>
      </w:r>
    </w:p>
    <w:p w14:paraId="46E1E1C4">
      <w:pPr>
        <w:spacing w:line="580" w:lineRule="exact"/>
        <w:ind w:firstLine="640"/>
        <w:jc w:val="both"/>
      </w:pPr>
      <w:r>
        <w:rPr>
          <w:rFonts w:ascii="仿宋_GB2312" w:hAnsi="仿宋_GB2312" w:eastAsia="仿宋_GB2312"/>
          <w:b w:val="0"/>
          <w:sz w:val="32"/>
        </w:rPr>
        <w:t>13.住房保障支出（类）住房改革支出（款）住房公积金（项）：支出决算数为32.55万元，比上年决算增加0.65万元，增长2.04%，主要原因是：本年在职人员工资基数调增，公积金缴费基数上涨，相应支出增加。</w:t>
      </w:r>
    </w:p>
    <w:p w14:paraId="2E49704E">
      <w:pPr>
        <w:spacing w:line="580" w:lineRule="exact"/>
        <w:ind w:firstLine="640"/>
        <w:jc w:val="both"/>
      </w:pPr>
      <w:r>
        <w:rPr>
          <w:rFonts w:ascii="仿宋_GB2312" w:hAnsi="仿宋_GB2312" w:eastAsia="仿宋_GB2312"/>
          <w:b w:val="0"/>
          <w:sz w:val="32"/>
        </w:rPr>
        <w:t>14.其他支出（类）其他支出（款）其他支出（项）：支出决算数为0.00万元，比上年决算减少1.20万元，下降100.00%，主要原因是：本年为民办实事工作经费减少。</w:t>
      </w:r>
    </w:p>
    <w:p w14:paraId="41749AC7">
      <w:pPr>
        <w:spacing w:line="640" w:lineRule="exact"/>
        <w:ind w:firstLine="640"/>
        <w:jc w:val="both"/>
        <w:outlineLvl w:val="2"/>
      </w:pPr>
      <w:r>
        <w:rPr>
          <w:rFonts w:ascii="黑体" w:hAnsi="黑体" w:eastAsia="黑体"/>
          <w:sz w:val="32"/>
        </w:rPr>
        <w:t>六、一般公共预算财政拨款基本支出决算情况说明</w:t>
      </w:r>
    </w:p>
    <w:p w14:paraId="6ADB4A97">
      <w:pPr>
        <w:spacing w:line="580" w:lineRule="exact"/>
        <w:ind w:firstLine="640"/>
        <w:jc w:val="both"/>
      </w:pPr>
      <w:r>
        <w:rPr>
          <w:rFonts w:ascii="仿宋_GB2312" w:hAnsi="仿宋_GB2312" w:eastAsia="仿宋_GB2312"/>
          <w:b w:val="0"/>
          <w:sz w:val="32"/>
        </w:rPr>
        <w:t>2025年度一般公共预算财政拨款基本支出465.15万元，其中：</w:t>
      </w:r>
      <w:r>
        <w:rPr>
          <w:rFonts w:ascii="仿宋_GB2312" w:hAnsi="仿宋_GB2312" w:eastAsia="仿宋_GB2312"/>
          <w:b/>
          <w:sz w:val="32"/>
        </w:rPr>
        <w:t>人员经费426.93万元，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0F392DEF">
      <w:pPr>
        <w:spacing w:line="580" w:lineRule="exact"/>
        <w:ind w:firstLine="640"/>
        <w:jc w:val="both"/>
      </w:pPr>
      <w:r>
        <w:rPr>
          <w:rFonts w:ascii="仿宋_GB2312" w:hAnsi="仿宋_GB2312" w:eastAsia="仿宋_GB2312"/>
          <w:b/>
          <w:sz w:val="32"/>
        </w:rPr>
        <w:t>公用经费38.21万元，</w:t>
      </w:r>
      <w:r>
        <w:rPr>
          <w:rFonts w:ascii="仿宋_GB2312" w:hAnsi="仿宋_GB2312" w:eastAsia="仿宋_GB2312"/>
          <w:b w:val="0"/>
          <w:sz w:val="32"/>
        </w:rPr>
        <w:t>包括：办公费、邮电费、维修（护）费、租赁费、公务接待费、劳务费、工会经费、福利费、公务用车运行维护费、其他商品和服务支出。</w:t>
      </w:r>
    </w:p>
    <w:p w14:paraId="06292CBC">
      <w:pPr>
        <w:spacing w:line="640" w:lineRule="exact"/>
        <w:ind w:firstLine="640"/>
        <w:jc w:val="both"/>
        <w:outlineLvl w:val="2"/>
      </w:pPr>
      <w:r>
        <w:rPr>
          <w:rFonts w:ascii="黑体" w:hAnsi="黑体" w:eastAsia="黑体"/>
          <w:sz w:val="32"/>
        </w:rPr>
        <w:t>七、政府性基金预算财政拨款收入支出决算情况说明</w:t>
      </w:r>
    </w:p>
    <w:p w14:paraId="1255E6AD">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2F56A811">
      <w:pPr>
        <w:spacing w:line="640" w:lineRule="exact"/>
        <w:ind w:firstLine="640"/>
        <w:jc w:val="both"/>
        <w:outlineLvl w:val="2"/>
      </w:pPr>
      <w:r>
        <w:rPr>
          <w:rFonts w:ascii="黑体" w:hAnsi="黑体" w:eastAsia="黑体"/>
          <w:sz w:val="32"/>
        </w:rPr>
        <w:t>八、国有资本经营预算财政拨款收入支出决算情况说明</w:t>
      </w:r>
    </w:p>
    <w:p w14:paraId="0B3F945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385B7CE">
      <w:pPr>
        <w:spacing w:line="640" w:lineRule="exact"/>
        <w:ind w:firstLine="640"/>
        <w:jc w:val="both"/>
        <w:outlineLvl w:val="2"/>
      </w:pPr>
      <w:r>
        <w:rPr>
          <w:rFonts w:ascii="黑体" w:hAnsi="黑体" w:eastAsia="黑体"/>
          <w:sz w:val="32"/>
        </w:rPr>
        <w:t>九、财政拨款“三公”经费支出决算情况说明</w:t>
      </w:r>
    </w:p>
    <w:p w14:paraId="08DF66E3">
      <w:pPr>
        <w:spacing w:line="580" w:lineRule="exact"/>
        <w:ind w:firstLine="640"/>
        <w:jc w:val="both"/>
      </w:pPr>
      <w:r>
        <w:rPr>
          <w:rFonts w:ascii="仿宋_GB2312" w:hAnsi="仿宋_GB2312" w:eastAsia="仿宋_GB2312"/>
          <w:b/>
          <w:sz w:val="32"/>
        </w:rPr>
        <w:t>2025年度财政拨款“三公”经费支出4.38万元，</w:t>
      </w:r>
      <w:r>
        <w:rPr>
          <w:rFonts w:ascii="仿宋_GB2312" w:hAnsi="仿宋_GB2312" w:eastAsia="仿宋_GB2312"/>
          <w:b w:val="0"/>
          <w:sz w:val="32"/>
        </w:rPr>
        <w:t>比上年增加0.03万元，增长0.69%，主要原因是：本年因业务需求，增加公务接待工作，导致公务接待费较上年增加。其中：因公出国（境）费用支出0.00万元，占0.00%，比上年增加0.00万元，增长0.00%，主要原因是：2024年与2025年均无因公出国（境）费用支出。公务用车购置及运行维护费支出4.20万元，占95.89%，比上年增加0.00万元，增长0.00%，主要原因是：本单位公务用车购置及运行维护费与上年一致无变化。公务接待费支出0.18万元，占4.11%，比上年增加0.03万元，增长20.00%，主要原因是：本年因业务需求，增加公务接待工作，导致公务接待费较上年增加。</w:t>
      </w:r>
    </w:p>
    <w:p w14:paraId="10957914">
      <w:pPr>
        <w:spacing w:line="580" w:lineRule="exact"/>
        <w:ind w:firstLine="640"/>
        <w:jc w:val="both"/>
      </w:pPr>
      <w:r>
        <w:rPr>
          <w:rFonts w:ascii="仿宋_GB2312" w:hAnsi="仿宋_GB2312" w:eastAsia="仿宋_GB2312"/>
          <w:b/>
          <w:sz w:val="32"/>
        </w:rPr>
        <w:t>具体情况如下：</w:t>
      </w:r>
    </w:p>
    <w:p w14:paraId="4B74710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7FB36D7">
      <w:pPr>
        <w:spacing w:line="580" w:lineRule="exact"/>
        <w:ind w:firstLine="640"/>
        <w:jc w:val="both"/>
      </w:pPr>
      <w:r>
        <w:rPr>
          <w:rFonts w:ascii="仿宋_GB2312" w:hAnsi="仿宋_GB2312" w:eastAsia="仿宋_GB2312"/>
          <w:b w:val="0"/>
          <w:sz w:val="32"/>
        </w:rPr>
        <w:t>公务用车购置及运行维护费4.20万元，其中：公务用车购置费0.00万元，公务用车运行维护费4.20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14:paraId="663BEA78">
      <w:pPr>
        <w:spacing w:line="580" w:lineRule="exact"/>
        <w:ind w:firstLine="640"/>
        <w:jc w:val="both"/>
      </w:pPr>
      <w:r>
        <w:rPr>
          <w:rFonts w:ascii="仿宋_GB2312" w:hAnsi="仿宋_GB2312" w:eastAsia="仿宋_GB2312"/>
          <w:b w:val="0"/>
          <w:sz w:val="32"/>
        </w:rPr>
        <w:t>公务接待费0.18万元，开支内容包括本年开展处理疑难信访工作经验交流活动产生的餐费。单位全年安排的国内公务接待6批次，26人次。</w:t>
      </w:r>
    </w:p>
    <w:p w14:paraId="30D4AFEA">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4.38万元，决算数4.38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4.20万元，决算数4.20万元，预决算差异率0.00%，主要原因是：严格按照预算执行，预决算无差异。公务接待费全年预算数0.18万元，决算数0.18万元，预决算差异率0.00%，主要原因是：严格按照预算执行，预决算无差异。</w:t>
      </w:r>
    </w:p>
    <w:p w14:paraId="483A7FF3">
      <w:pPr>
        <w:spacing w:line="640" w:lineRule="exact"/>
        <w:ind w:firstLine="640"/>
        <w:jc w:val="both"/>
        <w:outlineLvl w:val="2"/>
      </w:pPr>
      <w:r>
        <w:rPr>
          <w:rFonts w:ascii="黑体" w:hAnsi="黑体" w:eastAsia="黑体"/>
          <w:sz w:val="32"/>
        </w:rPr>
        <w:t>十、其他重要事项的情况说明</w:t>
      </w:r>
    </w:p>
    <w:p w14:paraId="406A4615">
      <w:pPr>
        <w:spacing w:line="640" w:lineRule="exact"/>
        <w:ind w:firstLine="640"/>
        <w:jc w:val="both"/>
        <w:outlineLvl w:val="3"/>
      </w:pPr>
      <w:r>
        <w:rPr>
          <w:rFonts w:ascii="楷体_GB2312" w:hAnsi="楷体_GB2312" w:eastAsia="楷体_GB2312"/>
          <w:b/>
          <w:sz w:val="32"/>
        </w:rPr>
        <w:t>（一）机关运行经费及公用经费支出情况</w:t>
      </w:r>
    </w:p>
    <w:p w14:paraId="27A36934">
      <w:pPr>
        <w:spacing w:line="580" w:lineRule="exact"/>
        <w:ind w:firstLine="640"/>
        <w:jc w:val="both"/>
      </w:pPr>
      <w:r>
        <w:rPr>
          <w:rFonts w:ascii="仿宋_GB2312" w:hAnsi="仿宋_GB2312" w:eastAsia="仿宋_GB2312"/>
          <w:b w:val="0"/>
          <w:sz w:val="32"/>
        </w:rPr>
        <w:t>2025年度昌吉回族自治州信访局（行政单位和参照公务员法管理事业单位）机关运行经费支出38.21万元，比上年增加8.19万元，增长27.28%，主要原因是：因本年业务量增加，机关运行经费增加。</w:t>
      </w:r>
    </w:p>
    <w:p w14:paraId="1A50B127">
      <w:pPr>
        <w:spacing w:line="640" w:lineRule="exact"/>
        <w:ind w:firstLine="640"/>
        <w:jc w:val="both"/>
        <w:outlineLvl w:val="3"/>
      </w:pPr>
      <w:r>
        <w:rPr>
          <w:rFonts w:ascii="楷体_GB2312" w:hAnsi="楷体_GB2312" w:eastAsia="楷体_GB2312"/>
          <w:b/>
          <w:sz w:val="32"/>
        </w:rPr>
        <w:t>（二）政府采购情况</w:t>
      </w:r>
    </w:p>
    <w:p w14:paraId="251DBFE0">
      <w:pPr>
        <w:spacing w:line="580" w:lineRule="exact"/>
        <w:ind w:firstLine="640"/>
        <w:jc w:val="both"/>
      </w:pPr>
      <w:r>
        <w:rPr>
          <w:rFonts w:ascii="仿宋_GB2312" w:hAnsi="仿宋_GB2312" w:eastAsia="仿宋_GB2312"/>
          <w:b w:val="0"/>
          <w:sz w:val="32"/>
        </w:rPr>
        <w:t>2025年度政府采购支出总额58.06万元，其中：政府采购货物支出1.81万元、政府采购工程支出0.00万元、政府采购服务支出56.24万元。</w:t>
      </w:r>
    </w:p>
    <w:p w14:paraId="7EE37E1B">
      <w:pPr>
        <w:spacing w:line="580" w:lineRule="exact"/>
        <w:ind w:firstLine="640"/>
        <w:jc w:val="both"/>
      </w:pPr>
      <w:r>
        <w:rPr>
          <w:rFonts w:ascii="仿宋_GB2312" w:hAnsi="仿宋_GB2312" w:eastAsia="仿宋_GB2312"/>
          <w:b w:val="0"/>
          <w:sz w:val="32"/>
        </w:rPr>
        <w:t>授予中小企业合同金额28.93万元，占政府采购支出总额的49.83%，其中：授予小微企业合同金额28.93万元，占政府采购支出总额的49.83%。</w:t>
      </w:r>
    </w:p>
    <w:p w14:paraId="316D9B69">
      <w:pPr>
        <w:spacing w:line="640" w:lineRule="exact"/>
        <w:ind w:firstLine="640"/>
        <w:jc w:val="both"/>
        <w:outlineLvl w:val="3"/>
      </w:pPr>
      <w:r>
        <w:rPr>
          <w:rFonts w:ascii="楷体_GB2312" w:hAnsi="楷体_GB2312" w:eastAsia="楷体_GB2312"/>
          <w:b/>
          <w:sz w:val="32"/>
        </w:rPr>
        <w:t>（三）国有资产占用情况说明</w:t>
      </w:r>
    </w:p>
    <w:p w14:paraId="2160C50C">
      <w:pPr>
        <w:spacing w:line="580" w:lineRule="exact"/>
        <w:ind w:firstLine="640"/>
        <w:jc w:val="both"/>
      </w:pPr>
      <w:r>
        <w:rPr>
          <w:rFonts w:ascii="仿宋_GB2312" w:hAnsi="仿宋_GB2312" w:eastAsia="仿宋_GB2312"/>
          <w:b w:val="0"/>
          <w:sz w:val="32"/>
        </w:rPr>
        <w:t>截至2025年12月31日，房屋0.00平方米，价值0.00万元。车辆2辆，价值44.34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792A167D">
      <w:pPr>
        <w:spacing w:line="640" w:lineRule="exact"/>
        <w:ind w:firstLine="640"/>
        <w:jc w:val="both"/>
        <w:outlineLvl w:val="2"/>
      </w:pPr>
      <w:r>
        <w:rPr>
          <w:rFonts w:ascii="黑体" w:hAnsi="黑体" w:eastAsia="黑体"/>
          <w:sz w:val="32"/>
        </w:rPr>
        <w:t>十一、预算绩效的情况说明</w:t>
      </w:r>
    </w:p>
    <w:p w14:paraId="01247ED4">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581.98万元，实际执行总额578.74万元；预算绩效评价项目3个，全年预算数114.10万元，全年执行数113.60万元。预算绩效管理取得的成效：一是领导重视、周密安排，认真做好项目建设发展工作，积极配合相关人员做好相关申报资料的收集整理归档工作，思路清晰，保证时效性。二是合理分工，安排专人负责相关工作，责任到人，认真落实各时间节点的相关工作，各部门人员紧密配合，做好相关协调工作。发现的问题及原因：一是绩效监控存在监管理力度不够；二是整体支出绩效执行者缺乏培训及权威机构的指导性学习。下一步改进措施：一是认真总结经验教训，对工作中的不足及时进行纠正，改变工作思路，合理利用资金，做到资源优化配置；二是进一步做好绩效监控管理工作，加快绩效监控信息化建设，提升管理效率，加强预算绩效管理理论和实际操作培训。具体附整体支出绩效自评表、项目支出绩效自评表及项目支出绩效评价报告。</w:t>
      </w:r>
    </w:p>
    <w:p w14:paraId="77AD51C2">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647BB1B2">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D3B94BF">
            <w:pPr>
              <w:spacing w:before="0" w:after="0" w:line="240" w:lineRule="auto"/>
              <w:jc w:val="center"/>
            </w:pPr>
            <w:r>
              <w:rPr>
                <w:rFonts w:ascii="宋体" w:hAnsi="宋体" w:eastAsia="宋体" w:cs="宋体"/>
                <w:b w:val="0"/>
                <w:i w:val="0"/>
                <w:sz w:val="18"/>
              </w:rPr>
              <w:t>部门（单位）整体支出绩效目标自评表</w:t>
            </w:r>
          </w:p>
        </w:tc>
      </w:tr>
      <w:tr w14:paraId="29865E2F">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4E2612D">
            <w:pPr>
              <w:spacing w:before="0" w:after="0" w:line="240" w:lineRule="auto"/>
              <w:jc w:val="center"/>
            </w:pPr>
            <w:r>
              <w:rPr>
                <w:rFonts w:ascii="宋体" w:hAnsi="宋体" w:eastAsia="宋体" w:cs="宋体"/>
                <w:b w:val="0"/>
                <w:i w:val="0"/>
                <w:sz w:val="18"/>
              </w:rPr>
              <w:t>（2025年度）</w:t>
            </w:r>
          </w:p>
        </w:tc>
      </w:tr>
      <w:tr w14:paraId="4CEFDE88">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191FDA">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000A0EE">
            <w:pPr>
              <w:spacing w:before="0" w:after="0" w:line="240" w:lineRule="auto"/>
              <w:jc w:val="center"/>
            </w:pPr>
            <w:r>
              <w:rPr>
                <w:rFonts w:ascii="宋体" w:hAnsi="宋体" w:eastAsia="宋体" w:cs="宋体"/>
                <w:b w:val="0"/>
                <w:i w:val="0"/>
                <w:sz w:val="18"/>
              </w:rPr>
              <w:t>昌吉回族自治州信访局</w:t>
            </w:r>
          </w:p>
        </w:tc>
      </w:tr>
      <w:tr w14:paraId="3805351E">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C2EE5">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ACA4B6">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D7DBCA">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D98A95">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FFBDEB">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819E13">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128AA5">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B4B4AE">
            <w:pPr>
              <w:spacing w:before="0" w:after="0" w:line="240" w:lineRule="auto"/>
              <w:jc w:val="center"/>
            </w:pPr>
            <w:r>
              <w:rPr>
                <w:rFonts w:ascii="宋体" w:hAnsi="宋体" w:eastAsia="宋体" w:cs="宋体"/>
                <w:b w:val="0"/>
                <w:i w:val="0"/>
                <w:sz w:val="18"/>
              </w:rPr>
              <w:t>得分</w:t>
            </w:r>
          </w:p>
        </w:tc>
      </w:tr>
      <w:tr w14:paraId="74ECDD2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B4427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3C81D8">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C1790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307193">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D20983">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FF4BE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3AA4B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CF389">
            <w:pPr>
              <w:spacing w:before="0" w:after="0" w:line="240" w:lineRule="auto"/>
              <w:jc w:val="center"/>
            </w:pPr>
            <w:r>
              <w:rPr>
                <w:rFonts w:ascii="宋体" w:hAnsi="宋体" w:eastAsia="宋体" w:cs="宋体"/>
                <w:b w:val="0"/>
                <w:i w:val="0"/>
                <w:sz w:val="18"/>
              </w:rPr>
              <w:t>-</w:t>
            </w:r>
          </w:p>
        </w:tc>
      </w:tr>
      <w:tr w14:paraId="2DA91DE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5F3D74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DEC20E">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A07E76">
            <w:pPr>
              <w:spacing w:before="0" w:after="0" w:line="240" w:lineRule="auto"/>
              <w:jc w:val="center"/>
            </w:pPr>
            <w:r>
              <w:rPr>
                <w:rFonts w:ascii="宋体" w:hAnsi="宋体" w:eastAsia="宋体" w:cs="宋体"/>
                <w:b w:val="0"/>
                <w:i w:val="0"/>
                <w:sz w:val="18"/>
              </w:rPr>
              <w:t>482.13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608DF8">
            <w:pPr>
              <w:spacing w:before="0" w:after="0" w:line="240" w:lineRule="auto"/>
              <w:jc w:val="center"/>
            </w:pPr>
            <w:r>
              <w:rPr>
                <w:rFonts w:ascii="宋体" w:hAnsi="宋体" w:eastAsia="宋体" w:cs="宋体"/>
                <w:b w:val="0"/>
                <w:i w:val="0"/>
                <w:sz w:val="18"/>
              </w:rPr>
              <w:t>565.78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513F9B">
            <w:pPr>
              <w:spacing w:before="0" w:after="0" w:line="240" w:lineRule="auto"/>
              <w:jc w:val="center"/>
            </w:pPr>
            <w:r>
              <w:rPr>
                <w:rFonts w:ascii="宋体" w:hAnsi="宋体" w:eastAsia="宋体" w:cs="宋体"/>
                <w:b w:val="0"/>
                <w:i w:val="0"/>
                <w:sz w:val="18"/>
              </w:rPr>
              <w:t>562.54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E240F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AE501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58455C">
            <w:pPr>
              <w:spacing w:before="0" w:after="0" w:line="240" w:lineRule="auto"/>
              <w:jc w:val="center"/>
            </w:pPr>
            <w:r>
              <w:rPr>
                <w:rFonts w:ascii="宋体" w:hAnsi="宋体" w:eastAsia="宋体" w:cs="宋体"/>
                <w:b w:val="0"/>
                <w:i w:val="0"/>
                <w:sz w:val="18"/>
              </w:rPr>
              <w:t>-</w:t>
            </w:r>
          </w:p>
        </w:tc>
      </w:tr>
      <w:tr w14:paraId="6E0296D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A262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2BE64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DABA16">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B14C58">
            <w:pPr>
              <w:spacing w:before="0" w:after="0" w:line="240" w:lineRule="auto"/>
              <w:jc w:val="center"/>
            </w:pPr>
            <w:r>
              <w:rPr>
                <w:rFonts w:ascii="宋体" w:hAnsi="宋体" w:eastAsia="宋体" w:cs="宋体"/>
                <w:b w:val="0"/>
                <w:i w:val="0"/>
                <w:sz w:val="18"/>
              </w:rPr>
              <w:t>16.20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A895A">
            <w:pPr>
              <w:spacing w:before="0" w:after="0" w:line="240" w:lineRule="auto"/>
              <w:jc w:val="center"/>
            </w:pPr>
            <w:r>
              <w:rPr>
                <w:rFonts w:ascii="宋体" w:hAnsi="宋体" w:eastAsia="宋体" w:cs="宋体"/>
                <w:b w:val="0"/>
                <w:i w:val="0"/>
                <w:sz w:val="18"/>
              </w:rPr>
              <w:t>16.20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0BA3D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BB23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9A300F">
            <w:pPr>
              <w:spacing w:before="0" w:after="0" w:line="240" w:lineRule="auto"/>
              <w:jc w:val="center"/>
            </w:pPr>
            <w:r>
              <w:rPr>
                <w:rFonts w:ascii="宋体" w:hAnsi="宋体" w:eastAsia="宋体" w:cs="宋体"/>
                <w:b w:val="0"/>
                <w:i w:val="0"/>
                <w:sz w:val="18"/>
              </w:rPr>
              <w:t>-</w:t>
            </w:r>
          </w:p>
        </w:tc>
      </w:tr>
      <w:tr w14:paraId="7825924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69687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BEE7C">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F85C8">
            <w:pPr>
              <w:spacing w:before="0" w:after="0" w:line="240" w:lineRule="auto"/>
              <w:jc w:val="center"/>
            </w:pPr>
            <w:r>
              <w:rPr>
                <w:rFonts w:ascii="宋体" w:hAnsi="宋体" w:eastAsia="宋体" w:cs="宋体"/>
                <w:b w:val="0"/>
                <w:i w:val="0"/>
                <w:sz w:val="18"/>
              </w:rPr>
              <w:t>482.13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907BE3">
            <w:pPr>
              <w:spacing w:before="0" w:after="0" w:line="240" w:lineRule="auto"/>
              <w:jc w:val="center"/>
            </w:pPr>
            <w:r>
              <w:rPr>
                <w:rFonts w:ascii="宋体" w:hAnsi="宋体" w:eastAsia="宋体" w:cs="宋体"/>
                <w:b w:val="0"/>
                <w:i w:val="0"/>
                <w:sz w:val="18"/>
              </w:rPr>
              <w:t>581.98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5B4122">
            <w:pPr>
              <w:spacing w:before="0" w:after="0" w:line="240" w:lineRule="auto"/>
              <w:jc w:val="center"/>
            </w:pPr>
            <w:r>
              <w:rPr>
                <w:rFonts w:ascii="宋体" w:hAnsi="宋体" w:eastAsia="宋体" w:cs="宋体"/>
                <w:b w:val="0"/>
                <w:i w:val="0"/>
                <w:sz w:val="18"/>
              </w:rPr>
              <w:t>578.74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4A44A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F3EC53">
            <w:pPr>
              <w:spacing w:before="0" w:after="0" w:line="240" w:lineRule="auto"/>
              <w:jc w:val="center"/>
            </w:pPr>
            <w:r>
              <w:rPr>
                <w:rFonts w:ascii="宋体" w:hAnsi="宋体" w:eastAsia="宋体" w:cs="宋体"/>
                <w:b w:val="0"/>
                <w:i w:val="0"/>
                <w:sz w:val="18"/>
              </w:rPr>
              <w:t>99.44%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D0CA2B">
            <w:pPr>
              <w:spacing w:before="0" w:after="0" w:line="240" w:lineRule="auto"/>
              <w:jc w:val="center"/>
            </w:pPr>
            <w:r>
              <w:rPr>
                <w:rFonts w:ascii="宋体" w:hAnsi="宋体" w:eastAsia="宋体" w:cs="宋体"/>
                <w:b w:val="0"/>
                <w:i w:val="0"/>
                <w:sz w:val="18"/>
              </w:rPr>
              <w:t>9.94</w:t>
            </w:r>
          </w:p>
        </w:tc>
      </w:tr>
      <w:tr w14:paraId="3DAD9693">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8BA226">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41DAAE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669B4E1">
            <w:pPr>
              <w:spacing w:before="0" w:after="0" w:line="240" w:lineRule="auto"/>
              <w:jc w:val="center"/>
            </w:pPr>
            <w:r>
              <w:rPr>
                <w:rFonts w:ascii="宋体" w:hAnsi="宋体" w:eastAsia="宋体" w:cs="宋体"/>
                <w:b w:val="0"/>
                <w:i w:val="0"/>
                <w:sz w:val="18"/>
              </w:rPr>
              <w:t>实际完成情况</w:t>
            </w:r>
          </w:p>
        </w:tc>
      </w:tr>
      <w:tr w14:paraId="515D0E3B">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D7E7D0"/>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6438195">
            <w:pPr>
              <w:spacing w:before="0" w:after="0" w:line="240" w:lineRule="auto"/>
              <w:jc w:val="center"/>
            </w:pPr>
            <w:r>
              <w:rPr>
                <w:rFonts w:ascii="宋体" w:hAnsi="宋体" w:eastAsia="宋体" w:cs="宋体"/>
                <w:b w:val="0"/>
                <w:i w:val="0"/>
                <w:sz w:val="18"/>
              </w:rPr>
              <w:t>2025年，昌吉州信访局坚持以习近平新时代中国特色社会主义思想为指导，深入贯彻党的二十大精神，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聚焦建设中国式现代化新疆实践典范地州，坚持稳中求进，贯彻落实习近平总书记对信访工作的重要论述及中央、自治区、州党委决策部署的各项重大工作决定和安排，充分发挥信访工作职能，负责本行政区域内的信访工作，学习贯彻《信访工作条例》，贯彻总体部署，夯实三大提升，落实四项重点。计划开展：1.信访业务培训；2.驻乌开展值守工作；3.宣传培训信访业务培训；4.重点人群人员分类造册；5.县级领导包联指导县市业务。深入推进信访工作法治化建设，确保群众的每一项诉求都有人办理，为助推中国式现代化建设提供坚强信访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AA60C58">
            <w:pPr>
              <w:spacing w:before="0" w:after="0" w:line="240" w:lineRule="auto"/>
              <w:jc w:val="center"/>
            </w:pPr>
            <w:r>
              <w:rPr>
                <w:rFonts w:ascii="宋体" w:hAnsi="宋体" w:eastAsia="宋体" w:cs="宋体"/>
                <w:b w:val="0"/>
                <w:i w:val="0"/>
                <w:sz w:val="18"/>
              </w:rPr>
              <w:t>2025年我单位全年预算数为581.98万元，全年执行数为578.74万元，总预算执行率为99.44%。2025年我单位完成以下工作内容：1.信访业务培训；2.驻乌开展值守工作；3.宣传培训信访业务培训；4.重点人群人员分类造册；5.县级领导包联指导县市业务。深入推进信访工作法治化建设，确保群众的每一项诉求都有人办理，为助推中国式现代化建设提供坚强信访保障。通过以上工作的实施，强化“事要解决”，深入开展治重化积百日攻坚行动和“全国满意示范县”和“人民满意窗口”创建活动以及扎实开展《信访工作条例》学习宣传贯彻落实活动；通过活动的开展加强信访部门自身建设，不断提高信访业务规范化水平。</w:t>
            </w:r>
          </w:p>
        </w:tc>
      </w:tr>
      <w:tr w14:paraId="268F2EDD">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133287">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92D30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00630D">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D91289">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21C32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AF1580">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3619E">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B835DA">
            <w:pPr>
              <w:keepNext/>
              <w:spacing w:before="0" w:after="0" w:line="240" w:lineRule="auto"/>
              <w:jc w:val="center"/>
            </w:pPr>
            <w:r>
              <w:rPr>
                <w:rFonts w:ascii="宋体" w:hAnsi="宋体" w:eastAsia="宋体" w:cs="宋体"/>
                <w:b w:val="0"/>
                <w:i w:val="0"/>
                <w:sz w:val="18"/>
              </w:rPr>
              <w:t>得分</w:t>
            </w:r>
          </w:p>
        </w:tc>
      </w:tr>
      <w:tr w14:paraId="33BB3532">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4D174B">
            <w:pPr>
              <w:spacing w:before="0" w:after="0" w:line="240" w:lineRule="auto"/>
              <w:jc w:val="center"/>
            </w:pPr>
            <w:r>
              <w:rPr>
                <w:rFonts w:ascii="宋体" w:hAnsi="宋体" w:eastAsia="宋体" w:cs="宋体"/>
                <w:b w:val="0"/>
                <w:i w:val="0"/>
                <w:sz w:val="18"/>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E411E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8B6D8A">
            <w:pPr>
              <w:spacing w:before="0" w:after="0" w:line="240" w:lineRule="auto"/>
              <w:jc w:val="center"/>
            </w:pPr>
            <w:r>
              <w:rPr>
                <w:rFonts w:ascii="宋体" w:hAnsi="宋体" w:eastAsia="宋体" w:cs="宋体"/>
                <w:b w:val="0"/>
                <w:i w:val="0"/>
                <w:sz w:val="18"/>
              </w:rPr>
              <w:t>开展信访业务培训人数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F4E85">
            <w:pPr>
              <w:spacing w:before="0" w:after="0" w:line="240" w:lineRule="auto"/>
              <w:jc w:val="center"/>
            </w:pPr>
            <w:r>
              <w:rPr>
                <w:rFonts w:ascii="宋体" w:hAnsi="宋体" w:eastAsia="宋体" w:cs="宋体"/>
                <w:b w:val="0"/>
                <w:i w:val="0"/>
                <w:sz w:val="18"/>
              </w:rPr>
              <w:t>&gt;=50人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9D8E7B">
            <w:pPr>
              <w:spacing w:before="0" w:after="0" w:line="240" w:lineRule="auto"/>
              <w:jc w:val="center"/>
            </w:pPr>
            <w:r>
              <w:rPr>
                <w:rFonts w:ascii="宋体" w:hAnsi="宋体" w:eastAsia="宋体" w:cs="宋体"/>
                <w:b w:val="0"/>
                <w:i w:val="0"/>
                <w:sz w:val="18"/>
              </w:rPr>
              <w:t>2025年信访工作要点及责任分工  昌吉州信访局2025年工作思路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AD6760">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4C0B5F">
            <w:pPr>
              <w:spacing w:before="0" w:after="0" w:line="240" w:lineRule="auto"/>
              <w:jc w:val="center"/>
            </w:pPr>
            <w:r>
              <w:rPr>
                <w:rFonts w:ascii="宋体" w:hAnsi="宋体" w:eastAsia="宋体" w:cs="宋体"/>
                <w:b w:val="0"/>
                <w:i w:val="0"/>
                <w:sz w:val="18"/>
              </w:rPr>
              <w:t>=50人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BC7E75">
            <w:pPr>
              <w:spacing w:before="0" w:after="0" w:line="240" w:lineRule="auto"/>
              <w:jc w:val="center"/>
            </w:pPr>
            <w:r>
              <w:rPr>
                <w:rFonts w:ascii="宋体" w:hAnsi="宋体" w:eastAsia="宋体" w:cs="宋体"/>
                <w:b w:val="0"/>
                <w:i w:val="0"/>
                <w:sz w:val="18"/>
              </w:rPr>
              <w:t>20</w:t>
            </w:r>
          </w:p>
        </w:tc>
      </w:tr>
      <w:tr w14:paraId="581F42A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195092"/>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5F5326">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20C81B">
            <w:pPr>
              <w:spacing w:before="0" w:after="0" w:line="240" w:lineRule="auto"/>
              <w:jc w:val="center"/>
            </w:pPr>
            <w:r>
              <w:rPr>
                <w:rFonts w:ascii="宋体" w:hAnsi="宋体" w:eastAsia="宋体" w:cs="宋体"/>
                <w:b w:val="0"/>
                <w:i w:val="0"/>
                <w:sz w:val="18"/>
              </w:rPr>
              <w:t>驻乌开展值守工作次数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3B8076">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66B1CE">
            <w:pPr>
              <w:spacing w:before="0" w:after="0" w:line="240" w:lineRule="auto"/>
              <w:jc w:val="center"/>
            </w:pPr>
            <w:r>
              <w:rPr>
                <w:rFonts w:ascii="宋体" w:hAnsi="宋体" w:eastAsia="宋体" w:cs="宋体"/>
                <w:b w:val="0"/>
                <w:i w:val="0"/>
                <w:sz w:val="18"/>
              </w:rPr>
              <w:t>2025年信访工作要点及责任分工  昌吉州信访局2025年工作思路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7D6C01">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E26F86">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D55EFA">
            <w:pPr>
              <w:spacing w:before="0" w:after="0" w:line="240" w:lineRule="auto"/>
              <w:jc w:val="center"/>
            </w:pPr>
            <w:r>
              <w:rPr>
                <w:rFonts w:ascii="宋体" w:hAnsi="宋体" w:eastAsia="宋体" w:cs="宋体"/>
                <w:b w:val="0"/>
                <w:i w:val="0"/>
                <w:sz w:val="18"/>
              </w:rPr>
              <w:t>20</w:t>
            </w:r>
          </w:p>
        </w:tc>
      </w:tr>
      <w:tr w14:paraId="488A853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61ED3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8AB694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EA1D54">
            <w:pPr>
              <w:spacing w:before="0" w:after="0" w:line="240" w:lineRule="auto"/>
              <w:jc w:val="center"/>
            </w:pPr>
            <w:r>
              <w:rPr>
                <w:rFonts w:ascii="宋体" w:hAnsi="宋体" w:eastAsia="宋体" w:cs="宋体"/>
                <w:b w:val="0"/>
                <w:i w:val="0"/>
                <w:sz w:val="18"/>
              </w:rPr>
              <w:t>宣传培训信访业务培训次数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1E9FBF">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0E0BB6">
            <w:pPr>
              <w:spacing w:before="0" w:after="0" w:line="240" w:lineRule="auto"/>
              <w:jc w:val="center"/>
            </w:pPr>
            <w:r>
              <w:rPr>
                <w:rFonts w:ascii="宋体" w:hAnsi="宋体" w:eastAsia="宋体" w:cs="宋体"/>
                <w:b w:val="0"/>
                <w:i w:val="0"/>
                <w:sz w:val="18"/>
              </w:rPr>
              <w:t>2025年信访工作要点及责任分工  昌吉州信访局2025年工作思路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576FD8">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5FA3E">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CAB075">
            <w:pPr>
              <w:spacing w:before="0" w:after="0" w:line="240" w:lineRule="auto"/>
              <w:jc w:val="center"/>
            </w:pPr>
            <w:r>
              <w:rPr>
                <w:rFonts w:ascii="宋体" w:hAnsi="宋体" w:eastAsia="宋体" w:cs="宋体"/>
                <w:b w:val="0"/>
                <w:i w:val="0"/>
                <w:sz w:val="18"/>
              </w:rPr>
              <w:t>15</w:t>
            </w:r>
          </w:p>
        </w:tc>
      </w:tr>
      <w:tr w14:paraId="302C63C9">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4A1DB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D28AD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98EC89">
            <w:pPr>
              <w:spacing w:before="0" w:after="0" w:line="240" w:lineRule="auto"/>
              <w:jc w:val="center"/>
            </w:pPr>
            <w:r>
              <w:rPr>
                <w:rFonts w:ascii="宋体" w:hAnsi="宋体" w:eastAsia="宋体" w:cs="宋体"/>
                <w:b w:val="0"/>
                <w:i w:val="0"/>
                <w:sz w:val="18"/>
              </w:rPr>
              <w:t>重点人群人员分类造册次数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6F7B74">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B3D086">
            <w:pPr>
              <w:spacing w:before="0" w:after="0" w:line="240" w:lineRule="auto"/>
              <w:jc w:val="center"/>
            </w:pPr>
            <w:r>
              <w:rPr>
                <w:rFonts w:ascii="宋体" w:hAnsi="宋体" w:eastAsia="宋体" w:cs="宋体"/>
                <w:b w:val="0"/>
                <w:i w:val="0"/>
                <w:sz w:val="18"/>
              </w:rPr>
              <w:t>2025年信访工作要点及责任分工  昌吉州信访局2025年工作思路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A1B09">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E732D7">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2E399C">
            <w:pPr>
              <w:spacing w:before="0" w:after="0" w:line="240" w:lineRule="auto"/>
              <w:jc w:val="center"/>
            </w:pPr>
            <w:r>
              <w:rPr>
                <w:rFonts w:ascii="宋体" w:hAnsi="宋体" w:eastAsia="宋体" w:cs="宋体"/>
                <w:b w:val="0"/>
                <w:i w:val="0"/>
                <w:sz w:val="18"/>
              </w:rPr>
              <w:t>20</w:t>
            </w:r>
          </w:p>
        </w:tc>
      </w:tr>
      <w:tr w14:paraId="68D9339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E6C05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44AF6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BFE96A">
            <w:pPr>
              <w:spacing w:before="0" w:after="0" w:line="240" w:lineRule="auto"/>
              <w:jc w:val="center"/>
            </w:pPr>
            <w:r>
              <w:rPr>
                <w:rFonts w:ascii="宋体" w:hAnsi="宋体" w:eastAsia="宋体" w:cs="宋体"/>
                <w:b w:val="0"/>
                <w:i w:val="0"/>
                <w:sz w:val="18"/>
              </w:rPr>
              <w:t>县级领导包联指导县市业务次数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C6FB39">
            <w:pPr>
              <w:spacing w:before="0" w:after="0" w:line="240" w:lineRule="auto"/>
              <w:jc w:val="center"/>
            </w:pPr>
            <w:r>
              <w:rPr>
                <w:rFonts w:ascii="宋体" w:hAnsi="宋体" w:eastAsia="宋体" w:cs="宋体"/>
                <w:b w:val="0"/>
                <w:i w:val="0"/>
                <w:sz w:val="18"/>
              </w:rPr>
              <w:t>&gt;=10次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91D615">
            <w:pPr>
              <w:spacing w:before="0" w:after="0" w:line="240" w:lineRule="auto"/>
              <w:jc w:val="center"/>
            </w:pPr>
            <w:r>
              <w:rPr>
                <w:rFonts w:ascii="宋体" w:hAnsi="宋体" w:eastAsia="宋体" w:cs="宋体"/>
                <w:b w:val="0"/>
                <w:i w:val="0"/>
                <w:sz w:val="18"/>
              </w:rPr>
              <w:t>2025年信访工作要点及责任分工  昌吉州信访局2025年工作思路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88888C">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E6D12A">
            <w:pPr>
              <w:spacing w:before="0" w:after="0" w:line="240" w:lineRule="auto"/>
              <w:jc w:val="center"/>
            </w:pPr>
            <w:r>
              <w:rPr>
                <w:rFonts w:ascii="宋体" w:hAnsi="宋体" w:eastAsia="宋体" w:cs="宋体"/>
                <w:b w:val="0"/>
                <w:i w:val="0"/>
                <w:sz w:val="18"/>
              </w:rPr>
              <w:t>=10次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5C023D">
            <w:pPr>
              <w:spacing w:before="0" w:after="0" w:line="240" w:lineRule="auto"/>
              <w:jc w:val="center"/>
            </w:pPr>
            <w:r>
              <w:rPr>
                <w:rFonts w:ascii="宋体" w:hAnsi="宋体" w:eastAsia="宋体" w:cs="宋体"/>
                <w:b w:val="0"/>
                <w:i w:val="0"/>
                <w:sz w:val="18"/>
              </w:rPr>
              <w:t>15</w:t>
            </w:r>
          </w:p>
        </w:tc>
      </w:tr>
    </w:tbl>
    <w:p w14:paraId="64F52F65">
      <w:r>
        <w:br w:type="page"/>
      </w:r>
    </w:p>
    <w:p w14:paraId="3720080F">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36"/>
        <w:gridCol w:w="536"/>
        <w:gridCol w:w="536"/>
        <w:gridCol w:w="612"/>
        <w:gridCol w:w="593"/>
        <w:gridCol w:w="612"/>
        <w:gridCol w:w="581"/>
        <w:gridCol w:w="702"/>
        <w:gridCol w:w="612"/>
        <w:gridCol w:w="545"/>
        <w:gridCol w:w="542"/>
        <w:gridCol w:w="557"/>
        <w:gridCol w:w="549"/>
        <w:gridCol w:w="793"/>
      </w:tblGrid>
      <w:tr w14:paraId="03E7763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0BBAE0C">
            <w:pPr>
              <w:spacing w:before="0" w:after="0" w:line="240" w:lineRule="auto"/>
              <w:jc w:val="center"/>
            </w:pPr>
            <w:r>
              <w:rPr>
                <w:rFonts w:ascii="宋体" w:hAnsi="宋体" w:eastAsia="宋体" w:cs="宋体"/>
                <w:b/>
                <w:i w:val="0"/>
                <w:sz w:val="18"/>
              </w:rPr>
              <w:t>项目支出绩效自评表</w:t>
            </w:r>
          </w:p>
        </w:tc>
      </w:tr>
      <w:tr w14:paraId="1DC8906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4BFA03">
            <w:pPr>
              <w:spacing w:before="0" w:after="0" w:line="240" w:lineRule="auto"/>
              <w:jc w:val="center"/>
            </w:pPr>
            <w:r>
              <w:rPr>
                <w:rFonts w:ascii="宋体" w:hAnsi="宋体" w:eastAsia="宋体" w:cs="宋体"/>
                <w:b w:val="0"/>
                <w:i w:val="0"/>
                <w:sz w:val="18"/>
              </w:rPr>
              <w:t>(2025年度)</w:t>
            </w:r>
          </w:p>
        </w:tc>
      </w:tr>
      <w:tr w14:paraId="1D68256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10349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7A3587">
            <w:pPr>
              <w:spacing w:before="0" w:after="0" w:line="240" w:lineRule="auto"/>
              <w:jc w:val="center"/>
            </w:pPr>
            <w:r>
              <w:rPr>
                <w:rFonts w:ascii="宋体" w:hAnsi="宋体" w:eastAsia="宋体" w:cs="宋体"/>
                <w:b w:val="0"/>
                <w:i w:val="0"/>
                <w:sz w:val="18"/>
              </w:rPr>
              <w:t>信访工作法治化培训</w:t>
            </w:r>
          </w:p>
        </w:tc>
      </w:tr>
      <w:tr w14:paraId="35DC41E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B8962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C819BE">
            <w:pPr>
              <w:spacing w:before="0" w:after="0" w:line="240" w:lineRule="auto"/>
              <w:jc w:val="center"/>
            </w:pPr>
            <w:r>
              <w:rPr>
                <w:rFonts w:ascii="宋体" w:hAnsi="宋体" w:eastAsia="宋体" w:cs="宋体"/>
                <w:b w:val="0"/>
                <w:i w:val="0"/>
                <w:sz w:val="18"/>
              </w:rPr>
              <w:t>昌吉回族自治州信访局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FCD6F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ED6F55">
            <w:pPr>
              <w:spacing w:before="0" w:after="0" w:line="240" w:lineRule="auto"/>
              <w:jc w:val="center"/>
            </w:pPr>
            <w:r>
              <w:rPr>
                <w:rFonts w:ascii="宋体" w:hAnsi="宋体" w:eastAsia="宋体" w:cs="宋体"/>
                <w:b w:val="0"/>
                <w:i w:val="0"/>
                <w:sz w:val="18"/>
              </w:rPr>
              <w:t>昌吉回族自治州信访局</w:t>
            </w:r>
          </w:p>
        </w:tc>
      </w:tr>
      <w:tr w14:paraId="0D8E86E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5FB90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933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2E6C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7E746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852AD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368CF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DC1CE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732F3">
            <w:pPr>
              <w:spacing w:before="0" w:after="0" w:line="240" w:lineRule="auto"/>
              <w:jc w:val="center"/>
            </w:pPr>
            <w:r>
              <w:rPr>
                <w:rFonts w:ascii="宋体" w:hAnsi="宋体" w:eastAsia="宋体" w:cs="宋体"/>
                <w:b/>
                <w:i w:val="0"/>
                <w:sz w:val="18"/>
              </w:rPr>
              <w:t>得分</w:t>
            </w:r>
          </w:p>
        </w:tc>
      </w:tr>
      <w:tr w14:paraId="5DE03C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636D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7DABA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BB57B">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EB3BF">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C0A9BB">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7A098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C7F80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9898FB">
            <w:pPr>
              <w:spacing w:before="0" w:after="0" w:line="240" w:lineRule="auto"/>
              <w:jc w:val="center"/>
            </w:pPr>
            <w:r>
              <w:rPr>
                <w:rFonts w:ascii="宋体" w:hAnsi="宋体" w:eastAsia="宋体" w:cs="宋体"/>
                <w:b w:val="0"/>
                <w:i w:val="0"/>
                <w:sz w:val="18"/>
              </w:rPr>
              <w:t>10</w:t>
            </w:r>
          </w:p>
        </w:tc>
      </w:tr>
      <w:tr w14:paraId="4064E9E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8D90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89B53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E7D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37717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9002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BF331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28CB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6AC41">
            <w:pPr>
              <w:spacing w:before="0" w:after="0" w:line="240" w:lineRule="auto"/>
              <w:jc w:val="center"/>
            </w:pPr>
            <w:r>
              <w:rPr>
                <w:rFonts w:ascii="宋体" w:hAnsi="宋体" w:eastAsia="宋体" w:cs="宋体"/>
                <w:b w:val="0"/>
                <w:i w:val="0"/>
                <w:sz w:val="18"/>
              </w:rPr>
              <w:t>—</w:t>
            </w:r>
          </w:p>
        </w:tc>
      </w:tr>
      <w:tr w14:paraId="08FF86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BCE4A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005E8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B709B">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CE2D0F">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7557A6">
            <w:pPr>
              <w:spacing w:before="0" w:after="0" w:line="240" w:lineRule="auto"/>
              <w:jc w:val="center"/>
            </w:pPr>
            <w:r>
              <w:rPr>
                <w:rFonts w:ascii="宋体" w:hAnsi="宋体" w:eastAsia="宋体" w:cs="宋体"/>
                <w:b w:val="0"/>
                <w:i w:val="0"/>
                <w:sz w:val="18"/>
              </w:rPr>
              <w:t>16.20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2914F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260D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F98BE">
            <w:pPr>
              <w:spacing w:before="0" w:after="0" w:line="240" w:lineRule="auto"/>
              <w:jc w:val="center"/>
            </w:pPr>
            <w:r>
              <w:rPr>
                <w:rFonts w:ascii="宋体" w:hAnsi="宋体" w:eastAsia="宋体" w:cs="宋体"/>
                <w:b w:val="0"/>
                <w:i w:val="0"/>
                <w:sz w:val="18"/>
              </w:rPr>
              <w:t>—</w:t>
            </w:r>
          </w:p>
        </w:tc>
      </w:tr>
      <w:tr w14:paraId="1C517FC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A291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EDB79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73F14BD">
            <w:pPr>
              <w:spacing w:before="0" w:after="0" w:line="240" w:lineRule="auto"/>
              <w:jc w:val="center"/>
            </w:pPr>
            <w:r>
              <w:rPr>
                <w:rFonts w:ascii="宋体" w:hAnsi="宋体" w:eastAsia="宋体" w:cs="宋体"/>
                <w:b/>
                <w:i w:val="0"/>
                <w:sz w:val="18"/>
              </w:rPr>
              <w:t>实际完成情况</w:t>
            </w:r>
          </w:p>
        </w:tc>
      </w:tr>
      <w:tr w14:paraId="7C8EBDC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EC64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FE3016">
            <w:pPr>
              <w:spacing w:before="0" w:after="0" w:line="240" w:lineRule="auto"/>
              <w:jc w:val="center"/>
            </w:pPr>
            <w:r>
              <w:rPr>
                <w:rFonts w:ascii="宋体" w:hAnsi="宋体" w:eastAsia="宋体" w:cs="宋体"/>
                <w:b w:val="0"/>
                <w:i w:val="0"/>
                <w:sz w:val="18"/>
              </w:rPr>
              <w:t>2025年该项目计划开展专题培训，提高信访干部业务能力水平。昌吉州信访工作法治化培训班在厦门大学举办，为期9天，培训人数30人。项目经费16.20万元，其中：住宿费3.24万元；餐费1.96万元；管理费用2.7万元；师资费用2.2万元；学院人力资源费0.8万元；教室使用费2.4万元；教务费0.6万元；学习用品0.3万元；交通费用0.2万元；现场教学费1.8万元。提高信访干部业务能力水平，保障正常办公运行，培训人员满意度达95%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5D50CE">
            <w:pPr>
              <w:spacing w:before="0" w:after="0" w:line="240" w:lineRule="auto"/>
              <w:jc w:val="center"/>
            </w:pPr>
            <w:r>
              <w:rPr>
                <w:rFonts w:ascii="宋体" w:hAnsi="宋体" w:eastAsia="宋体" w:cs="宋体"/>
                <w:b w:val="0"/>
                <w:i w:val="0"/>
                <w:sz w:val="18"/>
              </w:rPr>
              <w:t>截至2025年12月31日，本项目支出资金16.20万元，资金执行率100.00%，本项目实际完成开展专题培训1期10天，参加人员30人；培训合格率达100%。通过本项目的实施，加强了信访工作法治化，提升了信访干部业务水平，促进了信访干部依法办理业务能力，大大提高信访干部业务能力水平，同时也促进了深入推进信访工作法治化建设，确保群众的每一项诉求都有人办理，为助推中国式现代化建设提供坚强信访保障。</w:t>
            </w:r>
          </w:p>
        </w:tc>
      </w:tr>
      <w:tr w14:paraId="285B7DA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34016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8E694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1191E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AAF93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28D7D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2884B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09C9F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36908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4E7F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50EFA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07430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34DF4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48489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32106">
            <w:pPr>
              <w:keepNext/>
              <w:spacing w:before="0" w:after="0" w:line="240" w:lineRule="auto"/>
              <w:jc w:val="center"/>
            </w:pPr>
            <w:r>
              <w:rPr>
                <w:rFonts w:ascii="宋体" w:hAnsi="宋体" w:eastAsia="宋体" w:cs="宋体"/>
                <w:b/>
                <w:i w:val="0"/>
                <w:sz w:val="18"/>
              </w:rPr>
              <w:t>偏差原因分析及改进措施</w:t>
            </w:r>
          </w:p>
        </w:tc>
      </w:tr>
      <w:tr w14:paraId="3799799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35DC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492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730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95E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2288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CFC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90D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DDF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C20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4EA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7B8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3E38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1877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515BB"/>
        </w:tc>
      </w:tr>
      <w:tr w14:paraId="4EDCCF7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1D208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9CFBA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F20D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567BC">
            <w:pPr>
              <w:spacing w:before="0" w:after="0" w:line="240" w:lineRule="auto"/>
              <w:jc w:val="center"/>
            </w:pPr>
            <w:r>
              <w:rPr>
                <w:rFonts w:ascii="宋体" w:hAnsi="宋体" w:eastAsia="宋体" w:cs="宋体"/>
                <w:b w:val="0"/>
                <w:i w:val="0"/>
                <w:sz w:val="18"/>
              </w:rPr>
              <w:t>培训班次（班次）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972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F83A5">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5198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975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0E5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7DF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093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78B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E04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B4B13">
            <w:pPr>
              <w:spacing w:before="0" w:after="0" w:line="240" w:lineRule="auto"/>
              <w:jc w:val="center"/>
            </w:pPr>
          </w:p>
        </w:tc>
      </w:tr>
      <w:tr w14:paraId="59CE00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AD4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55D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4FA9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D1CBB">
            <w:pPr>
              <w:spacing w:before="0" w:after="0" w:line="240" w:lineRule="auto"/>
              <w:jc w:val="center"/>
            </w:pPr>
            <w:r>
              <w:rPr>
                <w:rFonts w:ascii="宋体" w:hAnsi="宋体" w:eastAsia="宋体" w:cs="宋体"/>
                <w:b w:val="0"/>
                <w:i w:val="0"/>
                <w:sz w:val="18"/>
              </w:rPr>
              <w:t>培训天数（天）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64F3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AA489">
            <w:pPr>
              <w:spacing w:before="0" w:after="0" w:line="240" w:lineRule="auto"/>
              <w:jc w:val="center"/>
            </w:pPr>
            <w:r>
              <w:rPr>
                <w:rFonts w:ascii="宋体" w:hAnsi="宋体" w:eastAsia="宋体" w:cs="宋体"/>
                <w:b w:val="0"/>
                <w:i w:val="0"/>
                <w:sz w:val="18"/>
              </w:rPr>
              <w:t>&gt;=9天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3E97F">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8B3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A45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ED4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91E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ED6B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ED9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6A3AD">
            <w:pPr>
              <w:spacing w:before="0" w:after="0" w:line="240" w:lineRule="auto"/>
              <w:jc w:val="center"/>
            </w:pPr>
          </w:p>
        </w:tc>
      </w:tr>
      <w:tr w14:paraId="3E20CF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6188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349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689A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F93EE">
            <w:pPr>
              <w:spacing w:before="0" w:after="0" w:line="240" w:lineRule="auto"/>
              <w:jc w:val="center"/>
            </w:pPr>
            <w:r>
              <w:rPr>
                <w:rFonts w:ascii="宋体" w:hAnsi="宋体" w:eastAsia="宋体" w:cs="宋体"/>
                <w:b w:val="0"/>
                <w:i w:val="0"/>
                <w:sz w:val="18"/>
              </w:rPr>
              <w:t>培训人员数量（名）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5FCD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77A1B">
            <w:pPr>
              <w:spacing w:before="0" w:after="0" w:line="240" w:lineRule="auto"/>
              <w:jc w:val="center"/>
            </w:pPr>
            <w:r>
              <w:rPr>
                <w:rFonts w:ascii="宋体" w:hAnsi="宋体" w:eastAsia="宋体" w:cs="宋体"/>
                <w:b w:val="0"/>
                <w:i w:val="0"/>
                <w:sz w:val="18"/>
              </w:rPr>
              <w:t>&gt;=30名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277CC">
            <w:pPr>
              <w:spacing w:before="0" w:after="0" w:line="240" w:lineRule="auto"/>
              <w:jc w:val="center"/>
            </w:pPr>
            <w:r>
              <w:rPr>
                <w:rFonts w:ascii="宋体" w:hAnsi="宋体" w:eastAsia="宋体" w:cs="宋体"/>
                <w:b w:val="0"/>
                <w:i w:val="0"/>
                <w:sz w:val="18"/>
              </w:rPr>
              <w:t>=30名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6D8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0EC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F27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13E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929E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59E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8F59A">
            <w:pPr>
              <w:spacing w:before="0" w:after="0" w:line="240" w:lineRule="auto"/>
              <w:jc w:val="center"/>
            </w:pPr>
          </w:p>
        </w:tc>
      </w:tr>
      <w:tr w14:paraId="1B6866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C7F5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85B3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A372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9DB60">
            <w:pPr>
              <w:spacing w:before="0" w:after="0" w:line="240" w:lineRule="auto"/>
              <w:jc w:val="center"/>
            </w:pPr>
            <w:r>
              <w:rPr>
                <w:rFonts w:ascii="宋体" w:hAnsi="宋体" w:eastAsia="宋体" w:cs="宋体"/>
                <w:b w:val="0"/>
                <w:i w:val="0"/>
                <w:sz w:val="18"/>
              </w:rPr>
              <w:t>培训合格率（%）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501E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1E8D6">
            <w:pPr>
              <w:spacing w:before="0" w:after="0" w:line="240" w:lineRule="auto"/>
              <w:jc w:val="center"/>
            </w:pPr>
            <w:r>
              <w:rPr>
                <w:rFonts w:ascii="宋体" w:hAnsi="宋体" w:eastAsia="宋体" w:cs="宋体"/>
                <w:b w:val="0"/>
                <w:i w:val="0"/>
                <w:sz w:val="18"/>
              </w:rPr>
              <w:t>&gt;=100%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252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12D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A46CD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7DF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259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3A9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002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32D25">
            <w:pPr>
              <w:spacing w:before="0" w:after="0" w:line="240" w:lineRule="auto"/>
              <w:jc w:val="center"/>
            </w:pPr>
          </w:p>
        </w:tc>
      </w:tr>
      <w:tr w14:paraId="0C836D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B49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B08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7A86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FB18C">
            <w:pPr>
              <w:spacing w:before="0" w:after="0" w:line="240" w:lineRule="auto"/>
              <w:jc w:val="center"/>
            </w:pPr>
            <w:r>
              <w:rPr>
                <w:rFonts w:ascii="宋体" w:hAnsi="宋体" w:eastAsia="宋体" w:cs="宋体"/>
                <w:b w:val="0"/>
                <w:i w:val="0"/>
                <w:sz w:val="18"/>
              </w:rPr>
              <w:t>培训完成及时性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840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ADF40">
            <w:pPr>
              <w:spacing w:before="0" w:after="0" w:line="240" w:lineRule="auto"/>
              <w:jc w:val="center"/>
            </w:pPr>
            <w:r>
              <w:rPr>
                <w:rFonts w:ascii="宋体" w:hAnsi="宋体" w:eastAsia="宋体" w:cs="宋体"/>
                <w:b w:val="0"/>
                <w:i w:val="0"/>
                <w:sz w:val="18"/>
              </w:rPr>
              <w:t>2025年10月10日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CA27A">
            <w:pPr>
              <w:spacing w:before="0" w:after="0" w:line="240" w:lineRule="auto"/>
              <w:jc w:val="center"/>
            </w:pPr>
            <w:r>
              <w:rPr>
                <w:rFonts w:ascii="宋体" w:hAnsi="宋体" w:eastAsia="宋体" w:cs="宋体"/>
                <w:b w:val="0"/>
                <w:i w:val="0"/>
                <w:sz w:val="18"/>
              </w:rPr>
              <w:t>=2025年10月10日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8FC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B5D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9A9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F4D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AD9F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979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2CE7C">
            <w:pPr>
              <w:spacing w:before="0" w:after="0" w:line="240" w:lineRule="auto"/>
              <w:jc w:val="center"/>
            </w:pPr>
          </w:p>
        </w:tc>
      </w:tr>
      <w:tr w14:paraId="332E33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F5EC5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2BF3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8C3B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13889">
            <w:pPr>
              <w:spacing w:before="0" w:after="0" w:line="240" w:lineRule="auto"/>
              <w:jc w:val="center"/>
            </w:pPr>
            <w:r>
              <w:rPr>
                <w:rFonts w:ascii="宋体" w:hAnsi="宋体" w:eastAsia="宋体" w:cs="宋体"/>
                <w:b w:val="0"/>
                <w:i w:val="0"/>
                <w:sz w:val="18"/>
              </w:rPr>
              <w:t>培训费成本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895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54A3F">
            <w:pPr>
              <w:spacing w:before="0" w:after="0" w:line="240" w:lineRule="auto"/>
              <w:jc w:val="center"/>
            </w:pPr>
            <w:r>
              <w:rPr>
                <w:rFonts w:ascii="宋体" w:hAnsi="宋体" w:eastAsia="宋体" w:cs="宋体"/>
                <w:b w:val="0"/>
                <w:i w:val="0"/>
                <w:sz w:val="18"/>
              </w:rPr>
              <w:t>&lt;=9万元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22699">
            <w:pPr>
              <w:spacing w:before="0" w:after="0" w:line="240" w:lineRule="auto"/>
              <w:jc w:val="center"/>
            </w:pPr>
            <w:r>
              <w:rPr>
                <w:rFonts w:ascii="宋体" w:hAnsi="宋体" w:eastAsia="宋体" w:cs="宋体"/>
                <w:b w:val="0"/>
                <w:i w:val="0"/>
                <w:sz w:val="18"/>
              </w:rPr>
              <w:t>=9万元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DE9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A94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54F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F0C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CE0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63C1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52C7B">
            <w:pPr>
              <w:spacing w:before="0" w:after="0" w:line="240" w:lineRule="auto"/>
              <w:jc w:val="center"/>
            </w:pPr>
          </w:p>
        </w:tc>
      </w:tr>
      <w:tr w14:paraId="0B1643D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AB5E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1E0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B461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0EDA4">
            <w:pPr>
              <w:spacing w:before="0" w:after="0" w:line="240" w:lineRule="auto"/>
              <w:jc w:val="center"/>
            </w:pPr>
            <w:r>
              <w:rPr>
                <w:rFonts w:ascii="宋体" w:hAnsi="宋体" w:eastAsia="宋体" w:cs="宋体"/>
                <w:b w:val="0"/>
                <w:i w:val="0"/>
                <w:sz w:val="18"/>
              </w:rPr>
              <w:t>食宿及其他成本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8C1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362F1">
            <w:pPr>
              <w:spacing w:before="0" w:after="0" w:line="240" w:lineRule="auto"/>
              <w:jc w:val="center"/>
            </w:pPr>
            <w:r>
              <w:rPr>
                <w:rFonts w:ascii="宋体" w:hAnsi="宋体" w:eastAsia="宋体" w:cs="宋体"/>
                <w:b w:val="0"/>
                <w:i w:val="0"/>
                <w:sz w:val="18"/>
              </w:rPr>
              <w:t>&lt;=7.20万元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A3E16">
            <w:pPr>
              <w:spacing w:before="0" w:after="0" w:line="240" w:lineRule="auto"/>
              <w:jc w:val="center"/>
            </w:pPr>
            <w:r>
              <w:rPr>
                <w:rFonts w:ascii="宋体" w:hAnsi="宋体" w:eastAsia="宋体" w:cs="宋体"/>
                <w:b w:val="0"/>
                <w:i w:val="0"/>
                <w:sz w:val="18"/>
              </w:rPr>
              <w:t>=7.2万元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556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DABC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5980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D7D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019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5C15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2FD4B">
            <w:pPr>
              <w:spacing w:before="0" w:after="0" w:line="240" w:lineRule="auto"/>
              <w:jc w:val="center"/>
            </w:pPr>
          </w:p>
        </w:tc>
      </w:tr>
      <w:tr w14:paraId="6887D1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4A7A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4365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A4F5A">
            <w:pPr>
              <w:spacing w:before="0" w:after="0" w:line="240" w:lineRule="auto"/>
              <w:jc w:val="center"/>
            </w:pPr>
            <w:r>
              <w:rPr>
                <w:rFonts w:ascii="宋体" w:hAnsi="宋体" w:eastAsia="宋体" w:cs="宋体"/>
                <w:b w:val="0"/>
                <w:i w:val="0"/>
                <w:sz w:val="18"/>
              </w:rPr>
              <w:t>经济效益指标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B7998">
            <w:pPr>
              <w:spacing w:before="0" w:after="0" w:line="240" w:lineRule="auto"/>
              <w:jc w:val="center"/>
            </w:pPr>
            <w:r>
              <w:rPr>
                <w:rFonts w:ascii="宋体" w:hAnsi="宋体" w:eastAsia="宋体" w:cs="宋体"/>
                <w:b w:val="0"/>
                <w:i w:val="0"/>
                <w:sz w:val="18"/>
              </w:rPr>
              <w:t>提高干部业务水平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64D05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DC368">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89F2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025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6EFC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751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BCB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D67A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98C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BEF24">
            <w:pPr>
              <w:spacing w:before="0" w:after="0" w:line="240" w:lineRule="auto"/>
              <w:jc w:val="center"/>
            </w:pPr>
          </w:p>
        </w:tc>
      </w:tr>
      <w:tr w14:paraId="47AF40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8B4E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B9EE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272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B162A">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A7F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EFBA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554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F45B2">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7EC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5A5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1E5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C351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C78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F713C">
            <w:pPr>
              <w:spacing w:before="0" w:after="0" w:line="240" w:lineRule="auto"/>
              <w:jc w:val="center"/>
            </w:pPr>
            <w:r>
              <w:rPr>
                <w:rFonts w:ascii="宋体" w:hAnsi="宋体" w:eastAsia="宋体" w:cs="宋体"/>
                <w:b w:val="0"/>
                <w:i w:val="0"/>
                <w:sz w:val="18"/>
              </w:rPr>
              <w:t>此项指标已完成，存在偏差，偏差率为-5.26%，偏差原因为：活动前期基础工作扎实，参加活动人员满意度达100%；下一年度改进措施：将指标设定更合理。</w:t>
            </w:r>
          </w:p>
        </w:tc>
      </w:tr>
      <w:tr w14:paraId="5A95E07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BF7F8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071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E46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083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036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31A9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5A0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8E8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FB1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607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21792">
            <w:pPr>
              <w:spacing w:before="0" w:after="0" w:line="240" w:lineRule="auto"/>
              <w:jc w:val="center"/>
            </w:pPr>
          </w:p>
        </w:tc>
      </w:tr>
    </w:tbl>
    <w:p w14:paraId="4AD20742">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593"/>
        <w:gridCol w:w="612"/>
        <w:gridCol w:w="584"/>
        <w:gridCol w:w="702"/>
        <w:gridCol w:w="593"/>
        <w:gridCol w:w="549"/>
        <w:gridCol w:w="572"/>
        <w:gridCol w:w="558"/>
        <w:gridCol w:w="554"/>
        <w:gridCol w:w="793"/>
      </w:tblGrid>
      <w:tr w14:paraId="2C4ED62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547AB0">
            <w:pPr>
              <w:spacing w:before="0" w:after="0" w:line="240" w:lineRule="auto"/>
              <w:jc w:val="center"/>
            </w:pPr>
            <w:r>
              <w:rPr>
                <w:rFonts w:ascii="宋体" w:hAnsi="宋体" w:eastAsia="宋体" w:cs="宋体"/>
                <w:b/>
                <w:i w:val="0"/>
                <w:sz w:val="18"/>
              </w:rPr>
              <w:t>项目支出绩效自评表</w:t>
            </w:r>
          </w:p>
        </w:tc>
      </w:tr>
      <w:tr w14:paraId="64A1222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F5E2FF">
            <w:pPr>
              <w:spacing w:before="0" w:after="0" w:line="240" w:lineRule="auto"/>
              <w:jc w:val="center"/>
            </w:pPr>
            <w:r>
              <w:rPr>
                <w:rFonts w:ascii="宋体" w:hAnsi="宋体" w:eastAsia="宋体" w:cs="宋体"/>
                <w:b w:val="0"/>
                <w:i w:val="0"/>
                <w:sz w:val="18"/>
              </w:rPr>
              <w:t>(2025年度)</w:t>
            </w:r>
          </w:p>
        </w:tc>
      </w:tr>
      <w:tr w14:paraId="4E94D2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AC54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62324F9">
            <w:pPr>
              <w:spacing w:before="0" w:after="0" w:line="240" w:lineRule="auto"/>
              <w:jc w:val="center"/>
            </w:pPr>
            <w:r>
              <w:rPr>
                <w:rFonts w:ascii="宋体" w:hAnsi="宋体" w:eastAsia="宋体" w:cs="宋体"/>
                <w:b w:val="0"/>
                <w:i w:val="0"/>
                <w:sz w:val="18"/>
              </w:rPr>
              <w:t>基层组织建设补助经费</w:t>
            </w:r>
          </w:p>
        </w:tc>
      </w:tr>
      <w:tr w14:paraId="2C24467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19BE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C2F73CB">
            <w:pPr>
              <w:spacing w:before="0" w:after="0" w:line="240" w:lineRule="auto"/>
              <w:jc w:val="center"/>
            </w:pPr>
            <w:r>
              <w:rPr>
                <w:rFonts w:ascii="宋体" w:hAnsi="宋体" w:eastAsia="宋体" w:cs="宋体"/>
                <w:b w:val="0"/>
                <w:i w:val="0"/>
                <w:sz w:val="18"/>
              </w:rPr>
              <w:t>昌吉回族自治州人民政府</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659A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FA3ACB">
            <w:pPr>
              <w:spacing w:before="0" w:after="0" w:line="240" w:lineRule="auto"/>
              <w:jc w:val="center"/>
            </w:pPr>
            <w:r>
              <w:rPr>
                <w:rFonts w:ascii="宋体" w:hAnsi="宋体" w:eastAsia="宋体" w:cs="宋体"/>
                <w:b w:val="0"/>
                <w:i w:val="0"/>
                <w:sz w:val="18"/>
              </w:rPr>
              <w:t>昌吉回族自治州信访局</w:t>
            </w:r>
          </w:p>
        </w:tc>
      </w:tr>
      <w:tr w14:paraId="62B6AF9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8AF85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4F0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ED0A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D059D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8F21E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EE89F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AC4EF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C2D6A">
            <w:pPr>
              <w:spacing w:before="0" w:after="0" w:line="240" w:lineRule="auto"/>
              <w:jc w:val="center"/>
            </w:pPr>
            <w:r>
              <w:rPr>
                <w:rFonts w:ascii="宋体" w:hAnsi="宋体" w:eastAsia="宋体" w:cs="宋体"/>
                <w:b/>
                <w:i w:val="0"/>
                <w:sz w:val="18"/>
              </w:rPr>
              <w:t>得分</w:t>
            </w:r>
          </w:p>
        </w:tc>
      </w:tr>
      <w:tr w14:paraId="6F8707D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A8E9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A7F53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A8F25">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197996">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FAEBAD">
            <w:pPr>
              <w:spacing w:before="0" w:after="0" w:line="240" w:lineRule="auto"/>
              <w:jc w:val="center"/>
            </w:pPr>
            <w:r>
              <w:rPr>
                <w:rFonts w:ascii="宋体" w:hAnsi="宋体" w:eastAsia="宋体" w:cs="宋体"/>
                <w:b w:val="0"/>
                <w:i w:val="0"/>
                <w:sz w:val="18"/>
              </w:rPr>
              <w:t>2.50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AF786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79A90A">
            <w:pPr>
              <w:spacing w:before="0" w:after="0" w:line="240" w:lineRule="auto"/>
              <w:jc w:val="center"/>
            </w:pPr>
            <w:r>
              <w:rPr>
                <w:rFonts w:ascii="宋体" w:hAnsi="宋体" w:eastAsia="宋体" w:cs="宋体"/>
                <w:b w:val="0"/>
                <w:i w:val="0"/>
                <w:sz w:val="18"/>
              </w:rPr>
              <w:t>83.33%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F3B37">
            <w:pPr>
              <w:spacing w:before="0" w:after="0" w:line="240" w:lineRule="auto"/>
              <w:jc w:val="center"/>
            </w:pPr>
            <w:r>
              <w:rPr>
                <w:rFonts w:ascii="宋体" w:hAnsi="宋体" w:eastAsia="宋体" w:cs="宋体"/>
                <w:b w:val="0"/>
                <w:i w:val="0"/>
                <w:sz w:val="18"/>
              </w:rPr>
              <w:t>5.83</w:t>
            </w:r>
          </w:p>
        </w:tc>
      </w:tr>
      <w:tr w14:paraId="7F039F6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23240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05090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25C2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748D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9BEBF">
            <w:pPr>
              <w:spacing w:before="0" w:after="0" w:line="240" w:lineRule="auto"/>
              <w:jc w:val="center"/>
            </w:pPr>
            <w:r>
              <w:rPr>
                <w:rFonts w:ascii="宋体" w:hAnsi="宋体" w:eastAsia="宋体" w:cs="宋体"/>
                <w:b w:val="0"/>
                <w:i w:val="0"/>
                <w:sz w:val="18"/>
              </w:rPr>
              <w:t>2.50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F5E5E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1DC2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3B9C5">
            <w:pPr>
              <w:spacing w:before="0" w:after="0" w:line="240" w:lineRule="auto"/>
              <w:jc w:val="center"/>
            </w:pPr>
            <w:r>
              <w:rPr>
                <w:rFonts w:ascii="宋体" w:hAnsi="宋体" w:eastAsia="宋体" w:cs="宋体"/>
                <w:b w:val="0"/>
                <w:i w:val="0"/>
                <w:sz w:val="18"/>
              </w:rPr>
              <w:t>—</w:t>
            </w:r>
          </w:p>
        </w:tc>
      </w:tr>
      <w:tr w14:paraId="5476946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2E13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D3AB6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28C7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2FB2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3DBCA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B218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9FB9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437B6">
            <w:pPr>
              <w:spacing w:before="0" w:after="0" w:line="240" w:lineRule="auto"/>
              <w:jc w:val="center"/>
            </w:pPr>
            <w:r>
              <w:rPr>
                <w:rFonts w:ascii="宋体" w:hAnsi="宋体" w:eastAsia="宋体" w:cs="宋体"/>
                <w:b w:val="0"/>
                <w:i w:val="0"/>
                <w:sz w:val="18"/>
              </w:rPr>
              <w:t>—</w:t>
            </w:r>
          </w:p>
        </w:tc>
      </w:tr>
      <w:tr w14:paraId="4DF443E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242D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8DBF8F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A60AA1E">
            <w:pPr>
              <w:spacing w:before="0" w:after="0" w:line="240" w:lineRule="auto"/>
              <w:jc w:val="center"/>
            </w:pPr>
            <w:r>
              <w:rPr>
                <w:rFonts w:ascii="宋体" w:hAnsi="宋体" w:eastAsia="宋体" w:cs="宋体"/>
                <w:b/>
                <w:i w:val="0"/>
                <w:sz w:val="18"/>
              </w:rPr>
              <w:t>实际完成情况</w:t>
            </w:r>
          </w:p>
        </w:tc>
      </w:tr>
      <w:tr w14:paraId="4A33956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2F6E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71B639">
            <w:pPr>
              <w:spacing w:before="0" w:after="0" w:line="240" w:lineRule="auto"/>
              <w:jc w:val="center"/>
            </w:pPr>
            <w:r>
              <w:rPr>
                <w:rFonts w:ascii="宋体" w:hAnsi="宋体" w:eastAsia="宋体" w:cs="宋体"/>
                <w:b w:val="0"/>
                <w:i w:val="0"/>
                <w:sz w:val="18"/>
              </w:rPr>
              <w:t>2025年项目目标：基层组织建设活动次数1次、基层组织活动完成及时性率达100%、活动完成时限：2025年10月31日、宣传费用成本0.5万元、开展活动相关费用2.5万元、党员干部文化活动丰富多彩、参加活动人员满意度达95%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FB3C91">
            <w:pPr>
              <w:spacing w:before="0" w:after="0" w:line="240" w:lineRule="auto"/>
              <w:jc w:val="center"/>
            </w:pPr>
            <w:r>
              <w:rPr>
                <w:rFonts w:ascii="宋体" w:hAnsi="宋体" w:eastAsia="宋体" w:cs="宋体"/>
                <w:b w:val="0"/>
                <w:i w:val="0"/>
                <w:sz w:val="18"/>
              </w:rPr>
              <w:t>截至2025年12月31日，本项目支出资金2.50万元，资金执行率83.33%，项目实际完成基层组织建设活动1次；基层组织活动完成及时率达到100%。通过该项目实施，加强了对基层组织宣传力度，提升了成员的凝聚力，通过本次活动的开展使党员干部文化活动丰富多彩、参加活动人员满意度达95%。通过本项目的实施，加强了信访工作人员凝集办，提升了信访党员干部业务能力水平，为助推中国式现代化建设提供坚强信访保障。</w:t>
            </w:r>
          </w:p>
        </w:tc>
      </w:tr>
      <w:tr w14:paraId="50A580D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28BF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0EB73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019C5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18D85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A1EC7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A9E3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C1C94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19C90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A7259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B53EF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7138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D2E9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056D7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5507E5">
            <w:pPr>
              <w:keepNext/>
              <w:spacing w:before="0" w:after="0" w:line="240" w:lineRule="auto"/>
              <w:jc w:val="center"/>
            </w:pPr>
            <w:r>
              <w:rPr>
                <w:rFonts w:ascii="宋体" w:hAnsi="宋体" w:eastAsia="宋体" w:cs="宋体"/>
                <w:b/>
                <w:i w:val="0"/>
                <w:sz w:val="18"/>
              </w:rPr>
              <w:t>偏差原因分析及改进措施</w:t>
            </w:r>
          </w:p>
        </w:tc>
      </w:tr>
      <w:tr w14:paraId="4E57905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C06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407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30A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919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6E9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B7A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BF6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E94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274B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4733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A11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FE3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0B65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8E01F8"/>
        </w:tc>
      </w:tr>
      <w:tr w14:paraId="29EA2F3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20B3C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6AE94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B243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7A196">
            <w:pPr>
              <w:spacing w:before="0" w:after="0" w:line="240" w:lineRule="auto"/>
              <w:jc w:val="center"/>
            </w:pPr>
            <w:r>
              <w:rPr>
                <w:rFonts w:ascii="宋体" w:hAnsi="宋体" w:eastAsia="宋体" w:cs="宋体"/>
                <w:b w:val="0"/>
                <w:i w:val="0"/>
                <w:sz w:val="18"/>
              </w:rPr>
              <w:t>基层组织建设活动次数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9DA6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D2047">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5411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FFE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528BE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E14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BAA7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A4F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128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819D1">
            <w:pPr>
              <w:spacing w:before="0" w:after="0" w:line="240" w:lineRule="auto"/>
              <w:jc w:val="center"/>
            </w:pPr>
          </w:p>
        </w:tc>
      </w:tr>
      <w:tr w14:paraId="609E7F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9882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618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EEC7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4CAB8">
            <w:pPr>
              <w:spacing w:before="0" w:after="0" w:line="240" w:lineRule="auto"/>
              <w:jc w:val="center"/>
            </w:pPr>
            <w:r>
              <w:rPr>
                <w:rFonts w:ascii="宋体" w:hAnsi="宋体" w:eastAsia="宋体" w:cs="宋体"/>
                <w:b w:val="0"/>
                <w:i w:val="0"/>
                <w:sz w:val="18"/>
              </w:rPr>
              <w:t>基层组织活动完成及时率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28E9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EB9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6AD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D78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A079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6EE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A6D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E898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937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D63EF">
            <w:pPr>
              <w:spacing w:before="0" w:after="0" w:line="240" w:lineRule="auto"/>
              <w:jc w:val="center"/>
            </w:pPr>
          </w:p>
        </w:tc>
      </w:tr>
      <w:tr w14:paraId="4DEF9F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AC8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202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8AE8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140D1">
            <w:pPr>
              <w:spacing w:before="0" w:after="0" w:line="240" w:lineRule="auto"/>
              <w:jc w:val="center"/>
            </w:pPr>
            <w:r>
              <w:rPr>
                <w:rFonts w:ascii="宋体" w:hAnsi="宋体" w:eastAsia="宋体" w:cs="宋体"/>
                <w:b w:val="0"/>
                <w:i w:val="0"/>
                <w:sz w:val="18"/>
              </w:rPr>
              <w:t>活动完成时限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CC41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3E5EF">
            <w:pPr>
              <w:spacing w:before="0" w:after="0" w:line="240" w:lineRule="auto"/>
              <w:jc w:val="center"/>
            </w:pPr>
            <w:r>
              <w:rPr>
                <w:rFonts w:ascii="宋体" w:hAnsi="宋体" w:eastAsia="宋体" w:cs="宋体"/>
                <w:b w:val="0"/>
                <w:i w:val="0"/>
                <w:sz w:val="18"/>
              </w:rPr>
              <w:t>2025年10月31日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FF4A7">
            <w:pPr>
              <w:spacing w:before="0" w:after="0" w:line="240" w:lineRule="auto"/>
              <w:jc w:val="center"/>
            </w:pPr>
            <w:r>
              <w:rPr>
                <w:rFonts w:ascii="宋体" w:hAnsi="宋体" w:eastAsia="宋体" w:cs="宋体"/>
                <w:b w:val="0"/>
                <w:i w:val="0"/>
                <w:sz w:val="18"/>
              </w:rPr>
              <w:t>2025年8月31日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E2A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D61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8CA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26249">
            <w:pPr>
              <w:spacing w:before="0" w:after="0" w:line="240" w:lineRule="auto"/>
              <w:jc w:val="center"/>
            </w:pPr>
            <w:r>
              <w:rPr>
                <w:rFonts w:ascii="宋体" w:hAnsi="宋体" w:eastAsia="宋体" w:cs="宋体"/>
                <w:b w:val="0"/>
                <w:i w:val="0"/>
                <w:sz w:val="18"/>
              </w:rPr>
              <w:t>2024年11月1日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2ED4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2AD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F45BF">
            <w:pPr>
              <w:spacing w:before="0" w:after="0" w:line="240" w:lineRule="auto"/>
              <w:jc w:val="center"/>
            </w:pPr>
          </w:p>
        </w:tc>
      </w:tr>
      <w:tr w14:paraId="6ADB3A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206B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84560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131D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F1029">
            <w:pPr>
              <w:spacing w:before="0" w:after="0" w:line="240" w:lineRule="auto"/>
              <w:jc w:val="center"/>
            </w:pPr>
            <w:r>
              <w:rPr>
                <w:rFonts w:ascii="宋体" w:hAnsi="宋体" w:eastAsia="宋体" w:cs="宋体"/>
                <w:b w:val="0"/>
                <w:i w:val="0"/>
                <w:sz w:val="18"/>
              </w:rPr>
              <w:t>宣传费用成本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FC9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8213E">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DAC6E">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E1A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65C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EF6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9EC6B">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72CC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AD24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74B3D">
            <w:pPr>
              <w:spacing w:before="0" w:after="0" w:line="240" w:lineRule="auto"/>
              <w:jc w:val="center"/>
            </w:pPr>
          </w:p>
        </w:tc>
      </w:tr>
      <w:tr w14:paraId="572D37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3BBE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3117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2ED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36182">
            <w:pPr>
              <w:spacing w:before="0" w:after="0" w:line="240" w:lineRule="auto"/>
              <w:jc w:val="center"/>
            </w:pPr>
            <w:r>
              <w:rPr>
                <w:rFonts w:ascii="宋体" w:hAnsi="宋体" w:eastAsia="宋体" w:cs="宋体"/>
                <w:b w:val="0"/>
                <w:i w:val="0"/>
                <w:sz w:val="18"/>
              </w:rPr>
              <w:t>开展活动相关费用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FF53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824B2">
            <w:pPr>
              <w:spacing w:before="0" w:after="0" w:line="240" w:lineRule="auto"/>
              <w:jc w:val="center"/>
            </w:pPr>
            <w:r>
              <w:rPr>
                <w:rFonts w:ascii="宋体" w:hAnsi="宋体" w:eastAsia="宋体" w:cs="宋体"/>
                <w:b w:val="0"/>
                <w:i w:val="0"/>
                <w:sz w:val="18"/>
              </w:rPr>
              <w:t>&lt;=2.50万元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94B03">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CF101">
            <w:pPr>
              <w:spacing w:before="0" w:after="0" w:line="240" w:lineRule="auto"/>
              <w:jc w:val="center"/>
            </w:pPr>
            <w:r>
              <w:rPr>
                <w:rFonts w:ascii="宋体" w:hAnsi="宋体" w:eastAsia="宋体" w:cs="宋体"/>
                <w:b w:val="0"/>
                <w:i w:val="0"/>
                <w:sz w:val="18"/>
              </w:rPr>
              <w:t>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89FAE">
            <w:pPr>
              <w:spacing w:before="0" w:after="0" w:line="240" w:lineRule="auto"/>
              <w:jc w:val="center"/>
            </w:pPr>
            <w:r>
              <w:rPr>
                <w:rFonts w:ascii="宋体" w:hAnsi="宋体" w:eastAsia="宋体" w:cs="宋体"/>
                <w:b w:val="0"/>
                <w:i w:val="0"/>
                <w:sz w:val="18"/>
              </w:rPr>
              <w:t>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167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D234E">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BAE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7EE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EBE40">
            <w:pPr>
              <w:spacing w:before="0" w:after="0" w:line="240" w:lineRule="auto"/>
              <w:jc w:val="center"/>
            </w:pPr>
            <w:r>
              <w:rPr>
                <w:rFonts w:ascii="宋体" w:hAnsi="宋体" w:eastAsia="宋体" w:cs="宋体"/>
                <w:b w:val="0"/>
                <w:i w:val="0"/>
                <w:sz w:val="18"/>
              </w:rPr>
              <w:t>此项指标未完成，存在偏差，偏差率为20.00%，偏差原因为：我单位本着厉行节约原则开展此项活动，活动经费减少0.5万元；下一年度改进措施：将成本设定更精细化更合理化。</w:t>
            </w:r>
          </w:p>
        </w:tc>
      </w:tr>
      <w:tr w14:paraId="5E7A1B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2E96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59B6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0339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C538D">
            <w:pPr>
              <w:spacing w:before="0" w:after="0" w:line="240" w:lineRule="auto"/>
              <w:jc w:val="center"/>
            </w:pPr>
            <w:r>
              <w:rPr>
                <w:rFonts w:ascii="宋体" w:hAnsi="宋体" w:eastAsia="宋体" w:cs="宋体"/>
                <w:b w:val="0"/>
                <w:i w:val="0"/>
                <w:sz w:val="18"/>
              </w:rPr>
              <w:t>党员干部文化活动丰富多彩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A88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9F6C4">
            <w:pPr>
              <w:spacing w:before="0" w:after="0" w:line="240" w:lineRule="auto"/>
              <w:jc w:val="center"/>
            </w:pPr>
            <w:r>
              <w:rPr>
                <w:rFonts w:ascii="宋体" w:hAnsi="宋体" w:eastAsia="宋体" w:cs="宋体"/>
                <w:b w:val="0"/>
                <w:i w:val="0"/>
                <w:sz w:val="18"/>
              </w:rPr>
              <w:t>丰富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5A27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193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76B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F98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9C541">
            <w:pPr>
              <w:spacing w:before="0" w:after="0" w:line="240" w:lineRule="auto"/>
              <w:jc w:val="center"/>
            </w:pPr>
            <w:r>
              <w:rPr>
                <w:rFonts w:ascii="宋体" w:hAnsi="宋体" w:eastAsia="宋体" w:cs="宋体"/>
                <w:b w:val="0"/>
                <w:i w:val="0"/>
                <w:sz w:val="18"/>
              </w:rPr>
              <w:t>丰富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D577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098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4B26E">
            <w:pPr>
              <w:spacing w:before="0" w:after="0" w:line="240" w:lineRule="auto"/>
              <w:jc w:val="center"/>
            </w:pPr>
          </w:p>
        </w:tc>
      </w:tr>
      <w:tr w14:paraId="77E161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FC6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98D0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761D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CEFAA">
            <w:pPr>
              <w:spacing w:before="0" w:after="0" w:line="240" w:lineRule="auto"/>
              <w:jc w:val="center"/>
            </w:pPr>
            <w:r>
              <w:rPr>
                <w:rFonts w:ascii="宋体" w:hAnsi="宋体" w:eastAsia="宋体" w:cs="宋体"/>
                <w:b w:val="0"/>
                <w:i w:val="0"/>
                <w:sz w:val="18"/>
              </w:rPr>
              <w:t>参加活动人员满意度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B535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ADC1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091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413C1">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07C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E62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78C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2D96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3F9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078B4">
            <w:pPr>
              <w:spacing w:before="0" w:after="0" w:line="240" w:lineRule="auto"/>
              <w:jc w:val="center"/>
            </w:pPr>
            <w:r>
              <w:rPr>
                <w:rFonts w:ascii="宋体" w:hAnsi="宋体" w:eastAsia="宋体" w:cs="宋体"/>
                <w:b w:val="0"/>
                <w:i w:val="0"/>
                <w:sz w:val="18"/>
              </w:rPr>
              <w:t>此项指标超计划完成，存在偏差，偏差率为-5.26%，偏差原因为：活动前期基础工作扎实，参加活动人员满意度达100%；下一年度改进措施：将指标设定更合理。</w:t>
            </w:r>
          </w:p>
        </w:tc>
      </w:tr>
      <w:tr w14:paraId="3DAD98F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19003F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F83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650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7F3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287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92F24">
            <w:pPr>
              <w:spacing w:before="0" w:after="0" w:line="240" w:lineRule="auto"/>
              <w:jc w:val="center"/>
            </w:pPr>
            <w:r>
              <w:rPr>
                <w:rFonts w:ascii="宋体" w:hAnsi="宋体" w:eastAsia="宋体" w:cs="宋体"/>
                <w:b w:val="0"/>
                <w:i w:val="0"/>
                <w:sz w:val="18"/>
              </w:rPr>
              <w:t>88.33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783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1DC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EDF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AF3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AD9FC">
            <w:pPr>
              <w:spacing w:before="0" w:after="0" w:line="240" w:lineRule="auto"/>
              <w:jc w:val="center"/>
            </w:pPr>
          </w:p>
        </w:tc>
      </w:tr>
    </w:tbl>
    <w:p w14:paraId="4690FF38">
      <w:r>
        <w:br w:type="page"/>
      </w:r>
    </w:p>
    <w:tbl>
      <w:tblPr>
        <w:tblStyle w:val="8"/>
        <w:tblW w:w="5000" w:type="pct"/>
        <w:tblInd w:w="0" w:type="dxa"/>
        <w:tblLayout w:type="autofit"/>
        <w:tblCellMar>
          <w:top w:w="36" w:type="dxa"/>
          <w:left w:w="36" w:type="dxa"/>
          <w:bottom w:w="36" w:type="dxa"/>
          <w:right w:w="36" w:type="dxa"/>
        </w:tblCellMar>
      </w:tblPr>
      <w:tblGrid>
        <w:gridCol w:w="555"/>
        <w:gridCol w:w="555"/>
        <w:gridCol w:w="555"/>
        <w:gridCol w:w="555"/>
        <w:gridCol w:w="593"/>
        <w:gridCol w:w="702"/>
        <w:gridCol w:w="612"/>
        <w:gridCol w:w="702"/>
        <w:gridCol w:w="593"/>
        <w:gridCol w:w="555"/>
        <w:gridCol w:w="585"/>
        <w:gridCol w:w="569"/>
        <w:gridCol w:w="563"/>
        <w:gridCol w:w="612"/>
      </w:tblGrid>
      <w:tr w14:paraId="4386F71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BB39B5">
            <w:pPr>
              <w:spacing w:before="0" w:after="0" w:line="240" w:lineRule="auto"/>
              <w:jc w:val="center"/>
            </w:pPr>
            <w:r>
              <w:rPr>
                <w:rFonts w:ascii="宋体" w:hAnsi="宋体" w:eastAsia="宋体" w:cs="宋体"/>
                <w:b/>
                <w:i w:val="0"/>
                <w:sz w:val="18"/>
              </w:rPr>
              <w:t>项目支出绩效自评表</w:t>
            </w:r>
          </w:p>
        </w:tc>
      </w:tr>
      <w:tr w14:paraId="0F6540E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B80193">
            <w:pPr>
              <w:spacing w:before="0" w:after="0" w:line="240" w:lineRule="auto"/>
              <w:jc w:val="center"/>
            </w:pPr>
            <w:r>
              <w:rPr>
                <w:rFonts w:ascii="宋体" w:hAnsi="宋体" w:eastAsia="宋体" w:cs="宋体"/>
                <w:b w:val="0"/>
                <w:i w:val="0"/>
                <w:sz w:val="18"/>
              </w:rPr>
              <w:t>(2025年度)</w:t>
            </w:r>
          </w:p>
        </w:tc>
      </w:tr>
      <w:tr w14:paraId="2A75209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D7F81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C0A7704">
            <w:pPr>
              <w:spacing w:before="0" w:after="0" w:line="240" w:lineRule="auto"/>
              <w:jc w:val="center"/>
            </w:pPr>
            <w:r>
              <w:rPr>
                <w:rFonts w:ascii="宋体" w:hAnsi="宋体" w:eastAsia="宋体" w:cs="宋体"/>
                <w:b w:val="0"/>
                <w:i w:val="0"/>
                <w:sz w:val="18"/>
              </w:rPr>
              <w:t>机关运行补助经费</w:t>
            </w:r>
          </w:p>
        </w:tc>
      </w:tr>
      <w:tr w14:paraId="7193EA5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8DC6D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9D1450">
            <w:pPr>
              <w:spacing w:before="0" w:after="0" w:line="240" w:lineRule="auto"/>
              <w:jc w:val="center"/>
            </w:pPr>
            <w:r>
              <w:rPr>
                <w:rFonts w:ascii="宋体" w:hAnsi="宋体" w:eastAsia="宋体" w:cs="宋体"/>
                <w:b w:val="0"/>
                <w:i w:val="0"/>
                <w:sz w:val="18"/>
              </w:rPr>
              <w:t>昌吉回族自治州信访局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EB0A1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1F7C1D">
            <w:pPr>
              <w:spacing w:before="0" w:after="0" w:line="240" w:lineRule="auto"/>
              <w:jc w:val="center"/>
            </w:pPr>
            <w:r>
              <w:rPr>
                <w:rFonts w:ascii="宋体" w:hAnsi="宋体" w:eastAsia="宋体" w:cs="宋体"/>
                <w:b w:val="0"/>
                <w:i w:val="0"/>
                <w:sz w:val="18"/>
              </w:rPr>
              <w:t>昌吉回族自治州信访局</w:t>
            </w:r>
          </w:p>
        </w:tc>
      </w:tr>
      <w:tr w14:paraId="4606827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9EC10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BDD4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294E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167FD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89BD0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DC8C4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BE33F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3A00A">
            <w:pPr>
              <w:spacing w:before="0" w:after="0" w:line="240" w:lineRule="auto"/>
              <w:jc w:val="center"/>
            </w:pPr>
            <w:r>
              <w:rPr>
                <w:rFonts w:ascii="宋体" w:hAnsi="宋体" w:eastAsia="宋体" w:cs="宋体"/>
                <w:b/>
                <w:i w:val="0"/>
                <w:sz w:val="18"/>
              </w:rPr>
              <w:t>得分</w:t>
            </w:r>
          </w:p>
        </w:tc>
      </w:tr>
      <w:tr w14:paraId="47FFAE0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E349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21895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B63ED">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879AB">
            <w:pPr>
              <w:spacing w:before="0" w:after="0" w:line="240" w:lineRule="auto"/>
              <w:jc w:val="center"/>
            </w:pPr>
            <w:r>
              <w:rPr>
                <w:rFonts w:ascii="宋体" w:hAnsi="宋体" w:eastAsia="宋体" w:cs="宋体"/>
                <w:b w:val="0"/>
                <w:i w:val="0"/>
                <w:sz w:val="18"/>
              </w:rPr>
              <w:t>94.90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D66847">
            <w:pPr>
              <w:spacing w:before="0" w:after="0" w:line="240" w:lineRule="auto"/>
              <w:jc w:val="center"/>
            </w:pPr>
            <w:r>
              <w:rPr>
                <w:rFonts w:ascii="宋体" w:hAnsi="宋体" w:eastAsia="宋体" w:cs="宋体"/>
                <w:b w:val="0"/>
                <w:i w:val="0"/>
                <w:sz w:val="18"/>
              </w:rPr>
              <w:t>94.90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FCD87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3174D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77CC7">
            <w:pPr>
              <w:spacing w:before="0" w:after="0" w:line="240" w:lineRule="auto"/>
              <w:jc w:val="center"/>
            </w:pPr>
            <w:r>
              <w:rPr>
                <w:rFonts w:ascii="宋体" w:hAnsi="宋体" w:eastAsia="宋体" w:cs="宋体"/>
                <w:b w:val="0"/>
                <w:i w:val="0"/>
                <w:sz w:val="18"/>
              </w:rPr>
              <w:t>10</w:t>
            </w:r>
          </w:p>
        </w:tc>
      </w:tr>
      <w:tr w14:paraId="4EE2DB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A7368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31F1C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1EEC0">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0F5866">
            <w:pPr>
              <w:spacing w:before="0" w:after="0" w:line="240" w:lineRule="auto"/>
              <w:jc w:val="center"/>
            </w:pPr>
            <w:r>
              <w:rPr>
                <w:rFonts w:ascii="宋体" w:hAnsi="宋体" w:eastAsia="宋体" w:cs="宋体"/>
                <w:b w:val="0"/>
                <w:i w:val="0"/>
                <w:sz w:val="18"/>
              </w:rPr>
              <w:t>94.90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D79F3">
            <w:pPr>
              <w:spacing w:before="0" w:after="0" w:line="240" w:lineRule="auto"/>
              <w:jc w:val="center"/>
            </w:pPr>
            <w:r>
              <w:rPr>
                <w:rFonts w:ascii="宋体" w:hAnsi="宋体" w:eastAsia="宋体" w:cs="宋体"/>
                <w:b w:val="0"/>
                <w:i w:val="0"/>
                <w:sz w:val="18"/>
              </w:rPr>
              <w:t>94.90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51FB8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ACDD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C76CD">
            <w:pPr>
              <w:spacing w:before="0" w:after="0" w:line="240" w:lineRule="auto"/>
              <w:jc w:val="center"/>
            </w:pPr>
            <w:r>
              <w:rPr>
                <w:rFonts w:ascii="宋体" w:hAnsi="宋体" w:eastAsia="宋体" w:cs="宋体"/>
                <w:b w:val="0"/>
                <w:i w:val="0"/>
                <w:sz w:val="18"/>
              </w:rPr>
              <w:t>—</w:t>
            </w:r>
          </w:p>
        </w:tc>
      </w:tr>
      <w:tr w14:paraId="454D03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4DC5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9DE5B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61BA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3C42D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E32D6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21E14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BC2F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A7599E">
            <w:pPr>
              <w:spacing w:before="0" w:after="0" w:line="240" w:lineRule="auto"/>
              <w:jc w:val="center"/>
            </w:pPr>
            <w:r>
              <w:rPr>
                <w:rFonts w:ascii="宋体" w:hAnsi="宋体" w:eastAsia="宋体" w:cs="宋体"/>
                <w:b w:val="0"/>
                <w:i w:val="0"/>
                <w:sz w:val="18"/>
              </w:rPr>
              <w:t>—</w:t>
            </w:r>
          </w:p>
        </w:tc>
      </w:tr>
      <w:tr w14:paraId="79277B9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AB45F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D2ECE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742926D">
            <w:pPr>
              <w:spacing w:before="0" w:after="0" w:line="240" w:lineRule="auto"/>
              <w:jc w:val="center"/>
            </w:pPr>
            <w:r>
              <w:rPr>
                <w:rFonts w:ascii="宋体" w:hAnsi="宋体" w:eastAsia="宋体" w:cs="宋体"/>
                <w:b/>
                <w:i w:val="0"/>
                <w:sz w:val="18"/>
              </w:rPr>
              <w:t>实际完成情况</w:t>
            </w:r>
          </w:p>
        </w:tc>
      </w:tr>
      <w:tr w14:paraId="03CAC96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B99C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0270C5">
            <w:pPr>
              <w:spacing w:before="0" w:after="0" w:line="240" w:lineRule="auto"/>
              <w:jc w:val="center"/>
            </w:pPr>
            <w:r>
              <w:rPr>
                <w:rFonts w:ascii="宋体" w:hAnsi="宋体" w:eastAsia="宋体" w:cs="宋体"/>
                <w:b w:val="0"/>
                <w:i w:val="0"/>
                <w:sz w:val="18"/>
              </w:rPr>
              <w:t>2025年该项目计划开展重点时期驻京驻乌开展信访保障次数2次 、对相关部门单位培训及业务指导2次、对重点信访事项进行包联指导6次数、物业服务及委托业务6次、业务指导县市覆盖率达90%；项目完成时间2024年12月10日、物业管理费用成本24.64万元、委托业务费用成本8.60万元、办公及相关费用成本43.30万元、人员差旅费18.36万元。提高信访干部业务能力水平，保障正常办公运行，工作人员满意度达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5786D09">
            <w:pPr>
              <w:spacing w:before="0" w:after="0" w:line="240" w:lineRule="auto"/>
              <w:jc w:val="center"/>
            </w:pPr>
            <w:r>
              <w:rPr>
                <w:rFonts w:ascii="宋体" w:hAnsi="宋体" w:eastAsia="宋体" w:cs="宋体"/>
                <w:b w:val="0"/>
                <w:i w:val="0"/>
                <w:sz w:val="18"/>
              </w:rPr>
              <w:t>截至2025年12月31日，本项目支出资金94.90万元，资金执行率100%。本项目实际完成开展重点时期驻京驻乌开展信访保障次数2次 、对相关部门单位培训及业务指导2次、对重点信访事项进行包联指导6次数、物业服务及委托业务6次、业务指导县市覆盖率达90%。通过项目实施，提高信访干部业务能力水平，保障正常办公运行，工作人员满意度达90%以上。通过本项目的实施，加强了信访工作法治化进度，提升了信访干部业务能力水平，促进了深入推进信访工作法治化建设，确保群众的每一项诉求都有人办理，为助推中国式现代化建设提供坚强信访保障。</w:t>
            </w:r>
          </w:p>
        </w:tc>
      </w:tr>
      <w:tr w14:paraId="6502A85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044A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A6BCF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BADA9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3019E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5CEC4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7FD8E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135B3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BF4DC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4DE8D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62872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0686B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D038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CB625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778C68">
            <w:pPr>
              <w:keepNext/>
              <w:spacing w:before="0" w:after="0" w:line="240" w:lineRule="auto"/>
              <w:jc w:val="center"/>
            </w:pPr>
            <w:r>
              <w:rPr>
                <w:rFonts w:ascii="宋体" w:hAnsi="宋体" w:eastAsia="宋体" w:cs="宋体"/>
                <w:b/>
                <w:i w:val="0"/>
                <w:sz w:val="18"/>
              </w:rPr>
              <w:t>偏差原因分析及改进措施</w:t>
            </w:r>
          </w:p>
        </w:tc>
      </w:tr>
      <w:tr w14:paraId="00AAFB8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F350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0AF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5B9C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410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4AA1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45D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F17A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654B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4BB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F0AC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D6B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FC9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8D8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5867E"/>
        </w:tc>
      </w:tr>
      <w:tr w14:paraId="51D2D21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87EFB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A7939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DA5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0E776">
            <w:pPr>
              <w:spacing w:before="0" w:after="0" w:line="240" w:lineRule="auto"/>
              <w:jc w:val="center"/>
            </w:pPr>
            <w:r>
              <w:rPr>
                <w:rFonts w:ascii="宋体" w:hAnsi="宋体" w:eastAsia="宋体" w:cs="宋体"/>
                <w:b w:val="0"/>
                <w:i w:val="0"/>
                <w:sz w:val="18"/>
              </w:rPr>
              <w:t>重点时期驻京驻乌开展信访保障次数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82C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F9D84">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447F9">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97D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ED5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D76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8E242">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127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0353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D42FA">
            <w:pPr>
              <w:spacing w:before="0" w:after="0" w:line="240" w:lineRule="auto"/>
              <w:jc w:val="center"/>
            </w:pPr>
          </w:p>
        </w:tc>
      </w:tr>
      <w:tr w14:paraId="574267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D575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FD50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3A62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92903">
            <w:pPr>
              <w:spacing w:before="0" w:after="0" w:line="240" w:lineRule="auto"/>
              <w:jc w:val="center"/>
            </w:pPr>
            <w:r>
              <w:rPr>
                <w:rFonts w:ascii="宋体" w:hAnsi="宋体" w:eastAsia="宋体" w:cs="宋体"/>
                <w:b w:val="0"/>
                <w:i w:val="0"/>
                <w:sz w:val="18"/>
              </w:rPr>
              <w:t>对相关部门单位培训及业务指导次数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2E71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E578B">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20A0E">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D9F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A5F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36F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2902F">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B90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1E3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7E637">
            <w:pPr>
              <w:spacing w:before="0" w:after="0" w:line="240" w:lineRule="auto"/>
              <w:jc w:val="center"/>
            </w:pPr>
          </w:p>
        </w:tc>
      </w:tr>
      <w:tr w14:paraId="0E0BDB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54CC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10DE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F2A3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CA8D6">
            <w:pPr>
              <w:spacing w:before="0" w:after="0" w:line="240" w:lineRule="auto"/>
              <w:jc w:val="center"/>
            </w:pPr>
            <w:r>
              <w:rPr>
                <w:rFonts w:ascii="宋体" w:hAnsi="宋体" w:eastAsia="宋体" w:cs="宋体"/>
                <w:b w:val="0"/>
                <w:i w:val="0"/>
                <w:sz w:val="18"/>
              </w:rPr>
              <w:t>对重点信访事项进行包联指导次数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D976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858CD">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AB22F">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A8F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86C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AA4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387DF">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DF8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4065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98E6B">
            <w:pPr>
              <w:spacing w:before="0" w:after="0" w:line="240" w:lineRule="auto"/>
              <w:jc w:val="center"/>
            </w:pPr>
          </w:p>
        </w:tc>
      </w:tr>
      <w:tr w14:paraId="656244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1EA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8FD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3B0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F87AD">
            <w:pPr>
              <w:spacing w:before="0" w:after="0" w:line="240" w:lineRule="auto"/>
              <w:jc w:val="center"/>
            </w:pPr>
            <w:r>
              <w:rPr>
                <w:rFonts w:ascii="宋体" w:hAnsi="宋体" w:eastAsia="宋体" w:cs="宋体"/>
                <w:b w:val="0"/>
                <w:i w:val="0"/>
                <w:sz w:val="18"/>
              </w:rPr>
              <w:t>物业服务及委托业务次数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C5D2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13510">
            <w:pPr>
              <w:spacing w:before="0" w:after="0" w:line="240" w:lineRule="auto"/>
              <w:jc w:val="center"/>
            </w:pPr>
            <w:r>
              <w:rPr>
                <w:rFonts w:ascii="宋体" w:hAnsi="宋体" w:eastAsia="宋体" w:cs="宋体"/>
                <w:b w:val="0"/>
                <w:i w:val="0"/>
                <w:sz w:val="18"/>
              </w:rPr>
              <w:t>&gt;=6次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02634">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AE6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68758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337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43323">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EA1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093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AB576">
            <w:pPr>
              <w:spacing w:before="0" w:after="0" w:line="240" w:lineRule="auto"/>
              <w:jc w:val="center"/>
            </w:pPr>
          </w:p>
        </w:tc>
      </w:tr>
      <w:tr w14:paraId="24B9A3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D042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F36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FFB2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026BA">
            <w:pPr>
              <w:spacing w:before="0" w:after="0" w:line="240" w:lineRule="auto"/>
              <w:jc w:val="center"/>
            </w:pPr>
            <w:r>
              <w:rPr>
                <w:rFonts w:ascii="宋体" w:hAnsi="宋体" w:eastAsia="宋体" w:cs="宋体"/>
                <w:b w:val="0"/>
                <w:i w:val="0"/>
                <w:sz w:val="18"/>
              </w:rPr>
              <w:t>保障工作人数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EEF4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5B35C">
            <w:pPr>
              <w:spacing w:before="0" w:after="0" w:line="240" w:lineRule="auto"/>
              <w:jc w:val="center"/>
            </w:pPr>
            <w:r>
              <w:rPr>
                <w:rFonts w:ascii="宋体" w:hAnsi="宋体" w:eastAsia="宋体" w:cs="宋体"/>
                <w:b w:val="0"/>
                <w:i w:val="0"/>
                <w:sz w:val="18"/>
              </w:rPr>
              <w:t>&gt;=3人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EA3E8">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F4B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2039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1AD4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20800">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CCD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6EA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A0D62">
            <w:pPr>
              <w:spacing w:before="0" w:after="0" w:line="240" w:lineRule="auto"/>
              <w:jc w:val="center"/>
            </w:pPr>
          </w:p>
        </w:tc>
      </w:tr>
      <w:tr w14:paraId="42CE69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4CF9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6D3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5B57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5AA06">
            <w:pPr>
              <w:spacing w:before="0" w:after="0" w:line="240" w:lineRule="auto"/>
              <w:jc w:val="center"/>
            </w:pPr>
            <w:r>
              <w:rPr>
                <w:rFonts w:ascii="宋体" w:hAnsi="宋体" w:eastAsia="宋体" w:cs="宋体"/>
                <w:b w:val="0"/>
                <w:i w:val="0"/>
                <w:sz w:val="18"/>
              </w:rPr>
              <w:t>业务指导县市覆盖率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A145D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F39B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070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2F903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BB2D3">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79D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3EF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298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794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FA3AD">
            <w:pPr>
              <w:spacing w:before="0" w:after="0" w:line="240" w:lineRule="auto"/>
              <w:jc w:val="center"/>
            </w:pPr>
            <w:r>
              <w:rPr>
                <w:rFonts w:ascii="宋体" w:hAnsi="宋体" w:eastAsia="宋体" w:cs="宋体"/>
                <w:b w:val="0"/>
                <w:i w:val="0"/>
                <w:sz w:val="18"/>
              </w:rPr>
              <w:t>偏差原因：我单位已按照年度工作计划完成对县市信访局的全部业务指导工作，做到全覆盖，相关资金已全部支付，产生偏差，偏差改进措施：我单位将在后续项目申报过程中细化实施方案编制工作流程，将全年工作任务合理分配至各时段，确保工作按期及时完成。</w:t>
            </w:r>
          </w:p>
        </w:tc>
      </w:tr>
      <w:tr w14:paraId="19B6A6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387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4BA6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C68C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1256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38FA0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D84D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391B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09C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AFD5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AE6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67AC5">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06ED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891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CC36B">
            <w:pPr>
              <w:spacing w:before="0" w:after="0" w:line="240" w:lineRule="auto"/>
              <w:jc w:val="center"/>
            </w:pPr>
          </w:p>
        </w:tc>
      </w:tr>
      <w:tr w14:paraId="48FE8A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B467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D9F49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E345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1BDAE">
            <w:pPr>
              <w:spacing w:before="0" w:after="0" w:line="240" w:lineRule="auto"/>
              <w:jc w:val="center"/>
            </w:pPr>
            <w:r>
              <w:rPr>
                <w:rFonts w:ascii="宋体" w:hAnsi="宋体" w:eastAsia="宋体" w:cs="宋体"/>
                <w:b w:val="0"/>
                <w:i w:val="0"/>
                <w:sz w:val="18"/>
              </w:rPr>
              <w:t>物业管理费用成本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01655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F4457">
            <w:pPr>
              <w:spacing w:before="0" w:after="0" w:line="240" w:lineRule="auto"/>
              <w:jc w:val="center"/>
            </w:pPr>
            <w:r>
              <w:rPr>
                <w:rFonts w:ascii="宋体" w:hAnsi="宋体" w:eastAsia="宋体" w:cs="宋体"/>
                <w:b w:val="0"/>
                <w:i w:val="0"/>
                <w:sz w:val="18"/>
              </w:rPr>
              <w:t>&lt;=24.64万元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A24F0">
            <w:pPr>
              <w:spacing w:before="0" w:after="0" w:line="240" w:lineRule="auto"/>
              <w:jc w:val="center"/>
            </w:pPr>
            <w:r>
              <w:rPr>
                <w:rFonts w:ascii="宋体" w:hAnsi="宋体" w:eastAsia="宋体" w:cs="宋体"/>
                <w:b w:val="0"/>
                <w:i w:val="0"/>
                <w:sz w:val="18"/>
              </w:rPr>
              <w:t>=24.64万元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F62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AF33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2E0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C0AE5">
            <w:pPr>
              <w:spacing w:before="0" w:after="0" w:line="240" w:lineRule="auto"/>
              <w:jc w:val="center"/>
            </w:pPr>
            <w:r>
              <w:rPr>
                <w:rFonts w:ascii="宋体" w:hAnsi="宋体" w:eastAsia="宋体" w:cs="宋体"/>
                <w:b w:val="0"/>
                <w:i w:val="0"/>
                <w:sz w:val="18"/>
              </w:rPr>
              <w:t>25.56万元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614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5C95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04A53">
            <w:pPr>
              <w:spacing w:before="0" w:after="0" w:line="240" w:lineRule="auto"/>
              <w:jc w:val="center"/>
            </w:pPr>
          </w:p>
        </w:tc>
      </w:tr>
      <w:tr w14:paraId="2BAA4C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4B9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17BE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4A17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499FE">
            <w:pPr>
              <w:spacing w:before="0" w:after="0" w:line="240" w:lineRule="auto"/>
              <w:jc w:val="center"/>
            </w:pPr>
            <w:r>
              <w:rPr>
                <w:rFonts w:ascii="宋体" w:hAnsi="宋体" w:eastAsia="宋体" w:cs="宋体"/>
                <w:b w:val="0"/>
                <w:i w:val="0"/>
                <w:sz w:val="18"/>
              </w:rPr>
              <w:t>委托业务费用成本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3C35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E31ED">
            <w:pPr>
              <w:spacing w:before="0" w:after="0" w:line="240" w:lineRule="auto"/>
              <w:jc w:val="center"/>
            </w:pPr>
            <w:r>
              <w:rPr>
                <w:rFonts w:ascii="宋体" w:hAnsi="宋体" w:eastAsia="宋体" w:cs="宋体"/>
                <w:b w:val="0"/>
                <w:i w:val="0"/>
                <w:sz w:val="18"/>
              </w:rPr>
              <w:t>&lt;=8.6万元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09F41">
            <w:pPr>
              <w:spacing w:before="0" w:after="0" w:line="240" w:lineRule="auto"/>
              <w:jc w:val="center"/>
            </w:pPr>
            <w:r>
              <w:rPr>
                <w:rFonts w:ascii="宋体" w:hAnsi="宋体" w:eastAsia="宋体" w:cs="宋体"/>
                <w:b w:val="0"/>
                <w:i w:val="0"/>
                <w:sz w:val="18"/>
              </w:rPr>
              <w:t>=8.6万元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FB0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424D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579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E9460">
            <w:pPr>
              <w:spacing w:before="0" w:after="0" w:line="240" w:lineRule="auto"/>
              <w:jc w:val="center"/>
            </w:pPr>
            <w:r>
              <w:rPr>
                <w:rFonts w:ascii="宋体" w:hAnsi="宋体" w:eastAsia="宋体" w:cs="宋体"/>
                <w:b w:val="0"/>
                <w:i w:val="0"/>
                <w:sz w:val="18"/>
              </w:rPr>
              <w:t>8.6万元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930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9E96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18E30">
            <w:pPr>
              <w:spacing w:before="0" w:after="0" w:line="240" w:lineRule="auto"/>
              <w:jc w:val="center"/>
            </w:pPr>
          </w:p>
        </w:tc>
      </w:tr>
      <w:tr w14:paraId="5B3D05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4F8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1892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B08F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15489">
            <w:pPr>
              <w:spacing w:before="0" w:after="0" w:line="240" w:lineRule="auto"/>
              <w:jc w:val="center"/>
            </w:pPr>
            <w:r>
              <w:rPr>
                <w:rFonts w:ascii="宋体" w:hAnsi="宋体" w:eastAsia="宋体" w:cs="宋体"/>
                <w:b w:val="0"/>
                <w:i w:val="0"/>
                <w:sz w:val="18"/>
              </w:rPr>
              <w:t>办公及相关费用成本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CCF2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15B08">
            <w:pPr>
              <w:spacing w:before="0" w:after="0" w:line="240" w:lineRule="auto"/>
              <w:jc w:val="center"/>
            </w:pPr>
            <w:r>
              <w:rPr>
                <w:rFonts w:ascii="宋体" w:hAnsi="宋体" w:eastAsia="宋体" w:cs="宋体"/>
                <w:b w:val="0"/>
                <w:i w:val="0"/>
                <w:sz w:val="18"/>
              </w:rPr>
              <w:t>&lt;=43.3万元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335ED">
            <w:pPr>
              <w:spacing w:before="0" w:after="0" w:line="240" w:lineRule="auto"/>
              <w:jc w:val="center"/>
            </w:pPr>
            <w:r>
              <w:rPr>
                <w:rFonts w:ascii="宋体" w:hAnsi="宋体" w:eastAsia="宋体" w:cs="宋体"/>
                <w:b w:val="0"/>
                <w:i w:val="0"/>
                <w:sz w:val="18"/>
              </w:rPr>
              <w:t>=43.3万元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0BD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B51E4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361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C451B">
            <w:pPr>
              <w:spacing w:before="0" w:after="0" w:line="240" w:lineRule="auto"/>
              <w:jc w:val="center"/>
            </w:pPr>
            <w:r>
              <w:rPr>
                <w:rFonts w:ascii="宋体" w:hAnsi="宋体" w:eastAsia="宋体" w:cs="宋体"/>
                <w:b w:val="0"/>
                <w:i w:val="0"/>
                <w:sz w:val="18"/>
              </w:rPr>
              <w:t>41.66万元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9A4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50A6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EBCDB">
            <w:pPr>
              <w:spacing w:before="0" w:after="0" w:line="240" w:lineRule="auto"/>
              <w:jc w:val="center"/>
            </w:pPr>
          </w:p>
        </w:tc>
      </w:tr>
      <w:tr w14:paraId="640FB5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2BD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114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F1C0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DEACD">
            <w:pPr>
              <w:spacing w:before="0" w:after="0" w:line="240" w:lineRule="auto"/>
              <w:jc w:val="center"/>
            </w:pPr>
            <w:r>
              <w:rPr>
                <w:rFonts w:ascii="宋体" w:hAnsi="宋体" w:eastAsia="宋体" w:cs="宋体"/>
                <w:b w:val="0"/>
                <w:i w:val="0"/>
                <w:sz w:val="18"/>
              </w:rPr>
              <w:t>人员差旅费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A908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962E3">
            <w:pPr>
              <w:spacing w:before="0" w:after="0" w:line="240" w:lineRule="auto"/>
              <w:jc w:val="center"/>
            </w:pPr>
            <w:r>
              <w:rPr>
                <w:rFonts w:ascii="宋体" w:hAnsi="宋体" w:eastAsia="宋体" w:cs="宋体"/>
                <w:b w:val="0"/>
                <w:i w:val="0"/>
                <w:sz w:val="18"/>
              </w:rPr>
              <w:t>&lt;=18.36万元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DBAD8">
            <w:pPr>
              <w:spacing w:before="0" w:after="0" w:line="240" w:lineRule="auto"/>
              <w:jc w:val="center"/>
            </w:pPr>
            <w:r>
              <w:rPr>
                <w:rFonts w:ascii="宋体" w:hAnsi="宋体" w:eastAsia="宋体" w:cs="宋体"/>
                <w:b w:val="0"/>
                <w:i w:val="0"/>
                <w:sz w:val="18"/>
              </w:rPr>
              <w:t>=18.36万元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8D0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AB8C6">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D3C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CB822">
            <w:pPr>
              <w:spacing w:before="0" w:after="0" w:line="240" w:lineRule="auto"/>
              <w:jc w:val="center"/>
            </w:pPr>
            <w:r>
              <w:rPr>
                <w:rFonts w:ascii="宋体" w:hAnsi="宋体" w:eastAsia="宋体" w:cs="宋体"/>
                <w:b w:val="0"/>
                <w:i w:val="0"/>
                <w:sz w:val="18"/>
              </w:rPr>
              <w:t>8.21万元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52F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FC9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EEB15">
            <w:pPr>
              <w:spacing w:before="0" w:after="0" w:line="240" w:lineRule="auto"/>
              <w:jc w:val="center"/>
            </w:pPr>
          </w:p>
        </w:tc>
      </w:tr>
      <w:tr w14:paraId="04BFFB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2AE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515F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3C47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8A90D">
            <w:pPr>
              <w:spacing w:before="0" w:after="0" w:line="240" w:lineRule="auto"/>
              <w:jc w:val="center"/>
            </w:pPr>
            <w:r>
              <w:rPr>
                <w:rFonts w:ascii="宋体" w:hAnsi="宋体" w:eastAsia="宋体" w:cs="宋体"/>
                <w:b w:val="0"/>
                <w:i w:val="0"/>
                <w:sz w:val="18"/>
              </w:rPr>
              <w:t>提高信访干部业务能力水平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5A6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8D5A5">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A954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21A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F035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D857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8A6E2">
            <w:pPr>
              <w:spacing w:before="0" w:after="0" w:line="240" w:lineRule="auto"/>
              <w:jc w:val="center"/>
            </w:pPr>
            <w:r>
              <w:rPr>
                <w:rFonts w:ascii="宋体" w:hAnsi="宋体" w:eastAsia="宋体" w:cs="宋体"/>
                <w:b w:val="0"/>
                <w:i w:val="0"/>
                <w:sz w:val="18"/>
              </w:rPr>
              <w:t>显著提高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1D80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C01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3C1F8">
            <w:pPr>
              <w:spacing w:before="0" w:after="0" w:line="240" w:lineRule="auto"/>
              <w:jc w:val="center"/>
            </w:pPr>
          </w:p>
        </w:tc>
      </w:tr>
      <w:tr w14:paraId="052321E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660E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9EEE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0A8D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07CEF">
            <w:pPr>
              <w:spacing w:before="0" w:after="0" w:line="240" w:lineRule="auto"/>
              <w:jc w:val="center"/>
            </w:pPr>
            <w:r>
              <w:rPr>
                <w:rFonts w:ascii="宋体" w:hAnsi="宋体" w:eastAsia="宋体" w:cs="宋体"/>
                <w:b w:val="0"/>
                <w:i w:val="0"/>
                <w:sz w:val="18"/>
              </w:rPr>
              <w:t>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9136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F7A4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1E4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AB9917">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523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22F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726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3F9E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B23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587CA">
            <w:pPr>
              <w:spacing w:before="0" w:after="0" w:line="240" w:lineRule="auto"/>
              <w:jc w:val="center"/>
            </w:pPr>
            <w:r>
              <w:rPr>
                <w:rFonts w:ascii="宋体" w:hAnsi="宋体" w:eastAsia="宋体" w:cs="宋体"/>
                <w:b w:val="0"/>
                <w:i w:val="0"/>
                <w:sz w:val="18"/>
              </w:rPr>
              <w:t>偏差原因分析：我单位已完成满意度调查问卷发放，根据满意度调查问卷报告结果，参加培训工作人员满意度为100%。故相关指标完成率均大于序时进度，产生偏差，偏差改进措施：我单位将在年末对项目实施情况进行绩效评价，通过绩效评价工作合理指导下一年项目预算编制，确保项目绩效工作高质量完成。</w:t>
            </w:r>
          </w:p>
        </w:tc>
      </w:tr>
      <w:tr w14:paraId="020E817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AF5EB3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005F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065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625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A59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E6F92">
            <w:pPr>
              <w:spacing w:before="0" w:after="0" w:line="240" w:lineRule="auto"/>
              <w:jc w:val="center"/>
            </w:pPr>
            <w:r>
              <w:rPr>
                <w:rFonts w:ascii="宋体" w:hAnsi="宋体" w:eastAsia="宋体" w:cs="宋体"/>
                <w:b w:val="0"/>
                <w:i w:val="0"/>
                <w:sz w:val="18"/>
              </w:rPr>
              <w:t>99.74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F26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729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3B5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8C0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63034">
            <w:pPr>
              <w:spacing w:before="0" w:after="0" w:line="240" w:lineRule="auto"/>
              <w:jc w:val="center"/>
            </w:pPr>
          </w:p>
        </w:tc>
      </w:tr>
    </w:tbl>
    <w:p w14:paraId="647B5EB8">
      <w:r>
        <w:br w:type="page"/>
      </w:r>
    </w:p>
    <w:p w14:paraId="016D93C1">
      <w:pPr>
        <w:sectPr>
          <w:type w:val="continuous"/>
          <w:pgSz w:w="11906" w:h="16838"/>
          <w:pgMar w:top="1440" w:right="1800" w:bottom="1440" w:left="1800" w:header="851" w:footer="992" w:gutter="0"/>
          <w:cols w:space="720" w:num="1"/>
          <w:docGrid w:type="lines" w:linePitch="312" w:charSpace="0"/>
        </w:sectPr>
      </w:pPr>
    </w:p>
    <w:p w14:paraId="14E490D0">
      <w:pPr>
        <w:spacing w:line="640" w:lineRule="exact"/>
        <w:ind w:firstLine="640"/>
        <w:jc w:val="both"/>
        <w:outlineLvl w:val="2"/>
      </w:pPr>
      <w:r>
        <w:rPr>
          <w:rFonts w:ascii="黑体" w:hAnsi="黑体" w:eastAsia="黑体"/>
          <w:sz w:val="32"/>
        </w:rPr>
        <w:t>十二、其他需说明的事项</w:t>
      </w:r>
    </w:p>
    <w:p w14:paraId="29D90793">
      <w:pPr>
        <w:spacing w:line="580" w:lineRule="exact"/>
        <w:ind w:firstLine="640"/>
        <w:jc w:val="both"/>
      </w:pPr>
      <w:r>
        <w:rPr>
          <w:rFonts w:ascii="仿宋_GB2312" w:hAnsi="仿宋_GB2312" w:eastAsia="仿宋_GB2312"/>
          <w:b w:val="0"/>
          <w:sz w:val="32"/>
        </w:rPr>
        <w:t>本单位无其他需说明的事项。</w:t>
      </w:r>
    </w:p>
    <w:p w14:paraId="119BE546">
      <w:r>
        <w:br w:type="page"/>
      </w:r>
    </w:p>
    <w:p w14:paraId="77F5DC34">
      <w:pPr>
        <w:spacing w:line="600" w:lineRule="exact"/>
        <w:jc w:val="center"/>
        <w:outlineLvl w:val="0"/>
      </w:pPr>
      <w:r>
        <w:rPr>
          <w:rFonts w:ascii="黑体" w:hAnsi="黑体" w:eastAsia="黑体"/>
          <w:sz w:val="32"/>
        </w:rPr>
        <w:t>第三部分 专业名词解释</w:t>
      </w:r>
    </w:p>
    <w:p w14:paraId="7B2107AE">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6B9602D1">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0F2F5B3">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3D010F0">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4CCFF6F">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11F253D8">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1563ACE">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985220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A9AC5D6">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46956B1B">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62D678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55A0309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7FBD68D">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52DBDA3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1CF190A">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1080368">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C7435B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07F0112">
      <w:r>
        <w:br w:type="page"/>
      </w:r>
    </w:p>
    <w:p w14:paraId="466785DD">
      <w:pPr>
        <w:spacing w:line="240" w:lineRule="auto"/>
        <w:jc w:val="center"/>
        <w:outlineLvl w:val="1"/>
      </w:pPr>
      <w:r>
        <w:rPr>
          <w:rFonts w:ascii="黑体" w:hAnsi="黑体" w:eastAsia="黑体"/>
          <w:sz w:val="32"/>
        </w:rPr>
        <w:t>第四部分 部门决算报表（见附表）</w:t>
      </w:r>
    </w:p>
    <w:p w14:paraId="4D3D1B18">
      <w:pPr>
        <w:autoSpaceDE w:val="0"/>
        <w:autoSpaceDN w:val="0"/>
        <w:spacing w:line="600" w:lineRule="exact"/>
        <w:ind w:firstLine="640" w:firstLineChars="200"/>
      </w:pPr>
      <w:r>
        <w:rPr>
          <w:rFonts w:ascii="仿宋_GB2312" w:hAnsi="仿宋_GB2312" w:eastAsia="仿宋_GB2312"/>
          <w:b w:val="0"/>
          <w:sz w:val="32"/>
        </w:rPr>
        <w:t>一、《收入支出决算总表》</w:t>
      </w:r>
    </w:p>
    <w:p w14:paraId="017D7ED4">
      <w:pPr>
        <w:autoSpaceDE w:val="0"/>
        <w:autoSpaceDN w:val="0"/>
        <w:spacing w:line="600" w:lineRule="exact"/>
        <w:ind w:firstLine="640" w:firstLineChars="200"/>
      </w:pPr>
      <w:r>
        <w:rPr>
          <w:rFonts w:ascii="仿宋_GB2312" w:hAnsi="仿宋_GB2312" w:eastAsia="仿宋_GB2312"/>
          <w:b w:val="0"/>
          <w:sz w:val="32"/>
        </w:rPr>
        <w:t>二、《收入决算表》</w:t>
      </w:r>
    </w:p>
    <w:p w14:paraId="2C0C47C0">
      <w:pPr>
        <w:autoSpaceDE w:val="0"/>
        <w:autoSpaceDN w:val="0"/>
        <w:spacing w:line="600" w:lineRule="exact"/>
        <w:ind w:firstLine="640" w:firstLineChars="200"/>
      </w:pPr>
      <w:r>
        <w:rPr>
          <w:rFonts w:ascii="仿宋_GB2312" w:hAnsi="仿宋_GB2312" w:eastAsia="仿宋_GB2312"/>
          <w:b w:val="0"/>
          <w:sz w:val="32"/>
        </w:rPr>
        <w:t>三、《支出决算表》</w:t>
      </w:r>
    </w:p>
    <w:p w14:paraId="407541C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C1C0E13">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91E347F">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CB848A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40B3C26">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2D8AEF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34ADB08">
      <w:pPr>
        <w:autoSpaceDE w:val="0"/>
        <w:autoSpaceDN w:val="0"/>
        <w:spacing w:line="600" w:lineRule="exact"/>
        <w:ind w:firstLine="640" w:firstLineChars="200"/>
      </w:pPr>
    </w:p>
    <w:p w14:paraId="7BE4559F">
      <w:pPr>
        <w:autoSpaceDE w:val="0"/>
        <w:autoSpaceDN w:val="0"/>
        <w:spacing w:line="600" w:lineRule="exact"/>
        <w:ind w:firstLine="640" w:firstLineChars="200"/>
      </w:pPr>
    </w:p>
    <w:p w14:paraId="0739F6D2">
      <w:pPr>
        <w:autoSpaceDE w:val="0"/>
        <w:autoSpaceDN w:val="0"/>
        <w:spacing w:line="600" w:lineRule="exact"/>
        <w:ind w:firstLine="640" w:firstLineChars="200"/>
      </w:pPr>
    </w:p>
    <w:p w14:paraId="6F9F81B0">
      <w:pPr>
        <w:autoSpaceDE w:val="0"/>
        <w:autoSpaceDN w:val="0"/>
        <w:spacing w:line="600" w:lineRule="exact"/>
        <w:ind w:firstLine="640" w:firstLineChars="200"/>
      </w:pPr>
    </w:p>
    <w:p w14:paraId="0740C726">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BAE32B-0F35-4F79-A681-1EE481C651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2CC30A2-B56C-4379-BF49-9532E5512ED6}"/>
  </w:font>
  <w:font w:name="仿宋_GB2312">
    <w:panose1 w:val="02010609030101010101"/>
    <w:charset w:val="86"/>
    <w:family w:val="modern"/>
    <w:pitch w:val="default"/>
    <w:sig w:usb0="00000001" w:usb1="080E0000" w:usb2="00000000" w:usb3="00000000" w:csb0="00040000" w:csb1="00000000"/>
    <w:embedRegular r:id="rId3" w:fontKey="{A6074A21-7EF6-4023-AB12-79FE9FC2C1C3}"/>
  </w:font>
  <w:font w:name="楷体_GB2312">
    <w:panose1 w:val="02010609030101010101"/>
    <w:charset w:val="86"/>
    <w:family w:val="auto"/>
    <w:pitch w:val="default"/>
    <w:sig w:usb0="00000001" w:usb1="080E0000" w:usb2="00000000" w:usb3="00000000" w:csb0="00040000" w:csb1="00000000"/>
    <w:embedRegular r:id="rId4" w:fontKey="{B4F92F6F-5CDB-4DEF-A157-BF015C406A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6BC2CC4"/>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23</Words>
  <Characters>26</Characters>
  <Lines>10</Lines>
  <Paragraphs>2</Paragraphs>
  <TotalTime>7</TotalTime>
  <ScaleCrop>false</ScaleCrop>
  <LinksUpToDate>false</LinksUpToDate>
  <CharactersWithSpaces>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2026-10-15T10:26:02Z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