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昌吉回族自治州乡村振兴综合保障中心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99AF9C2">
      <w:r>
        <w:br w:type="page"/>
      </w:r>
    </w:p>
    <w:p w14:paraId="7636C13C">
      <w:pPr>
        <w:spacing w:line="640" w:lineRule="exact"/>
        <w:jc w:val="center"/>
        <w:outlineLvl w:val="1"/>
      </w:pPr>
      <w:r>
        <w:rPr>
          <w:rFonts w:ascii="黑体" w:hAnsi="黑体" w:eastAsia="黑体"/>
          <w:sz w:val="32"/>
        </w:rPr>
        <w:t>第一部分 单位概况</w:t>
      </w:r>
    </w:p>
    <w:p w14:paraId="3429B29C">
      <w:pPr>
        <w:spacing w:line="640" w:lineRule="exact"/>
        <w:ind w:firstLine="640"/>
        <w:jc w:val="both"/>
        <w:outlineLvl w:val="2"/>
      </w:pPr>
      <w:r>
        <w:rPr>
          <w:rFonts w:ascii="黑体" w:hAnsi="黑体" w:eastAsia="黑体"/>
          <w:sz w:val="32"/>
        </w:rPr>
        <w:t>一、主要职能</w:t>
      </w:r>
    </w:p>
    <w:p w14:paraId="2FA0D75D">
      <w:pPr>
        <w:spacing w:line="580" w:lineRule="exact"/>
        <w:ind w:firstLine="640"/>
        <w:jc w:val="both"/>
      </w:pPr>
      <w:r>
        <w:rPr>
          <w:rFonts w:ascii="仿宋_GB2312" w:hAnsi="仿宋_GB2312" w:eastAsia="仿宋_GB2312"/>
          <w:sz w:val="32"/>
        </w:rPr>
        <w:t>主要负责巩固拓展脱贫攻坚成果、统筹推进实施乡村振兴战略有关具体工作。</w:t>
      </w:r>
    </w:p>
    <w:p w14:paraId="28E6A90A">
      <w:pPr>
        <w:spacing w:line="640" w:lineRule="exact"/>
        <w:ind w:firstLine="640"/>
        <w:jc w:val="both"/>
        <w:outlineLvl w:val="2"/>
      </w:pPr>
      <w:r>
        <w:rPr>
          <w:rFonts w:ascii="黑体" w:hAnsi="黑体" w:eastAsia="黑体"/>
          <w:sz w:val="32"/>
        </w:rPr>
        <w:t>二、机构设置</w:t>
      </w:r>
    </w:p>
    <w:p w14:paraId="2DD47623">
      <w:pPr>
        <w:spacing w:line="580" w:lineRule="exact"/>
        <w:ind w:firstLine="640"/>
        <w:jc w:val="both"/>
      </w:pPr>
      <w:r>
        <w:rPr>
          <w:rFonts w:ascii="仿宋_GB2312" w:hAnsi="仿宋_GB2312" w:eastAsia="仿宋_GB2312"/>
          <w:sz w:val="32"/>
        </w:rPr>
        <w:t>昌吉回族自治州乡村振兴综合保障中心无下属预算单位。</w:t>
      </w:r>
    </w:p>
    <w:p w14:paraId="22209FB6">
      <w:r>
        <w:br w:type="page"/>
      </w:r>
    </w:p>
    <w:p w14:paraId="6C45548C">
      <w:pPr>
        <w:spacing w:line="240" w:lineRule="auto"/>
        <w:jc w:val="center"/>
        <w:outlineLvl w:val="1"/>
      </w:pPr>
      <w:r>
        <w:rPr>
          <w:rFonts w:ascii="黑体" w:hAnsi="黑体" w:eastAsia="黑体"/>
          <w:sz w:val="32"/>
        </w:rPr>
        <w:t>第二部分 部门决算情况说明</w:t>
      </w:r>
    </w:p>
    <w:p w14:paraId="7AF49030">
      <w:pPr>
        <w:spacing w:line="640" w:lineRule="exact"/>
        <w:ind w:firstLine="640"/>
        <w:jc w:val="both"/>
        <w:outlineLvl w:val="2"/>
      </w:pPr>
      <w:r>
        <w:rPr>
          <w:rFonts w:ascii="黑体" w:hAnsi="黑体" w:eastAsia="黑体"/>
          <w:sz w:val="32"/>
        </w:rPr>
        <w:t>一、收入支出决算总体情况说明</w:t>
      </w:r>
    </w:p>
    <w:p w14:paraId="2A35A7F0">
      <w:pPr>
        <w:spacing w:line="580" w:lineRule="exact"/>
        <w:ind w:firstLine="640"/>
        <w:jc w:val="both"/>
      </w:pPr>
      <w:r>
        <w:rPr>
          <w:rFonts w:ascii="仿宋_GB2312" w:hAnsi="仿宋_GB2312" w:eastAsia="仿宋_GB2312"/>
          <w:b/>
          <w:sz w:val="32"/>
        </w:rPr>
        <w:t>2025年度收入总计381.55万元，</w:t>
      </w:r>
      <w:r>
        <w:rPr>
          <w:rFonts w:ascii="仿宋_GB2312" w:hAnsi="仿宋_GB2312" w:eastAsia="仿宋_GB2312"/>
          <w:b w:val="0"/>
          <w:sz w:val="32"/>
        </w:rPr>
        <w:t>其中：本年收入合计381.55万元，使用非财政拨款结余（含专用结余）0.00万元，年初结转和结余0.00万元。</w:t>
      </w:r>
    </w:p>
    <w:p w14:paraId="03D52053">
      <w:pPr>
        <w:spacing w:line="580" w:lineRule="exact"/>
        <w:ind w:firstLine="640"/>
        <w:jc w:val="both"/>
      </w:pPr>
      <w:r>
        <w:rPr>
          <w:rFonts w:ascii="仿宋_GB2312" w:hAnsi="仿宋_GB2312" w:eastAsia="仿宋_GB2312"/>
          <w:b/>
          <w:sz w:val="32"/>
        </w:rPr>
        <w:t>2025年度支出总计381.55万元，</w:t>
      </w:r>
      <w:r>
        <w:rPr>
          <w:rFonts w:ascii="仿宋_GB2312" w:hAnsi="仿宋_GB2312" w:eastAsia="仿宋_GB2312"/>
          <w:b w:val="0"/>
          <w:sz w:val="32"/>
        </w:rPr>
        <w:t>其中：本年支出合计381.55万元，结余分配0.00万元，年末结转和结余0.00万元。</w:t>
      </w:r>
    </w:p>
    <w:p w14:paraId="161D9B9B">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增加19.69万元，增长5.44%，主要原因是：本年在职人员增加，相关人员经费增加。</w:t>
      </w:r>
    </w:p>
    <w:p w14:paraId="77C8F9C0">
      <w:pPr>
        <w:spacing w:line="640" w:lineRule="exact"/>
        <w:ind w:firstLine="640"/>
        <w:jc w:val="both"/>
        <w:outlineLvl w:val="2"/>
      </w:pPr>
      <w:r>
        <w:rPr>
          <w:rFonts w:ascii="黑体" w:hAnsi="黑体" w:eastAsia="黑体"/>
          <w:sz w:val="32"/>
        </w:rPr>
        <w:t>二、收入决算情况说明</w:t>
      </w:r>
    </w:p>
    <w:p w14:paraId="14E477CC">
      <w:pPr>
        <w:spacing w:line="580" w:lineRule="exact"/>
        <w:ind w:firstLine="640"/>
        <w:jc w:val="both"/>
      </w:pPr>
      <w:r>
        <w:rPr>
          <w:rFonts w:ascii="仿宋_GB2312" w:hAnsi="仿宋_GB2312" w:eastAsia="仿宋_GB2312"/>
          <w:b/>
          <w:sz w:val="32"/>
        </w:rPr>
        <w:t>本年收入381.55万元，</w:t>
      </w:r>
      <w:r>
        <w:rPr>
          <w:rFonts w:ascii="仿宋_GB2312" w:hAnsi="仿宋_GB2312" w:eastAsia="仿宋_GB2312"/>
          <w:b w:val="0"/>
          <w:sz w:val="32"/>
        </w:rPr>
        <w:t>其中：财政拨款收入381.55万元，占100.00%；上级补助收入0.00万元，占0.00%；事业收入0.00万元，占0.00%；经营收入0.00万元，占0.00%；附属单位上缴收入0.00万元，占0.00%；其他收入0.00万元，占0.00%。</w:t>
      </w:r>
    </w:p>
    <w:p w14:paraId="2B78AFB6">
      <w:pPr>
        <w:spacing w:line="640" w:lineRule="exact"/>
        <w:ind w:firstLine="640"/>
        <w:jc w:val="both"/>
        <w:outlineLvl w:val="2"/>
      </w:pPr>
      <w:r>
        <w:rPr>
          <w:rFonts w:ascii="黑体" w:hAnsi="黑体" w:eastAsia="黑体"/>
          <w:sz w:val="32"/>
        </w:rPr>
        <w:t>三、支出决算情况说明</w:t>
      </w:r>
    </w:p>
    <w:p w14:paraId="20B7CDA5">
      <w:pPr>
        <w:spacing w:line="580" w:lineRule="exact"/>
        <w:ind w:firstLine="640"/>
        <w:jc w:val="both"/>
      </w:pPr>
      <w:r>
        <w:rPr>
          <w:rFonts w:ascii="仿宋_GB2312" w:hAnsi="仿宋_GB2312" w:eastAsia="仿宋_GB2312"/>
          <w:b/>
          <w:sz w:val="32"/>
        </w:rPr>
        <w:t>本年支出381.55万元，</w:t>
      </w:r>
      <w:r>
        <w:rPr>
          <w:rFonts w:ascii="仿宋_GB2312" w:hAnsi="仿宋_GB2312" w:eastAsia="仿宋_GB2312"/>
          <w:b w:val="0"/>
          <w:sz w:val="32"/>
        </w:rPr>
        <w:t>其中：基本支出381.55万元，占100.00%；项目支出0.00万元，占0.00%；上缴上级支出0.00万元，占0.00%；经营支出0.00万元，占0.00%；对附属单位补助支出0.00万元，占0.00%。</w:t>
      </w:r>
    </w:p>
    <w:p w14:paraId="64F73991">
      <w:pPr>
        <w:spacing w:line="640" w:lineRule="exact"/>
        <w:ind w:firstLine="640"/>
        <w:jc w:val="both"/>
        <w:outlineLvl w:val="2"/>
      </w:pPr>
      <w:r>
        <w:rPr>
          <w:rFonts w:ascii="黑体" w:hAnsi="黑体" w:eastAsia="黑体"/>
          <w:sz w:val="32"/>
        </w:rPr>
        <w:t>四、财政拨款收入支出决算总体情况说明</w:t>
      </w:r>
    </w:p>
    <w:p w14:paraId="6B038169">
      <w:pPr>
        <w:spacing w:line="580" w:lineRule="exact"/>
        <w:ind w:firstLine="640"/>
        <w:jc w:val="both"/>
      </w:pPr>
      <w:r>
        <w:rPr>
          <w:rFonts w:ascii="仿宋_GB2312" w:hAnsi="仿宋_GB2312" w:eastAsia="仿宋_GB2312"/>
          <w:b/>
          <w:sz w:val="32"/>
        </w:rPr>
        <w:t>2025年度财政拨款收入总计381.55万元，</w:t>
      </w:r>
      <w:r>
        <w:rPr>
          <w:rFonts w:ascii="仿宋_GB2312" w:hAnsi="仿宋_GB2312" w:eastAsia="仿宋_GB2312"/>
          <w:b w:val="0"/>
          <w:sz w:val="32"/>
        </w:rPr>
        <w:t>其中：年初财政拨款结转和结余0.00万元，本年财政拨款收入381.55万元。</w:t>
      </w:r>
      <w:r>
        <w:rPr>
          <w:rFonts w:ascii="仿宋_GB2312" w:hAnsi="仿宋_GB2312" w:eastAsia="仿宋_GB2312"/>
          <w:b/>
          <w:sz w:val="32"/>
        </w:rPr>
        <w:t>财政拨款支出总计381.55万元，</w:t>
      </w:r>
      <w:r>
        <w:rPr>
          <w:rFonts w:ascii="仿宋_GB2312" w:hAnsi="仿宋_GB2312" w:eastAsia="仿宋_GB2312"/>
          <w:b w:val="0"/>
          <w:sz w:val="32"/>
        </w:rPr>
        <w:t>其中：年末财政拨款结转和结余0.00万元，本年财政拨款支出381.55万元。</w:t>
      </w:r>
    </w:p>
    <w:p w14:paraId="3142E4F5">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增加19.69万元，增长5.44%，主要原因是：本年在职人员增加，相关人员经费增加。</w:t>
      </w:r>
      <w:r>
        <w:rPr>
          <w:rFonts w:ascii="仿宋_GB2312" w:hAnsi="仿宋_GB2312" w:eastAsia="仿宋_GB2312"/>
          <w:b/>
          <w:sz w:val="32"/>
        </w:rPr>
        <w:t>与年初预算相比，</w:t>
      </w:r>
      <w:r>
        <w:rPr>
          <w:rFonts w:ascii="仿宋_GB2312" w:hAnsi="仿宋_GB2312" w:eastAsia="仿宋_GB2312"/>
          <w:b w:val="0"/>
          <w:sz w:val="32"/>
        </w:rPr>
        <w:t>年初预算数333.18万元，决算数381.55万元，预决算差异率14.52%，主要原因是：本年在职人员增加，年中追加人员经费及人员工资、社保、公积金基数调增部分资金，导致预决算存在差异。</w:t>
      </w:r>
    </w:p>
    <w:p w14:paraId="2C0D2ADC">
      <w:pPr>
        <w:spacing w:line="640" w:lineRule="exact"/>
        <w:ind w:firstLine="640"/>
        <w:jc w:val="both"/>
        <w:outlineLvl w:val="2"/>
      </w:pPr>
      <w:r>
        <w:rPr>
          <w:rFonts w:ascii="黑体" w:hAnsi="黑体" w:eastAsia="黑体"/>
          <w:sz w:val="32"/>
        </w:rPr>
        <w:t>五、一般公共预算财政拨款支出决算情况说明</w:t>
      </w:r>
    </w:p>
    <w:p w14:paraId="0B668EB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社会保障等重点支出，体现在有关支出科目中。</w:t>
      </w:r>
    </w:p>
    <w:p w14:paraId="230787CC">
      <w:pPr>
        <w:spacing w:line="580" w:lineRule="exact"/>
        <w:ind w:firstLine="640"/>
        <w:jc w:val="both"/>
      </w:pPr>
      <w:r>
        <w:rPr>
          <w:rFonts w:ascii="仿宋_GB2312" w:hAnsi="仿宋_GB2312" w:eastAsia="仿宋_GB2312"/>
          <w:b w:val="0"/>
          <w:sz w:val="32"/>
        </w:rPr>
        <w:t>按照支出功能分类，一般公共服务支出（类）政府办公厅（室）及相关机构事务（款）事业运行（项）的支出占本年财政拨款支出总额的比重最高，2025年度决算数为281.63万元，占比73.81%，主要用于人员工资福利、日常公用经费等。</w:t>
      </w:r>
    </w:p>
    <w:p w14:paraId="1C464EAB">
      <w:pPr>
        <w:spacing w:line="640" w:lineRule="exact"/>
        <w:ind w:firstLine="640"/>
        <w:jc w:val="both"/>
        <w:outlineLvl w:val="3"/>
      </w:pPr>
      <w:r>
        <w:rPr>
          <w:rFonts w:ascii="楷体_GB2312" w:hAnsi="楷体_GB2312" w:eastAsia="楷体_GB2312"/>
          <w:b/>
          <w:sz w:val="32"/>
        </w:rPr>
        <w:t>（一）一般公共预算财政拨款支出决算总体情况</w:t>
      </w:r>
    </w:p>
    <w:p w14:paraId="4B7BA14D">
      <w:pPr>
        <w:spacing w:line="580" w:lineRule="exact"/>
        <w:ind w:firstLine="640"/>
        <w:jc w:val="both"/>
      </w:pPr>
      <w:r>
        <w:rPr>
          <w:rFonts w:ascii="仿宋_GB2312" w:hAnsi="仿宋_GB2312" w:eastAsia="仿宋_GB2312"/>
          <w:b/>
          <w:sz w:val="32"/>
        </w:rPr>
        <w:t>2025年度一般公共预算财政拨款支出381.55万元，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增加19.69万元，增长5.44%，主要原因是：本年在职人员增加，相关人员经费增加。</w:t>
      </w:r>
      <w:r>
        <w:rPr>
          <w:rFonts w:ascii="仿宋_GB2312" w:hAnsi="仿宋_GB2312" w:eastAsia="仿宋_GB2312"/>
          <w:b/>
          <w:sz w:val="32"/>
        </w:rPr>
        <w:t>与年初预算相比，</w:t>
      </w:r>
      <w:r>
        <w:rPr>
          <w:rFonts w:ascii="仿宋_GB2312" w:hAnsi="仿宋_GB2312" w:eastAsia="仿宋_GB2312"/>
          <w:b w:val="0"/>
          <w:sz w:val="32"/>
        </w:rPr>
        <w:t>年初预算数333.18万元，决算数381.55万元，预决算差异率14.52%，主要原因是：本年在职人员增加，年中追加人员经费及人员工资、社保、公积金基数调增部分资金，导致预决算存在差异。</w:t>
      </w:r>
    </w:p>
    <w:p w14:paraId="24C2F78A">
      <w:pPr>
        <w:spacing w:line="640" w:lineRule="exact"/>
        <w:ind w:firstLine="640"/>
        <w:jc w:val="both"/>
        <w:outlineLvl w:val="3"/>
      </w:pPr>
      <w:r>
        <w:rPr>
          <w:rFonts w:ascii="楷体_GB2312" w:hAnsi="楷体_GB2312" w:eastAsia="楷体_GB2312"/>
          <w:b/>
          <w:sz w:val="32"/>
        </w:rPr>
        <w:t>（二）一般公共预算财政拨款支出决算结构情况</w:t>
      </w:r>
    </w:p>
    <w:p w14:paraId="776C2381">
      <w:pPr>
        <w:spacing w:line="580" w:lineRule="exact"/>
        <w:ind w:firstLine="640"/>
        <w:jc w:val="both"/>
      </w:pPr>
      <w:r>
        <w:rPr>
          <w:rFonts w:ascii="仿宋_GB2312" w:hAnsi="仿宋_GB2312" w:eastAsia="仿宋_GB2312"/>
          <w:b w:val="0"/>
          <w:sz w:val="32"/>
        </w:rPr>
        <w:t>1.一般公共服务支出（类）281.63万元，占73.81%。</w:t>
      </w:r>
    </w:p>
    <w:p w14:paraId="4CEAA94F">
      <w:pPr>
        <w:spacing w:line="580" w:lineRule="exact"/>
        <w:ind w:firstLine="640"/>
        <w:jc w:val="both"/>
      </w:pPr>
      <w:r>
        <w:rPr>
          <w:rFonts w:ascii="仿宋_GB2312" w:hAnsi="仿宋_GB2312" w:eastAsia="仿宋_GB2312"/>
          <w:b w:val="0"/>
          <w:sz w:val="32"/>
        </w:rPr>
        <w:t>2.社会保障和就业支出（类）50.02万元，占13.11%。</w:t>
      </w:r>
    </w:p>
    <w:p w14:paraId="4D15F233">
      <w:pPr>
        <w:spacing w:line="580" w:lineRule="exact"/>
        <w:ind w:firstLine="640"/>
        <w:jc w:val="both"/>
      </w:pPr>
      <w:r>
        <w:rPr>
          <w:rFonts w:ascii="仿宋_GB2312" w:hAnsi="仿宋_GB2312" w:eastAsia="仿宋_GB2312"/>
          <w:b w:val="0"/>
          <w:sz w:val="32"/>
        </w:rPr>
        <w:t>3.卫生健康支出（类）17.79万元，占4.66%。</w:t>
      </w:r>
    </w:p>
    <w:p w14:paraId="1818EBC9">
      <w:pPr>
        <w:spacing w:line="580" w:lineRule="exact"/>
        <w:ind w:firstLine="640"/>
        <w:jc w:val="both"/>
      </w:pPr>
      <w:r>
        <w:rPr>
          <w:rFonts w:ascii="仿宋_GB2312" w:hAnsi="仿宋_GB2312" w:eastAsia="仿宋_GB2312"/>
          <w:b w:val="0"/>
          <w:sz w:val="32"/>
        </w:rPr>
        <w:t>4.住房保障支出（类）32.12万元，占8.42%。</w:t>
      </w:r>
    </w:p>
    <w:p w14:paraId="62AEB245">
      <w:pPr>
        <w:spacing w:line="640" w:lineRule="exact"/>
        <w:ind w:firstLine="640"/>
        <w:jc w:val="both"/>
        <w:outlineLvl w:val="3"/>
      </w:pPr>
      <w:r>
        <w:rPr>
          <w:rFonts w:ascii="楷体_GB2312" w:hAnsi="楷体_GB2312" w:eastAsia="楷体_GB2312"/>
          <w:b/>
          <w:sz w:val="32"/>
        </w:rPr>
        <w:t>（三）一般公共预算财政拨款支出决算具体情况</w:t>
      </w:r>
    </w:p>
    <w:p w14:paraId="2373DA43">
      <w:pPr>
        <w:spacing w:line="580" w:lineRule="exact"/>
        <w:ind w:firstLine="640"/>
        <w:jc w:val="both"/>
      </w:pPr>
      <w:r>
        <w:rPr>
          <w:rFonts w:ascii="仿宋_GB2312" w:hAnsi="仿宋_GB2312" w:eastAsia="仿宋_GB2312"/>
          <w:b w:val="0"/>
          <w:sz w:val="32"/>
        </w:rPr>
        <w:t>1.一般公共服务支出（类）政府办公厅（室）及相关机构事务（款）事业运行（项）：支出决算数为281.63万元，比上年决算增加18.78万元，增长7.14%，主要原因是：本年新增在职人员，人员经费增加，导致经费较上年有所增加。</w:t>
      </w:r>
    </w:p>
    <w:p w14:paraId="11292942">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2.社会保障和就业支出（类）行政事业单位养老支出（款）事业单位离退休（项）：支出决算数为0.19万元，比上年决算减少1.06万元，下降84.80%，主要原因是：本年退休人员自然减员，退休费支出较上年减少。</w:t>
      </w:r>
    </w:p>
    <w:p w14:paraId="054ABC7D">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33.22万元，比上年决算减少1.08万元，下降3.15%，主要原因是：本年在职人员调入调出，人员职级不同，缴费基数不同，导致养老保险缴费较上年减少。</w:t>
      </w:r>
    </w:p>
    <w:p w14:paraId="1286F964">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16.61万元，比上年决算减少0.54万元，下降3.15%，主要原因是：本年新增辞职调出人员较上年减少，职业年金缴费较上年减少。</w:t>
      </w:r>
    </w:p>
    <w:p w14:paraId="312DBD27">
      <w:pPr>
        <w:spacing w:line="580" w:lineRule="exact"/>
        <w:ind w:firstLine="640"/>
        <w:jc w:val="both"/>
      </w:pPr>
      <w:r>
        <w:rPr>
          <w:rFonts w:ascii="仿宋_GB2312" w:hAnsi="仿宋_GB2312" w:eastAsia="仿宋_GB2312"/>
          <w:b w:val="0"/>
          <w:sz w:val="32"/>
        </w:rPr>
        <w:t>5.卫生健康支出（类）行政事业单位医疗（款）事业单位医疗（项）：支出决算数为16.61万元，比上年决算减少0.54万元，下降3.15%，主要原因是：本年在职人员调入调出，人员职级不同，缴费基数不同，导致事业单位医疗支出较上年减少。</w:t>
      </w:r>
    </w:p>
    <w:p w14:paraId="7BCA28F5">
      <w:pPr>
        <w:spacing w:line="580" w:lineRule="exact"/>
        <w:ind w:firstLine="640"/>
        <w:jc w:val="both"/>
      </w:pPr>
      <w:r>
        <w:rPr>
          <w:rFonts w:ascii="仿宋_GB2312" w:hAnsi="仿宋_GB2312" w:eastAsia="仿宋_GB2312"/>
          <w:b w:val="0"/>
          <w:sz w:val="32"/>
        </w:rPr>
        <w:t>6.卫生健康支出（类）行政事业单位医疗（款）公务员医疗补助（项）：支出决算数为1.04万元，比上年决算减少0.03万元，下降2.80%，主要原因是：本年在职人员调入调出，人员职级不同，缴费基数不同，导致公务员医疗补助较上年减少。</w:t>
      </w:r>
    </w:p>
    <w:p w14:paraId="79209D05">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7.卫生健康支出（类）行政事业单位医疗（款）其他行政事业单位医疗支出（项）：支出决算数为0.14万元，比上年决算增加0.00万元，增长0.00%，主要原因是：本年大病医疗保险缴费与上年一致无变化。</w:t>
      </w:r>
    </w:p>
    <w:p w14:paraId="688B579F">
      <w:pPr>
        <w:spacing w:line="580" w:lineRule="exact"/>
        <w:ind w:firstLine="640"/>
        <w:jc w:val="both"/>
      </w:pPr>
      <w:r>
        <w:rPr>
          <w:rFonts w:ascii="仿宋_GB2312" w:hAnsi="仿宋_GB2312" w:eastAsia="仿宋_GB2312"/>
          <w:b w:val="0"/>
          <w:sz w:val="32"/>
        </w:rPr>
        <w:t>8.住房保障支出（类）住房改革支出（款）住房公积金（项）：支出决算数为32.12万元，比上年决算增加4.18万元，增长14.96%，主要原因是：本年在职人员增加，住房公积金支出较上年增加。</w:t>
      </w:r>
    </w:p>
    <w:p w14:paraId="3C9DF37F">
      <w:pPr>
        <w:spacing w:line="640" w:lineRule="exact"/>
        <w:ind w:firstLine="640"/>
        <w:jc w:val="both"/>
        <w:outlineLvl w:val="2"/>
      </w:pPr>
      <w:r>
        <w:rPr>
          <w:rFonts w:ascii="黑体" w:hAnsi="黑体" w:eastAsia="黑体"/>
          <w:sz w:val="32"/>
        </w:rPr>
        <w:t>六、一般公共预算财政拨款基本支出决算情况说明</w:t>
      </w:r>
    </w:p>
    <w:p w14:paraId="6D952C38">
      <w:pPr>
        <w:spacing w:line="580" w:lineRule="exact"/>
        <w:ind w:firstLine="640"/>
        <w:jc w:val="both"/>
      </w:pPr>
      <w:r>
        <w:rPr>
          <w:rFonts w:ascii="仿宋_GB2312" w:hAnsi="仿宋_GB2312" w:eastAsia="仿宋_GB2312"/>
          <w:b w:val="0"/>
          <w:sz w:val="32"/>
        </w:rPr>
        <w:t>2025年度一般公共预算财政拨款基本支出381.55万元，其中：</w:t>
      </w:r>
      <w:r>
        <w:rPr>
          <w:rFonts w:ascii="仿宋_GB2312" w:hAnsi="仿宋_GB2312" w:eastAsia="仿宋_GB2312"/>
          <w:b/>
          <w:sz w:val="32"/>
        </w:rPr>
        <w:t>人员经费355.44万元，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4E7C1EBE">
      <w:pPr>
        <w:spacing w:line="580" w:lineRule="exact"/>
        <w:ind w:firstLine="640"/>
        <w:jc w:val="both"/>
      </w:pPr>
      <w:r>
        <w:rPr>
          <w:rFonts w:ascii="仿宋_GB2312" w:hAnsi="仿宋_GB2312" w:eastAsia="仿宋_GB2312"/>
          <w:b/>
          <w:sz w:val="32"/>
        </w:rPr>
        <w:t>公用经费26.11万元，</w:t>
      </w:r>
      <w:r>
        <w:rPr>
          <w:rFonts w:ascii="仿宋_GB2312" w:hAnsi="仿宋_GB2312" w:eastAsia="仿宋_GB2312"/>
          <w:b w:val="0"/>
          <w:sz w:val="32"/>
        </w:rPr>
        <w:t>包括：办公费、印刷费、劳务费、工会经费、福利费、公务用车运行维护费、其他交通费用、其他商品和服务支出。</w:t>
      </w:r>
    </w:p>
    <w:p w14:paraId="22BD5DB9">
      <w:pPr>
        <w:spacing w:line="640" w:lineRule="exact"/>
        <w:ind w:firstLine="640"/>
        <w:jc w:val="both"/>
        <w:outlineLvl w:val="2"/>
      </w:pPr>
      <w:r>
        <w:rPr>
          <w:rFonts w:ascii="黑体" w:hAnsi="黑体" w:eastAsia="黑体"/>
          <w:sz w:val="32"/>
        </w:rPr>
        <w:t>七、政府性基金预算财政拨款收入支出决算情况说明</w:t>
      </w:r>
    </w:p>
    <w:p w14:paraId="599F4214">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6F59202">
      <w:pPr>
        <w:spacing w:line="640" w:lineRule="exact"/>
        <w:ind w:firstLine="640"/>
        <w:jc w:val="both"/>
        <w:outlineLvl w:val="2"/>
      </w:pPr>
      <w:r>
        <w:rPr>
          <w:rFonts w:ascii="黑体" w:hAnsi="黑体" w:eastAsia="黑体"/>
          <w:sz w:val="32"/>
        </w:rPr>
        <w:t>八、国有资本经营预算财政拨款收入支出决算情况说明</w:t>
      </w:r>
    </w:p>
    <w:p w14:paraId="6EBDA53D">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1824D56">
      <w:pPr>
        <w:spacing w:line="640" w:lineRule="exact"/>
        <w:ind w:firstLine="640"/>
        <w:jc w:val="both"/>
        <w:outlineLvl w:val="2"/>
      </w:pPr>
      <w:r>
        <w:rPr>
          <w:rFonts w:ascii="黑体" w:hAnsi="黑体" w:eastAsia="黑体"/>
          <w:sz w:val="32"/>
        </w:rPr>
        <w:t>九、财政拨款“三公”经费支出决算情况说明</w:t>
      </w:r>
    </w:p>
    <w:p w14:paraId="6CC990F9">
      <w:pPr>
        <w:spacing w:line="580" w:lineRule="exact"/>
        <w:ind w:firstLine="640"/>
        <w:jc w:val="both"/>
      </w:pPr>
      <w:r>
        <w:rPr>
          <w:rFonts w:ascii="仿宋_GB2312" w:hAnsi="仿宋_GB2312" w:eastAsia="仿宋_GB2312"/>
          <w:b/>
          <w:sz w:val="32"/>
        </w:rPr>
        <w:t>2025年度财政拨款“三公”经费支出2.80万元，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2.80万元，占100.00%，比上年增加0.00万元，增长0.00%，主要原因是：本单位公务用车购置及运行维护费与上年一致无变化。公务接待费支出0.00万元，占0.00%，比上年增加0.00万元，增长0.00%，主要原因是：2024年与2025年均无公务接待费支出。</w:t>
      </w:r>
    </w:p>
    <w:p w14:paraId="30DB8BC4">
      <w:pPr>
        <w:spacing w:line="580" w:lineRule="exact"/>
        <w:ind w:firstLine="640"/>
        <w:jc w:val="both"/>
      </w:pPr>
      <w:r>
        <w:rPr>
          <w:rFonts w:ascii="仿宋_GB2312" w:hAnsi="仿宋_GB2312" w:eastAsia="仿宋_GB2312"/>
          <w:b/>
          <w:sz w:val="32"/>
        </w:rPr>
        <w:t>具体情况如下：</w:t>
      </w:r>
    </w:p>
    <w:p w14:paraId="4FB333A1">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3C615A5">
      <w:pPr>
        <w:spacing w:line="580" w:lineRule="exact"/>
        <w:ind w:firstLine="640"/>
        <w:jc w:val="both"/>
      </w:pPr>
      <w:r>
        <w:rPr>
          <w:rFonts w:ascii="仿宋_GB2312" w:hAnsi="仿宋_GB2312" w:eastAsia="仿宋_GB2312"/>
          <w:b w:val="0"/>
          <w:sz w:val="32"/>
        </w:rPr>
        <w:t>公务用车购置及运行维护费2.80万元，其中：公务用车购置费0.00万元，公务用车运行维护费2.80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14:paraId="06E99454">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64253114">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2.80万元，决算数2.80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2.80万元，决算数2.80万元，预决算差异率0.00%，主要原因是：严格按照预算执行，预决算无差异。公务接待费全年预算数0.00万元，决算数0.00万元，预决算差异率0.00%，主要原因是：本单位无公务接待费。</w:t>
      </w:r>
    </w:p>
    <w:p w14:paraId="556A8AC9">
      <w:pPr>
        <w:spacing w:line="640" w:lineRule="exact"/>
        <w:ind w:firstLine="640"/>
        <w:jc w:val="both"/>
        <w:outlineLvl w:val="2"/>
      </w:pPr>
      <w:r>
        <w:rPr>
          <w:rFonts w:ascii="黑体" w:hAnsi="黑体" w:eastAsia="黑体"/>
          <w:sz w:val="32"/>
        </w:rPr>
        <w:t>十、其他重要事项的情况说明</w:t>
      </w:r>
    </w:p>
    <w:p w14:paraId="1A017DEA">
      <w:pPr>
        <w:spacing w:line="640" w:lineRule="exact"/>
        <w:ind w:firstLine="640"/>
        <w:jc w:val="both"/>
        <w:outlineLvl w:val="3"/>
      </w:pPr>
      <w:r>
        <w:rPr>
          <w:rFonts w:ascii="楷体_GB2312" w:hAnsi="楷体_GB2312" w:eastAsia="楷体_GB2312"/>
          <w:b/>
          <w:sz w:val="32"/>
        </w:rPr>
        <w:t>（一）机关运行经费及公用经费支出情况</w:t>
      </w:r>
    </w:p>
    <w:p w14:paraId="4EF67CAC">
      <w:pPr>
        <w:spacing w:line="580" w:lineRule="exact"/>
        <w:ind w:firstLine="640"/>
        <w:jc w:val="both"/>
      </w:pPr>
      <w:r>
        <w:rPr>
          <w:rFonts w:ascii="仿宋_GB2312" w:hAnsi="仿宋_GB2312" w:eastAsia="仿宋_GB2312"/>
          <w:b w:val="0"/>
          <w:sz w:val="32"/>
        </w:rPr>
        <w:t>2025年度昌吉回族自治州乡村振兴综合保障中心（事业单位）公用经费支出26.11万元，比上年减少1.03万元，下降3.80%，主要原因是：严格落实过紧日子要求，控制公用经费，合理节约办公用品，减少不必要开支。</w:t>
      </w:r>
    </w:p>
    <w:p w14:paraId="79944BCE">
      <w:pPr>
        <w:spacing w:line="640" w:lineRule="exact"/>
        <w:ind w:firstLine="640"/>
        <w:jc w:val="both"/>
        <w:outlineLvl w:val="3"/>
      </w:pPr>
      <w:r>
        <w:rPr>
          <w:rFonts w:ascii="楷体_GB2312" w:hAnsi="楷体_GB2312" w:eastAsia="楷体_GB2312"/>
          <w:b/>
          <w:sz w:val="32"/>
        </w:rPr>
        <w:t>（二）政府采购情况</w:t>
      </w:r>
    </w:p>
    <w:p w14:paraId="08864D37">
      <w:pPr>
        <w:spacing w:line="580" w:lineRule="exact"/>
        <w:ind w:firstLine="640"/>
        <w:jc w:val="both"/>
      </w:pPr>
      <w:r>
        <w:rPr>
          <w:rFonts w:ascii="仿宋_GB2312" w:hAnsi="仿宋_GB2312" w:eastAsia="仿宋_GB2312"/>
          <w:b w:val="0"/>
          <w:sz w:val="32"/>
        </w:rPr>
        <w:t>2025年度政府采购支出总额0.00万元，其中：政府采购货物支出0.00万元、政府采购工程支出0.00万元、政府采购服务支出0.00万元。</w:t>
      </w:r>
    </w:p>
    <w:p w14:paraId="1E4E0ACE">
      <w:pPr>
        <w:spacing w:line="580" w:lineRule="exact"/>
        <w:ind w:firstLine="640"/>
        <w:jc w:val="both"/>
      </w:pPr>
      <w:r>
        <w:rPr>
          <w:rFonts w:ascii="仿宋_GB2312" w:hAnsi="仿宋_GB2312" w:eastAsia="仿宋_GB2312"/>
          <w:b w:val="0"/>
          <w:sz w:val="32"/>
        </w:rPr>
        <w:t>授予中小企业合同金额0.00万元，占政府采购支出总额的0.00%，其中：授予小微企业合同金额0.00万元，占政府采购支出总额的0.00%。</w:t>
      </w:r>
    </w:p>
    <w:p w14:paraId="2740A5AF">
      <w:pPr>
        <w:spacing w:line="640" w:lineRule="exact"/>
        <w:ind w:firstLine="640"/>
        <w:jc w:val="both"/>
        <w:outlineLvl w:val="3"/>
      </w:pPr>
      <w:r>
        <w:rPr>
          <w:rFonts w:ascii="楷体_GB2312" w:hAnsi="楷体_GB2312" w:eastAsia="楷体_GB2312"/>
          <w:b/>
          <w:sz w:val="32"/>
        </w:rPr>
        <w:t>（三）国有资产占用情况说明</w:t>
      </w:r>
    </w:p>
    <w:p w14:paraId="6B63D247">
      <w:pPr>
        <w:spacing w:line="580" w:lineRule="exact"/>
        <w:ind w:firstLine="640"/>
        <w:jc w:val="both"/>
      </w:pPr>
      <w:r>
        <w:rPr>
          <w:rFonts w:ascii="仿宋_GB2312" w:hAnsi="仿宋_GB2312" w:eastAsia="仿宋_GB2312"/>
          <w:b w:val="0"/>
          <w:sz w:val="32"/>
        </w:rPr>
        <w:t>截至2025年12月31日，房屋0.00平方米，价值0.00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321950F9">
      <w:pPr>
        <w:spacing w:line="640" w:lineRule="exact"/>
        <w:ind w:firstLine="640"/>
        <w:jc w:val="both"/>
        <w:outlineLvl w:val="2"/>
      </w:pPr>
      <w:r>
        <w:rPr>
          <w:rFonts w:ascii="黑体" w:hAnsi="黑体" w:eastAsia="黑体"/>
          <w:sz w:val="32"/>
        </w:rPr>
        <w:t>十一、预算绩效的情况说明</w:t>
      </w:r>
    </w:p>
    <w:p w14:paraId="26C684ED">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381.55万元，实际执行总额381.55万元；预算绩效评价项目0个，全年预算数0.00万元，全年执行数0.00万元。预算绩效管理取得的成效：一是制度建设完全，严格执行相关制度，经费到位及时，项目资金按计划使用，严格按照预算管理规定开支。二是严格坚持先做事、后验收、再拨付的原则，基本杜绝了资金被挤占和挪用现象的发生。三是跟踪检查到位。财政、纪检、监察等职能部门全面参与专项资金事前、事中和事后全过程的监管。在监督环节上，实行关口前移，从事后监督管理转向事前审核，事中监督和事后检查稽核相结合的监督制度上来，形成多环节全过程的监督管理格局，尽量早发现问题，早解决问题，避免和减少损失，提高资金使用效益。发现的问题及原因：一是绩效管理经验不足，效管理全面实行，相关工作人员经验、知识及业务有待于提升；二是健全财政绩效评价指标体系，加强工作人员的业务培训和财政绩效管理信息化建设，加大绩效评价结果的运用。下一步改进措施：一是继续加强《中华人民共和国预算法》及《预算法实施条例》的宣传、学习贯彻力度。科学合理编制预算，要做好编制前的调查研究和分析工作，进一步提高预算的准确性和科学性，减少预算编制的随意性。二是加大预算绩效管理学习力度，贯彻落实相关办法及制度。以提高工作人员素质，以达到预算绩效管理标准化、常态化的要求，最终实现提高绩效管理工作效率及质量的目标；三是财政和项目实施单位严格实行“三专”管理，即设专户、建专帐、定专人。本年度，我单位能较好的完成财政预算，在资金使用过程中，严格按照有关文件规定，明确了资金的使用范围，加强资金管理和用途开支，及时发现并纠正存在的问题。做到专款专用，确保项目资金的有效有序使用。具体附整体支出绩效自评表。</w:t>
      </w:r>
    </w:p>
    <w:p w14:paraId="58E6DE01">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2969F556">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04C6E28">
            <w:pPr>
              <w:spacing w:before="0" w:after="0" w:line="240" w:lineRule="auto"/>
              <w:jc w:val="center"/>
            </w:pPr>
            <w:r>
              <w:rPr>
                <w:rFonts w:ascii="宋体" w:hAnsi="宋体" w:eastAsia="宋体" w:cs="宋体"/>
                <w:b w:val="0"/>
                <w:i w:val="0"/>
                <w:sz w:val="18"/>
              </w:rPr>
              <w:t>部门（单位）整体支出绩效目标自评表</w:t>
            </w:r>
          </w:p>
        </w:tc>
      </w:tr>
      <w:tr w14:paraId="4232C8E6">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0CC2277">
            <w:pPr>
              <w:spacing w:before="0" w:after="0" w:line="240" w:lineRule="auto"/>
              <w:jc w:val="center"/>
            </w:pPr>
            <w:r>
              <w:rPr>
                <w:rFonts w:ascii="宋体" w:hAnsi="宋体" w:eastAsia="宋体" w:cs="宋体"/>
                <w:b w:val="0"/>
                <w:i w:val="0"/>
                <w:sz w:val="18"/>
              </w:rPr>
              <w:t>（2025年度）</w:t>
            </w:r>
          </w:p>
        </w:tc>
      </w:tr>
      <w:tr w14:paraId="055515A4">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667ED6">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8393EBA">
            <w:pPr>
              <w:spacing w:before="0" w:after="0" w:line="240" w:lineRule="auto"/>
              <w:jc w:val="center"/>
            </w:pPr>
            <w:r>
              <w:rPr>
                <w:rFonts w:ascii="宋体" w:hAnsi="宋体" w:eastAsia="宋体" w:cs="宋体"/>
                <w:b w:val="0"/>
                <w:i w:val="0"/>
                <w:sz w:val="18"/>
              </w:rPr>
              <w:t>昌吉回族自治州乡村振兴综合保障中心</w:t>
            </w:r>
          </w:p>
        </w:tc>
      </w:tr>
      <w:tr w14:paraId="1AEB612D">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29C995">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D1CD75">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A99031">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5F46E8">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F42ACA">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9B3611">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E0E491">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BE3679">
            <w:pPr>
              <w:spacing w:before="0" w:after="0" w:line="240" w:lineRule="auto"/>
              <w:jc w:val="center"/>
            </w:pPr>
            <w:r>
              <w:rPr>
                <w:rFonts w:ascii="宋体" w:hAnsi="宋体" w:eastAsia="宋体" w:cs="宋体"/>
                <w:b w:val="0"/>
                <w:i w:val="0"/>
                <w:sz w:val="18"/>
              </w:rPr>
              <w:t>得分</w:t>
            </w:r>
          </w:p>
        </w:tc>
      </w:tr>
      <w:tr w14:paraId="783BAA5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CF87D9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4B6752">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2307F7">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94C2F1">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EC2A8D">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381CB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80C66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231C03">
            <w:pPr>
              <w:spacing w:before="0" w:after="0" w:line="240" w:lineRule="auto"/>
              <w:jc w:val="center"/>
            </w:pPr>
            <w:r>
              <w:rPr>
                <w:rFonts w:ascii="宋体" w:hAnsi="宋体" w:eastAsia="宋体" w:cs="宋体"/>
                <w:b w:val="0"/>
                <w:i w:val="0"/>
                <w:sz w:val="18"/>
              </w:rPr>
              <w:t>-</w:t>
            </w:r>
          </w:p>
        </w:tc>
      </w:tr>
      <w:tr w14:paraId="08B3EF2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C65C7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DEC06B">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11A72D">
            <w:pPr>
              <w:spacing w:before="0" w:after="0" w:line="240" w:lineRule="auto"/>
              <w:jc w:val="center"/>
            </w:pPr>
            <w:r>
              <w:rPr>
                <w:rFonts w:ascii="宋体" w:hAnsi="宋体" w:eastAsia="宋体" w:cs="宋体"/>
                <w:b w:val="0"/>
                <w:i w:val="0"/>
                <w:sz w:val="18"/>
              </w:rPr>
              <w:t>333.18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88A1DC">
            <w:pPr>
              <w:spacing w:before="0" w:after="0" w:line="240" w:lineRule="auto"/>
              <w:jc w:val="center"/>
            </w:pPr>
            <w:r>
              <w:rPr>
                <w:rFonts w:ascii="宋体" w:hAnsi="宋体" w:eastAsia="宋体" w:cs="宋体"/>
                <w:b w:val="0"/>
                <w:i w:val="0"/>
                <w:sz w:val="18"/>
              </w:rPr>
              <w:t>381.55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A1517B">
            <w:pPr>
              <w:spacing w:before="0" w:after="0" w:line="240" w:lineRule="auto"/>
              <w:jc w:val="center"/>
            </w:pPr>
            <w:r>
              <w:rPr>
                <w:rFonts w:ascii="宋体" w:hAnsi="宋体" w:eastAsia="宋体" w:cs="宋体"/>
                <w:b w:val="0"/>
                <w:i w:val="0"/>
                <w:sz w:val="18"/>
              </w:rPr>
              <w:t>381.55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B5842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09041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EFBDDA">
            <w:pPr>
              <w:spacing w:before="0" w:after="0" w:line="240" w:lineRule="auto"/>
              <w:jc w:val="center"/>
            </w:pPr>
            <w:r>
              <w:rPr>
                <w:rFonts w:ascii="宋体" w:hAnsi="宋体" w:eastAsia="宋体" w:cs="宋体"/>
                <w:b w:val="0"/>
                <w:i w:val="0"/>
                <w:sz w:val="18"/>
              </w:rPr>
              <w:t>-</w:t>
            </w:r>
          </w:p>
        </w:tc>
      </w:tr>
      <w:tr w14:paraId="2E4C340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61BB3B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EA1C74">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F43929">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9ACB1C">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881C9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69470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D56FC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334644">
            <w:pPr>
              <w:spacing w:before="0" w:after="0" w:line="240" w:lineRule="auto"/>
              <w:jc w:val="center"/>
            </w:pPr>
            <w:r>
              <w:rPr>
                <w:rFonts w:ascii="宋体" w:hAnsi="宋体" w:eastAsia="宋体" w:cs="宋体"/>
                <w:b w:val="0"/>
                <w:i w:val="0"/>
                <w:sz w:val="18"/>
              </w:rPr>
              <w:t>-</w:t>
            </w:r>
          </w:p>
        </w:tc>
      </w:tr>
      <w:tr w14:paraId="36D2B9A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8812BC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72FD85">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DDF9D6">
            <w:pPr>
              <w:spacing w:before="0" w:after="0" w:line="240" w:lineRule="auto"/>
              <w:jc w:val="center"/>
            </w:pPr>
            <w:r>
              <w:rPr>
                <w:rFonts w:ascii="宋体" w:hAnsi="宋体" w:eastAsia="宋体" w:cs="宋体"/>
                <w:b w:val="0"/>
                <w:i w:val="0"/>
                <w:sz w:val="18"/>
              </w:rPr>
              <w:t>333.18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F469DE">
            <w:pPr>
              <w:spacing w:before="0" w:after="0" w:line="240" w:lineRule="auto"/>
              <w:jc w:val="center"/>
            </w:pPr>
            <w:r>
              <w:rPr>
                <w:rFonts w:ascii="宋体" w:hAnsi="宋体" w:eastAsia="宋体" w:cs="宋体"/>
                <w:b w:val="0"/>
                <w:i w:val="0"/>
                <w:sz w:val="18"/>
              </w:rPr>
              <w:t>381.55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942A79">
            <w:pPr>
              <w:spacing w:before="0" w:after="0" w:line="240" w:lineRule="auto"/>
              <w:jc w:val="center"/>
            </w:pPr>
            <w:r>
              <w:rPr>
                <w:rFonts w:ascii="宋体" w:hAnsi="宋体" w:eastAsia="宋体" w:cs="宋体"/>
                <w:b w:val="0"/>
                <w:i w:val="0"/>
                <w:sz w:val="18"/>
              </w:rPr>
              <w:t>381.55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8B410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24A355">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DF85EB">
            <w:pPr>
              <w:spacing w:before="0" w:after="0" w:line="240" w:lineRule="auto"/>
              <w:jc w:val="center"/>
            </w:pPr>
            <w:r>
              <w:rPr>
                <w:rFonts w:ascii="宋体" w:hAnsi="宋体" w:eastAsia="宋体" w:cs="宋体"/>
                <w:b w:val="0"/>
                <w:i w:val="0"/>
                <w:sz w:val="18"/>
              </w:rPr>
              <w:t>10</w:t>
            </w:r>
          </w:p>
        </w:tc>
      </w:tr>
      <w:tr w14:paraId="32C7C74F">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BA78D6">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A9CB57D">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918DD0">
            <w:pPr>
              <w:spacing w:before="0" w:after="0" w:line="240" w:lineRule="auto"/>
              <w:jc w:val="center"/>
            </w:pPr>
            <w:r>
              <w:rPr>
                <w:rFonts w:ascii="宋体" w:hAnsi="宋体" w:eastAsia="宋体" w:cs="宋体"/>
                <w:b w:val="0"/>
                <w:i w:val="0"/>
                <w:sz w:val="18"/>
              </w:rPr>
              <w:t>实际完成情况</w:t>
            </w:r>
          </w:p>
        </w:tc>
      </w:tr>
      <w:tr w14:paraId="56B098A7">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D5FA79"/>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2D7A448">
            <w:pPr>
              <w:spacing w:before="0" w:after="0" w:line="240" w:lineRule="auto"/>
              <w:jc w:val="center"/>
            </w:pPr>
            <w:r>
              <w:rPr>
                <w:rFonts w:ascii="宋体" w:hAnsi="宋体" w:eastAsia="宋体" w:cs="宋体"/>
                <w:b w:val="0"/>
                <w:i w:val="0"/>
                <w:sz w:val="18"/>
              </w:rPr>
              <w:t>乡村振兴综合保障中心将以产业兴旺、生态宜居、乡风文明、治理有效、生活富裕为总目标，全面推进乡村振兴各项工作，助力乡村经济社会高质量发展。落实</w:t>
            </w:r>
            <w:r>
              <w:rPr>
                <w:rFonts w:hint="eastAsia" w:ascii="宋体" w:hAnsi="宋体" w:cs="宋体"/>
                <w:b w:val="0"/>
                <w:i w:val="0"/>
                <w:sz w:val="18"/>
                <w:lang w:eastAsia="zh-CN"/>
              </w:rPr>
              <w:t>防止返贫监测帮扶机制</w:t>
            </w:r>
            <w:r>
              <w:rPr>
                <w:rFonts w:ascii="宋体" w:hAnsi="宋体" w:eastAsia="宋体" w:cs="宋体"/>
                <w:b w:val="0"/>
                <w:i w:val="0"/>
                <w:sz w:val="18"/>
              </w:rPr>
              <w:t>，做到应纳尽纳，应扶尽扶，动态清零，确保不发生一户返贫致贫。</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1EF5544">
            <w:pPr>
              <w:spacing w:before="0" w:after="0" w:line="240" w:lineRule="auto"/>
              <w:jc w:val="center"/>
            </w:pPr>
            <w:r>
              <w:rPr>
                <w:rFonts w:ascii="宋体" w:hAnsi="宋体" w:eastAsia="宋体" w:cs="宋体"/>
                <w:b w:val="0"/>
                <w:i w:val="0"/>
                <w:sz w:val="18"/>
              </w:rPr>
              <w:t>2025年我单位全年预算数为381.55万元，全年执行数为381.55万万元，总预算执行率为100% 。通过做好常态化精准帮扶、精准确定监测对象、强化就业帮扶机制、用好用足到户产业政策，全州未发生一户返贫致贫，帮扶资产综合收益率达7%，脱贫群众务工就业累计规模5710人，全面推进乡村振兴各项工作，助力了乡村经济社会高质量发展。</w:t>
            </w:r>
          </w:p>
        </w:tc>
      </w:tr>
      <w:tr w14:paraId="3DE50AA5">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362199">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097BEF">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64DC4A">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F644B1">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66FFD7">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4D32E2">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9154A3">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2C7E5B">
            <w:pPr>
              <w:keepNext/>
              <w:spacing w:before="0" w:after="0" w:line="240" w:lineRule="auto"/>
              <w:jc w:val="center"/>
            </w:pPr>
            <w:r>
              <w:rPr>
                <w:rFonts w:ascii="宋体" w:hAnsi="宋体" w:eastAsia="宋体" w:cs="宋体"/>
                <w:b w:val="0"/>
                <w:i w:val="0"/>
                <w:sz w:val="18"/>
              </w:rPr>
              <w:t>得分</w:t>
            </w:r>
          </w:p>
        </w:tc>
      </w:tr>
      <w:tr w14:paraId="040A8FB9">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35F559">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5025E7">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0826A5">
            <w:pPr>
              <w:spacing w:before="0" w:after="0" w:line="240" w:lineRule="auto"/>
              <w:jc w:val="center"/>
            </w:pPr>
            <w:r>
              <w:rPr>
                <w:rFonts w:ascii="宋体" w:hAnsi="宋体" w:eastAsia="宋体" w:cs="宋体"/>
                <w:b w:val="0"/>
                <w:i w:val="0"/>
                <w:sz w:val="18"/>
              </w:rPr>
              <w:t>确保不发生一户返贫致贫</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91AD96">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F1D2E0">
            <w:pPr>
              <w:spacing w:before="0" w:after="0" w:line="240" w:lineRule="auto"/>
              <w:jc w:val="center"/>
            </w:pPr>
            <w:r>
              <w:rPr>
                <w:rFonts w:ascii="宋体" w:hAnsi="宋体" w:eastAsia="宋体" w:cs="宋体"/>
                <w:b w:val="0"/>
                <w:i w:val="0"/>
                <w:sz w:val="18"/>
              </w:rPr>
              <w:t>关于印发《关于进一步完善防止返贫动态监测和帮扶机制实施方案》的通知、州农业农村局工作计划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88739B">
            <w:pPr>
              <w:spacing w:before="0" w:after="0" w:line="240" w:lineRule="auto"/>
              <w:jc w:val="center"/>
            </w:pPr>
            <w:r>
              <w:rPr>
                <w:rFonts w:ascii="宋体" w:hAnsi="宋体" w:eastAsia="宋体" w:cs="宋体"/>
                <w:b w:val="0"/>
                <w:i w:val="0"/>
                <w:sz w:val="18"/>
              </w:rPr>
              <w:t>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6AA81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029C3C">
            <w:pPr>
              <w:spacing w:before="0" w:after="0" w:line="240" w:lineRule="auto"/>
              <w:jc w:val="center"/>
            </w:pPr>
            <w:r>
              <w:rPr>
                <w:rFonts w:ascii="宋体" w:hAnsi="宋体" w:eastAsia="宋体" w:cs="宋体"/>
                <w:b w:val="0"/>
                <w:i w:val="0"/>
                <w:sz w:val="18"/>
              </w:rPr>
              <w:t>50</w:t>
            </w:r>
          </w:p>
        </w:tc>
      </w:tr>
      <w:tr w14:paraId="4C21F75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92EE0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D41C5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7F8113">
            <w:pPr>
              <w:spacing w:before="0" w:after="0" w:line="240" w:lineRule="auto"/>
              <w:jc w:val="center"/>
            </w:pPr>
            <w:r>
              <w:rPr>
                <w:rFonts w:ascii="宋体" w:hAnsi="宋体" w:eastAsia="宋体" w:cs="宋体"/>
                <w:b w:val="0"/>
                <w:i w:val="0"/>
                <w:sz w:val="18"/>
              </w:rPr>
              <w:t>帮扶资产综合收益率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120E68">
            <w:pPr>
              <w:spacing w:before="0" w:after="0" w:line="240" w:lineRule="auto"/>
              <w:jc w:val="center"/>
            </w:pPr>
            <w:r>
              <w:rPr>
                <w:rFonts w:ascii="宋体" w:hAnsi="宋体" w:eastAsia="宋体" w:cs="宋体"/>
                <w:b w:val="0"/>
                <w:i w:val="0"/>
                <w:sz w:val="18"/>
              </w:rPr>
              <w:t>&gt;=5%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31FEFE">
            <w:pPr>
              <w:spacing w:before="0" w:after="0" w:line="240" w:lineRule="auto"/>
              <w:jc w:val="center"/>
            </w:pPr>
            <w:r>
              <w:rPr>
                <w:rFonts w:ascii="宋体" w:hAnsi="宋体" w:eastAsia="宋体" w:cs="宋体"/>
                <w:b w:val="0"/>
                <w:i w:val="0"/>
                <w:sz w:val="18"/>
              </w:rPr>
              <w:t>州农业农村局工作计划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831514">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1CD104">
            <w:pPr>
              <w:spacing w:before="0" w:after="0" w:line="240" w:lineRule="auto"/>
              <w:jc w:val="center"/>
            </w:pPr>
            <w:r>
              <w:rPr>
                <w:rFonts w:ascii="宋体" w:hAnsi="宋体" w:eastAsia="宋体" w:cs="宋体"/>
                <w:b w:val="0"/>
                <w:i w:val="0"/>
                <w:sz w:val="18"/>
              </w:rPr>
              <w:t>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3DD393">
            <w:pPr>
              <w:spacing w:before="0" w:after="0" w:line="240" w:lineRule="auto"/>
              <w:jc w:val="center"/>
            </w:pPr>
            <w:r>
              <w:rPr>
                <w:rFonts w:ascii="宋体" w:hAnsi="宋体" w:eastAsia="宋体" w:cs="宋体"/>
                <w:b w:val="0"/>
                <w:i w:val="0"/>
                <w:sz w:val="18"/>
              </w:rPr>
              <w:t>20</w:t>
            </w:r>
          </w:p>
        </w:tc>
      </w:tr>
      <w:tr w14:paraId="7D70AC1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D3548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163A0E">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E0F072">
            <w:pPr>
              <w:spacing w:before="0" w:after="0" w:line="240" w:lineRule="auto"/>
              <w:jc w:val="center"/>
            </w:pPr>
            <w:r>
              <w:rPr>
                <w:rFonts w:ascii="宋体" w:hAnsi="宋体" w:eastAsia="宋体" w:cs="宋体"/>
                <w:b w:val="0"/>
                <w:i w:val="0"/>
                <w:sz w:val="18"/>
              </w:rPr>
              <w:t>脱贫群众务工规模稳定人数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602443">
            <w:pPr>
              <w:spacing w:before="0" w:after="0" w:line="240" w:lineRule="auto"/>
              <w:jc w:val="center"/>
            </w:pPr>
            <w:r>
              <w:rPr>
                <w:rFonts w:ascii="宋体" w:hAnsi="宋体" w:eastAsia="宋体" w:cs="宋体"/>
                <w:b w:val="0"/>
                <w:i w:val="0"/>
                <w:sz w:val="18"/>
              </w:rPr>
              <w:t>&gt;=5200人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C2F960">
            <w:pPr>
              <w:spacing w:before="0" w:after="0" w:line="240" w:lineRule="auto"/>
              <w:jc w:val="center"/>
            </w:pPr>
            <w:r>
              <w:rPr>
                <w:rFonts w:ascii="宋体" w:hAnsi="宋体" w:eastAsia="宋体" w:cs="宋体"/>
                <w:b w:val="0"/>
                <w:i w:val="0"/>
                <w:sz w:val="18"/>
              </w:rPr>
              <w:t>州农业农村局工作计划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6932D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2790DC">
            <w:pPr>
              <w:spacing w:before="0" w:after="0" w:line="240" w:lineRule="auto"/>
              <w:jc w:val="center"/>
            </w:pPr>
            <w:r>
              <w:rPr>
                <w:rFonts w:ascii="宋体" w:hAnsi="宋体" w:eastAsia="宋体" w:cs="宋体"/>
                <w:b w:val="0"/>
                <w:i w:val="0"/>
                <w:sz w:val="18"/>
              </w:rPr>
              <w:t>5811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A2CC25">
            <w:pPr>
              <w:spacing w:before="0" w:after="0" w:line="240" w:lineRule="auto"/>
              <w:jc w:val="center"/>
            </w:pPr>
            <w:r>
              <w:rPr>
                <w:rFonts w:ascii="宋体" w:hAnsi="宋体" w:eastAsia="宋体" w:cs="宋体"/>
                <w:b w:val="0"/>
                <w:i w:val="0"/>
                <w:sz w:val="18"/>
              </w:rPr>
              <w:t>20</w:t>
            </w:r>
          </w:p>
        </w:tc>
      </w:tr>
    </w:tbl>
    <w:p w14:paraId="63301C9B">
      <w:r>
        <w:br w:type="page"/>
      </w:r>
    </w:p>
    <w:p w14:paraId="69CEA0BE">
      <w:pPr>
        <w:spacing w:line="640" w:lineRule="exact"/>
        <w:ind w:firstLine="640"/>
        <w:jc w:val="both"/>
        <w:outlineLvl w:val="2"/>
      </w:pPr>
      <w:r>
        <w:rPr>
          <w:rFonts w:ascii="黑体" w:hAnsi="黑体" w:eastAsia="黑体"/>
          <w:sz w:val="32"/>
        </w:rPr>
        <w:t>十二、其他需说明的事项</w:t>
      </w:r>
    </w:p>
    <w:p w14:paraId="3F09BE64">
      <w:pPr>
        <w:spacing w:line="580" w:lineRule="exact"/>
        <w:ind w:firstLine="640"/>
        <w:jc w:val="both"/>
      </w:pPr>
      <w:r>
        <w:rPr>
          <w:rFonts w:ascii="仿宋_GB2312" w:hAnsi="仿宋_GB2312" w:eastAsia="仿宋_GB2312"/>
          <w:b w:val="0"/>
          <w:sz w:val="32"/>
        </w:rPr>
        <w:t>本单位2025年度无政府采购支出，授予中小企业合同金额0.00万元。</w:t>
      </w:r>
    </w:p>
    <w:p w14:paraId="60BA73C4">
      <w:r>
        <w:br w:type="page"/>
      </w:r>
    </w:p>
    <w:p w14:paraId="773301FB">
      <w:pPr>
        <w:spacing w:line="600" w:lineRule="exact"/>
        <w:jc w:val="center"/>
        <w:outlineLvl w:val="0"/>
      </w:pPr>
      <w:r>
        <w:rPr>
          <w:rFonts w:ascii="黑体" w:hAnsi="黑体" w:eastAsia="黑体"/>
          <w:sz w:val="32"/>
        </w:rPr>
        <w:t>第三部分 专业名词解释</w:t>
      </w:r>
    </w:p>
    <w:p w14:paraId="24537E0D">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880C163">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1CE3447">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48376EA">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873049F">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33D9BA0">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249038D">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31478A1">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91A6B8E">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7870FD6">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F612875">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6A947A2">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82A8DD2">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91E8A8E">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0B7B84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F233743">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300182F">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EEFB956">
      <w:r>
        <w:br w:type="page"/>
      </w:r>
    </w:p>
    <w:p w14:paraId="6CCF4051">
      <w:pPr>
        <w:spacing w:line="240" w:lineRule="auto"/>
        <w:jc w:val="center"/>
        <w:outlineLvl w:val="1"/>
      </w:pPr>
      <w:r>
        <w:rPr>
          <w:rFonts w:ascii="黑体" w:hAnsi="黑体" w:eastAsia="黑体"/>
          <w:sz w:val="32"/>
        </w:rPr>
        <w:t>第四部分 部门决算报表（见附表）</w:t>
      </w:r>
    </w:p>
    <w:p w14:paraId="1D7E034A">
      <w:pPr>
        <w:autoSpaceDE w:val="0"/>
        <w:autoSpaceDN w:val="0"/>
        <w:spacing w:line="600" w:lineRule="exact"/>
        <w:ind w:firstLine="640" w:firstLineChars="200"/>
      </w:pPr>
      <w:r>
        <w:rPr>
          <w:rFonts w:ascii="仿宋_GB2312" w:hAnsi="仿宋_GB2312" w:eastAsia="仿宋_GB2312"/>
          <w:b w:val="0"/>
          <w:sz w:val="32"/>
        </w:rPr>
        <w:t>一、《收入支出决算总表》</w:t>
      </w:r>
    </w:p>
    <w:p w14:paraId="3D1DB258">
      <w:pPr>
        <w:autoSpaceDE w:val="0"/>
        <w:autoSpaceDN w:val="0"/>
        <w:spacing w:line="600" w:lineRule="exact"/>
        <w:ind w:firstLine="640" w:firstLineChars="200"/>
      </w:pPr>
      <w:r>
        <w:rPr>
          <w:rFonts w:ascii="仿宋_GB2312" w:hAnsi="仿宋_GB2312" w:eastAsia="仿宋_GB2312"/>
          <w:b w:val="0"/>
          <w:sz w:val="32"/>
        </w:rPr>
        <w:t>二、《收入决算表》</w:t>
      </w:r>
    </w:p>
    <w:p w14:paraId="08A14459">
      <w:pPr>
        <w:autoSpaceDE w:val="0"/>
        <w:autoSpaceDN w:val="0"/>
        <w:spacing w:line="600" w:lineRule="exact"/>
        <w:ind w:firstLine="640" w:firstLineChars="200"/>
      </w:pPr>
      <w:r>
        <w:rPr>
          <w:rFonts w:ascii="仿宋_GB2312" w:hAnsi="仿宋_GB2312" w:eastAsia="仿宋_GB2312"/>
          <w:b w:val="0"/>
          <w:sz w:val="32"/>
        </w:rPr>
        <w:t>三、《支出决算表》</w:t>
      </w:r>
    </w:p>
    <w:p w14:paraId="56AB603D">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61EC3B84">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BEE354B">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6C60A7C">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D1C6676">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0547F5A9">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81AB729">
      <w:pPr>
        <w:autoSpaceDE w:val="0"/>
        <w:autoSpaceDN w:val="0"/>
        <w:spacing w:line="600" w:lineRule="exact"/>
        <w:ind w:firstLine="640" w:firstLineChars="200"/>
      </w:pPr>
    </w:p>
    <w:p w14:paraId="12ED9873">
      <w:pPr>
        <w:autoSpaceDE w:val="0"/>
        <w:autoSpaceDN w:val="0"/>
        <w:spacing w:line="600" w:lineRule="exact"/>
        <w:ind w:firstLine="640" w:firstLineChars="200"/>
      </w:pPr>
    </w:p>
    <w:p w14:paraId="73CE27B6">
      <w:pPr>
        <w:autoSpaceDE w:val="0"/>
        <w:autoSpaceDN w:val="0"/>
        <w:spacing w:line="600" w:lineRule="exact"/>
        <w:ind w:firstLine="640" w:firstLineChars="200"/>
      </w:pPr>
    </w:p>
    <w:p w14:paraId="4833C2B8">
      <w:pPr>
        <w:autoSpaceDE w:val="0"/>
        <w:autoSpaceDN w:val="0"/>
        <w:spacing w:line="600" w:lineRule="exact"/>
        <w:ind w:firstLine="640" w:firstLineChars="200"/>
      </w:pPr>
    </w:p>
    <w:p w14:paraId="2306EAE3">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388757-1AB2-410D-B3F3-9B7AC799B2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6BD3ADE6-9548-4D0C-9C3E-1A972855C176}"/>
  </w:font>
  <w:font w:name="仿宋_GB2312">
    <w:panose1 w:val="02010609030101010101"/>
    <w:charset w:val="86"/>
    <w:family w:val="modern"/>
    <w:pitch w:val="default"/>
    <w:sig w:usb0="00000001" w:usb1="080E0000" w:usb2="00000000" w:usb3="00000000" w:csb0="00040000" w:csb1="00000000"/>
    <w:embedRegular r:id="rId3" w:fontKey="{E7DCAC7D-BC7C-4E05-AC45-0BB710BBF1DE}"/>
  </w:font>
  <w:font w:name="楷体_GB2312">
    <w:panose1 w:val="02010609030101010101"/>
    <w:charset w:val="86"/>
    <w:family w:val="auto"/>
    <w:pitch w:val="default"/>
    <w:sig w:usb0="00000001" w:usb1="080E0000" w:usb2="00000000" w:usb3="00000000" w:csb0="00040000" w:csb1="00000000"/>
    <w:embedRegular r:id="rId4" w:fontKey="{FFB170F8-3B8D-4A39-884F-480DC99233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7F21719"/>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30</Words>
  <Characters>33</Characters>
  <Lines>10</Lines>
  <Paragraphs>2</Paragraphs>
  <TotalTime>7</TotalTime>
  <ScaleCrop>false</ScaleCrop>
  <LinksUpToDate>false</LinksUpToDate>
  <CharactersWithSpaces>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2026-10-15T10:24:50Z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