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昌吉回族自治州民族事务委员会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2DD9EDD0">
      <w:r>
        <w:br w:type="page"/>
      </w:r>
    </w:p>
    <w:p w14:paraId="5FFC2C67">
      <w:pPr>
        <w:spacing w:line="640" w:lineRule="exact"/>
        <w:jc w:val="center"/>
        <w:outlineLvl w:val="1"/>
      </w:pPr>
      <w:r>
        <w:rPr>
          <w:rFonts w:ascii="黑体" w:hAnsi="黑体" w:eastAsia="黑体"/>
          <w:sz w:val="32"/>
        </w:rPr>
        <w:t>第一部分 单位概况</w:t>
      </w:r>
    </w:p>
    <w:p w14:paraId="6F6644E2">
      <w:pPr>
        <w:spacing w:line="640" w:lineRule="exact"/>
        <w:ind w:firstLine="640"/>
        <w:jc w:val="both"/>
        <w:outlineLvl w:val="2"/>
      </w:pPr>
      <w:r>
        <w:rPr>
          <w:rFonts w:ascii="黑体" w:hAnsi="黑体" w:eastAsia="黑体"/>
          <w:sz w:val="32"/>
        </w:rPr>
        <w:t>一、主要职能</w:t>
      </w:r>
    </w:p>
    <w:p w14:paraId="58273F28">
      <w:pPr>
        <w:spacing w:line="580" w:lineRule="exact"/>
        <w:ind w:firstLine="640"/>
        <w:jc w:val="both"/>
      </w:pPr>
      <w:r>
        <w:rPr>
          <w:rFonts w:ascii="仿宋_GB2312" w:hAnsi="仿宋_GB2312" w:eastAsia="仿宋_GB2312"/>
          <w:sz w:val="32"/>
        </w:rPr>
        <w:t>本单位主要职能SM不予公开。</w:t>
      </w:r>
    </w:p>
    <w:p w14:paraId="2CA7B086">
      <w:pPr>
        <w:spacing w:line="640" w:lineRule="exact"/>
        <w:ind w:firstLine="640"/>
        <w:jc w:val="both"/>
        <w:outlineLvl w:val="2"/>
      </w:pPr>
      <w:r>
        <w:rPr>
          <w:rFonts w:ascii="黑体" w:hAnsi="黑体" w:eastAsia="黑体"/>
          <w:sz w:val="32"/>
        </w:rPr>
        <w:t>二、机构设置</w:t>
      </w:r>
    </w:p>
    <w:p w14:paraId="67B5E71F">
      <w:pPr>
        <w:spacing w:line="580" w:lineRule="exact"/>
        <w:ind w:firstLine="640"/>
        <w:jc w:val="both"/>
      </w:pPr>
      <w:r>
        <w:rPr>
          <w:rFonts w:ascii="仿宋_GB2312" w:hAnsi="仿宋_GB2312" w:eastAsia="仿宋_GB2312"/>
          <w:sz w:val="32"/>
        </w:rPr>
        <w:t>昌吉回族自治州民族事务委员会无下属预算单位。</w:t>
      </w:r>
    </w:p>
    <w:p w14:paraId="2E591E33">
      <w:r>
        <w:br w:type="page"/>
      </w:r>
    </w:p>
    <w:p w14:paraId="4F9FDBDC">
      <w:pPr>
        <w:spacing w:line="240" w:lineRule="auto"/>
        <w:jc w:val="center"/>
        <w:outlineLvl w:val="1"/>
      </w:pPr>
      <w:r>
        <w:rPr>
          <w:rFonts w:ascii="黑体" w:hAnsi="黑体" w:eastAsia="黑体"/>
          <w:sz w:val="32"/>
        </w:rPr>
        <w:t>第二部分 部门决算情况说明</w:t>
      </w:r>
    </w:p>
    <w:p w14:paraId="6C4EE569">
      <w:pPr>
        <w:spacing w:line="640" w:lineRule="exact"/>
        <w:ind w:firstLine="640"/>
        <w:jc w:val="both"/>
        <w:outlineLvl w:val="2"/>
      </w:pPr>
      <w:r>
        <w:rPr>
          <w:rFonts w:ascii="黑体" w:hAnsi="黑体" w:eastAsia="黑体"/>
          <w:sz w:val="32"/>
        </w:rPr>
        <w:t>一、收入支出决算总体情况说明</w:t>
      </w:r>
    </w:p>
    <w:p w14:paraId="6FBDB185">
      <w:pPr>
        <w:spacing w:line="580" w:lineRule="exact"/>
        <w:ind w:firstLine="640"/>
        <w:jc w:val="both"/>
      </w:pPr>
      <w:r>
        <w:rPr>
          <w:rFonts w:ascii="仿宋_GB2312" w:hAnsi="仿宋_GB2312" w:eastAsia="仿宋_GB2312"/>
          <w:b/>
          <w:sz w:val="32"/>
        </w:rPr>
        <w:t>2025年度收入总计547.91万元，</w:t>
      </w:r>
      <w:r>
        <w:rPr>
          <w:rFonts w:ascii="仿宋_GB2312" w:hAnsi="仿宋_GB2312" w:eastAsia="仿宋_GB2312"/>
          <w:b w:val="0"/>
          <w:sz w:val="32"/>
        </w:rPr>
        <w:t>其中：本年收入合计547.91万元，使用非财政拨款结余（含专用结余）0.00万元，年初结转和结余0.00万元。</w:t>
      </w:r>
    </w:p>
    <w:p w14:paraId="1A94BD62">
      <w:pPr>
        <w:spacing w:line="580" w:lineRule="exact"/>
        <w:ind w:firstLine="640"/>
        <w:jc w:val="both"/>
      </w:pPr>
      <w:r>
        <w:rPr>
          <w:rFonts w:ascii="仿宋_GB2312" w:hAnsi="仿宋_GB2312" w:eastAsia="仿宋_GB2312"/>
          <w:b/>
          <w:sz w:val="32"/>
        </w:rPr>
        <w:t>2025年度支出总计547.91万元，</w:t>
      </w:r>
      <w:r>
        <w:rPr>
          <w:rFonts w:ascii="仿宋_GB2312" w:hAnsi="仿宋_GB2312" w:eastAsia="仿宋_GB2312"/>
          <w:b w:val="0"/>
          <w:sz w:val="32"/>
        </w:rPr>
        <w:t>其中：本年支出合计515.88万元，结余分配0.00万元，年末结转和结余32.02万元。</w:t>
      </w:r>
    </w:p>
    <w:p w14:paraId="35E1E90B">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增加547.91万元，增长100.00%，主要原因是：本单位为本年新增预算单位，无上年对比数据。</w:t>
      </w:r>
    </w:p>
    <w:p w14:paraId="417613B5">
      <w:pPr>
        <w:spacing w:line="640" w:lineRule="exact"/>
        <w:ind w:firstLine="640"/>
        <w:jc w:val="both"/>
        <w:outlineLvl w:val="2"/>
      </w:pPr>
      <w:r>
        <w:rPr>
          <w:rFonts w:ascii="黑体" w:hAnsi="黑体" w:eastAsia="黑体"/>
          <w:sz w:val="32"/>
        </w:rPr>
        <w:t>二、收入决算情况说明</w:t>
      </w:r>
    </w:p>
    <w:p w14:paraId="277A1C24">
      <w:pPr>
        <w:spacing w:line="580" w:lineRule="exact"/>
        <w:ind w:firstLine="640"/>
        <w:jc w:val="both"/>
      </w:pPr>
      <w:r>
        <w:rPr>
          <w:rFonts w:ascii="仿宋_GB2312" w:hAnsi="仿宋_GB2312" w:eastAsia="仿宋_GB2312"/>
          <w:b/>
          <w:sz w:val="32"/>
        </w:rPr>
        <w:t>本年收入547.91万元，</w:t>
      </w:r>
      <w:r>
        <w:rPr>
          <w:rFonts w:ascii="仿宋_GB2312" w:hAnsi="仿宋_GB2312" w:eastAsia="仿宋_GB2312"/>
          <w:b w:val="0"/>
          <w:sz w:val="32"/>
        </w:rPr>
        <w:t>其中：财政拨款收入487.28万元，占88.93%；上级补助收入0.00万元，占0.00%；事业收入0.00万元，占0.00%；经营收入0.00万元，占0.00%；附属单位上缴收入0.00万元，占0.00%；其他收入60.63万元，占11.07%。</w:t>
      </w:r>
    </w:p>
    <w:p w14:paraId="1939DA4D">
      <w:pPr>
        <w:spacing w:line="640" w:lineRule="exact"/>
        <w:ind w:firstLine="640"/>
        <w:jc w:val="both"/>
        <w:outlineLvl w:val="2"/>
      </w:pPr>
      <w:r>
        <w:rPr>
          <w:rFonts w:ascii="黑体" w:hAnsi="黑体" w:eastAsia="黑体"/>
          <w:sz w:val="32"/>
        </w:rPr>
        <w:t>三、支出决算情况说明</w:t>
      </w:r>
    </w:p>
    <w:p w14:paraId="693D04D4">
      <w:pPr>
        <w:spacing w:line="580" w:lineRule="exact"/>
        <w:ind w:firstLine="640"/>
        <w:jc w:val="both"/>
      </w:pPr>
      <w:r>
        <w:rPr>
          <w:rFonts w:ascii="仿宋_GB2312" w:hAnsi="仿宋_GB2312" w:eastAsia="仿宋_GB2312"/>
          <w:b/>
          <w:sz w:val="32"/>
        </w:rPr>
        <w:t>本年支出515.88万元，</w:t>
      </w:r>
      <w:r>
        <w:rPr>
          <w:rFonts w:ascii="仿宋_GB2312" w:hAnsi="仿宋_GB2312" w:eastAsia="仿宋_GB2312"/>
          <w:b w:val="0"/>
          <w:sz w:val="32"/>
        </w:rPr>
        <w:t>其中：基本支出358.79万元，占69.55%；项目支出157.09万元，占30.45%；上缴上级支出0.00万元，占0.00%；经营支出0.00万元，占0.00%；对附属单位补助支出0.00万元，占0.00%。</w:t>
      </w:r>
    </w:p>
    <w:p w14:paraId="14836617">
      <w:pPr>
        <w:spacing w:line="640" w:lineRule="exact"/>
        <w:ind w:firstLine="640"/>
        <w:jc w:val="both"/>
        <w:outlineLvl w:val="2"/>
      </w:pPr>
      <w:r>
        <w:rPr>
          <w:rFonts w:ascii="黑体" w:hAnsi="黑体" w:eastAsia="黑体"/>
          <w:sz w:val="32"/>
        </w:rPr>
        <w:t>四、财政拨款收入支出决算总体情况说明</w:t>
      </w:r>
    </w:p>
    <w:p w14:paraId="28565B32">
      <w:pPr>
        <w:spacing w:line="580" w:lineRule="exact"/>
        <w:ind w:firstLine="640"/>
        <w:jc w:val="both"/>
      </w:pPr>
      <w:r>
        <w:rPr>
          <w:rFonts w:ascii="仿宋_GB2312" w:hAnsi="仿宋_GB2312" w:eastAsia="仿宋_GB2312"/>
          <w:b/>
          <w:sz w:val="32"/>
        </w:rPr>
        <w:t>2025年度财政拨款收入总计487.28万元，</w:t>
      </w:r>
      <w:r>
        <w:rPr>
          <w:rFonts w:ascii="仿宋_GB2312" w:hAnsi="仿宋_GB2312" w:eastAsia="仿宋_GB2312"/>
          <w:b w:val="0"/>
          <w:sz w:val="32"/>
        </w:rPr>
        <w:t>其中：年初财政拨款结转和结余0.00万元，本年财政拨款收入487.28万元。</w:t>
      </w:r>
      <w:r>
        <w:rPr>
          <w:rFonts w:ascii="仿宋_GB2312" w:hAnsi="仿宋_GB2312" w:eastAsia="仿宋_GB2312"/>
          <w:b/>
          <w:sz w:val="32"/>
        </w:rPr>
        <w:t>财政拨款支出总计487.28万元，</w:t>
      </w:r>
      <w:r>
        <w:rPr>
          <w:rFonts w:ascii="仿宋_GB2312" w:hAnsi="仿宋_GB2312" w:eastAsia="仿宋_GB2312"/>
          <w:b w:val="0"/>
          <w:sz w:val="32"/>
        </w:rPr>
        <w:t>其中：年末财政拨款结转和结余0.00万元，本年财政拨款支出487.28万元。</w:t>
      </w:r>
    </w:p>
    <w:p w14:paraId="03365E65">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增加487.28万元，增长100.00%，主要原因是：本单位为本年新增预算单位，无上年对比数据。</w:t>
      </w:r>
      <w:r>
        <w:rPr>
          <w:rFonts w:ascii="仿宋_GB2312" w:hAnsi="仿宋_GB2312" w:eastAsia="仿宋_GB2312"/>
          <w:b/>
          <w:sz w:val="32"/>
        </w:rPr>
        <w:t>与年初预算相比，</w:t>
      </w:r>
      <w:r>
        <w:rPr>
          <w:rFonts w:ascii="仿宋_GB2312" w:hAnsi="仿宋_GB2312" w:eastAsia="仿宋_GB2312"/>
          <w:b w:val="0"/>
          <w:sz w:val="32"/>
        </w:rPr>
        <w:t>年初预算数359.20万元，决算数487.28万元，预决算差异率35.66%，主要原因是：年中追加人员工资、社保、公积金基数调增部分资金，民族事务综合保障中心开办经费、培育全国民族团结进步示范州工作经费等项目导致预决算存在差异。</w:t>
      </w:r>
    </w:p>
    <w:p w14:paraId="702FC05D">
      <w:pPr>
        <w:spacing w:line="640" w:lineRule="exact"/>
        <w:ind w:firstLine="640"/>
        <w:jc w:val="both"/>
        <w:outlineLvl w:val="2"/>
      </w:pPr>
      <w:r>
        <w:rPr>
          <w:rFonts w:ascii="黑体" w:hAnsi="黑体" w:eastAsia="黑体"/>
          <w:sz w:val="32"/>
        </w:rPr>
        <w:t>五、一般公共预算财政拨款支出决算情况说明</w:t>
      </w:r>
    </w:p>
    <w:p w14:paraId="39C7523B">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201BF097">
      <w:pPr>
        <w:spacing w:line="580" w:lineRule="exact"/>
        <w:ind w:firstLine="640"/>
        <w:jc w:val="both"/>
      </w:pPr>
      <w:r>
        <w:rPr>
          <w:rFonts w:ascii="仿宋_GB2312" w:hAnsi="仿宋_GB2312" w:eastAsia="仿宋_GB2312"/>
          <w:b w:val="0"/>
          <w:sz w:val="32"/>
        </w:rPr>
        <w:t>按照支出功能分类，一般公共服务支出（类）民族事务（款）行政运行（项）的支出占本年财政拨款支出总额的比重最高，2025年度决算数为189.36万元，占比38.86%，主要用于人员工资福利、日常公用经费。</w:t>
      </w:r>
    </w:p>
    <w:p w14:paraId="05492D73">
      <w:pPr>
        <w:spacing w:line="640" w:lineRule="exact"/>
        <w:ind w:firstLine="640"/>
        <w:jc w:val="both"/>
        <w:outlineLvl w:val="3"/>
      </w:pPr>
      <w:r>
        <w:rPr>
          <w:rFonts w:ascii="楷体_GB2312" w:hAnsi="楷体_GB2312" w:eastAsia="楷体_GB2312"/>
          <w:b/>
          <w:sz w:val="32"/>
        </w:rPr>
        <w:t>（一）一般公共预算财政拨款支出决算总体情况</w:t>
      </w:r>
    </w:p>
    <w:p w14:paraId="2533164B">
      <w:pPr>
        <w:spacing w:line="580" w:lineRule="exact"/>
        <w:ind w:firstLine="640"/>
        <w:jc w:val="both"/>
      </w:pPr>
      <w:r>
        <w:rPr>
          <w:rFonts w:ascii="仿宋_GB2312" w:hAnsi="仿宋_GB2312" w:eastAsia="仿宋_GB2312"/>
          <w:b/>
          <w:sz w:val="32"/>
        </w:rPr>
        <w:t>2025年度一般公共预算财政拨款支出487.28万元，</w:t>
      </w:r>
      <w:r>
        <w:rPr>
          <w:rFonts w:ascii="仿宋_GB2312" w:hAnsi="仿宋_GB2312" w:eastAsia="仿宋_GB2312"/>
          <w:b w:val="0"/>
          <w:sz w:val="32"/>
        </w:rPr>
        <w:t>占本年支出合计的94.46%。</w:t>
      </w:r>
      <w:r>
        <w:rPr>
          <w:rFonts w:ascii="仿宋_GB2312" w:hAnsi="仿宋_GB2312" w:eastAsia="仿宋_GB2312"/>
          <w:b/>
          <w:sz w:val="32"/>
        </w:rPr>
        <w:t>与上年相比，</w:t>
      </w:r>
      <w:r>
        <w:rPr>
          <w:rFonts w:ascii="仿宋_GB2312" w:hAnsi="仿宋_GB2312" w:eastAsia="仿宋_GB2312"/>
          <w:b w:val="0"/>
          <w:sz w:val="32"/>
        </w:rPr>
        <w:t>增加487.28万元，增长100.00%，主要原因是：本单位为本年新增预算单位，无上年对比数据。</w:t>
      </w:r>
      <w:r>
        <w:rPr>
          <w:rFonts w:ascii="仿宋_GB2312" w:hAnsi="仿宋_GB2312" w:eastAsia="仿宋_GB2312"/>
          <w:b/>
          <w:sz w:val="32"/>
        </w:rPr>
        <w:t>与年初预算相比，</w:t>
      </w:r>
      <w:r>
        <w:rPr>
          <w:rFonts w:ascii="仿宋_GB2312" w:hAnsi="仿宋_GB2312" w:eastAsia="仿宋_GB2312"/>
          <w:b w:val="0"/>
          <w:sz w:val="32"/>
        </w:rPr>
        <w:t>年初预算数359.20万元，决算数487.28万元，预决算差异率35.66%，主要原因是：年中追加人员工资、社保、公积金基数调增部分资金，民族事务综合保障中心开办经费、培育全国民族团结进步示范州工作经费等项目导致预决算存在差异。</w:t>
      </w:r>
    </w:p>
    <w:p w14:paraId="7F5E44C4">
      <w:pPr>
        <w:spacing w:line="640" w:lineRule="exact"/>
        <w:ind w:firstLine="640"/>
        <w:jc w:val="both"/>
        <w:outlineLvl w:val="3"/>
      </w:pPr>
      <w:r>
        <w:rPr>
          <w:rFonts w:ascii="楷体_GB2312" w:hAnsi="楷体_GB2312" w:eastAsia="楷体_GB2312"/>
          <w:b/>
          <w:sz w:val="32"/>
        </w:rPr>
        <w:t>（二）一般公共预算财政拨款支出决算结构情况</w:t>
      </w:r>
    </w:p>
    <w:p w14:paraId="08A98331">
      <w:pPr>
        <w:spacing w:line="580" w:lineRule="exact"/>
        <w:ind w:firstLine="640"/>
        <w:jc w:val="both"/>
      </w:pPr>
      <w:r>
        <w:rPr>
          <w:rFonts w:ascii="仿宋_GB2312" w:hAnsi="仿宋_GB2312" w:eastAsia="仿宋_GB2312"/>
          <w:b w:val="0"/>
          <w:sz w:val="32"/>
        </w:rPr>
        <w:t>1.一般公共服务支出（类）388.18万元，占79.66%。</w:t>
      </w:r>
    </w:p>
    <w:p w14:paraId="1D1055BC">
      <w:pPr>
        <w:spacing w:line="580" w:lineRule="exact"/>
        <w:ind w:firstLine="640"/>
        <w:jc w:val="both"/>
      </w:pPr>
      <w:r>
        <w:rPr>
          <w:rFonts w:ascii="仿宋_GB2312" w:hAnsi="仿宋_GB2312" w:eastAsia="仿宋_GB2312"/>
          <w:b w:val="0"/>
          <w:sz w:val="32"/>
        </w:rPr>
        <w:t>2.社会保障和就业支出（类）46.18万元，占9.48%。</w:t>
      </w:r>
    </w:p>
    <w:p w14:paraId="7685CFB2">
      <w:pPr>
        <w:spacing w:line="580" w:lineRule="exact"/>
        <w:ind w:firstLine="640"/>
        <w:jc w:val="both"/>
      </w:pPr>
      <w:r>
        <w:rPr>
          <w:rFonts w:ascii="仿宋_GB2312" w:hAnsi="仿宋_GB2312" w:eastAsia="仿宋_GB2312"/>
          <w:b w:val="0"/>
          <w:sz w:val="32"/>
        </w:rPr>
        <w:t>3.卫生健康支出（类）28.63万元，占5.88%。</w:t>
      </w:r>
    </w:p>
    <w:p w14:paraId="6EA62146">
      <w:pPr>
        <w:spacing w:line="580" w:lineRule="exact"/>
        <w:ind w:firstLine="640"/>
        <w:jc w:val="both"/>
      </w:pPr>
      <w:r>
        <w:rPr>
          <w:rFonts w:ascii="仿宋_GB2312" w:hAnsi="仿宋_GB2312" w:eastAsia="仿宋_GB2312"/>
          <w:b w:val="0"/>
          <w:sz w:val="32"/>
        </w:rPr>
        <w:t>4.住房保障支出（类）24.30万元，占4.99%。</w:t>
      </w:r>
    </w:p>
    <w:p w14:paraId="69B3B18E">
      <w:pPr>
        <w:spacing w:line="640" w:lineRule="exact"/>
        <w:ind w:firstLine="640"/>
        <w:jc w:val="both"/>
        <w:outlineLvl w:val="3"/>
      </w:pPr>
      <w:r>
        <w:rPr>
          <w:rFonts w:ascii="楷体_GB2312" w:hAnsi="楷体_GB2312" w:eastAsia="楷体_GB2312"/>
          <w:b/>
          <w:sz w:val="32"/>
        </w:rPr>
        <w:t>（三）一般公共预算财政拨款支出决算具体情况</w:t>
      </w:r>
    </w:p>
    <w:p w14:paraId="3022134D">
      <w:pPr>
        <w:spacing w:line="580" w:lineRule="exact"/>
        <w:ind w:firstLine="640"/>
        <w:jc w:val="both"/>
      </w:pPr>
      <w:r>
        <w:rPr>
          <w:rFonts w:ascii="仿宋_GB2312" w:hAnsi="仿宋_GB2312" w:eastAsia="仿宋_GB2312"/>
          <w:b w:val="0"/>
          <w:sz w:val="32"/>
        </w:rPr>
        <w:t>1.一般公共服务支出（类）民族事务（款）行政运行（项）：支出决算数为189.36万元，比上年决算增加189.36万元，增长100.00%，主要原因是：本单位为本年新增预算单位，无上年对比数据。</w:t>
      </w:r>
    </w:p>
    <w:p w14:paraId="050EE534">
      <w:pPr>
        <w:spacing w:line="580" w:lineRule="exact"/>
        <w:ind w:firstLine="640"/>
        <w:jc w:val="both"/>
      </w:pPr>
      <w:r>
        <w:rPr>
          <w:rFonts w:ascii="仿宋_GB2312" w:hAnsi="仿宋_GB2312" w:eastAsia="仿宋_GB2312"/>
          <w:b w:val="0"/>
          <w:sz w:val="32"/>
        </w:rPr>
        <w:t>2.一般公共服务支出（类）民族事务（款）一般行政管理事务（项）：支出决算数为88.75万元，比上年决算增加88.75万元，增长100.00%，主要原因是：本单位为本年新增预算单位，无上年对比数据。</w:t>
      </w:r>
    </w:p>
    <w:p w14:paraId="64612471">
      <w:pPr>
        <w:spacing w:line="580" w:lineRule="exact"/>
        <w:ind w:firstLine="640"/>
        <w:jc w:val="both"/>
      </w:pPr>
      <w:r>
        <w:rPr>
          <w:rFonts w:ascii="仿宋_GB2312" w:hAnsi="仿宋_GB2312" w:eastAsia="仿宋_GB2312"/>
          <w:b w:val="0"/>
          <w:sz w:val="32"/>
        </w:rPr>
        <w:t>3.一般公共服务支出（类）民族事务（款）事业运行（项）：支出决算数为70.33万元，比上年决算增加70.33万元，增长100.00%，主要原因是：本单位为本年新增预算单位，无上年对比数据。</w:t>
      </w:r>
    </w:p>
    <w:p w14:paraId="4F23E382">
      <w:pPr>
        <w:spacing w:line="580" w:lineRule="exact"/>
        <w:ind w:firstLine="640"/>
        <w:jc w:val="both"/>
      </w:pPr>
      <w:r>
        <w:rPr>
          <w:rFonts w:ascii="仿宋_GB2312" w:hAnsi="仿宋_GB2312" w:eastAsia="仿宋_GB2312"/>
          <w:b w:val="0"/>
          <w:sz w:val="32"/>
        </w:rPr>
        <w:t>4.一般公共服务支出（类）民族事务（款）其他民族事务支出（项）：支出决算数为39.43万元，比上年决算增加39.43万元，增长100.00%，主要原因是：本单位为本年新增预算单位，无上年对比数据。</w:t>
      </w:r>
    </w:p>
    <w:p w14:paraId="271FDDAB">
      <w:pPr>
        <w:spacing w:line="580" w:lineRule="exact"/>
        <w:ind w:firstLine="640"/>
        <w:jc w:val="both"/>
      </w:pPr>
      <w:r>
        <w:rPr>
          <w:rFonts w:ascii="仿宋_GB2312" w:hAnsi="仿宋_GB2312" w:eastAsia="仿宋_GB2312"/>
          <w:b w:val="0"/>
          <w:sz w:val="32"/>
        </w:rPr>
        <w:t>5.一般公共服务支出（类）统战事务（款）其他统战事务支出（项）：支出决算数为0.30万元，比上年决算增加0.30万元，增长100.00%，主要原因是：本单位为本年新增预算单位，无上年对比数据。</w:t>
      </w:r>
    </w:p>
    <w:p w14:paraId="5D71C681">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30.79万元，比上年决算增加30.79万元，增长100.00%，主要原因是：本单位为本年新增预算单位，无上年对比数据。</w:t>
      </w:r>
    </w:p>
    <w:p w14:paraId="06644EF8">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15.39万元，比上年决算增加15.39万元，增长100.00%，主要原因是：本单位为本年新增预算单位，无上年对比数据。</w:t>
      </w:r>
    </w:p>
    <w:p w14:paraId="7E89A914">
      <w:pPr>
        <w:spacing w:line="580" w:lineRule="exact"/>
        <w:ind w:firstLine="640"/>
        <w:jc w:val="both"/>
      </w:pPr>
      <w:r>
        <w:rPr>
          <w:rFonts w:ascii="仿宋_GB2312" w:hAnsi="仿宋_GB2312" w:eastAsia="仿宋_GB2312"/>
          <w:b w:val="0"/>
          <w:sz w:val="32"/>
        </w:rPr>
        <w:t>8.卫生健康支出（类）行政事业单位医疗（款）行政单位医疗（项）：支出决算数为19.18万元，比上年决算增加19.18万元，增长100.00%，主要原因是：本单位为本年新增预算单位，无上年对比数据。</w:t>
      </w:r>
    </w:p>
    <w:p w14:paraId="4EE39DE2">
      <w:pPr>
        <w:spacing w:line="580" w:lineRule="exact"/>
        <w:ind w:firstLine="640"/>
        <w:jc w:val="both"/>
      </w:pPr>
      <w:r>
        <w:rPr>
          <w:rFonts w:ascii="仿宋_GB2312" w:hAnsi="仿宋_GB2312" w:eastAsia="仿宋_GB2312"/>
          <w:b w:val="0"/>
          <w:sz w:val="32"/>
        </w:rPr>
        <w:t>9.卫生健康支出（类）行政事业单位医疗（款）公务员医疗补助（项）：支出决算数为8.68万元，比上年决算增加8.68万元，增长100.00%，主要原因是：本单位为本年新增预算单位，无上年对比数据。</w:t>
      </w:r>
    </w:p>
    <w:p w14:paraId="4F0F5226">
      <w:pPr>
        <w:spacing w:line="580" w:lineRule="exact"/>
        <w:ind w:firstLine="640"/>
        <w:jc w:val="both"/>
      </w:pPr>
      <w:r>
        <w:rPr>
          <w:rFonts w:ascii="仿宋_GB2312" w:hAnsi="仿宋_GB2312" w:eastAsia="仿宋_GB2312"/>
          <w:b w:val="0"/>
          <w:sz w:val="32"/>
        </w:rPr>
        <w:t>10.卫生健康支出（类）行政事业单位医疗（款）其他行政事业单位医疗支出（项）：支出决算数为0.77万元，比上年决算增加0.77万元，增长100.00%，主要原因是：本单位为本年新增预算单位，无上年对比数据。</w:t>
      </w:r>
    </w:p>
    <w:p w14:paraId="6A05FFAB">
      <w:pPr>
        <w:spacing w:line="580" w:lineRule="exact"/>
        <w:ind w:firstLine="640"/>
        <w:jc w:val="both"/>
      </w:pPr>
      <w:r>
        <w:rPr>
          <w:rFonts w:ascii="仿宋_GB2312" w:hAnsi="仿宋_GB2312" w:eastAsia="仿宋_GB2312"/>
          <w:b w:val="0"/>
          <w:sz w:val="32"/>
        </w:rPr>
        <w:t>11.住房保障支出（类）住房改革支出（款）住房公积金（项）：支出决算数为24.30万元，比上年决算增加24.30万元，增长100.00%，主要原因是：本单位为本年新增预算单位，无上年对比数据。</w:t>
      </w:r>
    </w:p>
    <w:p w14:paraId="211BD0B8">
      <w:pPr>
        <w:spacing w:line="640" w:lineRule="exact"/>
        <w:ind w:firstLine="640"/>
        <w:jc w:val="both"/>
        <w:outlineLvl w:val="2"/>
      </w:pPr>
      <w:r>
        <w:rPr>
          <w:rFonts w:ascii="黑体" w:hAnsi="黑体" w:eastAsia="黑体"/>
          <w:sz w:val="32"/>
        </w:rPr>
        <w:t>六、一般公共预算财政拨款基本支出决算情况说明</w:t>
      </w:r>
    </w:p>
    <w:p w14:paraId="687807AE">
      <w:pPr>
        <w:spacing w:line="580" w:lineRule="exact"/>
        <w:ind w:firstLine="640"/>
        <w:jc w:val="both"/>
      </w:pPr>
      <w:r>
        <w:rPr>
          <w:rFonts w:ascii="仿宋_GB2312" w:hAnsi="仿宋_GB2312" w:eastAsia="仿宋_GB2312"/>
          <w:b w:val="0"/>
          <w:sz w:val="32"/>
        </w:rPr>
        <w:t>2025年度一般公共预算财政拨款基本支出358.79万元，其中：</w:t>
      </w:r>
      <w:r>
        <w:rPr>
          <w:rFonts w:ascii="仿宋_GB2312" w:hAnsi="仿宋_GB2312" w:eastAsia="仿宋_GB2312"/>
          <w:b/>
          <w:sz w:val="32"/>
        </w:rPr>
        <w:t>人员经费335.28万元，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w:t>
      </w:r>
    </w:p>
    <w:p w14:paraId="498749FA">
      <w:pPr>
        <w:spacing w:line="580" w:lineRule="exact"/>
        <w:ind w:firstLine="640"/>
        <w:jc w:val="both"/>
      </w:pPr>
      <w:r>
        <w:rPr>
          <w:rFonts w:ascii="仿宋_GB2312" w:hAnsi="仿宋_GB2312" w:eastAsia="仿宋_GB2312"/>
          <w:b/>
          <w:sz w:val="32"/>
        </w:rPr>
        <w:t>公用经费23.51万元，</w:t>
      </w:r>
      <w:r>
        <w:rPr>
          <w:rFonts w:ascii="仿宋_GB2312" w:hAnsi="仿宋_GB2312" w:eastAsia="仿宋_GB2312"/>
          <w:b w:val="0"/>
          <w:sz w:val="32"/>
        </w:rPr>
        <w:t>包括：办公费、印刷费、邮电费、培训费、公务接待费、劳务费、委托业务费、工会经费、福利费、公务用车运行维护费、其他商品和服务支出。</w:t>
      </w:r>
    </w:p>
    <w:p w14:paraId="2B0F7E8B">
      <w:pPr>
        <w:spacing w:line="640" w:lineRule="exact"/>
        <w:ind w:firstLine="640"/>
        <w:jc w:val="both"/>
        <w:outlineLvl w:val="2"/>
      </w:pPr>
      <w:r>
        <w:rPr>
          <w:rFonts w:ascii="黑体" w:hAnsi="黑体" w:eastAsia="黑体"/>
          <w:sz w:val="32"/>
        </w:rPr>
        <w:t>七、政府性基金预算财政拨款收入支出决算情况说明</w:t>
      </w:r>
    </w:p>
    <w:p w14:paraId="7D726FE9">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0326772F">
      <w:pPr>
        <w:spacing w:line="640" w:lineRule="exact"/>
        <w:ind w:firstLine="640"/>
        <w:jc w:val="both"/>
        <w:outlineLvl w:val="2"/>
      </w:pPr>
      <w:r>
        <w:rPr>
          <w:rFonts w:ascii="黑体" w:hAnsi="黑体" w:eastAsia="黑体"/>
          <w:sz w:val="32"/>
        </w:rPr>
        <w:t>八、国有资本经营预算财政拨款收入支出决算情况说明</w:t>
      </w:r>
    </w:p>
    <w:p w14:paraId="5A9D6725">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6C8DAE2C">
      <w:pPr>
        <w:spacing w:line="640" w:lineRule="exact"/>
        <w:ind w:firstLine="640"/>
        <w:jc w:val="both"/>
        <w:outlineLvl w:val="2"/>
      </w:pPr>
      <w:r>
        <w:rPr>
          <w:rFonts w:ascii="黑体" w:hAnsi="黑体" w:eastAsia="黑体"/>
          <w:sz w:val="32"/>
        </w:rPr>
        <w:t>九、财政拨款“三公”经费支出决算情况说明</w:t>
      </w:r>
    </w:p>
    <w:p w14:paraId="263ADF95">
      <w:pPr>
        <w:spacing w:line="580" w:lineRule="exact"/>
        <w:ind w:firstLine="640"/>
        <w:jc w:val="both"/>
      </w:pPr>
      <w:r>
        <w:rPr>
          <w:rFonts w:ascii="仿宋_GB2312" w:hAnsi="仿宋_GB2312" w:eastAsia="仿宋_GB2312"/>
          <w:b/>
          <w:sz w:val="32"/>
        </w:rPr>
        <w:t>2025年度财政拨款“三公”经费支出6.93万元，</w:t>
      </w:r>
      <w:r>
        <w:rPr>
          <w:rFonts w:ascii="仿宋_GB2312" w:hAnsi="仿宋_GB2312" w:eastAsia="仿宋_GB2312"/>
          <w:b w:val="0"/>
          <w:sz w:val="32"/>
        </w:rPr>
        <w:t>比上年增加6.93万元，增长100.00%，主要原因是：本单位为本年新增预算单位，无上年对比数据。其中：因公出国（境）费用支出0.00万元，占0.00%，比上年增加0.00万元，增长0.00%，主要原因是：2025年本单位无因公出国（境）费用支出。公务用车购置及运行维护费支出6.23万元，占89.90%，比上年增加6.23万元，增长100.00%，主要原因是：本单位为本年新增预算单位，无上年对比数据。公务接待费支出0.70万元，占10.10%，比上年增加0.70万元，增长100.00%，主要原因是：本单位为本年新增预算单位，无上年对比数据。</w:t>
      </w:r>
    </w:p>
    <w:p w14:paraId="65F500F5">
      <w:pPr>
        <w:spacing w:line="580" w:lineRule="exact"/>
        <w:ind w:firstLine="640"/>
        <w:jc w:val="both"/>
      </w:pPr>
      <w:r>
        <w:rPr>
          <w:rFonts w:ascii="仿宋_GB2312" w:hAnsi="仿宋_GB2312" w:eastAsia="仿宋_GB2312"/>
          <w:b/>
          <w:sz w:val="32"/>
        </w:rPr>
        <w:t>具体情况如下：</w:t>
      </w:r>
    </w:p>
    <w:p w14:paraId="2DB55527">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DC76510">
      <w:pPr>
        <w:spacing w:line="580" w:lineRule="exact"/>
        <w:ind w:firstLine="640"/>
        <w:jc w:val="both"/>
      </w:pPr>
      <w:r>
        <w:rPr>
          <w:rFonts w:ascii="仿宋_GB2312" w:hAnsi="仿宋_GB2312" w:eastAsia="仿宋_GB2312"/>
          <w:b w:val="0"/>
          <w:sz w:val="32"/>
        </w:rPr>
        <w:t>公务用车购置及运行维护费6.23万元，其中：公务用车购置费0.00万元，公务用车运行维护费6.23万元。公务用车运行维护费开支内容包括车辆加油费、维修费、保险费、审车费、过路费等。公务用车购置数0辆，公务用车保有量1辆。国有资产占用情况中固定资产车辆1辆，与公务用车保有量差异原因是：本单位公务用车保有量与固定资产车辆一致无差异。</w:t>
      </w:r>
    </w:p>
    <w:p w14:paraId="65BA3E10">
      <w:pPr>
        <w:spacing w:line="580" w:lineRule="exact"/>
        <w:ind w:firstLine="640"/>
        <w:jc w:val="both"/>
      </w:pPr>
      <w:r>
        <w:rPr>
          <w:rFonts w:ascii="仿宋_GB2312" w:hAnsi="仿宋_GB2312" w:eastAsia="仿宋_GB2312"/>
          <w:b w:val="0"/>
          <w:sz w:val="32"/>
        </w:rPr>
        <w:t>公务接待费0.70万元，开支内容包括因民族文化宫展览馆、自治区民委、四川省民宗委、吐鲁番市民委、伊犁州民委、国家民委、内蒙古自治区民委工作调研、考察、学习产生的就餐费。单位全年安排的国内公务接待10批次，43人次。</w:t>
      </w:r>
    </w:p>
    <w:p w14:paraId="43E21F3E">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6.93万元，决算数6.93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6.23万元，决算数6.23万元，预决算差异率0.00%，主要原因是：严格按照预算执行，预决算无差异。公务接待费全年预算数0.70万元，决算数0.70万元，预决算差异率0.00%，主要原因是：严格按照预算执行，预决算无差异。</w:t>
      </w:r>
    </w:p>
    <w:p w14:paraId="52002733">
      <w:pPr>
        <w:spacing w:line="640" w:lineRule="exact"/>
        <w:ind w:firstLine="640"/>
        <w:jc w:val="both"/>
        <w:outlineLvl w:val="2"/>
      </w:pPr>
      <w:r>
        <w:rPr>
          <w:rFonts w:ascii="黑体" w:hAnsi="黑体" w:eastAsia="黑体"/>
          <w:sz w:val="32"/>
        </w:rPr>
        <w:t>十、其他重要事项的情况说明</w:t>
      </w:r>
    </w:p>
    <w:p w14:paraId="7F43D304">
      <w:pPr>
        <w:spacing w:line="640" w:lineRule="exact"/>
        <w:ind w:firstLine="640"/>
        <w:jc w:val="both"/>
        <w:outlineLvl w:val="3"/>
      </w:pPr>
      <w:r>
        <w:rPr>
          <w:rFonts w:ascii="楷体_GB2312" w:hAnsi="楷体_GB2312" w:eastAsia="楷体_GB2312"/>
          <w:b/>
          <w:sz w:val="32"/>
        </w:rPr>
        <w:t>（一）机关运行经费及公用经费支出情况</w:t>
      </w:r>
    </w:p>
    <w:p w14:paraId="2F165DED">
      <w:pPr>
        <w:spacing w:line="580" w:lineRule="exact"/>
        <w:ind w:firstLine="640"/>
        <w:jc w:val="both"/>
      </w:pPr>
      <w:r>
        <w:rPr>
          <w:rFonts w:ascii="仿宋_GB2312" w:hAnsi="仿宋_GB2312" w:eastAsia="仿宋_GB2312"/>
          <w:b w:val="0"/>
          <w:sz w:val="32"/>
        </w:rPr>
        <w:t>2025年度昌吉回族自治州民族事务委员会（行政单位和参照公务员法管理事业单位）机关运行经费支出23.51万元，比上年增加23.51万元，增长100.00%，主要原因是：本单位为本年新增预算单位，无上年对比数据。</w:t>
      </w:r>
    </w:p>
    <w:p w14:paraId="54BB2306">
      <w:pPr>
        <w:spacing w:line="640" w:lineRule="exact"/>
        <w:ind w:firstLine="640"/>
        <w:jc w:val="both"/>
        <w:outlineLvl w:val="3"/>
      </w:pPr>
      <w:r>
        <w:rPr>
          <w:rFonts w:ascii="楷体_GB2312" w:hAnsi="楷体_GB2312" w:eastAsia="楷体_GB2312"/>
          <w:b/>
          <w:sz w:val="32"/>
        </w:rPr>
        <w:t>（二）政府采购情况</w:t>
      </w:r>
    </w:p>
    <w:p w14:paraId="1CA2E27A">
      <w:pPr>
        <w:spacing w:line="580" w:lineRule="exact"/>
        <w:ind w:firstLine="640"/>
        <w:jc w:val="both"/>
      </w:pPr>
      <w:r>
        <w:rPr>
          <w:rFonts w:ascii="仿宋_GB2312" w:hAnsi="仿宋_GB2312" w:eastAsia="仿宋_GB2312"/>
          <w:b w:val="0"/>
          <w:sz w:val="32"/>
        </w:rPr>
        <w:t>2025年度政府采购支出总额31.61万元，其中：政府采购货物支出27.81万元、政府采购工程支出0.00万元、政府采购服务支出3.80万元。</w:t>
      </w:r>
    </w:p>
    <w:p w14:paraId="7D32DD55">
      <w:pPr>
        <w:spacing w:line="580" w:lineRule="exact"/>
        <w:ind w:firstLine="640"/>
        <w:jc w:val="both"/>
      </w:pPr>
      <w:r>
        <w:rPr>
          <w:rFonts w:ascii="仿宋_GB2312" w:hAnsi="仿宋_GB2312" w:eastAsia="仿宋_GB2312"/>
          <w:b w:val="0"/>
          <w:sz w:val="32"/>
        </w:rPr>
        <w:t>授予中小企业合同金额31.61万元，占政府采购支出总额的100.00%，其中：授予小微企业合同金额31.61万元，占政府采购支出总额的100.00%。</w:t>
      </w:r>
    </w:p>
    <w:p w14:paraId="350EB84F">
      <w:pPr>
        <w:spacing w:line="640" w:lineRule="exact"/>
        <w:ind w:firstLine="640"/>
        <w:jc w:val="both"/>
        <w:outlineLvl w:val="3"/>
      </w:pPr>
      <w:r>
        <w:rPr>
          <w:rFonts w:ascii="楷体_GB2312" w:hAnsi="楷体_GB2312" w:eastAsia="楷体_GB2312"/>
          <w:b/>
          <w:sz w:val="32"/>
        </w:rPr>
        <w:t>（三）国有资产占用情况说明</w:t>
      </w:r>
    </w:p>
    <w:p w14:paraId="4126F60D">
      <w:pPr>
        <w:spacing w:line="580" w:lineRule="exact"/>
        <w:ind w:firstLine="640"/>
        <w:jc w:val="both"/>
      </w:pPr>
      <w:r>
        <w:rPr>
          <w:rFonts w:ascii="仿宋_GB2312" w:hAnsi="仿宋_GB2312" w:eastAsia="仿宋_GB2312"/>
          <w:b w:val="0"/>
          <w:sz w:val="32"/>
        </w:rPr>
        <w:t>截至2025年12月31日，房屋0.00平方米，价值0.00万元。车辆1辆，价值55.00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14:paraId="3D5B5806">
      <w:pPr>
        <w:spacing w:line="640" w:lineRule="exact"/>
        <w:ind w:firstLine="640"/>
        <w:jc w:val="both"/>
        <w:outlineLvl w:val="2"/>
      </w:pPr>
      <w:r>
        <w:rPr>
          <w:rFonts w:ascii="黑体" w:hAnsi="黑体" w:eastAsia="黑体"/>
          <w:sz w:val="32"/>
        </w:rPr>
        <w:t>十一、预算绩效的情况说明</w:t>
      </w:r>
    </w:p>
    <w:p w14:paraId="5958E1AB">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547.91万元，实际执行总额515.88万元；预算绩效评价项目0个，全年预算数0.00万元，全年执行数0.00万元。预算绩效管理取得的成效：一是实施“全国民族团结进步示范州”培育工作及民族团结宣传工作，通过项目的实施激励庭州儿女增强“五个认同”，提升铸牢中华民族共同体意识；二是保障单位正常运转，调动职工的工作积极性，提高业务开展效率，提升公共服务能力；三是凸显中华文化符号的展示，显著提升铸牢中华民族共同体意识；四是从预算管理、收支管理、资产管理、政府采购管理、基本建设管理、合同管理等方面，健全和完善单位各项管理制度、坚定实施各项内部控制度；为加强预算管理，规范财务行为，已制定《州民委财务管理制度》《州民委资产管理制度》《州民委印章管理制度》《州民委采购制度》等健全完整的各项管理制度，有效保障了我单位高效地履行工作职能，较好地促进事业发展。发现的问题及原因：一是部分工作人员对绩效预算的重要性认识不够充分，全面预算绩效管理理念有待进一步强化。当前部门内部尚未牢固树立全员绩效管理意识，仍存在重资金分配、轻绩效管理，重项目实施、轻效益评价的传统思维，对绩效目标设定、过程监控、自评整改等全流程管理要求理解不到位；二是单位缺乏专业的绩效管理工作人员，现有人员绩效管理业务知识储备不足、实操能力薄弱，难以高效推进绩效编制、运行监管、结果运用等各项工作，一定程度制约了部门绩效管理工作规范化、精细化开展；三是对全面实施预算绩效管理的重要意义认识不足，重视程度偏低，整体绩效管理工作质量与成效不高。单位内部绩效管理工作力量较为薄弱，未建立专职管理队伍，绩效管理工作大多由财务人员兼职牵头负责。绩效管理统筹协调、分工协作的工作推进机制不够健全，业务部门参与度不足；四是一线业务人员绩效管理专业知识欠缺，政策理解不深、实操经验不足，综合业务能力与职业素养有待进一步提升，难以有效落实绩效目标管控、过程监管及绩效自评等工作，制约了绩效管理常态化、规范化落地。下一步改进措施：一是深化思想认识，常态化组织全员开展预算绩效管理政策学习与宣传，转变重投入、轻效益的传统观念，树立全过程绩效管理理念。二是健全工作机制，明确岗位职责，统筹推进绩效目标编制、运行监控、自评整改等全流程工作。三是加强队伍建设，通过专题培训、业务交流等方式，补齐人员专业短板，提升实操能力。四是压实工作责任，强化绩效结果运用，以刚性要求倒逼绩效管理提质增效，推动部门绩效管理工作规范化、精细化发展。具体附整体支出绩效自评表。</w:t>
      </w:r>
    </w:p>
    <w:p w14:paraId="558688C4">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6D48C03">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0F1C18B">
            <w:pPr>
              <w:spacing w:before="0" w:after="0" w:line="240" w:lineRule="auto"/>
              <w:jc w:val="center"/>
            </w:pPr>
            <w:r>
              <w:rPr>
                <w:rFonts w:ascii="宋体" w:hAnsi="宋体" w:eastAsia="宋体" w:cs="宋体"/>
                <w:b w:val="0"/>
                <w:i w:val="0"/>
                <w:sz w:val="18"/>
              </w:rPr>
              <w:t>部门（单位）整体支出绩效目标自评表</w:t>
            </w:r>
          </w:p>
        </w:tc>
      </w:tr>
      <w:tr w14:paraId="7AD7E469">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110AACB">
            <w:pPr>
              <w:spacing w:before="0" w:after="0" w:line="240" w:lineRule="auto"/>
              <w:jc w:val="center"/>
            </w:pPr>
            <w:r>
              <w:rPr>
                <w:rFonts w:ascii="宋体" w:hAnsi="宋体" w:eastAsia="宋体" w:cs="宋体"/>
                <w:b w:val="0"/>
                <w:i w:val="0"/>
                <w:sz w:val="18"/>
              </w:rPr>
              <w:t>（2025年度）</w:t>
            </w:r>
          </w:p>
        </w:tc>
      </w:tr>
      <w:tr w14:paraId="1A837756">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599F19">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63319275">
            <w:pPr>
              <w:spacing w:before="0" w:after="0" w:line="240" w:lineRule="auto"/>
              <w:jc w:val="center"/>
            </w:pPr>
            <w:r>
              <w:rPr>
                <w:rFonts w:ascii="宋体" w:hAnsi="宋体" w:eastAsia="宋体" w:cs="宋体"/>
                <w:b w:val="0"/>
                <w:i w:val="0"/>
                <w:sz w:val="18"/>
              </w:rPr>
              <w:t>昌吉回族自治州民族事务委员会</w:t>
            </w:r>
          </w:p>
        </w:tc>
      </w:tr>
      <w:tr w14:paraId="307AC69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4BCBA">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1693D0">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180F48">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892724">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C2EA3F">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00646C">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FA3516A">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A6E2EB">
            <w:pPr>
              <w:spacing w:before="0" w:after="0" w:line="240" w:lineRule="auto"/>
              <w:jc w:val="center"/>
            </w:pPr>
            <w:r>
              <w:rPr>
                <w:rFonts w:ascii="宋体" w:hAnsi="宋体" w:eastAsia="宋体" w:cs="宋体"/>
                <w:b w:val="0"/>
                <w:i w:val="0"/>
                <w:sz w:val="18"/>
              </w:rPr>
              <w:t>得分</w:t>
            </w:r>
          </w:p>
        </w:tc>
      </w:tr>
      <w:tr w14:paraId="4D117A5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5BB8561"/>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E6FBCC">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88864E">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D496EA">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98C79F">
            <w:pPr>
              <w:spacing w:before="0" w:after="0" w:line="240" w:lineRule="auto"/>
              <w:jc w:val="center"/>
            </w:pPr>
            <w:r>
              <w:rPr>
                <w:rFonts w:ascii="宋体" w:hAnsi="宋体" w:eastAsia="宋体" w:cs="宋体"/>
                <w:b w:val="0"/>
                <w:i w:val="0"/>
                <w:sz w:val="18"/>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08DA2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F6B674">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C8BE7B">
            <w:pPr>
              <w:spacing w:before="0" w:after="0" w:line="240" w:lineRule="auto"/>
              <w:jc w:val="center"/>
            </w:pPr>
            <w:r>
              <w:rPr>
                <w:rFonts w:ascii="宋体" w:hAnsi="宋体" w:eastAsia="宋体" w:cs="宋体"/>
                <w:b w:val="0"/>
                <w:i w:val="0"/>
                <w:sz w:val="18"/>
              </w:rPr>
              <w:t>-</w:t>
            </w:r>
          </w:p>
        </w:tc>
      </w:tr>
      <w:tr w14:paraId="5F2582BA">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420D0A"/>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0C1B39">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41FCEA">
            <w:pPr>
              <w:spacing w:before="0" w:after="0" w:line="240" w:lineRule="auto"/>
              <w:jc w:val="center"/>
            </w:pPr>
            <w:r>
              <w:rPr>
                <w:rFonts w:ascii="宋体" w:hAnsi="宋体" w:eastAsia="宋体" w:cs="宋体"/>
                <w:b w:val="0"/>
                <w:i w:val="0"/>
                <w:sz w:val="18"/>
              </w:rPr>
              <w:t>359.20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27F772">
            <w:pPr>
              <w:spacing w:before="0" w:after="0" w:line="240" w:lineRule="auto"/>
              <w:jc w:val="center"/>
            </w:pPr>
            <w:r>
              <w:rPr>
                <w:rFonts w:ascii="宋体" w:hAnsi="宋体" w:eastAsia="宋体" w:cs="宋体"/>
                <w:b w:val="0"/>
                <w:i w:val="0"/>
                <w:sz w:val="18"/>
              </w:rPr>
              <w:t>487.28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9C28EE">
            <w:pPr>
              <w:spacing w:before="0" w:after="0" w:line="240" w:lineRule="auto"/>
              <w:jc w:val="center"/>
            </w:pPr>
            <w:r>
              <w:rPr>
                <w:rFonts w:ascii="宋体" w:hAnsi="宋体" w:eastAsia="宋体" w:cs="宋体"/>
                <w:b w:val="0"/>
                <w:i w:val="0"/>
                <w:sz w:val="18"/>
              </w:rPr>
              <w:t>487.28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D7CAB9">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F9DD9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37DD15">
            <w:pPr>
              <w:spacing w:before="0" w:after="0" w:line="240" w:lineRule="auto"/>
              <w:jc w:val="center"/>
            </w:pPr>
            <w:r>
              <w:rPr>
                <w:rFonts w:ascii="宋体" w:hAnsi="宋体" w:eastAsia="宋体" w:cs="宋体"/>
                <w:b w:val="0"/>
                <w:i w:val="0"/>
                <w:sz w:val="18"/>
              </w:rPr>
              <w:t>-</w:t>
            </w:r>
          </w:p>
        </w:tc>
      </w:tr>
      <w:tr w14:paraId="76C5048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1FCF0D5"/>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4B0141">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EEC195">
            <w:pPr>
              <w:spacing w:before="0" w:after="0" w:line="240" w:lineRule="auto"/>
              <w:jc w:val="center"/>
            </w:pPr>
            <w:r>
              <w:rPr>
                <w:rFonts w:ascii="宋体" w:hAnsi="宋体" w:eastAsia="宋体" w:cs="宋体"/>
                <w:b w:val="0"/>
                <w:i w:val="0"/>
                <w:sz w:val="18"/>
              </w:rPr>
              <w:t>14.50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A7C50A">
            <w:pPr>
              <w:spacing w:before="0" w:after="0" w:line="240" w:lineRule="auto"/>
              <w:jc w:val="center"/>
            </w:pPr>
            <w:r>
              <w:rPr>
                <w:rFonts w:ascii="宋体" w:hAnsi="宋体" w:eastAsia="宋体" w:cs="宋体"/>
                <w:b w:val="0"/>
                <w:i w:val="0"/>
                <w:sz w:val="18"/>
              </w:rPr>
              <w:t>60.63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18D4412">
            <w:pPr>
              <w:spacing w:before="0" w:after="0" w:line="240" w:lineRule="auto"/>
              <w:jc w:val="center"/>
            </w:pPr>
            <w:r>
              <w:rPr>
                <w:rFonts w:ascii="宋体" w:hAnsi="宋体" w:eastAsia="宋体" w:cs="宋体"/>
                <w:b w:val="0"/>
                <w:i w:val="0"/>
                <w:sz w:val="18"/>
              </w:rPr>
              <w:t>28.60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E2E15A">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753F28">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0520FF">
            <w:pPr>
              <w:spacing w:before="0" w:after="0" w:line="240" w:lineRule="auto"/>
              <w:jc w:val="center"/>
            </w:pPr>
            <w:r>
              <w:rPr>
                <w:rFonts w:ascii="宋体" w:hAnsi="宋体" w:eastAsia="宋体" w:cs="宋体"/>
                <w:b w:val="0"/>
                <w:i w:val="0"/>
                <w:sz w:val="18"/>
              </w:rPr>
              <w:t>-</w:t>
            </w:r>
          </w:p>
        </w:tc>
      </w:tr>
      <w:tr w14:paraId="760116A9">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64C9A4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892C31">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6D3376">
            <w:pPr>
              <w:spacing w:before="0" w:after="0" w:line="240" w:lineRule="auto"/>
              <w:jc w:val="center"/>
            </w:pPr>
            <w:r>
              <w:rPr>
                <w:rFonts w:ascii="宋体" w:hAnsi="宋体" w:eastAsia="宋体" w:cs="宋体"/>
                <w:b w:val="0"/>
                <w:i w:val="0"/>
                <w:sz w:val="18"/>
              </w:rPr>
              <w:t>373.70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81DA71C">
            <w:pPr>
              <w:spacing w:before="0" w:after="0" w:line="240" w:lineRule="auto"/>
              <w:jc w:val="center"/>
            </w:pPr>
            <w:r>
              <w:rPr>
                <w:rFonts w:ascii="宋体" w:hAnsi="宋体" w:eastAsia="宋体" w:cs="宋体"/>
                <w:b w:val="0"/>
                <w:i w:val="0"/>
                <w:sz w:val="18"/>
              </w:rPr>
              <w:t>547.91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37CAD9">
            <w:pPr>
              <w:spacing w:before="0" w:after="0" w:line="240" w:lineRule="auto"/>
              <w:jc w:val="center"/>
            </w:pPr>
            <w:r>
              <w:rPr>
                <w:rFonts w:ascii="宋体" w:hAnsi="宋体" w:eastAsia="宋体" w:cs="宋体"/>
                <w:b w:val="0"/>
                <w:i w:val="0"/>
                <w:sz w:val="18"/>
              </w:rPr>
              <w:t>515.88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F92091">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F50436">
            <w:pPr>
              <w:spacing w:before="0" w:after="0" w:line="240" w:lineRule="auto"/>
              <w:jc w:val="center"/>
            </w:pPr>
            <w:r>
              <w:rPr>
                <w:rFonts w:ascii="宋体" w:hAnsi="宋体" w:eastAsia="宋体" w:cs="宋体"/>
                <w:b w:val="0"/>
                <w:i w:val="0"/>
                <w:sz w:val="18"/>
              </w:rPr>
              <w:t>94.15%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6E4FC7">
            <w:pPr>
              <w:spacing w:before="0" w:after="0" w:line="240" w:lineRule="auto"/>
              <w:jc w:val="center"/>
            </w:pPr>
            <w:r>
              <w:rPr>
                <w:rFonts w:ascii="宋体" w:hAnsi="宋体" w:eastAsia="宋体" w:cs="宋体"/>
                <w:b w:val="0"/>
                <w:i w:val="0"/>
                <w:sz w:val="18"/>
              </w:rPr>
              <w:t>9.42</w:t>
            </w:r>
          </w:p>
        </w:tc>
      </w:tr>
      <w:tr w14:paraId="21037C7B">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188B94">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4CB845A3">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AA1E9D6">
            <w:pPr>
              <w:spacing w:before="0" w:after="0" w:line="240" w:lineRule="auto"/>
              <w:jc w:val="center"/>
            </w:pPr>
            <w:r>
              <w:rPr>
                <w:rFonts w:ascii="宋体" w:hAnsi="宋体" w:eastAsia="宋体" w:cs="宋体"/>
                <w:b w:val="0"/>
                <w:i w:val="0"/>
                <w:sz w:val="18"/>
              </w:rPr>
              <w:t>实际完成情况</w:t>
            </w:r>
          </w:p>
        </w:tc>
      </w:tr>
      <w:tr w14:paraId="27B59854">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BE623D1"/>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01D859F2">
            <w:pPr>
              <w:spacing w:before="0" w:after="0" w:line="240" w:lineRule="auto"/>
              <w:jc w:val="center"/>
            </w:pPr>
            <w:r>
              <w:rPr>
                <w:rFonts w:ascii="宋体" w:hAnsi="宋体" w:eastAsia="宋体" w:cs="宋体"/>
                <w:b w:val="0"/>
                <w:i w:val="0"/>
                <w:sz w:val="18"/>
              </w:rPr>
              <w:t>以习近平新时代中国特色社会主义思想为指导，全面贯彻党的二十大精神，深入学习贯彻习近平总书记视察新疆重要讲话重要指示精神，</w:t>
            </w:r>
            <w:r>
              <w:rPr>
                <w:rFonts w:hint="eastAsia" w:ascii="宋体" w:hAnsi="宋体" w:cs="宋体"/>
                <w:b w:val="0"/>
                <w:i w:val="0"/>
                <w:sz w:val="18"/>
                <w:lang w:eastAsia="zh-CN"/>
              </w:rPr>
              <w:t>完整准确全面贯彻新时代党的治疆方略</w:t>
            </w:r>
            <w:r>
              <w:rPr>
                <w:rFonts w:ascii="宋体" w:hAnsi="宋体" w:eastAsia="宋体" w:cs="宋体"/>
                <w:b w:val="0"/>
                <w:i w:val="0"/>
                <w:sz w:val="18"/>
              </w:rPr>
              <w:t>，把握团结奋斗的时代要求，着力抓好党中央关于民族工作各项决策、自治区党委工作部署和州党委工作要求的贯彻落实，有形有感有效铸牢中华民族共同体意识，进一步做好新疆基层民族工作。</w:t>
            </w:r>
            <w:r>
              <w:rPr>
                <w:rFonts w:ascii="宋体" w:hAnsi="宋体" w:eastAsia="宋体" w:cs="宋体"/>
                <w:b w:val="0"/>
                <w:i w:val="0"/>
                <w:sz w:val="18"/>
              </w:rPr>
              <w:cr/>
            </w:r>
            <w:r>
              <w:rPr>
                <w:rFonts w:ascii="宋体" w:hAnsi="宋体" w:eastAsia="宋体" w:cs="宋体"/>
                <w:b w:val="0"/>
                <w:i w:val="0"/>
                <w:sz w:val="18"/>
              </w:rPr>
              <w:t>
1.持续推进“三项计划”工作；2；加强“铸牢”工作研究阐释；3.推进新时代兴边富民行动。通过以上工作，激励庭州儿女增强“五个认同”，铸牢中华民族共同体意识，同时为州党委、州人民政府提供决策依据。</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72634BB">
            <w:pPr>
              <w:spacing w:before="0" w:after="0" w:line="240" w:lineRule="auto"/>
              <w:jc w:val="center"/>
            </w:pPr>
            <w:r>
              <w:rPr>
                <w:rFonts w:ascii="宋体" w:hAnsi="宋体" w:eastAsia="宋体" w:cs="宋体"/>
                <w:b w:val="0"/>
                <w:i w:val="0"/>
                <w:sz w:val="18"/>
              </w:rPr>
              <w:t>2025年我单位全年预算数为547.91万元，全年执行数为515.88万元，总预算执行率为99.42%。2025年我单位完成以下工作内容：1. 推进新时代兴边富民行动；2.完成民族工作铸牢主线方面的课题调研报告 ；3.持续推进“三项计划”相关工作。通过以上工作的实施，激励庭州儿女增强“五个认同”，铸牢中华民族共同体意识，同时为州党委、州人民政府提供决策依据。</w:t>
            </w:r>
          </w:p>
        </w:tc>
      </w:tr>
      <w:tr w14:paraId="4BB77A11">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E0C2D5">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8ED5DA">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C4BE46">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6E05AF">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EB42F3">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91EBA5">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8D4B75D">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539FF9">
            <w:pPr>
              <w:keepNext/>
              <w:spacing w:before="0" w:after="0" w:line="240" w:lineRule="auto"/>
              <w:jc w:val="center"/>
            </w:pPr>
            <w:r>
              <w:rPr>
                <w:rFonts w:ascii="宋体" w:hAnsi="宋体" w:eastAsia="宋体" w:cs="宋体"/>
                <w:b w:val="0"/>
                <w:i w:val="0"/>
                <w:sz w:val="18"/>
              </w:rPr>
              <w:t>得分</w:t>
            </w:r>
          </w:p>
        </w:tc>
      </w:tr>
      <w:tr w14:paraId="73CD5C6F">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86BE58">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FA2827">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429F957">
            <w:pPr>
              <w:spacing w:before="0" w:after="0" w:line="240" w:lineRule="auto"/>
              <w:jc w:val="center"/>
            </w:pPr>
            <w:r>
              <w:rPr>
                <w:rFonts w:ascii="宋体" w:hAnsi="宋体" w:eastAsia="宋体" w:cs="宋体"/>
                <w:b w:val="0"/>
                <w:i w:val="0"/>
                <w:sz w:val="18"/>
              </w:rPr>
              <w:t>推进新时代兴边富民行动</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96BC85">
            <w:pPr>
              <w:spacing w:before="0" w:after="0" w:line="240" w:lineRule="auto"/>
              <w:jc w:val="center"/>
            </w:pPr>
            <w:r>
              <w:rPr>
                <w:rFonts w:ascii="宋体" w:hAnsi="宋体" w:eastAsia="宋体" w:cs="宋体"/>
                <w:b w:val="0"/>
                <w:i w:val="0"/>
                <w:sz w:val="18"/>
              </w:rPr>
              <w:t>&gt;=1次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C6E46E">
            <w:pPr>
              <w:spacing w:before="0" w:after="0" w:line="240" w:lineRule="auto"/>
              <w:jc w:val="center"/>
            </w:pPr>
            <w:r>
              <w:rPr>
                <w:rFonts w:ascii="宋体" w:hAnsi="宋体" w:eastAsia="宋体" w:cs="宋体"/>
                <w:b w:val="0"/>
                <w:i w:val="0"/>
                <w:sz w:val="18"/>
              </w:rPr>
              <w:t>自治区民委工作要点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F72488C">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55C41F4">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6182BC">
            <w:pPr>
              <w:spacing w:before="0" w:after="0" w:line="240" w:lineRule="auto"/>
              <w:jc w:val="center"/>
            </w:pPr>
            <w:r>
              <w:rPr>
                <w:rFonts w:ascii="宋体" w:hAnsi="宋体" w:eastAsia="宋体" w:cs="宋体"/>
                <w:b w:val="0"/>
                <w:i w:val="0"/>
                <w:sz w:val="18"/>
              </w:rPr>
              <w:t>30</w:t>
            </w:r>
          </w:p>
        </w:tc>
      </w:tr>
      <w:tr w14:paraId="0D886430">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EAE8CA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EB51F5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5782C88">
            <w:pPr>
              <w:spacing w:before="0" w:after="0" w:line="240" w:lineRule="auto"/>
              <w:jc w:val="center"/>
            </w:pPr>
            <w:r>
              <w:rPr>
                <w:rFonts w:ascii="宋体" w:hAnsi="宋体" w:eastAsia="宋体" w:cs="宋体"/>
                <w:b w:val="0"/>
                <w:i w:val="0"/>
                <w:sz w:val="18"/>
              </w:rPr>
              <w:t>完成民族工作铸牢主线方面的课题调研报告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4C7FC0">
            <w:pPr>
              <w:spacing w:before="0" w:after="0" w:line="240" w:lineRule="auto"/>
              <w:jc w:val="center"/>
            </w:pPr>
            <w:r>
              <w:rPr>
                <w:rFonts w:ascii="宋体" w:hAnsi="宋体" w:eastAsia="宋体" w:cs="宋体"/>
                <w:b w:val="0"/>
                <w:i w:val="0"/>
                <w:sz w:val="18"/>
              </w:rPr>
              <w:t>=2篇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67A6A6">
            <w:pPr>
              <w:spacing w:before="0" w:after="0" w:line="240" w:lineRule="auto"/>
              <w:jc w:val="center"/>
            </w:pPr>
            <w:r>
              <w:rPr>
                <w:rFonts w:ascii="宋体" w:hAnsi="宋体" w:eastAsia="宋体" w:cs="宋体"/>
                <w:b w:val="0"/>
                <w:i w:val="0"/>
                <w:sz w:val="18"/>
              </w:rPr>
              <w:t>其他依据文件内容涉敏无法填报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0BBAC9">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78C404">
            <w:pPr>
              <w:spacing w:before="0" w:after="0" w:line="240" w:lineRule="auto"/>
              <w:jc w:val="center"/>
            </w:pPr>
            <w:r>
              <w:rPr>
                <w:rFonts w:ascii="宋体" w:hAnsi="宋体" w:eastAsia="宋体" w:cs="宋体"/>
                <w:b w:val="0"/>
                <w:i w:val="0"/>
                <w:sz w:val="18"/>
              </w:rPr>
              <w:t>3篇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3D8AAA">
            <w:pPr>
              <w:spacing w:before="0" w:after="0" w:line="240" w:lineRule="auto"/>
              <w:jc w:val="center"/>
            </w:pPr>
            <w:r>
              <w:rPr>
                <w:rFonts w:ascii="宋体" w:hAnsi="宋体" w:eastAsia="宋体" w:cs="宋体"/>
                <w:b w:val="0"/>
                <w:i w:val="0"/>
                <w:sz w:val="18"/>
              </w:rPr>
              <w:t>30</w:t>
            </w:r>
          </w:p>
        </w:tc>
      </w:tr>
      <w:tr w14:paraId="32D1997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E9838D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AC665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4BDF56">
            <w:pPr>
              <w:spacing w:before="0" w:after="0" w:line="240" w:lineRule="auto"/>
              <w:jc w:val="center"/>
            </w:pPr>
            <w:r>
              <w:rPr>
                <w:rFonts w:ascii="宋体" w:hAnsi="宋体" w:eastAsia="宋体" w:cs="宋体"/>
                <w:b w:val="0"/>
                <w:i w:val="0"/>
                <w:sz w:val="18"/>
              </w:rPr>
              <w:t>持续推进“三项计划”相关工作</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36C618">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BBB8433">
            <w:pPr>
              <w:spacing w:before="0" w:after="0" w:line="240" w:lineRule="auto"/>
              <w:jc w:val="center"/>
            </w:pPr>
            <w:r>
              <w:rPr>
                <w:rFonts w:ascii="宋体" w:hAnsi="宋体" w:eastAsia="宋体" w:cs="宋体"/>
                <w:b w:val="0"/>
                <w:i w:val="0"/>
                <w:sz w:val="18"/>
              </w:rPr>
              <w:t>自治区民委工作要点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C2A506">
            <w:pPr>
              <w:spacing w:before="0" w:after="0" w:line="240" w:lineRule="auto"/>
              <w:jc w:val="center"/>
            </w:pPr>
            <w:r>
              <w:rPr>
                <w:rFonts w:ascii="宋体" w:hAnsi="宋体" w:eastAsia="宋体" w:cs="宋体"/>
                <w:b w:val="0"/>
                <w:i w:val="0"/>
                <w:sz w:val="18"/>
              </w:rPr>
              <w:t>30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ED2954">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B195FE">
            <w:pPr>
              <w:spacing w:before="0" w:after="0" w:line="240" w:lineRule="auto"/>
              <w:jc w:val="center"/>
            </w:pPr>
            <w:r>
              <w:rPr>
                <w:rFonts w:ascii="宋体" w:hAnsi="宋体" w:eastAsia="宋体" w:cs="宋体"/>
                <w:b w:val="0"/>
                <w:i w:val="0"/>
                <w:sz w:val="18"/>
              </w:rPr>
              <w:t>30</w:t>
            </w:r>
          </w:p>
        </w:tc>
      </w:tr>
    </w:tbl>
    <w:p w14:paraId="6C2E0224">
      <w:r>
        <w:br w:type="page"/>
      </w:r>
    </w:p>
    <w:p w14:paraId="21FD125E">
      <w:pPr>
        <w:spacing w:line="640" w:lineRule="exact"/>
        <w:ind w:firstLine="640"/>
        <w:jc w:val="both"/>
        <w:outlineLvl w:val="2"/>
      </w:pPr>
      <w:r>
        <w:rPr>
          <w:rFonts w:ascii="黑体" w:hAnsi="黑体" w:eastAsia="黑体"/>
          <w:sz w:val="32"/>
        </w:rPr>
        <w:t>十二、其他需说明的事项</w:t>
      </w:r>
    </w:p>
    <w:p w14:paraId="6402B7FA">
      <w:pPr>
        <w:spacing w:line="580" w:lineRule="exact"/>
        <w:ind w:firstLine="640"/>
        <w:jc w:val="both"/>
      </w:pPr>
      <w:r>
        <w:rPr>
          <w:rFonts w:ascii="仿宋_GB2312" w:hAnsi="仿宋_GB2312" w:eastAsia="仿宋_GB2312"/>
          <w:b w:val="0"/>
          <w:sz w:val="32"/>
        </w:rPr>
        <w:t>本年本单位其他项目4个，全年预算数128.49万元，全年执行数128.49万元。</w:t>
      </w:r>
    </w:p>
    <w:p w14:paraId="4662B723">
      <w:r>
        <w:br w:type="page"/>
      </w:r>
    </w:p>
    <w:p w14:paraId="1FEF6075">
      <w:pPr>
        <w:spacing w:line="600" w:lineRule="exact"/>
        <w:jc w:val="center"/>
        <w:outlineLvl w:val="0"/>
      </w:pPr>
      <w:r>
        <w:rPr>
          <w:rFonts w:ascii="黑体" w:hAnsi="黑体" w:eastAsia="黑体"/>
          <w:sz w:val="32"/>
        </w:rPr>
        <w:t>第三部分 专业名词解释</w:t>
      </w:r>
    </w:p>
    <w:p w14:paraId="68600EB9">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5C6F5FF3">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ECBE34A">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6F5DEA63">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25BAD2D9">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4167031">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4A28BC7B">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0D3B840F">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449D84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2F7E9C1A">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36374EB7">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20E1024F">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7A80625">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1FA1886F">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2121F6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2D1BC141">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8CB297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4F21C99C">
      <w:r>
        <w:br w:type="page"/>
      </w:r>
    </w:p>
    <w:p w14:paraId="40B024D7">
      <w:pPr>
        <w:spacing w:line="240" w:lineRule="auto"/>
        <w:jc w:val="center"/>
        <w:outlineLvl w:val="1"/>
      </w:pPr>
      <w:r>
        <w:rPr>
          <w:rFonts w:ascii="黑体" w:hAnsi="黑体" w:eastAsia="黑体"/>
          <w:sz w:val="32"/>
        </w:rPr>
        <w:t>第四部分 部门决算报表（见附表）</w:t>
      </w:r>
    </w:p>
    <w:p w14:paraId="7475D96F">
      <w:pPr>
        <w:autoSpaceDE w:val="0"/>
        <w:autoSpaceDN w:val="0"/>
        <w:spacing w:line="600" w:lineRule="exact"/>
        <w:ind w:firstLine="640" w:firstLineChars="200"/>
      </w:pPr>
      <w:r>
        <w:rPr>
          <w:rFonts w:ascii="仿宋_GB2312" w:hAnsi="仿宋_GB2312" w:eastAsia="仿宋_GB2312"/>
          <w:b w:val="0"/>
          <w:sz w:val="32"/>
        </w:rPr>
        <w:t>一、《收入支出决算总表》</w:t>
      </w:r>
    </w:p>
    <w:p w14:paraId="6C7E2956">
      <w:pPr>
        <w:autoSpaceDE w:val="0"/>
        <w:autoSpaceDN w:val="0"/>
        <w:spacing w:line="600" w:lineRule="exact"/>
        <w:ind w:firstLine="640" w:firstLineChars="200"/>
      </w:pPr>
      <w:r>
        <w:rPr>
          <w:rFonts w:ascii="仿宋_GB2312" w:hAnsi="仿宋_GB2312" w:eastAsia="仿宋_GB2312"/>
          <w:b w:val="0"/>
          <w:sz w:val="32"/>
        </w:rPr>
        <w:t>二、《收入决算表》</w:t>
      </w:r>
    </w:p>
    <w:p w14:paraId="718E7E4A">
      <w:pPr>
        <w:autoSpaceDE w:val="0"/>
        <w:autoSpaceDN w:val="0"/>
        <w:spacing w:line="600" w:lineRule="exact"/>
        <w:ind w:firstLine="640" w:firstLineChars="200"/>
      </w:pPr>
      <w:r>
        <w:rPr>
          <w:rFonts w:ascii="仿宋_GB2312" w:hAnsi="仿宋_GB2312" w:eastAsia="仿宋_GB2312"/>
          <w:b w:val="0"/>
          <w:sz w:val="32"/>
        </w:rPr>
        <w:t>三、《支出决算表》</w:t>
      </w:r>
    </w:p>
    <w:p w14:paraId="0960AC0D">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5B4FB4CF">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4BDB445C">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054776EA">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A685C23">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3E50A9CC">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275107D9">
      <w:pPr>
        <w:autoSpaceDE w:val="0"/>
        <w:autoSpaceDN w:val="0"/>
        <w:spacing w:line="600" w:lineRule="exact"/>
        <w:ind w:firstLine="640" w:firstLineChars="200"/>
      </w:pPr>
    </w:p>
    <w:p w14:paraId="28855799">
      <w:pPr>
        <w:autoSpaceDE w:val="0"/>
        <w:autoSpaceDN w:val="0"/>
        <w:spacing w:line="600" w:lineRule="exact"/>
        <w:ind w:firstLine="640" w:firstLineChars="200"/>
      </w:pPr>
    </w:p>
    <w:p w14:paraId="738DE6A4">
      <w:pPr>
        <w:autoSpaceDE w:val="0"/>
        <w:autoSpaceDN w:val="0"/>
        <w:spacing w:line="600" w:lineRule="exact"/>
        <w:ind w:firstLine="640" w:firstLineChars="200"/>
      </w:pPr>
    </w:p>
    <w:p w14:paraId="5E011E29">
      <w:pPr>
        <w:autoSpaceDE w:val="0"/>
        <w:autoSpaceDN w:val="0"/>
        <w:spacing w:line="600" w:lineRule="exact"/>
        <w:ind w:firstLine="640" w:firstLineChars="200"/>
      </w:pPr>
    </w:p>
    <w:p w14:paraId="1EFD17F0">
      <w:pPr>
        <w:autoSpaceDE w:val="0"/>
        <w:autoSpaceDN w:val="0"/>
        <w:spacing w:line="600" w:lineRule="exact"/>
        <w:ind w:firstLine="640" w:firstLineChars="200"/>
      </w:pPr>
    </w:p>
    <w:sectPr>
      <w:footerReference r:id="rId3" w:type="default"/>
      <w:pgSz w:w="11906" w:h="16838"/>
      <w:pgMar w:top="2098" w:right="1531" w:bottom="1985"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ACAA303-1571-4DE7-8F44-22FE5CB00C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B1BA9E01-1A70-4D3C-915B-DC66466B52EB}"/>
  </w:font>
  <w:font w:name="仿宋_GB2312">
    <w:panose1 w:val="02010609030101010101"/>
    <w:charset w:val="86"/>
    <w:family w:val="modern"/>
    <w:pitch w:val="default"/>
    <w:sig w:usb0="00000001" w:usb1="080E0000" w:usb2="00000000" w:usb3="00000000" w:csb0="00040000" w:csb1="00000000"/>
    <w:embedRegular r:id="rId3" w:fontKey="{B4F9F9F6-564D-42CA-895A-61CE8AE6A7FB}"/>
  </w:font>
  <w:font w:name="楷体_GB2312">
    <w:panose1 w:val="02010609030101010101"/>
    <w:charset w:val="86"/>
    <w:family w:val="auto"/>
    <w:pitch w:val="default"/>
    <w:sig w:usb0="00000001" w:usb1="080E0000" w:usb2="00000000" w:usb3="00000000" w:csb0="00040000" w:csb1="00000000"/>
    <w:embedRegular r:id="rId4" w:fontKey="{EBB4FFE9-F1B8-46E5-B7D0-CDEF26EECD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AA124A"/>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21</Pages>
  <Words>27</Words>
  <Characters>30</Characters>
  <Lines>10</Lines>
  <Paragraphs>2</Paragraphs>
  <TotalTime>7</TotalTime>
  <ScaleCrop>false</ScaleCrop>
  <LinksUpToDate>false</LinksUpToDate>
  <CharactersWithSpaces>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2026-10-15T09:59:42Z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eyJoZGlkIjoiM2Q5NDlmNDc3N2ZkYzk3ZGJmOTUwNTM0Mzc5MTVlNDMiLCJ1c2VySWQiOiIzMjQ5NjUzODcifQ==</vt:lpwstr>
  </property>
</Properties>
</file>