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昌吉回族自治州法学会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4462DCBB">
      <w:r>
        <w:br w:type="page"/>
      </w:r>
    </w:p>
    <w:p w14:paraId="7B86DC9B">
      <w:pPr>
        <w:spacing w:line="640" w:lineRule="exact"/>
        <w:jc w:val="center"/>
        <w:outlineLvl w:val="1"/>
      </w:pPr>
      <w:r>
        <w:rPr>
          <w:rFonts w:ascii="黑体" w:hAnsi="黑体" w:eastAsia="黑体"/>
          <w:sz w:val="32"/>
        </w:rPr>
        <w:t>第一部分 单位概况</w:t>
      </w:r>
    </w:p>
    <w:p w14:paraId="5208AC2F">
      <w:pPr>
        <w:spacing w:line="640" w:lineRule="exact"/>
        <w:ind w:firstLine="640"/>
        <w:jc w:val="both"/>
        <w:outlineLvl w:val="2"/>
      </w:pPr>
      <w:r>
        <w:rPr>
          <w:rFonts w:ascii="黑体" w:hAnsi="黑体" w:eastAsia="黑体"/>
          <w:sz w:val="32"/>
        </w:rPr>
        <w:t>一、主要职能</w:t>
      </w:r>
    </w:p>
    <w:p w14:paraId="11916359">
      <w:pPr>
        <w:spacing w:line="580" w:lineRule="exact"/>
        <w:ind w:firstLine="640"/>
        <w:jc w:val="both"/>
      </w:pPr>
      <w:r>
        <w:rPr>
          <w:rFonts w:ascii="仿宋_GB2312" w:hAnsi="仿宋_GB2312" w:eastAsia="仿宋_GB2312"/>
          <w:sz w:val="32"/>
        </w:rPr>
        <w:t>负责自治州法学会的日常工作，做好召开会员代表大会、理事会、常务理事会、会长办公会议的会务工作；参与指导法学会各学科研究会的换届选举工作；制定并组织实施法学会年度工作计划，组织、推动各种形式的法学研究和学术交流活动；协调法学会各专业研究会开展活动；组织会员参与自治州立法总体规划的研究和单行条例及各类规范性文件的起草、修改、咨询、论证工作；组织法学工作者、法律工作者开展调查研究，加强信息交流和传播。制定并组织实施对外法学交流计划，组织开展同国内省市区间的法学术交流与合作。组织评选自治州优秀法学人才和优秀法学成果活动。负责会员的发展、管理、联系和服务工作；指导、协调团体会员工作；反映会员和法学界、法律界的意见与要求，维护会员的合法权益。组织会员向社会提供法律服务，开展法治宣传和法律培训，主办法制、法学刊物，编辑法学资料及完成上级交办的其他工作任务。</w:t>
      </w:r>
    </w:p>
    <w:p w14:paraId="31369778">
      <w:pPr>
        <w:spacing w:line="640" w:lineRule="exact"/>
        <w:ind w:firstLine="640"/>
        <w:jc w:val="both"/>
        <w:outlineLvl w:val="2"/>
      </w:pPr>
      <w:r>
        <w:rPr>
          <w:rFonts w:ascii="黑体" w:hAnsi="黑体" w:eastAsia="黑体"/>
          <w:sz w:val="32"/>
        </w:rPr>
        <w:t>二、机构设置</w:t>
      </w:r>
    </w:p>
    <w:p w14:paraId="2E460059">
      <w:pPr>
        <w:spacing w:line="580" w:lineRule="exact"/>
        <w:ind w:firstLine="640"/>
        <w:jc w:val="both"/>
      </w:pPr>
      <w:r>
        <w:rPr>
          <w:rFonts w:ascii="仿宋_GB2312" w:hAnsi="仿宋_GB2312" w:eastAsia="仿宋_GB2312"/>
          <w:sz w:val="32"/>
        </w:rPr>
        <w:t>昌吉回族自治州法学会无下属预算单位。</w:t>
      </w:r>
    </w:p>
    <w:p w14:paraId="7483CF66">
      <w:r>
        <w:br w:type="page"/>
      </w:r>
    </w:p>
    <w:p w14:paraId="5459A70D">
      <w:pPr>
        <w:spacing w:line="240" w:lineRule="auto"/>
        <w:jc w:val="center"/>
        <w:outlineLvl w:val="1"/>
      </w:pPr>
      <w:r>
        <w:rPr>
          <w:rFonts w:ascii="黑体" w:hAnsi="黑体" w:eastAsia="黑体"/>
          <w:sz w:val="32"/>
        </w:rPr>
        <w:t>第二部分 部门决算情况说明</w:t>
      </w:r>
    </w:p>
    <w:p w14:paraId="22CEC47B">
      <w:pPr>
        <w:spacing w:line="640" w:lineRule="exact"/>
        <w:ind w:firstLine="640"/>
        <w:jc w:val="both"/>
        <w:outlineLvl w:val="2"/>
      </w:pPr>
      <w:r>
        <w:rPr>
          <w:rFonts w:ascii="黑体" w:hAnsi="黑体" w:eastAsia="黑体"/>
          <w:sz w:val="32"/>
        </w:rPr>
        <w:t>一、收入支出决算总体情况说明</w:t>
      </w:r>
    </w:p>
    <w:p w14:paraId="3177D3CC">
      <w:pPr>
        <w:spacing w:line="580" w:lineRule="exact"/>
        <w:ind w:firstLine="640"/>
        <w:jc w:val="both"/>
      </w:pPr>
      <w:r>
        <w:rPr>
          <w:rFonts w:ascii="仿宋_GB2312" w:hAnsi="仿宋_GB2312" w:eastAsia="仿宋_GB2312"/>
          <w:b/>
          <w:sz w:val="32"/>
        </w:rPr>
        <w:t>2025年度收入总计95.36万元，</w:t>
      </w:r>
      <w:r>
        <w:rPr>
          <w:rFonts w:ascii="仿宋_GB2312" w:hAnsi="仿宋_GB2312" w:eastAsia="仿宋_GB2312"/>
          <w:b w:val="0"/>
          <w:sz w:val="32"/>
        </w:rPr>
        <w:t>其中：本年收入合计79.26万元，使用非财政拨款结余（含专用结余）0.00万元，年初结转和结余16.09万元。</w:t>
      </w:r>
    </w:p>
    <w:p w14:paraId="7504D64F">
      <w:pPr>
        <w:spacing w:line="580" w:lineRule="exact"/>
        <w:ind w:firstLine="640"/>
        <w:jc w:val="both"/>
      </w:pPr>
      <w:r>
        <w:rPr>
          <w:rFonts w:ascii="仿宋_GB2312" w:hAnsi="仿宋_GB2312" w:eastAsia="仿宋_GB2312"/>
          <w:b/>
          <w:sz w:val="32"/>
        </w:rPr>
        <w:t>2025年度支出总计95.36万元，</w:t>
      </w:r>
      <w:r>
        <w:rPr>
          <w:rFonts w:ascii="仿宋_GB2312" w:hAnsi="仿宋_GB2312" w:eastAsia="仿宋_GB2312"/>
          <w:b w:val="0"/>
          <w:sz w:val="32"/>
        </w:rPr>
        <w:t>其中：本年支出合计92.29万元，结余分配0.00万元，年末结转和结余3.07万元。</w:t>
      </w:r>
    </w:p>
    <w:p w14:paraId="52515568">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增加21.33万元，增长28.81%，主要原因是：本年在职人员增加，工资调增，社保、公积金基数调增，人员经费增加。</w:t>
      </w:r>
    </w:p>
    <w:p w14:paraId="77B3A6DE">
      <w:pPr>
        <w:spacing w:line="640" w:lineRule="exact"/>
        <w:ind w:firstLine="640"/>
        <w:jc w:val="both"/>
        <w:outlineLvl w:val="2"/>
      </w:pPr>
      <w:r>
        <w:rPr>
          <w:rFonts w:ascii="黑体" w:hAnsi="黑体" w:eastAsia="黑体"/>
          <w:sz w:val="32"/>
        </w:rPr>
        <w:t>二、收入决算情况说明</w:t>
      </w:r>
    </w:p>
    <w:p w14:paraId="30801756">
      <w:pPr>
        <w:spacing w:line="580" w:lineRule="exact"/>
        <w:ind w:firstLine="640"/>
        <w:jc w:val="both"/>
      </w:pPr>
      <w:r>
        <w:rPr>
          <w:rFonts w:ascii="仿宋_GB2312" w:hAnsi="仿宋_GB2312" w:eastAsia="仿宋_GB2312"/>
          <w:b/>
          <w:sz w:val="32"/>
        </w:rPr>
        <w:t>本年收入79.26万元，</w:t>
      </w:r>
      <w:r>
        <w:rPr>
          <w:rFonts w:ascii="仿宋_GB2312" w:hAnsi="仿宋_GB2312" w:eastAsia="仿宋_GB2312"/>
          <w:b w:val="0"/>
          <w:sz w:val="32"/>
        </w:rPr>
        <w:t>其中：财政拨款收入79.26万元，占100.00%；上级补助收入0.00万元，占0.00%；事业收入0.00万元，占0.00%；经营收入0.00万元，占0.00%；附属单位上缴收入0.00万元，占0.00%；其他收入0.00万元，占0.00%。</w:t>
      </w:r>
    </w:p>
    <w:p w14:paraId="201181E0">
      <w:pPr>
        <w:spacing w:line="640" w:lineRule="exact"/>
        <w:ind w:firstLine="640"/>
        <w:jc w:val="both"/>
        <w:outlineLvl w:val="2"/>
      </w:pPr>
      <w:r>
        <w:rPr>
          <w:rFonts w:ascii="黑体" w:hAnsi="黑体" w:eastAsia="黑体"/>
          <w:sz w:val="32"/>
        </w:rPr>
        <w:t>三、支出决算情况说明</w:t>
      </w:r>
    </w:p>
    <w:p w14:paraId="052A8A84">
      <w:pPr>
        <w:spacing w:line="580" w:lineRule="exact"/>
        <w:ind w:firstLine="640"/>
        <w:jc w:val="both"/>
      </w:pPr>
      <w:r>
        <w:rPr>
          <w:rFonts w:ascii="仿宋_GB2312" w:hAnsi="仿宋_GB2312" w:eastAsia="仿宋_GB2312"/>
          <w:b/>
          <w:sz w:val="32"/>
        </w:rPr>
        <w:t>本年支出92.29万元，</w:t>
      </w:r>
      <w:r>
        <w:rPr>
          <w:rFonts w:ascii="仿宋_GB2312" w:hAnsi="仿宋_GB2312" w:eastAsia="仿宋_GB2312"/>
          <w:b w:val="0"/>
          <w:sz w:val="32"/>
        </w:rPr>
        <w:t>其中：基本支出65.30万元，占70.76%；项目支出26.99万元，占29.24%；上缴上级支出0.00万元，占0.00%；经营支出0.00万元，占0.00%；对附属单位补助支出0.00万元，占0.00%。</w:t>
      </w:r>
    </w:p>
    <w:p w14:paraId="6B065973">
      <w:pPr>
        <w:spacing w:line="640" w:lineRule="exact"/>
        <w:ind w:firstLine="640"/>
        <w:jc w:val="both"/>
        <w:outlineLvl w:val="2"/>
      </w:pPr>
      <w:r>
        <w:rPr>
          <w:rFonts w:ascii="黑体" w:hAnsi="黑体" w:eastAsia="黑体"/>
          <w:sz w:val="32"/>
        </w:rPr>
        <w:t>四、财政拨款收入支出决算总体情况说明</w:t>
      </w:r>
    </w:p>
    <w:p w14:paraId="5A400B4F">
      <w:pPr>
        <w:spacing w:line="580" w:lineRule="exact"/>
        <w:ind w:firstLine="640"/>
        <w:jc w:val="both"/>
      </w:pPr>
      <w:r>
        <w:rPr>
          <w:rFonts w:ascii="仿宋_GB2312" w:hAnsi="仿宋_GB2312" w:eastAsia="仿宋_GB2312"/>
          <w:b/>
          <w:sz w:val="32"/>
        </w:rPr>
        <w:t>2025年度财政拨款收入总计79.26万元，</w:t>
      </w:r>
      <w:r>
        <w:rPr>
          <w:rFonts w:ascii="仿宋_GB2312" w:hAnsi="仿宋_GB2312" w:eastAsia="仿宋_GB2312"/>
          <w:b w:val="0"/>
          <w:sz w:val="32"/>
        </w:rPr>
        <w:t>其中：年初财政拨款结转和结余0.00万元，本年财政拨款收入79.26万元。</w:t>
      </w:r>
      <w:r>
        <w:rPr>
          <w:rFonts w:ascii="仿宋_GB2312" w:hAnsi="仿宋_GB2312" w:eastAsia="仿宋_GB2312"/>
          <w:b/>
          <w:sz w:val="32"/>
        </w:rPr>
        <w:t>财政拨款支出总计79.26万元，</w:t>
      </w:r>
      <w:r>
        <w:rPr>
          <w:rFonts w:ascii="仿宋_GB2312" w:hAnsi="仿宋_GB2312" w:eastAsia="仿宋_GB2312"/>
          <w:b w:val="0"/>
          <w:sz w:val="32"/>
        </w:rPr>
        <w:t>其中：年末财政拨款结转和结余0.00万元，本年财政拨款支出79.26万元。</w:t>
      </w:r>
    </w:p>
    <w:p w14:paraId="5385289F">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增加35.50万元，增长81.12%，主要原因是：本年在职人员增加，工资调增，社保、公积金基数调增，人员经费增加。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年初预算数50.98万元，决算数79.26万元，预决算差异率55.47%，主要原因是：本年在职人员增加，年中追加人员经费及人员工资、社保、公积金基数调增部分资金，导致预决算存在差异。</w:t>
      </w:r>
    </w:p>
    <w:p w14:paraId="5D26AA88">
      <w:pPr>
        <w:spacing w:line="640" w:lineRule="exact"/>
        <w:ind w:firstLine="640"/>
        <w:jc w:val="both"/>
        <w:outlineLvl w:val="2"/>
      </w:pPr>
      <w:r>
        <w:rPr>
          <w:rFonts w:ascii="黑体" w:hAnsi="黑体" w:eastAsia="黑体"/>
          <w:sz w:val="32"/>
        </w:rPr>
        <w:t>五、一般公共预算财政拨款支出决算情况说明</w:t>
      </w:r>
    </w:p>
    <w:p w14:paraId="47F2FD70">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事业发展等等重点支出，体现在有关支出科目中。</w:t>
      </w:r>
    </w:p>
    <w:p w14:paraId="4C353F28">
      <w:pPr>
        <w:spacing w:line="580" w:lineRule="exact"/>
        <w:ind w:firstLine="640"/>
        <w:jc w:val="both"/>
      </w:pPr>
      <w:r>
        <w:rPr>
          <w:rFonts w:ascii="仿宋_GB2312" w:hAnsi="仿宋_GB2312" w:eastAsia="仿宋_GB2312"/>
          <w:b w:val="0"/>
          <w:sz w:val="32"/>
        </w:rPr>
        <w:t>按照支出功能分类，一般公共服务支出（类）其他共产党事务支出（款）事业运行（项）的支出占本年财政拨款支出总额的比重最高，2025年度决算数为54.62万元，占比68.91%，主要用于人员工资福利支出、公用经费支出。</w:t>
      </w:r>
    </w:p>
    <w:p w14:paraId="0B4A183E">
      <w:pPr>
        <w:spacing w:line="640" w:lineRule="exact"/>
        <w:ind w:firstLine="640"/>
        <w:jc w:val="both"/>
        <w:outlineLvl w:val="3"/>
      </w:pPr>
      <w:r>
        <w:rPr>
          <w:rFonts w:ascii="楷体_GB2312" w:hAnsi="楷体_GB2312" w:eastAsia="楷体_GB2312"/>
          <w:b/>
          <w:sz w:val="32"/>
        </w:rPr>
        <w:t>（一）一般公共预算财政拨款支出决算总体情况</w:t>
      </w:r>
    </w:p>
    <w:p w14:paraId="2C02C3AC">
      <w:pPr>
        <w:spacing w:line="580" w:lineRule="exact"/>
        <w:ind w:firstLine="640"/>
        <w:jc w:val="both"/>
      </w:pPr>
      <w:r>
        <w:rPr>
          <w:rFonts w:ascii="仿宋_GB2312" w:hAnsi="仿宋_GB2312" w:eastAsia="仿宋_GB2312"/>
          <w:b/>
          <w:sz w:val="32"/>
        </w:rPr>
        <w:t>2025年度一般公共预算财政拨款支出79.26万元，</w:t>
      </w:r>
      <w:r>
        <w:rPr>
          <w:rFonts w:ascii="仿宋_GB2312" w:hAnsi="仿宋_GB2312" w:eastAsia="仿宋_GB2312"/>
          <w:b w:val="0"/>
          <w:sz w:val="32"/>
        </w:rPr>
        <w:t>占本年支出合计的85.88%。</w:t>
      </w:r>
      <w:r>
        <w:rPr>
          <w:rFonts w:ascii="仿宋_GB2312" w:hAnsi="仿宋_GB2312" w:eastAsia="仿宋_GB2312"/>
          <w:b/>
          <w:sz w:val="32"/>
        </w:rPr>
        <w:t>与上年相比，</w:t>
      </w:r>
      <w:r>
        <w:rPr>
          <w:rFonts w:ascii="仿宋_GB2312" w:hAnsi="仿宋_GB2312" w:eastAsia="仿宋_GB2312"/>
          <w:b w:val="0"/>
          <w:sz w:val="32"/>
        </w:rPr>
        <w:t>增加35.50万元，增长81.12%，主要原因是：本年在职人员增加，工资调增，社保、公积金基数调增，人员经费增加。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年初预算数50.98万元，决算数79.26万元，预决算差异率55.47%，主要原因是：本年在职人员增加，年中追加人员经费及人员工资、社保、公积金基数调增部分资金，导致预决算存在差异。</w:t>
      </w:r>
    </w:p>
    <w:p w14:paraId="1FE03879">
      <w:pPr>
        <w:spacing w:line="640" w:lineRule="exact"/>
        <w:ind w:firstLine="640"/>
        <w:jc w:val="both"/>
        <w:outlineLvl w:val="3"/>
      </w:pPr>
      <w:r>
        <w:rPr>
          <w:rFonts w:ascii="楷体_GB2312" w:hAnsi="楷体_GB2312" w:eastAsia="楷体_GB2312"/>
          <w:b/>
          <w:sz w:val="32"/>
        </w:rPr>
        <w:t>（二）一般公共预算财政拨款支出决算结构情况</w:t>
      </w:r>
    </w:p>
    <w:p w14:paraId="62A457C9">
      <w:pPr>
        <w:spacing w:line="580" w:lineRule="exact"/>
        <w:ind w:firstLine="640"/>
        <w:jc w:val="both"/>
      </w:pPr>
      <w:r>
        <w:rPr>
          <w:rFonts w:ascii="仿宋_GB2312" w:hAnsi="仿宋_GB2312" w:eastAsia="仿宋_GB2312"/>
          <w:b w:val="0"/>
          <w:sz w:val="32"/>
        </w:rPr>
        <w:t>1.一般公共服务支出（类）68.58万元，占86.53%。</w:t>
      </w:r>
    </w:p>
    <w:p w14:paraId="4D1685FA">
      <w:pPr>
        <w:spacing w:line="580" w:lineRule="exact"/>
        <w:ind w:firstLine="640"/>
        <w:jc w:val="both"/>
      </w:pPr>
      <w:r>
        <w:rPr>
          <w:rFonts w:ascii="仿宋_GB2312" w:hAnsi="仿宋_GB2312" w:eastAsia="仿宋_GB2312"/>
          <w:b w:val="0"/>
          <w:sz w:val="32"/>
        </w:rPr>
        <w:t>2.社会保障和就业支出（类）5.20万元，占6.56%。</w:t>
      </w:r>
    </w:p>
    <w:p w14:paraId="2B657FE6">
      <w:pPr>
        <w:spacing w:line="580" w:lineRule="exact"/>
        <w:ind w:firstLine="640"/>
        <w:jc w:val="both"/>
      </w:pPr>
      <w:r>
        <w:rPr>
          <w:rFonts w:ascii="仿宋_GB2312" w:hAnsi="仿宋_GB2312" w:eastAsia="仿宋_GB2312"/>
          <w:b w:val="0"/>
          <w:sz w:val="32"/>
        </w:rPr>
        <w:t>3.卫生健康支出（类）2.79万元，占3.52%。</w:t>
      </w:r>
    </w:p>
    <w:p w14:paraId="2AC59DB8">
      <w:pPr>
        <w:spacing w:line="580" w:lineRule="exact"/>
        <w:ind w:firstLine="640"/>
        <w:jc w:val="both"/>
      </w:pPr>
      <w:r>
        <w:rPr>
          <w:rFonts w:ascii="仿宋_GB2312" w:hAnsi="仿宋_GB2312" w:eastAsia="仿宋_GB2312"/>
          <w:b w:val="0"/>
          <w:sz w:val="32"/>
        </w:rPr>
        <w:t>4.住房保障支出（类）2.70万元，占3.41%。</w:t>
      </w:r>
    </w:p>
    <w:p w14:paraId="4988FD52">
      <w:pPr>
        <w:spacing w:line="640" w:lineRule="exact"/>
        <w:ind w:firstLine="640"/>
        <w:jc w:val="both"/>
        <w:outlineLvl w:val="3"/>
      </w:pPr>
      <w:r>
        <w:rPr>
          <w:rFonts w:ascii="楷体_GB2312" w:hAnsi="楷体_GB2312" w:eastAsia="楷体_GB2312"/>
          <w:b/>
          <w:sz w:val="32"/>
        </w:rPr>
        <w:t>（三）一般公共预算财政拨款支出决算具体情况</w:t>
      </w:r>
    </w:p>
    <w:p w14:paraId="4D2889F2">
      <w:pPr>
        <w:spacing w:line="580" w:lineRule="exact"/>
        <w:ind w:firstLine="640"/>
        <w:jc w:val="both"/>
      </w:pPr>
      <w:r>
        <w:rPr>
          <w:rFonts w:ascii="仿宋_GB2312" w:hAnsi="仿宋_GB2312" w:eastAsia="仿宋_GB2312"/>
          <w:b w:val="0"/>
          <w:sz w:val="32"/>
        </w:rPr>
        <w:t>1.一般公共服务支出（类）其他共产党事务支出（款）一般行政管理事务（项）：支出决算数为13.96万元，比上年决算增加0.92万元，增长7.06%，主要原因是：本年拓展法学会业务项目内容，加强了对县市基层法学研讨和宣传工作，支出决算数较比上年决算数增加。</w:t>
      </w:r>
    </w:p>
    <w:p w14:paraId="078799B5">
      <w:pPr>
        <w:spacing w:line="580" w:lineRule="exact"/>
        <w:ind w:firstLine="640"/>
        <w:jc w:val="both"/>
      </w:pPr>
      <w:r>
        <w:rPr>
          <w:rFonts w:ascii="仿宋_GB2312" w:hAnsi="仿宋_GB2312" w:eastAsia="仿宋_GB2312"/>
          <w:b w:val="0"/>
          <w:sz w:val="32"/>
        </w:rPr>
        <w:t>2.一般公共服务支出（类）其他共产党事务支出（款）事业运行（项）：支出决算数为54.62万元，比上年决算增加28.82万元，增长111.71%，主要原因是：本年在职人员增加，工资调增，人员经费增加。</w:t>
      </w:r>
    </w:p>
    <w:p w14:paraId="04BEFA31">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3.47万元，比上年决算增加1.71万元，增长97.16%，主要原因是：本年在职人员增加，在职人员工资基数调增，养老缴费基数上涨，相应支出增加。</w:t>
      </w:r>
    </w:p>
    <w:p w14:paraId="455FBE1E">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1.73万元，比上年决算增加1.06万元，增长158.21%，主要原因是：本年新增辞职调出人员，职业年金缴费支出增加。</w:t>
      </w:r>
    </w:p>
    <w:p w14:paraId="72F60CCD">
      <w:pPr>
        <w:spacing w:line="580" w:lineRule="exact"/>
        <w:ind w:firstLine="640"/>
        <w:jc w:val="both"/>
      </w:pPr>
      <w:r>
        <w:rPr>
          <w:rFonts w:ascii="仿宋_GB2312" w:hAnsi="仿宋_GB2312" w:eastAsia="仿宋_GB2312"/>
          <w:b w:val="0"/>
          <w:sz w:val="32"/>
        </w:rPr>
        <w:t>5.卫生健康支出（类）行政事业单位医疗（款）行政单位医疗（项）：支出决算数为0.00万元，比上年决算减少0.03万元，下降100.00%，主要原因是：本年功能科目调整，行政单位医疗上年度单独列支，本年调整至主科目列支，导致经费较上年减少。</w:t>
      </w:r>
    </w:p>
    <w:p w14:paraId="4ED0133A">
      <w:pPr>
        <w:spacing w:line="580" w:lineRule="exact"/>
        <w:ind w:firstLine="640"/>
        <w:jc w:val="both"/>
      </w:pPr>
      <w:r>
        <w:rPr>
          <w:rFonts w:ascii="仿宋_GB2312" w:hAnsi="仿宋_GB2312" w:eastAsia="仿宋_GB2312"/>
          <w:b w:val="0"/>
          <w:sz w:val="32"/>
        </w:rPr>
        <w:t>6.卫生健康支出（类）行政事业单位医疗（款）事业单位医疗（项）：支出决算数为2.15万元，比上年决算增加1.02万元，增长90.27%，主要原因是：本年在职人员工资基数调增，医疗缴费基数上涨，相应支出增加。</w:t>
      </w:r>
    </w:p>
    <w:p w14:paraId="63BAD925">
      <w:pPr>
        <w:spacing w:line="580" w:lineRule="exact"/>
        <w:ind w:firstLine="640"/>
        <w:jc w:val="both"/>
      </w:pPr>
      <w:r>
        <w:rPr>
          <w:rFonts w:ascii="仿宋_GB2312" w:hAnsi="仿宋_GB2312" w:eastAsia="仿宋_GB2312"/>
          <w:b w:val="0"/>
          <w:sz w:val="32"/>
        </w:rPr>
        <w:t>7.卫生健康支出（类）行政事业单位医疗（款）公务员医疗补助（项）：支出决算数为0.61万元，比上年决算增加0.56万元，增长1,120.00%，主要原因是：本年在职人员增加，工资基数调增，医疗缴费基数上涨，相应支出增加。</w:t>
      </w:r>
    </w:p>
    <w:p w14:paraId="031BFE91">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0.02万元，比上年决算增加0.02万元，增长100.00%，主要原因是：本年在职人员增加，工资基数调增，医疗缴费基数上涨，相应支出增加。</w:t>
      </w:r>
    </w:p>
    <w:p w14:paraId="75F628DC">
      <w:pPr>
        <w:spacing w:line="580" w:lineRule="exact"/>
        <w:ind w:firstLine="640"/>
        <w:jc w:val="both"/>
      </w:pPr>
      <w:r>
        <w:rPr>
          <w:rFonts w:ascii="仿宋_GB2312" w:hAnsi="仿宋_GB2312" w:eastAsia="仿宋_GB2312"/>
          <w:b w:val="0"/>
          <w:sz w:val="32"/>
        </w:rPr>
        <w:t>9.住房保障支出（类）住房改革支出（款）住房公积金（项）：支出决算数为2.70万元，比上年决算增加1.42万元，增长110.94%，主要原因是：本年在职人员增加，工资基数调增，公积金缴费基数上涨，相应支出增加。</w:t>
      </w:r>
    </w:p>
    <w:p w14:paraId="4D789B3E">
      <w:pPr>
        <w:spacing w:line="640" w:lineRule="exact"/>
        <w:ind w:firstLine="640"/>
        <w:jc w:val="both"/>
        <w:outlineLvl w:val="2"/>
      </w:pPr>
      <w:r>
        <w:rPr>
          <w:rFonts w:ascii="黑体" w:hAnsi="黑体" w:eastAsia="黑体"/>
          <w:sz w:val="32"/>
        </w:rPr>
        <w:t>六、一般公共预算财政拨款基本支出决算情况说明</w:t>
      </w:r>
    </w:p>
    <w:p w14:paraId="654721D0">
      <w:pPr>
        <w:spacing w:line="580" w:lineRule="exact"/>
        <w:ind w:firstLine="640"/>
        <w:jc w:val="both"/>
      </w:pPr>
      <w:r>
        <w:rPr>
          <w:rFonts w:ascii="仿宋_GB2312" w:hAnsi="仿宋_GB2312" w:eastAsia="仿宋_GB2312"/>
          <w:b w:val="0"/>
          <w:sz w:val="32"/>
        </w:rPr>
        <w:t>2025年度一般公共预算财政拨款基本支出65.30万元，其中：</w:t>
      </w:r>
      <w:r>
        <w:rPr>
          <w:rFonts w:ascii="仿宋_GB2312" w:hAnsi="仿宋_GB2312" w:eastAsia="仿宋_GB2312"/>
          <w:b/>
          <w:sz w:val="32"/>
        </w:rPr>
        <w:t>人员经费60.92万元，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w:t>
      </w:r>
    </w:p>
    <w:p w14:paraId="7E8AC4B4">
      <w:pPr>
        <w:spacing w:line="580" w:lineRule="exact"/>
        <w:ind w:firstLine="640"/>
        <w:jc w:val="both"/>
      </w:pPr>
      <w:r>
        <w:rPr>
          <w:rFonts w:ascii="仿宋_GB2312" w:hAnsi="仿宋_GB2312" w:eastAsia="仿宋_GB2312"/>
          <w:b/>
          <w:sz w:val="32"/>
        </w:rPr>
        <w:t>公用经费4.38万元，</w:t>
      </w:r>
      <w:r>
        <w:rPr>
          <w:rFonts w:ascii="仿宋_GB2312" w:hAnsi="仿宋_GB2312" w:eastAsia="仿宋_GB2312"/>
          <w:b w:val="0"/>
          <w:sz w:val="32"/>
        </w:rPr>
        <w:t>包括：办公费、印刷费、手续费、差旅费、公务接待费、工会经费、福利费、公务用车运行维护费、其他商品和服务支出。</w:t>
      </w:r>
    </w:p>
    <w:p w14:paraId="4CC5EBB2">
      <w:pPr>
        <w:spacing w:line="640" w:lineRule="exact"/>
        <w:ind w:firstLine="640"/>
        <w:jc w:val="both"/>
        <w:outlineLvl w:val="2"/>
      </w:pPr>
      <w:r>
        <w:rPr>
          <w:rFonts w:ascii="黑体" w:hAnsi="黑体" w:eastAsia="黑体"/>
          <w:sz w:val="32"/>
        </w:rPr>
        <w:t>七、政府性基金预算财政拨款收入支出决算情况说明</w:t>
      </w:r>
    </w:p>
    <w:p w14:paraId="2B3E75FE">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122493BF">
      <w:pPr>
        <w:spacing w:line="640" w:lineRule="exact"/>
        <w:ind w:firstLine="640"/>
        <w:jc w:val="both"/>
        <w:outlineLvl w:val="2"/>
      </w:pPr>
      <w:r>
        <w:rPr>
          <w:rFonts w:ascii="黑体" w:hAnsi="黑体" w:eastAsia="黑体"/>
          <w:sz w:val="32"/>
        </w:rPr>
        <w:t>八、国有资本经营预算财政拨款收入支出决算情况说明</w:t>
      </w:r>
    </w:p>
    <w:p w14:paraId="04313B06">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DFCB9CF">
      <w:pPr>
        <w:spacing w:line="640" w:lineRule="exact"/>
        <w:ind w:firstLine="640"/>
        <w:jc w:val="both"/>
        <w:outlineLvl w:val="2"/>
      </w:pPr>
      <w:r>
        <w:rPr>
          <w:rFonts w:ascii="黑体" w:hAnsi="黑体" w:eastAsia="黑体"/>
          <w:sz w:val="32"/>
        </w:rPr>
        <w:t>九、财政拨款“三公”经费支出决算情况说明</w:t>
      </w:r>
    </w:p>
    <w:p w14:paraId="519E8484">
      <w:pPr>
        <w:spacing w:line="580" w:lineRule="exact"/>
        <w:ind w:firstLine="640"/>
        <w:jc w:val="both"/>
      </w:pPr>
      <w:r>
        <w:rPr>
          <w:rFonts w:ascii="仿宋_GB2312" w:hAnsi="仿宋_GB2312" w:eastAsia="仿宋_GB2312"/>
          <w:b/>
          <w:sz w:val="32"/>
        </w:rPr>
        <w:t>2025年度财政拨款“三公”经费支出2.21万元，</w:t>
      </w:r>
      <w:r>
        <w:rPr>
          <w:rFonts w:ascii="仿宋_GB2312" w:hAnsi="仿宋_GB2312" w:eastAsia="仿宋_GB2312"/>
          <w:b w:val="0"/>
          <w:sz w:val="32"/>
        </w:rPr>
        <w:t>比上年增加0.05万元，增长2.31%，主要原因是：本年因业务需求，增加公务接待工作，导致公务接待费较上年增加。其中：因公出国（境）费用支出0.00万元，占0.00%，比上年增加0.00万元，增长0.00%，主要原因是：2024年与2025年均无因公出国（境）费用支出。公务用车购置及运行维护费支出2.14万元，占96.83%，比上年减少0.02万元，下降0.93%，主要原因是：严格落实中央八项规定精神，厉行节约，减少公务用车运行维护费。公务接待费支出0.07万元，占3.17%，比上年增加0.07万元，增长100.00%，主要原因是：本年因业务需求，增加公务接待工作，导致公务接待费较上年增加。</w:t>
      </w:r>
    </w:p>
    <w:p w14:paraId="6DBC9B78">
      <w:pPr>
        <w:spacing w:line="580" w:lineRule="exact"/>
        <w:ind w:firstLine="640"/>
        <w:jc w:val="both"/>
      </w:pPr>
      <w:r>
        <w:rPr>
          <w:rFonts w:ascii="仿宋_GB2312" w:hAnsi="仿宋_GB2312" w:eastAsia="仿宋_GB2312"/>
          <w:b/>
          <w:sz w:val="32"/>
        </w:rPr>
        <w:t>具体情况如下：</w:t>
      </w:r>
    </w:p>
    <w:p w14:paraId="2CE0074B">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049873BF">
      <w:pPr>
        <w:spacing w:line="580" w:lineRule="exact"/>
        <w:ind w:firstLine="640"/>
        <w:jc w:val="both"/>
      </w:pPr>
      <w:r>
        <w:rPr>
          <w:rFonts w:ascii="仿宋_GB2312" w:hAnsi="仿宋_GB2312" w:eastAsia="仿宋_GB2312"/>
          <w:b w:val="0"/>
          <w:sz w:val="32"/>
        </w:rPr>
        <w:t>公务用车购置及运行维护费2.14万元，其中：公务用车购置费0.00万元，公务用车运行维护费2.14万元。公务用车运行维护费开支内容包括车辆加油费、维修费、保险费、审车费、过路费。公务用车购置数0辆，公务用车保有量1辆。国有资产占用情况中固定资产车辆1辆，与公务用车保有量差异原因是：本单位公务用车保有量与固定资产车辆一致无差异。</w:t>
      </w:r>
    </w:p>
    <w:p w14:paraId="4508E364">
      <w:pPr>
        <w:spacing w:line="580" w:lineRule="exact"/>
        <w:ind w:firstLine="640"/>
        <w:jc w:val="both"/>
      </w:pPr>
      <w:r>
        <w:rPr>
          <w:rFonts w:ascii="仿宋_GB2312" w:hAnsi="仿宋_GB2312" w:eastAsia="仿宋_GB2312"/>
          <w:b w:val="0"/>
          <w:sz w:val="32"/>
        </w:rPr>
        <w:t>公务接待费0.07万元，开支内容包括接待区法学会督导组检查工作产生的就餐费。单位全年安排的国内公务接待1批次，4人次。</w:t>
      </w:r>
    </w:p>
    <w:p w14:paraId="4B1B9F5F">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2.21万元，决算数2.21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2.14万元，决算数2.14万元，预决算差异率0.00%，主要原因是：严格按照预算执行，预决算无差异。公务接待费全年预算数0.07万元，决算数0.07万元，预决算差异率0.00%，主要原因是：严格按照预算执行，预决算无差异。</w:t>
      </w:r>
    </w:p>
    <w:p w14:paraId="00E8AAEF">
      <w:pPr>
        <w:spacing w:line="640" w:lineRule="exact"/>
        <w:ind w:firstLine="640"/>
        <w:jc w:val="both"/>
        <w:outlineLvl w:val="2"/>
      </w:pPr>
      <w:r>
        <w:rPr>
          <w:rFonts w:ascii="黑体" w:hAnsi="黑体" w:eastAsia="黑体"/>
          <w:sz w:val="32"/>
        </w:rPr>
        <w:t>十、其他重要事项的情况说明</w:t>
      </w:r>
    </w:p>
    <w:p w14:paraId="3259F784">
      <w:pPr>
        <w:spacing w:line="640" w:lineRule="exact"/>
        <w:ind w:firstLine="640"/>
        <w:jc w:val="both"/>
        <w:outlineLvl w:val="3"/>
      </w:pPr>
      <w:r>
        <w:rPr>
          <w:rFonts w:ascii="楷体_GB2312" w:hAnsi="楷体_GB2312" w:eastAsia="楷体_GB2312"/>
          <w:b/>
          <w:sz w:val="32"/>
        </w:rPr>
        <w:t>（一）机关运行经费及公用经费支出情况</w:t>
      </w:r>
    </w:p>
    <w:p w14:paraId="5864D50E">
      <w:pPr>
        <w:spacing w:line="580" w:lineRule="exact"/>
        <w:ind w:firstLine="640"/>
        <w:jc w:val="both"/>
      </w:pPr>
      <w:r>
        <w:rPr>
          <w:rFonts w:ascii="仿宋_GB2312" w:hAnsi="仿宋_GB2312" w:eastAsia="仿宋_GB2312"/>
          <w:b w:val="0"/>
          <w:sz w:val="32"/>
        </w:rPr>
        <w:t>2025年度昌吉回族自治州法学会（事业单位）公用经费支出4.38万元，比上年增加1.56万元，增长55.32%，主要原因是：本年差旅费、公务用车运行维护费增加，故公用经费较上年增加。</w:t>
      </w:r>
    </w:p>
    <w:p w14:paraId="6DA38276">
      <w:pPr>
        <w:spacing w:line="640" w:lineRule="exact"/>
        <w:ind w:firstLine="640"/>
        <w:jc w:val="both"/>
        <w:outlineLvl w:val="3"/>
      </w:pPr>
      <w:r>
        <w:rPr>
          <w:rFonts w:ascii="楷体_GB2312" w:hAnsi="楷体_GB2312" w:eastAsia="楷体_GB2312"/>
          <w:b/>
          <w:sz w:val="32"/>
        </w:rPr>
        <w:t>（二）政府采购情况</w:t>
      </w:r>
    </w:p>
    <w:p w14:paraId="4AE2BCEF">
      <w:pPr>
        <w:spacing w:line="580" w:lineRule="exact"/>
        <w:ind w:firstLine="640"/>
        <w:jc w:val="both"/>
      </w:pPr>
      <w:r>
        <w:rPr>
          <w:rFonts w:ascii="仿宋_GB2312" w:hAnsi="仿宋_GB2312" w:eastAsia="仿宋_GB2312"/>
          <w:b w:val="0"/>
          <w:sz w:val="32"/>
        </w:rPr>
        <w:t>2025年度政府采购支出总额2.11万元，其中：政府采购货物支出0.00万元、政府采购工程支出0.00万元、政府采购服务支出2.11万元。</w:t>
      </w:r>
    </w:p>
    <w:p w14:paraId="3DC9A14B">
      <w:pPr>
        <w:spacing w:line="580" w:lineRule="exact"/>
        <w:ind w:firstLine="640"/>
        <w:jc w:val="both"/>
      </w:pPr>
      <w:r>
        <w:rPr>
          <w:rFonts w:ascii="仿宋_GB2312" w:hAnsi="仿宋_GB2312" w:eastAsia="仿宋_GB2312"/>
          <w:b w:val="0"/>
          <w:sz w:val="32"/>
        </w:rPr>
        <w:t>授予中小企业合同金额1.79万元，占政府采购支出总额的84.83%，其中：授予小微企业合同金额0.49万元，占政府采购支出总额的23.22%。</w:t>
      </w:r>
    </w:p>
    <w:p w14:paraId="4BF74380">
      <w:pPr>
        <w:spacing w:line="640" w:lineRule="exact"/>
        <w:ind w:firstLine="640"/>
        <w:jc w:val="both"/>
        <w:outlineLvl w:val="3"/>
      </w:pPr>
      <w:r>
        <w:rPr>
          <w:rFonts w:ascii="楷体_GB2312" w:hAnsi="楷体_GB2312" w:eastAsia="楷体_GB2312"/>
          <w:b/>
          <w:sz w:val="32"/>
        </w:rPr>
        <w:t>（三）国有资产占用情况说明</w:t>
      </w:r>
    </w:p>
    <w:p w14:paraId="3E59AD10">
      <w:pPr>
        <w:spacing w:line="580" w:lineRule="exact"/>
        <w:ind w:firstLine="640"/>
        <w:jc w:val="both"/>
      </w:pPr>
      <w:r>
        <w:rPr>
          <w:rFonts w:ascii="仿宋_GB2312" w:hAnsi="仿宋_GB2312" w:eastAsia="仿宋_GB2312"/>
          <w:b w:val="0"/>
          <w:sz w:val="32"/>
        </w:rPr>
        <w:t>截至2025年12月31日，房屋0.00平方米，价值0.00万元。车辆1辆，价值19.77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315B1BBD">
      <w:pPr>
        <w:spacing w:line="640" w:lineRule="exact"/>
        <w:ind w:firstLine="640"/>
        <w:jc w:val="both"/>
        <w:outlineLvl w:val="2"/>
      </w:pPr>
      <w:r>
        <w:rPr>
          <w:rFonts w:ascii="黑体" w:hAnsi="黑体" w:eastAsia="黑体"/>
          <w:sz w:val="32"/>
        </w:rPr>
        <w:t>十一、预算绩效的情况说明</w:t>
      </w:r>
    </w:p>
    <w:p w14:paraId="2DBB2661">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95.36万元，实际执行总额92.29万元；预算绩效评价项目2个，全年预算数29.00万元，全年执行数26.99万元。预算绩效管理取得的成效：一是州法学会预算绩效管理目前整体上实现了”花钱必问效“规范化运转；二是绩效目标全覆盖，将全部支出纳入绩效目标管理，并按照项目监督节点开展督促和监控；三是项目自评结果为”优'，年度内所有项目经自评获“优”等级，达到预期绩效目标。四是资金使用效益可量化。州法学会用少量预算撬动明显社会效益--全年法治宣传全覆盖县市乡镇基层，活动受众超50余万人，会员满意度达90%以上。发现的问题及原因：一是绩效指标设定质量的待提升，存在绩效目标设定偏宏观、定性指标多、量化指标不足问题；二指标与具体业务工作的关联性还不够紧密，相关性还需进一步提升；三是人员更换，业务人员绩效管理培训工作需要及时学习补课，意识有待增强，绩效管理经验不足，预算绩效管理工作有待进一步落实。下一步改进措施：一是加强单位绩效管理组织工作，将绩效考评设为日常业务考核的一项重要内容；二是做好年度绩效管理培训工作，及时更新学习项目绩效新规定，始终将“花钱必问效，无效必问责“理念贯穿始终。三、完善绩效指标的设定，做到目标要编得准，指标要立得住，过程要管得住，提高整体绩效目标质量。具体附整体支出绩效自评表、项目支出绩效自评表。</w:t>
      </w:r>
    </w:p>
    <w:p w14:paraId="7E9B1CE3">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1D132E5F">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E96AE41">
            <w:pPr>
              <w:spacing w:before="0" w:after="0" w:line="240" w:lineRule="auto"/>
              <w:jc w:val="center"/>
            </w:pPr>
            <w:r>
              <w:rPr>
                <w:rFonts w:ascii="宋体" w:hAnsi="宋体" w:eastAsia="宋体" w:cs="宋体"/>
                <w:b w:val="0"/>
                <w:i w:val="0"/>
                <w:sz w:val="18"/>
              </w:rPr>
              <w:t>部门（单位）整体支出绩效目标自评表</w:t>
            </w:r>
          </w:p>
        </w:tc>
      </w:tr>
      <w:tr w14:paraId="72B4C969">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391C0FE">
            <w:pPr>
              <w:spacing w:before="0" w:after="0" w:line="240" w:lineRule="auto"/>
              <w:jc w:val="center"/>
            </w:pPr>
            <w:r>
              <w:rPr>
                <w:rFonts w:ascii="宋体" w:hAnsi="宋体" w:eastAsia="宋体" w:cs="宋体"/>
                <w:b w:val="0"/>
                <w:i w:val="0"/>
                <w:sz w:val="18"/>
              </w:rPr>
              <w:t>（2025年度）</w:t>
            </w:r>
          </w:p>
        </w:tc>
      </w:tr>
      <w:tr w14:paraId="5527AAB1">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3610A3">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50064CF">
            <w:pPr>
              <w:spacing w:before="0" w:after="0" w:line="240" w:lineRule="auto"/>
              <w:jc w:val="center"/>
            </w:pPr>
            <w:r>
              <w:rPr>
                <w:rFonts w:ascii="宋体" w:hAnsi="宋体" w:eastAsia="宋体" w:cs="宋体"/>
                <w:b w:val="0"/>
                <w:i w:val="0"/>
                <w:sz w:val="18"/>
              </w:rPr>
              <w:t>昌吉回族自治州法学会</w:t>
            </w:r>
          </w:p>
        </w:tc>
      </w:tr>
      <w:tr w14:paraId="08C7BAA6">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EE51FD">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635ECD">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D9F1F6">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08BE0F">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7F4BE6">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B4FA6B">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A925D1">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2F6263">
            <w:pPr>
              <w:spacing w:before="0" w:after="0" w:line="240" w:lineRule="auto"/>
              <w:jc w:val="center"/>
            </w:pPr>
            <w:r>
              <w:rPr>
                <w:rFonts w:ascii="宋体" w:hAnsi="宋体" w:eastAsia="宋体" w:cs="宋体"/>
                <w:b w:val="0"/>
                <w:i w:val="0"/>
                <w:sz w:val="18"/>
              </w:rPr>
              <w:t>得分</w:t>
            </w:r>
          </w:p>
        </w:tc>
      </w:tr>
      <w:tr w14:paraId="70B222A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72489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36DE0A">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9145E1">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7B07B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1B2191">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335E6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CF316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204521">
            <w:pPr>
              <w:spacing w:before="0" w:after="0" w:line="240" w:lineRule="auto"/>
              <w:jc w:val="center"/>
            </w:pPr>
            <w:r>
              <w:rPr>
                <w:rFonts w:ascii="宋体" w:hAnsi="宋体" w:eastAsia="宋体" w:cs="宋体"/>
                <w:b w:val="0"/>
                <w:i w:val="0"/>
                <w:sz w:val="18"/>
              </w:rPr>
              <w:t>-</w:t>
            </w:r>
          </w:p>
        </w:tc>
      </w:tr>
      <w:tr w14:paraId="08B021F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3DB7FC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F8B403">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1411BE">
            <w:pPr>
              <w:spacing w:before="0" w:after="0" w:line="240" w:lineRule="auto"/>
              <w:jc w:val="center"/>
            </w:pPr>
            <w:r>
              <w:rPr>
                <w:rFonts w:ascii="宋体" w:hAnsi="宋体" w:eastAsia="宋体" w:cs="宋体"/>
                <w:b w:val="0"/>
                <w:i w:val="0"/>
                <w:sz w:val="18"/>
              </w:rPr>
              <w:t>50.98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12AA94">
            <w:pPr>
              <w:spacing w:before="0" w:after="0" w:line="240" w:lineRule="auto"/>
              <w:jc w:val="center"/>
            </w:pPr>
            <w:r>
              <w:rPr>
                <w:rFonts w:ascii="宋体" w:hAnsi="宋体" w:eastAsia="宋体" w:cs="宋体"/>
                <w:b w:val="0"/>
                <w:i w:val="0"/>
                <w:sz w:val="18"/>
              </w:rPr>
              <w:t>80.86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38027C">
            <w:pPr>
              <w:spacing w:before="0" w:after="0" w:line="240" w:lineRule="auto"/>
              <w:jc w:val="center"/>
            </w:pPr>
            <w:r>
              <w:rPr>
                <w:rFonts w:ascii="宋体" w:hAnsi="宋体" w:eastAsia="宋体" w:cs="宋体"/>
                <w:b w:val="0"/>
                <w:i w:val="0"/>
                <w:sz w:val="18"/>
              </w:rPr>
              <w:t>79.26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9A4EB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3B240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0E806E">
            <w:pPr>
              <w:spacing w:before="0" w:after="0" w:line="240" w:lineRule="auto"/>
              <w:jc w:val="center"/>
            </w:pPr>
            <w:r>
              <w:rPr>
                <w:rFonts w:ascii="宋体" w:hAnsi="宋体" w:eastAsia="宋体" w:cs="宋体"/>
                <w:b w:val="0"/>
                <w:i w:val="0"/>
                <w:sz w:val="18"/>
              </w:rPr>
              <w:t>-</w:t>
            </w:r>
          </w:p>
        </w:tc>
      </w:tr>
      <w:tr w14:paraId="524F195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9E7661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663FCC">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1B3FF8">
            <w:pPr>
              <w:spacing w:before="0" w:after="0" w:line="240" w:lineRule="auto"/>
              <w:jc w:val="center"/>
            </w:pPr>
            <w:r>
              <w:rPr>
                <w:rFonts w:ascii="宋体" w:hAnsi="宋体" w:eastAsia="宋体" w:cs="宋体"/>
                <w:b w:val="0"/>
                <w:i w:val="0"/>
                <w:sz w:val="18"/>
              </w:rPr>
              <w:t>14.50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70AC6A">
            <w:pPr>
              <w:spacing w:before="0" w:after="0" w:line="240" w:lineRule="auto"/>
              <w:jc w:val="center"/>
            </w:pPr>
            <w:r>
              <w:rPr>
                <w:rFonts w:ascii="宋体" w:hAnsi="宋体" w:eastAsia="宋体" w:cs="宋体"/>
                <w:b w:val="0"/>
                <w:i w:val="0"/>
                <w:sz w:val="18"/>
              </w:rPr>
              <w:t>14.50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964BC3">
            <w:pPr>
              <w:spacing w:before="0" w:after="0" w:line="240" w:lineRule="auto"/>
              <w:jc w:val="center"/>
            </w:pPr>
            <w:r>
              <w:rPr>
                <w:rFonts w:ascii="宋体" w:hAnsi="宋体" w:eastAsia="宋体" w:cs="宋体"/>
                <w:b w:val="0"/>
                <w:i w:val="0"/>
                <w:sz w:val="18"/>
              </w:rPr>
              <w:t>13.03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5F748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04804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E58280">
            <w:pPr>
              <w:spacing w:before="0" w:after="0" w:line="240" w:lineRule="auto"/>
              <w:jc w:val="center"/>
            </w:pPr>
            <w:r>
              <w:rPr>
                <w:rFonts w:ascii="宋体" w:hAnsi="宋体" w:eastAsia="宋体" w:cs="宋体"/>
                <w:b w:val="0"/>
                <w:i w:val="0"/>
                <w:sz w:val="18"/>
              </w:rPr>
              <w:t>-</w:t>
            </w:r>
          </w:p>
        </w:tc>
      </w:tr>
      <w:tr w14:paraId="3B2A49E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B77C24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257698">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A33472">
            <w:pPr>
              <w:spacing w:before="0" w:after="0" w:line="240" w:lineRule="auto"/>
              <w:jc w:val="center"/>
            </w:pPr>
            <w:r>
              <w:rPr>
                <w:rFonts w:ascii="宋体" w:hAnsi="宋体" w:eastAsia="宋体" w:cs="宋体"/>
                <w:b w:val="0"/>
                <w:i w:val="0"/>
                <w:sz w:val="18"/>
              </w:rPr>
              <w:t>65.48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2870A5">
            <w:pPr>
              <w:spacing w:before="0" w:after="0" w:line="240" w:lineRule="auto"/>
              <w:jc w:val="center"/>
            </w:pPr>
            <w:r>
              <w:rPr>
                <w:rFonts w:ascii="宋体" w:hAnsi="宋体" w:eastAsia="宋体" w:cs="宋体"/>
                <w:b w:val="0"/>
                <w:i w:val="0"/>
                <w:sz w:val="18"/>
              </w:rPr>
              <w:t>95.36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A7D1E9">
            <w:pPr>
              <w:spacing w:before="0" w:after="0" w:line="240" w:lineRule="auto"/>
              <w:jc w:val="center"/>
            </w:pPr>
            <w:r>
              <w:rPr>
                <w:rFonts w:ascii="宋体" w:hAnsi="宋体" w:eastAsia="宋体" w:cs="宋体"/>
                <w:b w:val="0"/>
                <w:i w:val="0"/>
                <w:sz w:val="18"/>
              </w:rPr>
              <w:t>92.29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64225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DA37C1">
            <w:pPr>
              <w:spacing w:before="0" w:after="0" w:line="240" w:lineRule="auto"/>
              <w:jc w:val="center"/>
            </w:pPr>
            <w:r>
              <w:rPr>
                <w:rFonts w:ascii="宋体" w:hAnsi="宋体" w:eastAsia="宋体" w:cs="宋体"/>
                <w:b w:val="0"/>
                <w:i w:val="0"/>
                <w:sz w:val="18"/>
              </w:rPr>
              <w:t>96.78%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0567AE">
            <w:pPr>
              <w:spacing w:before="0" w:after="0" w:line="240" w:lineRule="auto"/>
              <w:jc w:val="center"/>
            </w:pPr>
            <w:r>
              <w:rPr>
                <w:rFonts w:ascii="宋体" w:hAnsi="宋体" w:eastAsia="宋体" w:cs="宋体"/>
                <w:b w:val="0"/>
                <w:i w:val="0"/>
                <w:sz w:val="18"/>
              </w:rPr>
              <w:t>9.68</w:t>
            </w:r>
          </w:p>
        </w:tc>
      </w:tr>
      <w:tr w14:paraId="3EB48A2A">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1BBA32">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ECB6D03">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15A2CAB">
            <w:pPr>
              <w:spacing w:before="0" w:after="0" w:line="240" w:lineRule="auto"/>
              <w:jc w:val="center"/>
            </w:pPr>
            <w:r>
              <w:rPr>
                <w:rFonts w:ascii="宋体" w:hAnsi="宋体" w:eastAsia="宋体" w:cs="宋体"/>
                <w:b w:val="0"/>
                <w:i w:val="0"/>
                <w:sz w:val="18"/>
              </w:rPr>
              <w:t>实际完成情况</w:t>
            </w:r>
          </w:p>
        </w:tc>
      </w:tr>
      <w:tr w14:paraId="3E6AF8D8">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666A943"/>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91560D4">
            <w:pPr>
              <w:spacing w:before="0" w:after="0" w:line="240" w:lineRule="auto"/>
              <w:jc w:val="center"/>
            </w:pPr>
            <w:r>
              <w:rPr>
                <w:rFonts w:ascii="宋体" w:hAnsi="宋体" w:eastAsia="宋体" w:cs="宋体"/>
                <w:b w:val="0"/>
                <w:i w:val="0"/>
                <w:sz w:val="18"/>
              </w:rPr>
              <w:t>根据昌吉州法学会三定方案 ，带领全州法学法律工作者，坚持以习近平新时代中国特色社会主义思想为指导，深入学习贯彻习近平法治思想和总体国家安全观，深入学习贯彻落实习近平总书记在中国法学会第九次全国会员代表大会的致信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贯彻落实2025年中央政法工作会议和新疆政法工作会议精神，切实做好加强政治引领、繁荣法学研究、服务法治实践、培养法治人才等工作，建设法学会基层服务站点、购买法治类的书籍资料、举办“昌吉州青年普法志愿者法治文化基层行”活动、组织首席法律咨询专家开展工作；通过了单位整体工作，提升了法学会队伍建设，为加快推进法治昌吉建设、建设更高水平的平安昌吉、法治昌吉做出贡献。</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BF0BB11">
            <w:pPr>
              <w:spacing w:before="0" w:after="0" w:line="240" w:lineRule="auto"/>
              <w:jc w:val="center"/>
            </w:pPr>
            <w:r>
              <w:rPr>
                <w:rFonts w:ascii="宋体" w:hAnsi="宋体" w:eastAsia="宋体" w:cs="宋体"/>
                <w:b w:val="0"/>
                <w:i w:val="0"/>
                <w:sz w:val="18"/>
              </w:rPr>
              <w:t>2025年我单位全年预算数为95.36万元，全年执行书92.29万元，执行率96.78%。按预定目标完成了昌吉州（市）未成年人“一站式”保护站建设，组织首席法律咨询专家开展工作1次， 为各基层站点购买了120本法治类书籍资料，举办昌吉州青年普法志愿者法治文化基层行活动2场次，实现精准普法赋能平安法治建设，将法治理念融入日常生活，让尊法学法守法用法理念扎根基层。组织上报的《昌吉州下好建强法学会基层站点“先手棋” 争做主动服务政法维稳工作“先行者”》经验做法得到自治区党委政法委、新疆法学会领导肯定，推广至全疆各地州学习借鉴，确保了各项工作取得积极成效，为加快推进法治昌吉建设、建设更高水平的平安昌吉、法治昌吉作出了积极贡献。</w:t>
            </w:r>
          </w:p>
        </w:tc>
      </w:tr>
      <w:tr w14:paraId="0F23AC61">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9FDF25">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EBDC8A">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FFD270">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2B2D16">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4C1BF0">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0E19B7">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06F54B">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983C27">
            <w:pPr>
              <w:keepNext/>
              <w:spacing w:before="0" w:after="0" w:line="240" w:lineRule="auto"/>
              <w:jc w:val="center"/>
            </w:pPr>
            <w:r>
              <w:rPr>
                <w:rFonts w:ascii="宋体" w:hAnsi="宋体" w:eastAsia="宋体" w:cs="宋体"/>
                <w:b w:val="0"/>
                <w:i w:val="0"/>
                <w:sz w:val="18"/>
              </w:rPr>
              <w:t>得分</w:t>
            </w:r>
          </w:p>
        </w:tc>
      </w:tr>
      <w:tr w14:paraId="0A67316B">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19C149">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26C030">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56A3EC">
            <w:pPr>
              <w:spacing w:before="0" w:after="0" w:line="240" w:lineRule="auto"/>
              <w:jc w:val="center"/>
            </w:pPr>
            <w:r>
              <w:rPr>
                <w:rFonts w:ascii="宋体" w:hAnsi="宋体" w:eastAsia="宋体" w:cs="宋体"/>
                <w:b w:val="0"/>
                <w:i w:val="0"/>
                <w:sz w:val="18"/>
              </w:rPr>
              <w:t>建设法学会基层服务站点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B4A0E9">
            <w:pPr>
              <w:spacing w:before="0" w:after="0" w:line="240" w:lineRule="auto"/>
              <w:jc w:val="center"/>
            </w:pPr>
            <w:r>
              <w:rPr>
                <w:rFonts w:ascii="宋体" w:hAnsi="宋体" w:eastAsia="宋体" w:cs="宋体"/>
                <w:b w:val="0"/>
                <w:i w:val="0"/>
                <w:sz w:val="18"/>
              </w:rPr>
              <w: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C0A37C">
            <w:pPr>
              <w:spacing w:before="0" w:after="0" w:line="240" w:lineRule="auto"/>
              <w:jc w:val="center"/>
            </w:pPr>
            <w:r>
              <w:rPr>
                <w:rFonts w:ascii="宋体" w:hAnsi="宋体" w:eastAsia="宋体" w:cs="宋体"/>
                <w:b w:val="0"/>
                <w:i w:val="0"/>
                <w:sz w:val="18"/>
              </w:rPr>
              <w:t>2025年新疆法学会工作要点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EDCA0F">
            <w:pPr>
              <w:spacing w:before="0" w:after="0" w:line="240" w:lineRule="auto"/>
              <w:jc w:val="center"/>
            </w:pPr>
            <w:r>
              <w:rPr>
                <w:rFonts w:ascii="宋体" w:hAnsi="宋体" w:eastAsia="宋体" w:cs="宋体"/>
                <w:b w:val="0"/>
                <w:i w:val="0"/>
                <w:sz w:val="18"/>
              </w:rPr>
              <w:t>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907D53">
            <w:pPr>
              <w:spacing w:before="0" w:after="0" w:line="240" w:lineRule="auto"/>
              <w:jc w:val="center"/>
            </w:pPr>
            <w:r>
              <w:rPr>
                <w:rFonts w:ascii="宋体" w:hAnsi="宋体" w:eastAsia="宋体" w:cs="宋体"/>
                <w:b w:val="0"/>
                <w:i w:val="0"/>
                <w:sz w:val="18"/>
              </w:rPr>
              <w: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F356BA">
            <w:pPr>
              <w:spacing w:before="0" w:after="0" w:line="240" w:lineRule="auto"/>
              <w:jc w:val="center"/>
            </w:pPr>
            <w:r>
              <w:rPr>
                <w:rFonts w:ascii="宋体" w:hAnsi="宋体" w:eastAsia="宋体" w:cs="宋体"/>
                <w:b w:val="0"/>
                <w:i w:val="0"/>
                <w:sz w:val="18"/>
              </w:rPr>
              <w:t>32</w:t>
            </w:r>
          </w:p>
        </w:tc>
      </w:tr>
      <w:tr w14:paraId="232C088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2186F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32D98D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0FFE92">
            <w:pPr>
              <w:spacing w:before="0" w:after="0" w:line="240" w:lineRule="auto"/>
              <w:jc w:val="center"/>
            </w:pPr>
            <w:r>
              <w:rPr>
                <w:rFonts w:ascii="宋体" w:hAnsi="宋体" w:eastAsia="宋体" w:cs="宋体"/>
                <w:b w:val="0"/>
                <w:i w:val="0"/>
                <w:sz w:val="18"/>
              </w:rPr>
              <w:t>购买法治类的书籍资料</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D56947">
            <w:pPr>
              <w:spacing w:before="0" w:after="0" w:line="240" w:lineRule="auto"/>
              <w:jc w:val="center"/>
            </w:pPr>
            <w:r>
              <w:rPr>
                <w:rFonts w:ascii="宋体" w:hAnsi="宋体" w:eastAsia="宋体" w:cs="宋体"/>
                <w:b w:val="0"/>
                <w:i w:val="0"/>
                <w:sz w:val="18"/>
              </w:rPr>
              <w:t>&gt;=120本</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C953FD">
            <w:pPr>
              <w:spacing w:before="0" w:after="0" w:line="240" w:lineRule="auto"/>
              <w:jc w:val="center"/>
            </w:pPr>
            <w:r>
              <w:rPr>
                <w:rFonts w:ascii="宋体" w:hAnsi="宋体" w:eastAsia="宋体" w:cs="宋体"/>
                <w:b w:val="0"/>
                <w:i w:val="0"/>
                <w:sz w:val="18"/>
              </w:rPr>
              <w:t>2025年新疆法学会工作要点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F3F2BA">
            <w:pPr>
              <w:spacing w:before="0" w:after="0" w:line="240" w:lineRule="auto"/>
              <w:jc w:val="center"/>
            </w:pPr>
            <w:r>
              <w:rPr>
                <w:rFonts w:ascii="宋体" w:hAnsi="宋体" w:eastAsia="宋体" w:cs="宋体"/>
                <w:b w:val="0"/>
                <w:i w:val="0"/>
                <w:sz w:val="18"/>
              </w:rPr>
              <w:t>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25A7D7">
            <w:pPr>
              <w:spacing w:before="0" w:after="0" w:line="240" w:lineRule="auto"/>
              <w:jc w:val="center"/>
            </w:pPr>
            <w:r>
              <w:rPr>
                <w:rFonts w:ascii="宋体" w:hAnsi="宋体" w:eastAsia="宋体" w:cs="宋体"/>
                <w:b w:val="0"/>
                <w:i w:val="0"/>
                <w:sz w:val="18"/>
              </w:rPr>
              <w:t>=120本</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8AFAFE">
            <w:pPr>
              <w:spacing w:before="0" w:after="0" w:line="240" w:lineRule="auto"/>
              <w:jc w:val="center"/>
            </w:pPr>
            <w:r>
              <w:rPr>
                <w:rFonts w:ascii="宋体" w:hAnsi="宋体" w:eastAsia="宋体" w:cs="宋体"/>
                <w:b w:val="0"/>
                <w:i w:val="0"/>
                <w:sz w:val="18"/>
              </w:rPr>
              <w:t>22</w:t>
            </w:r>
          </w:p>
        </w:tc>
      </w:tr>
      <w:tr w14:paraId="56B6957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EB9F3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4489F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99F30D">
            <w:pPr>
              <w:spacing w:before="0" w:after="0" w:line="240" w:lineRule="auto"/>
              <w:jc w:val="center"/>
            </w:pPr>
            <w:r>
              <w:rPr>
                <w:rFonts w:ascii="宋体" w:hAnsi="宋体" w:eastAsia="宋体" w:cs="宋体"/>
                <w:b w:val="0"/>
                <w:i w:val="0"/>
                <w:sz w:val="18"/>
              </w:rPr>
              <w:t>举办“昌吉州青年普法志愿者法治文化基层行”活动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8EAFDD">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E7D056">
            <w:pPr>
              <w:spacing w:before="0" w:after="0" w:line="240" w:lineRule="auto"/>
              <w:jc w:val="center"/>
            </w:pPr>
            <w:r>
              <w:rPr>
                <w:rFonts w:ascii="宋体" w:hAnsi="宋体" w:eastAsia="宋体" w:cs="宋体"/>
                <w:b w:val="0"/>
                <w:i w:val="0"/>
                <w:sz w:val="18"/>
              </w:rPr>
              <w:t>2025年新疆法学会工作要点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C521E5">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F37B7F">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9B42A2">
            <w:pPr>
              <w:spacing w:before="0" w:after="0" w:line="240" w:lineRule="auto"/>
              <w:jc w:val="center"/>
            </w:pPr>
            <w:r>
              <w:rPr>
                <w:rFonts w:ascii="宋体" w:hAnsi="宋体" w:eastAsia="宋体" w:cs="宋体"/>
                <w:b w:val="0"/>
                <w:i w:val="0"/>
                <w:sz w:val="18"/>
              </w:rPr>
              <w:t>20</w:t>
            </w:r>
          </w:p>
        </w:tc>
      </w:tr>
      <w:tr w14:paraId="45B0595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E514B0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91E32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CB376B">
            <w:pPr>
              <w:spacing w:before="0" w:after="0" w:line="240" w:lineRule="auto"/>
              <w:jc w:val="center"/>
            </w:pPr>
            <w:r>
              <w:rPr>
                <w:rFonts w:ascii="宋体" w:hAnsi="宋体" w:eastAsia="宋体" w:cs="宋体"/>
                <w:b w:val="0"/>
                <w:i w:val="0"/>
                <w:sz w:val="18"/>
              </w:rPr>
              <w:t>组织首席法律咨询专家开展工作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268C7D">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1FABBE">
            <w:pPr>
              <w:spacing w:before="0" w:after="0" w:line="240" w:lineRule="auto"/>
              <w:jc w:val="center"/>
            </w:pPr>
            <w:r>
              <w:rPr>
                <w:rFonts w:ascii="宋体" w:hAnsi="宋体" w:eastAsia="宋体" w:cs="宋体"/>
                <w:b w:val="0"/>
                <w:i w:val="0"/>
                <w:sz w:val="18"/>
              </w:rPr>
              <w:t>2024年昌吉州法学会工作总结及下一年工作计划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E33FE9">
            <w:pPr>
              <w:spacing w:before="0" w:after="0" w:line="240" w:lineRule="auto"/>
              <w:jc w:val="center"/>
            </w:pPr>
            <w:r>
              <w:rPr>
                <w:rFonts w:ascii="宋体" w:hAnsi="宋体" w:eastAsia="宋体" w:cs="宋体"/>
                <w:b w:val="0"/>
                <w:i w:val="0"/>
                <w:sz w:val="18"/>
              </w:rPr>
              <w: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33F475">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F66605">
            <w:pPr>
              <w:spacing w:before="0" w:after="0" w:line="240" w:lineRule="auto"/>
              <w:jc w:val="center"/>
            </w:pPr>
            <w:r>
              <w:rPr>
                <w:rFonts w:ascii="宋体" w:hAnsi="宋体" w:eastAsia="宋体" w:cs="宋体"/>
                <w:b w:val="0"/>
                <w:i w:val="0"/>
                <w:sz w:val="18"/>
              </w:rPr>
              <w:t>16</w:t>
            </w:r>
          </w:p>
        </w:tc>
      </w:tr>
    </w:tbl>
    <w:p w14:paraId="697E8D4A">
      <w:r>
        <w:br w:type="page"/>
      </w:r>
    </w:p>
    <w:p w14:paraId="45C2567D">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61"/>
        <w:gridCol w:w="561"/>
        <w:gridCol w:w="561"/>
        <w:gridCol w:w="561"/>
        <w:gridCol w:w="593"/>
        <w:gridCol w:w="612"/>
        <w:gridCol w:w="586"/>
        <w:gridCol w:w="612"/>
        <w:gridCol w:w="593"/>
        <w:gridCol w:w="561"/>
        <w:gridCol w:w="578"/>
        <w:gridCol w:w="568"/>
        <w:gridCol w:w="566"/>
        <w:gridCol w:w="793"/>
      </w:tblGrid>
      <w:tr w14:paraId="56FE31A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4FAC604">
            <w:pPr>
              <w:spacing w:before="0" w:after="0" w:line="240" w:lineRule="auto"/>
              <w:jc w:val="center"/>
            </w:pPr>
            <w:r>
              <w:rPr>
                <w:rFonts w:ascii="宋体" w:hAnsi="宋体" w:eastAsia="宋体" w:cs="宋体"/>
                <w:b/>
                <w:i w:val="0"/>
                <w:sz w:val="18"/>
              </w:rPr>
              <w:t>项目支出绩效自评表</w:t>
            </w:r>
          </w:p>
        </w:tc>
      </w:tr>
      <w:tr w14:paraId="01A0179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374EAEF">
            <w:pPr>
              <w:spacing w:before="0" w:after="0" w:line="240" w:lineRule="auto"/>
              <w:jc w:val="center"/>
            </w:pPr>
            <w:r>
              <w:rPr>
                <w:rFonts w:ascii="宋体" w:hAnsi="宋体" w:eastAsia="宋体" w:cs="宋体"/>
                <w:b w:val="0"/>
                <w:i w:val="0"/>
                <w:sz w:val="18"/>
              </w:rPr>
              <w:t>(2025年度)</w:t>
            </w:r>
          </w:p>
        </w:tc>
      </w:tr>
      <w:tr w14:paraId="6012AFA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DBFE5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CBAE73C">
            <w:pPr>
              <w:spacing w:before="0" w:after="0" w:line="240" w:lineRule="auto"/>
              <w:jc w:val="center"/>
            </w:pPr>
            <w:r>
              <w:rPr>
                <w:rFonts w:ascii="宋体" w:hAnsi="宋体" w:eastAsia="宋体" w:cs="宋体"/>
                <w:b w:val="0"/>
                <w:i w:val="0"/>
                <w:sz w:val="18"/>
              </w:rPr>
              <w:t>机构运行补助经费</w:t>
            </w:r>
          </w:p>
        </w:tc>
      </w:tr>
      <w:tr w14:paraId="1DAC261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32D9F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7F16D6B">
            <w:pPr>
              <w:spacing w:before="0" w:after="0" w:line="240" w:lineRule="auto"/>
              <w:jc w:val="center"/>
            </w:pPr>
            <w:r>
              <w:rPr>
                <w:rFonts w:ascii="宋体" w:hAnsi="宋体" w:eastAsia="宋体" w:cs="宋体"/>
                <w:b w:val="0"/>
                <w:i w:val="0"/>
                <w:sz w:val="18"/>
              </w:rPr>
              <w:t>昌吉回族自治州法学会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AEEE4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3F47701">
            <w:pPr>
              <w:spacing w:before="0" w:after="0" w:line="240" w:lineRule="auto"/>
              <w:jc w:val="center"/>
            </w:pPr>
            <w:r>
              <w:rPr>
                <w:rFonts w:ascii="宋体" w:hAnsi="宋体" w:eastAsia="宋体" w:cs="宋体"/>
                <w:b w:val="0"/>
                <w:i w:val="0"/>
                <w:sz w:val="18"/>
              </w:rPr>
              <w:t>昌吉回族自治州法学会</w:t>
            </w:r>
          </w:p>
        </w:tc>
      </w:tr>
      <w:tr w14:paraId="53A68B2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37484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190A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76EF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AD8AC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99126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51153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51332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AE5452">
            <w:pPr>
              <w:spacing w:before="0" w:after="0" w:line="240" w:lineRule="auto"/>
              <w:jc w:val="center"/>
            </w:pPr>
            <w:r>
              <w:rPr>
                <w:rFonts w:ascii="宋体" w:hAnsi="宋体" w:eastAsia="宋体" w:cs="宋体"/>
                <w:b/>
                <w:i w:val="0"/>
                <w:sz w:val="18"/>
              </w:rPr>
              <w:t>得分</w:t>
            </w:r>
          </w:p>
        </w:tc>
      </w:tr>
      <w:tr w14:paraId="7A78841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7BB36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242EC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93C39">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AF561D">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38B20C">
            <w:pPr>
              <w:spacing w:before="0" w:after="0" w:line="240" w:lineRule="auto"/>
              <w:jc w:val="center"/>
            </w:pPr>
            <w:r>
              <w:rPr>
                <w:rFonts w:ascii="宋体" w:hAnsi="宋体" w:eastAsia="宋体" w:cs="宋体"/>
                <w:b w:val="0"/>
                <w:i w:val="0"/>
                <w:sz w:val="18"/>
              </w:rPr>
              <w:t>13.03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E88C9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8B62CA">
            <w:pPr>
              <w:spacing w:before="0" w:after="0" w:line="240" w:lineRule="auto"/>
              <w:jc w:val="center"/>
            </w:pPr>
            <w:r>
              <w:rPr>
                <w:rFonts w:ascii="宋体" w:hAnsi="宋体" w:eastAsia="宋体" w:cs="宋体"/>
                <w:b w:val="0"/>
                <w:i w:val="0"/>
                <w:sz w:val="18"/>
              </w:rPr>
              <w:t>89.86%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9C8D56">
            <w:pPr>
              <w:spacing w:before="0" w:after="0" w:line="240" w:lineRule="auto"/>
              <w:jc w:val="center"/>
            </w:pPr>
            <w:r>
              <w:rPr>
                <w:rFonts w:ascii="宋体" w:hAnsi="宋体" w:eastAsia="宋体" w:cs="宋体"/>
                <w:b w:val="0"/>
                <w:i w:val="0"/>
                <w:sz w:val="18"/>
              </w:rPr>
              <w:t>7.46</w:t>
            </w:r>
          </w:p>
        </w:tc>
      </w:tr>
      <w:tr w14:paraId="2332318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67792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93D75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B61F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A0DE3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4A304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D4115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E948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BDEAC5">
            <w:pPr>
              <w:spacing w:before="0" w:after="0" w:line="240" w:lineRule="auto"/>
              <w:jc w:val="center"/>
            </w:pPr>
            <w:r>
              <w:rPr>
                <w:rFonts w:ascii="宋体" w:hAnsi="宋体" w:eastAsia="宋体" w:cs="宋体"/>
                <w:b w:val="0"/>
                <w:i w:val="0"/>
                <w:sz w:val="18"/>
              </w:rPr>
              <w:t>—</w:t>
            </w:r>
          </w:p>
        </w:tc>
      </w:tr>
      <w:tr w14:paraId="41868CD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32AC2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E0F6F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06466">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B0E1A">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4E7728">
            <w:pPr>
              <w:spacing w:before="0" w:after="0" w:line="240" w:lineRule="auto"/>
              <w:jc w:val="center"/>
            </w:pPr>
            <w:r>
              <w:rPr>
                <w:rFonts w:ascii="宋体" w:hAnsi="宋体" w:eastAsia="宋体" w:cs="宋体"/>
                <w:b w:val="0"/>
                <w:i w:val="0"/>
                <w:sz w:val="18"/>
              </w:rPr>
              <w:t>13.03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873C7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788B9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696DFC">
            <w:pPr>
              <w:spacing w:before="0" w:after="0" w:line="240" w:lineRule="auto"/>
              <w:jc w:val="center"/>
            </w:pPr>
            <w:r>
              <w:rPr>
                <w:rFonts w:ascii="宋体" w:hAnsi="宋体" w:eastAsia="宋体" w:cs="宋体"/>
                <w:b w:val="0"/>
                <w:i w:val="0"/>
                <w:sz w:val="18"/>
              </w:rPr>
              <w:t>—</w:t>
            </w:r>
          </w:p>
        </w:tc>
      </w:tr>
      <w:tr w14:paraId="4B0AE4C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35FC9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39BFE0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06E253E">
            <w:pPr>
              <w:spacing w:before="0" w:after="0" w:line="240" w:lineRule="auto"/>
              <w:jc w:val="center"/>
            </w:pPr>
            <w:r>
              <w:rPr>
                <w:rFonts w:ascii="宋体" w:hAnsi="宋体" w:eastAsia="宋体" w:cs="宋体"/>
                <w:b/>
                <w:i w:val="0"/>
                <w:sz w:val="18"/>
              </w:rPr>
              <w:t>实际完成情况</w:t>
            </w:r>
          </w:p>
        </w:tc>
      </w:tr>
      <w:tr w14:paraId="3D75727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DF44C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B406287">
            <w:pPr>
              <w:spacing w:before="0" w:after="0" w:line="240" w:lineRule="auto"/>
              <w:jc w:val="center"/>
            </w:pPr>
            <w:r>
              <w:rPr>
                <w:rFonts w:ascii="宋体" w:hAnsi="宋体" w:eastAsia="宋体" w:cs="宋体"/>
                <w:b w:val="0"/>
                <w:i w:val="0"/>
                <w:sz w:val="18"/>
              </w:rPr>
              <w:t>2025年，该项目计划建设法学会基层服务站点1个。购买法治类书籍资料120本。带领全州法学法律工作者，坚持以习近平新时代中国特色社会主义思想为指导，深入学习贯彻习近平法治思想，深入学习贯彻落实党的二十大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深入学习贯彻落实习近平总书记在中国法学会第九次全国会员代表大会的致信精神。计划建设法学会基层服务站点1个，积极组织首席法律咨询专家开展工作、为社区居民、企业职工和党员领导干部开展法治宣讲，创新法治宣传教育活动，突出青少年、党员干部、老年人等群体，深入了解群众法治需求，进一步提升了群众尊法、学法、守法、用法的意识，推进法学会工作助力昌吉州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C69D7A1">
            <w:pPr>
              <w:spacing w:before="0" w:after="0" w:line="240" w:lineRule="auto"/>
              <w:jc w:val="center"/>
            </w:pPr>
            <w:r>
              <w:rPr>
                <w:rFonts w:ascii="宋体" w:hAnsi="宋体" w:eastAsia="宋体" w:cs="宋体"/>
                <w:b w:val="0"/>
                <w:i w:val="0"/>
                <w:sz w:val="18"/>
              </w:rPr>
              <w:t>截至2025年12月31日，本项目支出资金13.03万元，资金执行率89.86%，本项目实际完成昌吉州（市）未成年人“一站式”保护站1个，组织首席法律咨询专家开展工作1次， 为各基层站点购买了120本法治类书籍资料。通过本项目的实施，进一步织密了未成年犯罪预防与社会问题治理的防控网络，加大了未成年人犯罪预防与治理工作力度，加强了社会、机关、学校与家庭通力协作护航未成年健康成长的工作力度。完成基层站点法治类图书资料采购配备更新，提升了各基层站点服务群众能力水平，为法学会履职提供了坚实基础。</w:t>
            </w:r>
          </w:p>
        </w:tc>
      </w:tr>
      <w:tr w14:paraId="036F1EC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2B1E2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0642C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AF6C5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CE22B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A48B32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0C791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A8141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4C167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669DC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F0C6E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6D80D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B4777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AC4A5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899640">
            <w:pPr>
              <w:keepNext/>
              <w:spacing w:before="0" w:after="0" w:line="240" w:lineRule="auto"/>
              <w:jc w:val="center"/>
            </w:pPr>
            <w:r>
              <w:rPr>
                <w:rFonts w:ascii="宋体" w:hAnsi="宋体" w:eastAsia="宋体" w:cs="宋体"/>
                <w:b/>
                <w:i w:val="0"/>
                <w:sz w:val="18"/>
              </w:rPr>
              <w:t>偏差原因分析及改进措施</w:t>
            </w:r>
          </w:p>
        </w:tc>
      </w:tr>
      <w:tr w14:paraId="5E3ADCF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128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DD1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C529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94DC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B039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C99F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7F66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4E7D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46B9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610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E535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72B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3F35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B66CC2"/>
        </w:tc>
      </w:tr>
      <w:tr w14:paraId="1C15CD9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58289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82F5B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6776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0C846">
            <w:pPr>
              <w:spacing w:before="0" w:after="0" w:line="240" w:lineRule="auto"/>
              <w:jc w:val="center"/>
            </w:pPr>
            <w:r>
              <w:rPr>
                <w:rFonts w:ascii="宋体" w:hAnsi="宋体" w:eastAsia="宋体" w:cs="宋体"/>
                <w:b w:val="0"/>
                <w:i w:val="0"/>
                <w:sz w:val="18"/>
              </w:rPr>
              <w:t>建设法学会基层服务站点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EAC67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C5382">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B21FF">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746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798B3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745BF">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B2160">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AF0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068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DE903">
            <w:pPr>
              <w:spacing w:before="0" w:after="0" w:line="240" w:lineRule="auto"/>
              <w:jc w:val="center"/>
            </w:pPr>
          </w:p>
        </w:tc>
      </w:tr>
      <w:tr w14:paraId="0EEBD3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FB01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5F117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35F4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7AE21">
            <w:pPr>
              <w:spacing w:before="0" w:after="0" w:line="240" w:lineRule="auto"/>
              <w:jc w:val="center"/>
            </w:pPr>
            <w:r>
              <w:rPr>
                <w:rFonts w:ascii="宋体" w:hAnsi="宋体" w:eastAsia="宋体" w:cs="宋体"/>
                <w:b w:val="0"/>
                <w:i w:val="0"/>
                <w:sz w:val="18"/>
              </w:rPr>
              <w:t>购买法治类书籍资料</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144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AB391">
            <w:pPr>
              <w:spacing w:before="0" w:after="0" w:line="240" w:lineRule="auto"/>
              <w:jc w:val="center"/>
            </w:pPr>
            <w:r>
              <w:rPr>
                <w:rFonts w:ascii="宋体" w:hAnsi="宋体" w:eastAsia="宋体" w:cs="宋体"/>
                <w:b w:val="0"/>
                <w:i w:val="0"/>
                <w:sz w:val="18"/>
              </w:rPr>
              <w:t>&gt;=120本</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E5F47">
            <w:pPr>
              <w:spacing w:before="0" w:after="0" w:line="240" w:lineRule="auto"/>
              <w:jc w:val="center"/>
            </w:pPr>
            <w:r>
              <w:rPr>
                <w:rFonts w:ascii="宋体" w:hAnsi="宋体" w:eastAsia="宋体" w:cs="宋体"/>
                <w:b w:val="0"/>
                <w:i w:val="0"/>
                <w:sz w:val="18"/>
              </w:rPr>
              <w:t>=120本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3AB8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FDE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CBA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464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7D6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B946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061F4">
            <w:pPr>
              <w:spacing w:before="0" w:after="0" w:line="240" w:lineRule="auto"/>
              <w:jc w:val="center"/>
            </w:pPr>
          </w:p>
        </w:tc>
      </w:tr>
      <w:tr w14:paraId="714E67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88B2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9B38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45AE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1B302">
            <w:pPr>
              <w:spacing w:before="0" w:after="0" w:line="240" w:lineRule="auto"/>
              <w:jc w:val="center"/>
            </w:pPr>
            <w:r>
              <w:rPr>
                <w:rFonts w:ascii="宋体" w:hAnsi="宋体" w:eastAsia="宋体" w:cs="宋体"/>
                <w:b w:val="0"/>
                <w:i w:val="0"/>
                <w:sz w:val="18"/>
              </w:rPr>
              <w:t>组织首席法律咨询专家开展工作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5F9F1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3D8E6">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B09D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C15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8A1E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DA6C9">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E193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55F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6F12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22C16">
            <w:pPr>
              <w:spacing w:before="0" w:after="0" w:line="240" w:lineRule="auto"/>
              <w:jc w:val="center"/>
            </w:pPr>
          </w:p>
        </w:tc>
      </w:tr>
      <w:tr w14:paraId="5DB49F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374F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1BFC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46AE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D64C0">
            <w:pPr>
              <w:spacing w:before="0" w:after="0" w:line="240" w:lineRule="auto"/>
              <w:jc w:val="center"/>
            </w:pPr>
            <w:r>
              <w:rPr>
                <w:rFonts w:ascii="宋体" w:hAnsi="宋体" w:eastAsia="宋体" w:cs="宋体"/>
                <w:b w:val="0"/>
                <w:i w:val="0"/>
                <w:sz w:val="18"/>
              </w:rPr>
              <w:t>打造法学会基层服务站点验收合格率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69160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C79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261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DBA0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D7ED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068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38B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9A9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DE07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46DA9">
            <w:pPr>
              <w:spacing w:before="0" w:after="0" w:line="240" w:lineRule="auto"/>
              <w:jc w:val="center"/>
            </w:pPr>
          </w:p>
        </w:tc>
      </w:tr>
      <w:tr w14:paraId="66E9A88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8042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78A3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9412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CE910">
            <w:pPr>
              <w:spacing w:before="0" w:after="0" w:line="240" w:lineRule="auto"/>
              <w:jc w:val="center"/>
            </w:pPr>
            <w:r>
              <w:rPr>
                <w:rFonts w:ascii="宋体" w:hAnsi="宋体" w:eastAsia="宋体" w:cs="宋体"/>
                <w:b w:val="0"/>
                <w:i w:val="0"/>
                <w:sz w:val="18"/>
              </w:rPr>
              <w:t>年内完成法学会基层服务站点建设任务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89993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477A0">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0C9F5">
            <w:pPr>
              <w:spacing w:before="0" w:after="0" w:line="240" w:lineRule="auto"/>
              <w:jc w:val="center"/>
            </w:pPr>
            <w:r>
              <w:rPr>
                <w:rFonts w:ascii="宋体" w:hAnsi="宋体" w:eastAsia="宋体" w:cs="宋体"/>
                <w:b w:val="0"/>
                <w:i w:val="0"/>
                <w:sz w:val="18"/>
              </w:rPr>
              <w:t>2025年11月3日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0B2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AD998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1E7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7D9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1A6D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7DF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0339A">
            <w:pPr>
              <w:spacing w:before="0" w:after="0" w:line="240" w:lineRule="auto"/>
              <w:jc w:val="center"/>
            </w:pPr>
          </w:p>
        </w:tc>
      </w:tr>
      <w:tr w14:paraId="711925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6F6C5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3C8D5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ACC8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6EB0A">
            <w:pPr>
              <w:spacing w:before="0" w:after="0" w:line="240" w:lineRule="auto"/>
              <w:jc w:val="center"/>
            </w:pPr>
            <w:r>
              <w:rPr>
                <w:rFonts w:ascii="宋体" w:hAnsi="宋体" w:eastAsia="宋体" w:cs="宋体"/>
                <w:b w:val="0"/>
                <w:i w:val="0"/>
                <w:sz w:val="18"/>
              </w:rPr>
              <w:t>宣传经费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50BD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021D8">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BF810">
            <w:pPr>
              <w:spacing w:before="0" w:after="0" w:line="240" w:lineRule="auto"/>
              <w:jc w:val="center"/>
            </w:pPr>
            <w:r>
              <w:rPr>
                <w:rFonts w:ascii="宋体" w:hAnsi="宋体" w:eastAsia="宋体" w:cs="宋体"/>
                <w:b w:val="0"/>
                <w:i w:val="0"/>
                <w:sz w:val="18"/>
              </w:rPr>
              <w:t>=9.03万元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F98F43">
            <w:pPr>
              <w:spacing w:before="0" w:after="0" w:line="240" w:lineRule="auto"/>
              <w:jc w:val="center"/>
            </w:pPr>
            <w:r>
              <w:rPr>
                <w:rFonts w:ascii="宋体" w:hAnsi="宋体" w:eastAsia="宋体" w:cs="宋体"/>
                <w:b w:val="0"/>
                <w:i w:val="0"/>
                <w:sz w:val="18"/>
              </w:rPr>
              <w:t>90.3%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903FA">
            <w:pPr>
              <w:spacing w:before="0" w:after="0" w:line="240" w:lineRule="auto"/>
              <w:jc w:val="center"/>
            </w:pPr>
            <w:r>
              <w:rPr>
                <w:rFonts w:ascii="宋体" w:hAnsi="宋体" w:eastAsia="宋体" w:cs="宋体"/>
                <w:b w:val="0"/>
                <w:i w:val="0"/>
                <w:sz w:val="18"/>
              </w:rPr>
              <w:t>7.57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01C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B05A5">
            <w:pPr>
              <w:spacing w:before="0" w:after="0" w:line="240" w:lineRule="auto"/>
              <w:jc w:val="center"/>
            </w:pPr>
            <w:r>
              <w:rPr>
                <w:rFonts w:ascii="宋体" w:hAnsi="宋体" w:eastAsia="宋体" w:cs="宋体"/>
                <w:b w:val="0"/>
                <w:i w:val="0"/>
                <w:sz w:val="18"/>
              </w:rPr>
              <w:t>21.3万元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B36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0970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B235D">
            <w:pPr>
              <w:spacing w:before="0" w:after="0" w:line="240" w:lineRule="auto"/>
              <w:jc w:val="center"/>
            </w:pPr>
            <w:r>
              <w:rPr>
                <w:rFonts w:ascii="宋体" w:hAnsi="宋体" w:eastAsia="宋体" w:cs="宋体"/>
                <w:b w:val="0"/>
                <w:i w:val="0"/>
                <w:sz w:val="18"/>
              </w:rPr>
              <w:t>此项指标存在偏差，偏差率9.7%，偏差原因：我单位严格落实过紧日子要求，在宣传品的制作前期工作政府采购时，经多方比对比质比价格谈判，最终以最优价成交，故资金有结余。下一步改进措施：进一步精准设置指标。</w:t>
            </w:r>
          </w:p>
        </w:tc>
      </w:tr>
      <w:tr w14:paraId="259AAE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5D8C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6DAC2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41E5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0D7F7">
            <w:pPr>
              <w:spacing w:before="0" w:after="0" w:line="240" w:lineRule="auto"/>
              <w:jc w:val="center"/>
            </w:pPr>
            <w:r>
              <w:rPr>
                <w:rFonts w:ascii="宋体" w:hAnsi="宋体" w:eastAsia="宋体" w:cs="宋体"/>
                <w:b w:val="0"/>
                <w:i w:val="0"/>
                <w:sz w:val="18"/>
              </w:rPr>
              <w:t>业务经费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EE5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93E5C">
            <w:pPr>
              <w:spacing w:before="0" w:after="0" w:line="240" w:lineRule="auto"/>
              <w:jc w:val="center"/>
            </w:pPr>
            <w:r>
              <w:rPr>
                <w:rFonts w:ascii="宋体" w:hAnsi="宋体" w:eastAsia="宋体" w:cs="宋体"/>
                <w:b w:val="0"/>
                <w:i w:val="0"/>
                <w:sz w:val="18"/>
              </w:rPr>
              <w:t>&lt;=4.50万元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261CF">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69488A">
            <w:pPr>
              <w:spacing w:before="0" w:after="0" w:line="240" w:lineRule="auto"/>
              <w:jc w:val="center"/>
            </w:pPr>
            <w:r>
              <w:rPr>
                <w:rFonts w:ascii="宋体" w:hAnsi="宋体" w:eastAsia="宋体" w:cs="宋体"/>
                <w:b w:val="0"/>
                <w:i w:val="0"/>
                <w:sz w:val="18"/>
              </w:rPr>
              <w:t>88.89%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6DC564">
            <w:pPr>
              <w:spacing w:before="0" w:after="0" w:line="240" w:lineRule="auto"/>
              <w:jc w:val="center"/>
            </w:pPr>
            <w:r>
              <w:rPr>
                <w:rFonts w:ascii="宋体" w:hAnsi="宋体" w:eastAsia="宋体" w:cs="宋体"/>
                <w:b w:val="0"/>
                <w:i w:val="0"/>
                <w:sz w:val="18"/>
              </w:rPr>
              <w:t>7.22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440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19135">
            <w:pPr>
              <w:spacing w:before="0" w:after="0" w:line="240" w:lineRule="auto"/>
              <w:jc w:val="center"/>
            </w:pPr>
            <w:r>
              <w:rPr>
                <w:rFonts w:ascii="宋体" w:hAnsi="宋体" w:eastAsia="宋体" w:cs="宋体"/>
                <w:b w:val="0"/>
                <w:i w:val="0"/>
                <w:sz w:val="18"/>
              </w:rPr>
              <w:t>0.7万元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F55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82EC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4BF7C">
            <w:pPr>
              <w:spacing w:before="0" w:after="0" w:line="240" w:lineRule="auto"/>
              <w:jc w:val="center"/>
            </w:pPr>
            <w:r>
              <w:rPr>
                <w:rFonts w:ascii="宋体" w:hAnsi="宋体" w:eastAsia="宋体" w:cs="宋体"/>
                <w:b w:val="0"/>
                <w:i w:val="0"/>
                <w:sz w:val="18"/>
              </w:rPr>
              <w:t>此项指标存在偏差，偏差率11.11%，偏差原因：我单位严格落实过紧日子和减负要求，利用电话、视频等线上方式替代线下调研指导工作，从而节约部分业务经费资金。下一步改进措施：运用本次绩效自评结果，下一步在相貌设置指标时精准设置指标。</w:t>
            </w:r>
          </w:p>
        </w:tc>
      </w:tr>
      <w:tr w14:paraId="5FCFB9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16C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FB86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F826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E7AC4">
            <w:pPr>
              <w:spacing w:before="0" w:after="0" w:line="240" w:lineRule="auto"/>
              <w:jc w:val="center"/>
            </w:pPr>
            <w:r>
              <w:rPr>
                <w:rFonts w:ascii="宋体" w:hAnsi="宋体" w:eastAsia="宋体" w:cs="宋体"/>
                <w:b w:val="0"/>
                <w:i w:val="0"/>
                <w:sz w:val="18"/>
              </w:rPr>
              <w:t>法学研究成果在基层实践运用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8D90E5">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46F53">
            <w:pPr>
              <w:spacing w:before="0" w:after="0" w:line="240" w:lineRule="auto"/>
              <w:jc w:val="center"/>
            </w:pPr>
            <w:r>
              <w:rPr>
                <w:rFonts w:ascii="宋体" w:hAnsi="宋体" w:eastAsia="宋体" w:cs="宋体"/>
                <w:b w:val="0"/>
                <w:i w:val="0"/>
                <w:sz w:val="18"/>
              </w:rPr>
              <w:t>显著提高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331D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E6F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38334E">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5BDDA">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078A0">
            <w:pPr>
              <w:spacing w:before="0" w:after="0" w:line="240" w:lineRule="auto"/>
              <w:jc w:val="center"/>
            </w:pPr>
            <w:r>
              <w:rPr>
                <w:rFonts w:ascii="宋体" w:hAnsi="宋体" w:eastAsia="宋体" w:cs="宋体"/>
                <w:b w:val="0"/>
                <w:i w:val="0"/>
                <w:sz w:val="18"/>
              </w:rPr>
              <w:t>显著提高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2B99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9E7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AFB31">
            <w:pPr>
              <w:spacing w:before="0" w:after="0" w:line="240" w:lineRule="auto"/>
              <w:jc w:val="center"/>
            </w:pPr>
          </w:p>
        </w:tc>
      </w:tr>
      <w:tr w14:paraId="21E4062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2AEF96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FDDF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0EC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8A7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8CB5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4A467">
            <w:pPr>
              <w:spacing w:before="0" w:after="0" w:line="240" w:lineRule="auto"/>
              <w:jc w:val="center"/>
            </w:pPr>
            <w:r>
              <w:rPr>
                <w:rFonts w:ascii="宋体" w:hAnsi="宋体" w:eastAsia="宋体" w:cs="宋体"/>
                <w:b w:val="0"/>
                <w:i w:val="0"/>
                <w:sz w:val="18"/>
              </w:rPr>
              <w:t>92.25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D23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D62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CD2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048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47E51">
            <w:pPr>
              <w:spacing w:before="0" w:after="0" w:line="240" w:lineRule="auto"/>
              <w:jc w:val="center"/>
            </w:pPr>
          </w:p>
        </w:tc>
      </w:tr>
    </w:tbl>
    <w:p w14:paraId="5D14A5FA">
      <w:r>
        <w:br w:type="page"/>
      </w:r>
    </w:p>
    <w:tbl>
      <w:tblPr>
        <w:tblStyle w:val="8"/>
        <w:tblW w:w="5000" w:type="pct"/>
        <w:tblInd w:w="0" w:type="dxa"/>
        <w:tblLayout w:type="autofit"/>
        <w:tblCellMar>
          <w:top w:w="36" w:type="dxa"/>
          <w:left w:w="36" w:type="dxa"/>
          <w:bottom w:w="36" w:type="dxa"/>
          <w:right w:w="36" w:type="dxa"/>
        </w:tblCellMar>
      </w:tblPr>
      <w:tblGrid>
        <w:gridCol w:w="545"/>
        <w:gridCol w:w="546"/>
        <w:gridCol w:w="546"/>
        <w:gridCol w:w="571"/>
        <w:gridCol w:w="593"/>
        <w:gridCol w:w="612"/>
        <w:gridCol w:w="583"/>
        <w:gridCol w:w="702"/>
        <w:gridCol w:w="593"/>
        <w:gridCol w:w="546"/>
        <w:gridCol w:w="571"/>
        <w:gridCol w:w="555"/>
        <w:gridCol w:w="551"/>
        <w:gridCol w:w="792"/>
      </w:tblGrid>
      <w:tr w14:paraId="20BF864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B0BDC20">
            <w:pPr>
              <w:spacing w:before="0" w:after="0" w:line="240" w:lineRule="auto"/>
              <w:jc w:val="center"/>
            </w:pPr>
            <w:r>
              <w:rPr>
                <w:rFonts w:ascii="宋体" w:hAnsi="宋体" w:eastAsia="宋体" w:cs="宋体"/>
                <w:b/>
                <w:i w:val="0"/>
                <w:sz w:val="18"/>
              </w:rPr>
              <w:t>项目支出绩效自评表</w:t>
            </w:r>
          </w:p>
        </w:tc>
      </w:tr>
      <w:tr w14:paraId="5D28B04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EBE31C">
            <w:pPr>
              <w:spacing w:before="0" w:after="0" w:line="240" w:lineRule="auto"/>
              <w:jc w:val="center"/>
            </w:pPr>
            <w:r>
              <w:rPr>
                <w:rFonts w:ascii="宋体" w:hAnsi="宋体" w:eastAsia="宋体" w:cs="宋体"/>
                <w:b w:val="0"/>
                <w:i w:val="0"/>
                <w:sz w:val="18"/>
              </w:rPr>
              <w:t>(2025年度)</w:t>
            </w:r>
          </w:p>
        </w:tc>
      </w:tr>
      <w:tr w14:paraId="536DEC6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81229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F8EE0FC">
            <w:pPr>
              <w:spacing w:before="0" w:after="0" w:line="240" w:lineRule="auto"/>
              <w:jc w:val="center"/>
            </w:pPr>
            <w:r>
              <w:rPr>
                <w:rFonts w:ascii="宋体" w:hAnsi="宋体" w:eastAsia="宋体" w:cs="宋体"/>
                <w:b w:val="0"/>
                <w:i w:val="0"/>
                <w:sz w:val="18"/>
              </w:rPr>
              <w:t>法学会业务经费</w:t>
            </w:r>
          </w:p>
        </w:tc>
      </w:tr>
      <w:tr w14:paraId="53663B1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00187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B2E6995">
            <w:pPr>
              <w:spacing w:before="0" w:after="0" w:line="240" w:lineRule="auto"/>
              <w:jc w:val="center"/>
            </w:pPr>
            <w:r>
              <w:rPr>
                <w:rFonts w:ascii="宋体" w:hAnsi="宋体" w:eastAsia="宋体" w:cs="宋体"/>
                <w:b w:val="0"/>
                <w:i w:val="0"/>
                <w:sz w:val="18"/>
              </w:rPr>
              <w:t>昌吉回族自治州法学会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97142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FB5A03">
            <w:pPr>
              <w:spacing w:before="0" w:after="0" w:line="240" w:lineRule="auto"/>
              <w:jc w:val="center"/>
            </w:pPr>
            <w:r>
              <w:rPr>
                <w:rFonts w:ascii="宋体" w:hAnsi="宋体" w:eastAsia="宋体" w:cs="宋体"/>
                <w:b w:val="0"/>
                <w:i w:val="0"/>
                <w:sz w:val="18"/>
              </w:rPr>
              <w:t>昌吉回族自治州法学会</w:t>
            </w:r>
          </w:p>
        </w:tc>
      </w:tr>
      <w:tr w14:paraId="7F2E4D6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4C5CE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C8CB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AE41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6BD59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545E6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8193E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BD221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6A890">
            <w:pPr>
              <w:spacing w:before="0" w:after="0" w:line="240" w:lineRule="auto"/>
              <w:jc w:val="center"/>
            </w:pPr>
            <w:r>
              <w:rPr>
                <w:rFonts w:ascii="宋体" w:hAnsi="宋体" w:eastAsia="宋体" w:cs="宋体"/>
                <w:b/>
                <w:i w:val="0"/>
                <w:sz w:val="18"/>
              </w:rPr>
              <w:t>得分</w:t>
            </w:r>
          </w:p>
        </w:tc>
      </w:tr>
      <w:tr w14:paraId="7521A58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28686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28000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7040C">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88C91F">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66F350">
            <w:pPr>
              <w:spacing w:before="0" w:after="0" w:line="240" w:lineRule="auto"/>
              <w:jc w:val="center"/>
            </w:pPr>
            <w:r>
              <w:rPr>
                <w:rFonts w:ascii="宋体" w:hAnsi="宋体" w:eastAsia="宋体" w:cs="宋体"/>
                <w:b w:val="0"/>
                <w:i w:val="0"/>
                <w:sz w:val="18"/>
              </w:rPr>
              <w:t>13.96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04DD8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1E5718">
            <w:pPr>
              <w:spacing w:before="0" w:after="0" w:line="240" w:lineRule="auto"/>
              <w:jc w:val="center"/>
            </w:pPr>
            <w:r>
              <w:rPr>
                <w:rFonts w:ascii="宋体" w:hAnsi="宋体" w:eastAsia="宋体" w:cs="宋体"/>
                <w:b w:val="0"/>
                <w:i w:val="0"/>
                <w:sz w:val="18"/>
              </w:rPr>
              <w:t>96.28%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AB98E6">
            <w:pPr>
              <w:spacing w:before="0" w:after="0" w:line="240" w:lineRule="auto"/>
              <w:jc w:val="center"/>
            </w:pPr>
            <w:r>
              <w:rPr>
                <w:rFonts w:ascii="宋体" w:hAnsi="宋体" w:eastAsia="宋体" w:cs="宋体"/>
                <w:b w:val="0"/>
                <w:i w:val="0"/>
                <w:sz w:val="18"/>
              </w:rPr>
              <w:t>9.07</w:t>
            </w:r>
          </w:p>
        </w:tc>
      </w:tr>
      <w:tr w14:paraId="70F4948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E56F1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456A7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24F7A">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9C5626">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D801F9">
            <w:pPr>
              <w:spacing w:before="0" w:after="0" w:line="240" w:lineRule="auto"/>
              <w:jc w:val="center"/>
            </w:pPr>
            <w:r>
              <w:rPr>
                <w:rFonts w:ascii="宋体" w:hAnsi="宋体" w:eastAsia="宋体" w:cs="宋体"/>
                <w:b w:val="0"/>
                <w:i w:val="0"/>
                <w:sz w:val="18"/>
              </w:rPr>
              <w:t>13.96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C6B98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FEC2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8D30FC">
            <w:pPr>
              <w:spacing w:before="0" w:after="0" w:line="240" w:lineRule="auto"/>
              <w:jc w:val="center"/>
            </w:pPr>
            <w:r>
              <w:rPr>
                <w:rFonts w:ascii="宋体" w:hAnsi="宋体" w:eastAsia="宋体" w:cs="宋体"/>
                <w:b w:val="0"/>
                <w:i w:val="0"/>
                <w:sz w:val="18"/>
              </w:rPr>
              <w:t>—</w:t>
            </w:r>
          </w:p>
        </w:tc>
      </w:tr>
      <w:tr w14:paraId="6BE9967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19193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973EA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3C36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B5782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EF185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39559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6A11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F892C1">
            <w:pPr>
              <w:spacing w:before="0" w:after="0" w:line="240" w:lineRule="auto"/>
              <w:jc w:val="center"/>
            </w:pPr>
            <w:r>
              <w:rPr>
                <w:rFonts w:ascii="宋体" w:hAnsi="宋体" w:eastAsia="宋体" w:cs="宋体"/>
                <w:b w:val="0"/>
                <w:i w:val="0"/>
                <w:sz w:val="18"/>
              </w:rPr>
              <w:t>—</w:t>
            </w:r>
          </w:p>
        </w:tc>
      </w:tr>
      <w:tr w14:paraId="1D75A84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9E49E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0D22DB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99CC958">
            <w:pPr>
              <w:spacing w:before="0" w:after="0" w:line="240" w:lineRule="auto"/>
              <w:jc w:val="center"/>
            </w:pPr>
            <w:r>
              <w:rPr>
                <w:rFonts w:ascii="宋体" w:hAnsi="宋体" w:eastAsia="宋体" w:cs="宋体"/>
                <w:b/>
                <w:i w:val="0"/>
                <w:sz w:val="18"/>
              </w:rPr>
              <w:t>实际完成情况</w:t>
            </w:r>
          </w:p>
        </w:tc>
      </w:tr>
      <w:tr w14:paraId="586BA41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C952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47D35F4">
            <w:pPr>
              <w:spacing w:before="0" w:after="0" w:line="240" w:lineRule="auto"/>
              <w:jc w:val="center"/>
            </w:pPr>
            <w:r>
              <w:rPr>
                <w:rFonts w:ascii="宋体" w:hAnsi="宋体" w:eastAsia="宋体" w:cs="宋体"/>
                <w:b w:val="0"/>
                <w:i w:val="0"/>
                <w:sz w:val="18"/>
              </w:rPr>
              <w:t>2025年，该项目计划举办“昌吉州青年普法志愿者法治文化基层行”活动2次，举办“百名法学家百场报告会”活动2次，组织首席法律咨询专家开展工作1次，对全州县市指导调研覆盖率达到100%。通过该项目的实施，开展青年普法志愿者法治文化基层行活动，为社区居民、企业职工和党员领导干部开展法治宣讲，创新法治宣传教育活动，突出青少年、党员干部、老年人等群体，深入了解群众法治需求，进一步提升了群众尊法、学法、守法、用法的意识。落实法学会会员、首席法律咨询专家动态管理，对会员专家、法律咨询委员会的成员定期进行梳理、调整，对不符合要求的及时调整、加大调查研究力度，对全州各县市指导调研覆盖率达到100%，强化对基层法学会工作的指导和督促，认真梳理明确任务要求，抓好落实，定期督促进展情况，确保各县市法学会工作齐头并进、落到实处。</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3A7F6BC">
            <w:pPr>
              <w:spacing w:before="0" w:after="0" w:line="240" w:lineRule="auto"/>
              <w:jc w:val="center"/>
            </w:pPr>
            <w:r>
              <w:rPr>
                <w:rFonts w:ascii="宋体" w:hAnsi="宋体" w:eastAsia="宋体" w:cs="宋体"/>
                <w:b w:val="0"/>
                <w:i w:val="0"/>
                <w:sz w:val="18"/>
              </w:rPr>
              <w:t>截至2025年12月31日，本项目支出资金13.96万元，资金执行率96.28%，本项目实际完成“昌吉州青年普法志愿者法治文化基层行”活动2次，举办“百名法学家百场报告会”活动2次，组织首席法律咨询专家开展工作1次，对全州县市指导调研覆盖率达到100%等各项指标。通过该项目的实施，加强了常态长效、深入基层、服务群众理念的贯彻落实，将法治理念融入日常生活，让尊法学法守法用法理念扎根基层，“基层行”“双百”普法服务品牌底色愈发鲜亮，提升了群众尊法、学法、守法、用法的意识，促进了各项法治宣讲活动走深走实。</w:t>
            </w:r>
          </w:p>
        </w:tc>
      </w:tr>
      <w:tr w14:paraId="0EB3EF5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B3EEA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F0681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C55E8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66E98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6782F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25F94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56047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8C5CC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10B6D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42660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F6C0F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CEAAA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54105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ECD568">
            <w:pPr>
              <w:keepNext/>
              <w:spacing w:before="0" w:after="0" w:line="240" w:lineRule="auto"/>
              <w:jc w:val="center"/>
            </w:pPr>
            <w:r>
              <w:rPr>
                <w:rFonts w:ascii="宋体" w:hAnsi="宋体" w:eastAsia="宋体" w:cs="宋体"/>
                <w:b/>
                <w:i w:val="0"/>
                <w:sz w:val="18"/>
              </w:rPr>
              <w:t>偏差原因分析及改进措施</w:t>
            </w:r>
          </w:p>
        </w:tc>
      </w:tr>
      <w:tr w14:paraId="63F9129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94B9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F8EC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E035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280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CC1E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DCD7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1CCE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CE8D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2BAF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ACB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C49C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DB2B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356C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B7C2B1"/>
        </w:tc>
      </w:tr>
      <w:tr w14:paraId="4AE45B0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C7C53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7FB77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7D96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6AC78">
            <w:pPr>
              <w:spacing w:before="0" w:after="0" w:line="240" w:lineRule="auto"/>
              <w:jc w:val="center"/>
            </w:pPr>
            <w:r>
              <w:rPr>
                <w:rFonts w:ascii="宋体" w:hAnsi="宋体" w:eastAsia="宋体" w:cs="宋体"/>
                <w:b w:val="0"/>
                <w:i w:val="0"/>
                <w:sz w:val="18"/>
              </w:rPr>
              <w:t>举办“昌吉州青年普法志愿者法治文化基层行”活动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BE5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57AF3">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FF560">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ED8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C4987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BD906">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52DF2">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87A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38D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9354C">
            <w:pPr>
              <w:spacing w:before="0" w:after="0" w:line="240" w:lineRule="auto"/>
              <w:jc w:val="center"/>
            </w:pPr>
          </w:p>
        </w:tc>
      </w:tr>
      <w:tr w14:paraId="6F3DB1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43B3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A4B8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89C0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BC73E">
            <w:pPr>
              <w:spacing w:before="0" w:after="0" w:line="240" w:lineRule="auto"/>
              <w:jc w:val="center"/>
            </w:pPr>
            <w:r>
              <w:rPr>
                <w:rFonts w:ascii="宋体" w:hAnsi="宋体" w:eastAsia="宋体" w:cs="宋体"/>
                <w:b w:val="0"/>
                <w:i w:val="0"/>
                <w:sz w:val="18"/>
              </w:rPr>
              <w:t>举办“百名法学家百场报告会”活动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6FA4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E1B11">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45B85">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0BF6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841C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A5CD5">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2114A">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DBFE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866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2AC17">
            <w:pPr>
              <w:spacing w:before="0" w:after="0" w:line="240" w:lineRule="auto"/>
              <w:jc w:val="center"/>
            </w:pPr>
          </w:p>
        </w:tc>
      </w:tr>
      <w:tr w14:paraId="3EFF04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68BD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D5F6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D971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739ED">
            <w:pPr>
              <w:spacing w:before="0" w:after="0" w:line="240" w:lineRule="auto"/>
              <w:jc w:val="center"/>
            </w:pPr>
            <w:r>
              <w:rPr>
                <w:rFonts w:ascii="宋体" w:hAnsi="宋体" w:eastAsia="宋体" w:cs="宋体"/>
                <w:b w:val="0"/>
                <w:i w:val="0"/>
                <w:sz w:val="18"/>
              </w:rPr>
              <w:t>组织首席法律咨询专家开展工作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D926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C09B9">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8902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CC36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CCBCB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7F141">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A473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D958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891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AA9B0">
            <w:pPr>
              <w:spacing w:before="0" w:after="0" w:line="240" w:lineRule="auto"/>
              <w:jc w:val="center"/>
            </w:pPr>
          </w:p>
        </w:tc>
      </w:tr>
      <w:tr w14:paraId="2D9763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FF05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4264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1F3A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2A0F6">
            <w:pPr>
              <w:spacing w:before="0" w:after="0" w:line="240" w:lineRule="auto"/>
              <w:jc w:val="center"/>
            </w:pPr>
            <w:r>
              <w:rPr>
                <w:rFonts w:ascii="宋体" w:hAnsi="宋体" w:eastAsia="宋体" w:cs="宋体"/>
                <w:b w:val="0"/>
                <w:i w:val="0"/>
                <w:sz w:val="18"/>
              </w:rPr>
              <w:t>对全州县市指导调研覆盖率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C6984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7B0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95B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E535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BD388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FC755">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F9B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274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8461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DD1EF">
            <w:pPr>
              <w:spacing w:before="0" w:after="0" w:line="240" w:lineRule="auto"/>
              <w:jc w:val="center"/>
            </w:pPr>
          </w:p>
        </w:tc>
      </w:tr>
      <w:tr w14:paraId="67B65D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F2B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AD48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F095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D4B0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3A30D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FF444">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CE9BB">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D400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72E6D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3FC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1A8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CE95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2441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7187E">
            <w:pPr>
              <w:spacing w:before="0" w:after="0" w:line="240" w:lineRule="auto"/>
              <w:jc w:val="center"/>
            </w:pPr>
          </w:p>
        </w:tc>
      </w:tr>
      <w:tr w14:paraId="43BB8A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EB55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EF50A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DCB2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B8304">
            <w:pPr>
              <w:spacing w:before="0" w:after="0" w:line="240" w:lineRule="auto"/>
              <w:jc w:val="center"/>
            </w:pPr>
            <w:r>
              <w:rPr>
                <w:rFonts w:ascii="宋体" w:hAnsi="宋体" w:eastAsia="宋体" w:cs="宋体"/>
                <w:b w:val="0"/>
                <w:i w:val="0"/>
                <w:sz w:val="18"/>
              </w:rPr>
              <w:t>宣传经费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C0CC1">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747DD">
            <w:pPr>
              <w:spacing w:before="0" w:after="0" w:line="240" w:lineRule="auto"/>
              <w:jc w:val="center"/>
            </w:pPr>
            <w:r>
              <w:rPr>
                <w:rFonts w:ascii="宋体" w:hAnsi="宋体" w:eastAsia="宋体" w:cs="宋体"/>
                <w:b w:val="0"/>
                <w:i w:val="0"/>
                <w:sz w:val="18"/>
              </w:rPr>
              <w:t>&lt;=9.35万元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E241C">
            <w:pPr>
              <w:spacing w:before="0" w:after="0" w:line="240" w:lineRule="auto"/>
              <w:jc w:val="center"/>
            </w:pPr>
            <w:r>
              <w:rPr>
                <w:rFonts w:ascii="宋体" w:hAnsi="宋体" w:eastAsia="宋体" w:cs="宋体"/>
                <w:b w:val="0"/>
                <w:i w:val="0"/>
                <w:sz w:val="18"/>
              </w:rPr>
              <w:t>=9.35万元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187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9B1433">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A29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364CA">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649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AFBA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65DFA">
            <w:pPr>
              <w:spacing w:before="0" w:after="0" w:line="240" w:lineRule="auto"/>
              <w:jc w:val="center"/>
            </w:pPr>
          </w:p>
        </w:tc>
      </w:tr>
      <w:tr w14:paraId="55035C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63E6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26559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4360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12E45">
            <w:pPr>
              <w:spacing w:before="0" w:after="0" w:line="240" w:lineRule="auto"/>
              <w:jc w:val="center"/>
            </w:pPr>
            <w:r>
              <w:rPr>
                <w:rFonts w:ascii="宋体" w:hAnsi="宋体" w:eastAsia="宋体" w:cs="宋体"/>
                <w:b w:val="0"/>
                <w:i w:val="0"/>
                <w:sz w:val="18"/>
              </w:rPr>
              <w:t>业务经费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E3821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E6EDF">
            <w:pPr>
              <w:spacing w:before="0" w:after="0" w:line="240" w:lineRule="auto"/>
              <w:jc w:val="center"/>
            </w:pPr>
            <w:r>
              <w:rPr>
                <w:rFonts w:ascii="宋体" w:hAnsi="宋体" w:eastAsia="宋体" w:cs="宋体"/>
                <w:b w:val="0"/>
                <w:i w:val="0"/>
                <w:sz w:val="18"/>
              </w:rPr>
              <w:t>&lt;=5.15万元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0E54B">
            <w:pPr>
              <w:spacing w:before="0" w:after="0" w:line="240" w:lineRule="auto"/>
              <w:jc w:val="center"/>
            </w:pPr>
            <w:r>
              <w:rPr>
                <w:rFonts w:ascii="宋体" w:hAnsi="宋体" w:eastAsia="宋体" w:cs="宋体"/>
                <w:b w:val="0"/>
                <w:i w:val="0"/>
                <w:sz w:val="18"/>
              </w:rPr>
              <w:t>=4.61万元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48AB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1564E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50A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E7F1D">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E55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725A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F5270">
            <w:pPr>
              <w:spacing w:before="0" w:after="0" w:line="240" w:lineRule="auto"/>
              <w:jc w:val="center"/>
            </w:pPr>
          </w:p>
        </w:tc>
      </w:tr>
      <w:tr w14:paraId="4371DD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D4C1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E4C0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9422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1231E">
            <w:pPr>
              <w:spacing w:before="0" w:after="0" w:line="240" w:lineRule="auto"/>
              <w:jc w:val="center"/>
            </w:pPr>
            <w:r>
              <w:rPr>
                <w:rFonts w:ascii="宋体" w:hAnsi="宋体" w:eastAsia="宋体" w:cs="宋体"/>
                <w:b w:val="0"/>
                <w:i w:val="0"/>
                <w:sz w:val="18"/>
              </w:rPr>
              <w:t>法学研究成果在基层实践运用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34B0D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711CA">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176A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F0AD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96E1F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B7632">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B2DEA">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57B7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18D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4FAD8">
            <w:pPr>
              <w:spacing w:before="0" w:after="0" w:line="240" w:lineRule="auto"/>
              <w:jc w:val="center"/>
            </w:pPr>
          </w:p>
        </w:tc>
      </w:tr>
      <w:tr w14:paraId="3E18A0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C53D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25E9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7A19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033D5">
            <w:pPr>
              <w:spacing w:before="0" w:after="0" w:line="240" w:lineRule="auto"/>
              <w:jc w:val="center"/>
            </w:pPr>
            <w:r>
              <w:rPr>
                <w:rFonts w:ascii="宋体" w:hAnsi="宋体" w:eastAsia="宋体" w:cs="宋体"/>
                <w:b w:val="0"/>
                <w:i w:val="0"/>
                <w:sz w:val="18"/>
              </w:rPr>
              <w:t>群众对普法宣传工作的满意度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AACCB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6B59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CF7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08F484">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EBC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591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1B7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4D04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954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3A1D7">
            <w:pPr>
              <w:spacing w:before="0" w:after="0" w:line="240" w:lineRule="auto"/>
              <w:jc w:val="center"/>
            </w:pPr>
            <w:r>
              <w:rPr>
                <w:rFonts w:ascii="宋体" w:hAnsi="宋体" w:eastAsia="宋体" w:cs="宋体"/>
                <w:b w:val="0"/>
                <w:i w:val="0"/>
                <w:sz w:val="18"/>
              </w:rPr>
              <w:t>此项指标已完成，偏差率11.11%。偏差原因：我单位（昌吉回族自治州法学会）设定该满意度目标时，秉持审慎原则，结合法学会业务经费的使用需求，重点保障经费精准投放、普法宣传工作高效落地，围绕群众法治需求开展多样化普法宣传，满足群众对法律知识、法治服务的基本需求，未充分预估经费优化调配后，普法宣传形式创新、内容贴合群众需求带来的良好反馈，导致实际满意度高于预期。下一年度改进措施：总结法学会业务经费使用经验，结合群众反馈，优化普法宣传形式、丰富宣传内容，聚焦群众急难愁盼的法律问题，适当上调满意度目标，持续完善普法宣传服务，充分发挥法学会业务经费的作用，更好地开展普法宣传工作，提升群众法治素养，彰显法学会普法宣传职能。</w:t>
            </w:r>
          </w:p>
        </w:tc>
      </w:tr>
      <w:tr w14:paraId="002DAB7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F511D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520B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DB6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A56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AFE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C25455">
            <w:pPr>
              <w:spacing w:before="0" w:after="0" w:line="240" w:lineRule="auto"/>
              <w:jc w:val="center"/>
            </w:pPr>
            <w:r>
              <w:rPr>
                <w:rFonts w:ascii="宋体" w:hAnsi="宋体" w:eastAsia="宋体" w:cs="宋体"/>
                <w:b w:val="0"/>
                <w:i w:val="0"/>
                <w:sz w:val="18"/>
              </w:rPr>
              <w:t>99.07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8C7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6A2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15D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DB4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8EE22">
            <w:pPr>
              <w:spacing w:before="0" w:after="0" w:line="240" w:lineRule="auto"/>
              <w:jc w:val="center"/>
            </w:pPr>
          </w:p>
        </w:tc>
      </w:tr>
    </w:tbl>
    <w:p w14:paraId="124510E3">
      <w:r>
        <w:br w:type="page"/>
      </w:r>
    </w:p>
    <w:p w14:paraId="2BC51B84">
      <w:pPr>
        <w:sectPr>
          <w:type w:val="continuous"/>
          <w:pgSz w:w="11906" w:h="16838"/>
          <w:pgMar w:top="1440" w:right="1800" w:bottom="1440" w:left="1800" w:header="851" w:footer="992" w:gutter="0"/>
          <w:cols w:space="720" w:num="1"/>
          <w:docGrid w:type="lines" w:linePitch="312" w:charSpace="0"/>
        </w:sectPr>
      </w:pPr>
    </w:p>
    <w:p w14:paraId="2A597B9C">
      <w:pPr>
        <w:spacing w:line="640" w:lineRule="exact"/>
        <w:ind w:firstLine="640"/>
        <w:jc w:val="both"/>
        <w:outlineLvl w:val="2"/>
      </w:pPr>
      <w:r>
        <w:rPr>
          <w:rFonts w:ascii="黑体" w:hAnsi="黑体" w:eastAsia="黑体"/>
          <w:sz w:val="32"/>
        </w:rPr>
        <w:t>十二、其他需说明的事项</w:t>
      </w:r>
    </w:p>
    <w:p w14:paraId="7D869119">
      <w:pPr>
        <w:spacing w:line="580" w:lineRule="exact"/>
        <w:ind w:firstLine="640"/>
        <w:jc w:val="both"/>
      </w:pPr>
      <w:r>
        <w:rPr>
          <w:rFonts w:ascii="仿宋_GB2312" w:hAnsi="仿宋_GB2312" w:eastAsia="仿宋_GB2312"/>
          <w:b w:val="0"/>
          <w:sz w:val="32"/>
        </w:rPr>
        <w:t>本单位无其他需说明的事项。</w:t>
      </w:r>
    </w:p>
    <w:p w14:paraId="2878D2C1">
      <w:r>
        <w:br w:type="page"/>
      </w:r>
    </w:p>
    <w:p w14:paraId="0162E6E8">
      <w:pPr>
        <w:spacing w:line="600" w:lineRule="exact"/>
        <w:jc w:val="center"/>
        <w:outlineLvl w:val="0"/>
      </w:pPr>
      <w:r>
        <w:rPr>
          <w:rFonts w:ascii="黑体" w:hAnsi="黑体" w:eastAsia="黑体"/>
          <w:sz w:val="32"/>
        </w:rPr>
        <w:t>第三部分 专业名词解释</w:t>
      </w:r>
    </w:p>
    <w:p w14:paraId="4B35CBF7">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2BB9F7F">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CFB28FC">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535E67F">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0713E9D7">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0CE9FB1">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2AF46841">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D9D18D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32B04AA">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B44B357">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CDD4EA2">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5CBBBE59">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204E6E5B">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D01C140">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24F191D5">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7AFC23B1">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1860E89E">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344FDAF">
      <w:r>
        <w:br w:type="page"/>
      </w:r>
    </w:p>
    <w:p w14:paraId="12C9E11F">
      <w:pPr>
        <w:spacing w:line="240" w:lineRule="auto"/>
        <w:jc w:val="center"/>
        <w:outlineLvl w:val="1"/>
      </w:pPr>
      <w:r>
        <w:rPr>
          <w:rFonts w:ascii="黑体" w:hAnsi="黑体" w:eastAsia="黑体"/>
          <w:sz w:val="32"/>
        </w:rPr>
        <w:t>第四部分 部门决算报表（见附表）</w:t>
      </w:r>
    </w:p>
    <w:p w14:paraId="5F7B88C7">
      <w:pPr>
        <w:autoSpaceDE w:val="0"/>
        <w:autoSpaceDN w:val="0"/>
        <w:spacing w:line="600" w:lineRule="exact"/>
        <w:ind w:firstLine="640" w:firstLineChars="200"/>
      </w:pPr>
      <w:r>
        <w:rPr>
          <w:rFonts w:ascii="仿宋_GB2312" w:hAnsi="仿宋_GB2312" w:eastAsia="仿宋_GB2312"/>
          <w:b w:val="0"/>
          <w:sz w:val="32"/>
        </w:rPr>
        <w:t>一、《收入支出决算总表》</w:t>
      </w:r>
    </w:p>
    <w:p w14:paraId="2974C5C9">
      <w:pPr>
        <w:autoSpaceDE w:val="0"/>
        <w:autoSpaceDN w:val="0"/>
        <w:spacing w:line="600" w:lineRule="exact"/>
        <w:ind w:firstLine="640" w:firstLineChars="200"/>
      </w:pPr>
      <w:r>
        <w:rPr>
          <w:rFonts w:ascii="仿宋_GB2312" w:hAnsi="仿宋_GB2312" w:eastAsia="仿宋_GB2312"/>
          <w:b w:val="0"/>
          <w:sz w:val="32"/>
        </w:rPr>
        <w:t>二、《收入决算表》</w:t>
      </w:r>
    </w:p>
    <w:p w14:paraId="5BD0D91D">
      <w:pPr>
        <w:autoSpaceDE w:val="0"/>
        <w:autoSpaceDN w:val="0"/>
        <w:spacing w:line="600" w:lineRule="exact"/>
        <w:ind w:firstLine="640" w:firstLineChars="200"/>
      </w:pPr>
      <w:r>
        <w:rPr>
          <w:rFonts w:ascii="仿宋_GB2312" w:hAnsi="仿宋_GB2312" w:eastAsia="仿宋_GB2312"/>
          <w:b w:val="0"/>
          <w:sz w:val="32"/>
        </w:rPr>
        <w:t>三、《支出决算表》</w:t>
      </w:r>
    </w:p>
    <w:p w14:paraId="5F8BB685">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9806779">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710AD5A9">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02BC252D">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7A094D03">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08E45071">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0B7E419">
      <w:pPr>
        <w:autoSpaceDE w:val="0"/>
        <w:autoSpaceDN w:val="0"/>
        <w:spacing w:line="600" w:lineRule="exact"/>
        <w:ind w:firstLine="640" w:firstLineChars="200"/>
      </w:pPr>
    </w:p>
    <w:p w14:paraId="3D3EDA8E">
      <w:pPr>
        <w:autoSpaceDE w:val="0"/>
        <w:autoSpaceDN w:val="0"/>
        <w:spacing w:line="600" w:lineRule="exact"/>
        <w:ind w:firstLine="640" w:firstLineChars="200"/>
      </w:pPr>
    </w:p>
    <w:p w14:paraId="3B5D0DAC">
      <w:pPr>
        <w:autoSpaceDE w:val="0"/>
        <w:autoSpaceDN w:val="0"/>
        <w:spacing w:line="600" w:lineRule="exact"/>
        <w:ind w:firstLine="640" w:firstLineChars="200"/>
      </w:pPr>
    </w:p>
    <w:p w14:paraId="3BC59E75">
      <w:pPr>
        <w:autoSpaceDE w:val="0"/>
        <w:autoSpaceDN w:val="0"/>
        <w:spacing w:line="600" w:lineRule="exact"/>
        <w:ind w:firstLine="640" w:firstLineChars="200"/>
      </w:pPr>
    </w:p>
    <w:p w14:paraId="2A30F2E4">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ACAEE7-F636-41E6-A81F-C7E4A0B140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180B199B-D4F2-41B3-92DE-D85BA1C00DE6}"/>
  </w:font>
  <w:font w:name="仿宋_GB2312">
    <w:panose1 w:val="02010609030101010101"/>
    <w:charset w:val="86"/>
    <w:family w:val="modern"/>
    <w:pitch w:val="default"/>
    <w:sig w:usb0="00000001" w:usb1="080E0000" w:usb2="00000000" w:usb3="00000000" w:csb0="00040000" w:csb1="00000000"/>
    <w:embedRegular r:id="rId3" w:fontKey="{D3D6D8AC-86CE-43DD-8049-B422C715AF1E}"/>
  </w:font>
  <w:font w:name="楷体_GB2312">
    <w:panose1 w:val="02010609030101010101"/>
    <w:charset w:val="86"/>
    <w:family w:val="auto"/>
    <w:pitch w:val="default"/>
    <w:sig w:usb0="00000001" w:usb1="080E0000" w:usb2="00000000" w:usb3="00000000" w:csb0="00040000" w:csb1="00000000"/>
    <w:embedRegular r:id="rId4" w:fontKey="{321DC418-7522-40FC-BA24-4FD793F55D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2671C4"/>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28</Pages>
  <Words>23</Words>
  <Characters>26</Characters>
  <Lines>10</Lines>
  <Paragraphs>2</Paragraphs>
  <TotalTime>7</TotalTime>
  <ScaleCrop>false</ScaleCrop>
  <LinksUpToDate>false</LinksUpToDate>
  <CharactersWithSpaces>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2026-10-15T09:47:59Z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