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中共昌吉回族自治州委员会党校</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1、贯彻党校的教育方针，以建设有中国特色社会主义理论和党的基本路线为指导，以研究社会主义现代化建设的实际问题为中心，坚持理论联系实际，培养忠诚于马克思主义、德才兼备的党员领导干部。</w:t>
      </w:r>
    </w:p>
    <w:p>
      <w:pPr>
        <w:spacing w:line="580" w:lineRule="exact"/>
        <w:ind w:firstLine="640"/>
        <w:jc w:val="both"/>
      </w:pPr>
      <w:r>
        <w:rPr>
          <w:rFonts w:ascii="仿宋_GB2312" w:hAnsi="仿宋_GB2312" w:eastAsia="仿宋_GB2312"/>
          <w:sz w:val="32"/>
        </w:rPr>
        <w:t>2、配合组织部、宣传部落实理论教育、党员教育和入党积极分子培养教育工作。</w:t>
      </w:r>
    </w:p>
    <w:p>
      <w:pPr>
        <w:spacing w:line="580" w:lineRule="exact"/>
        <w:ind w:firstLine="640"/>
        <w:jc w:val="both"/>
      </w:pPr>
      <w:r>
        <w:rPr>
          <w:rFonts w:ascii="仿宋_GB2312" w:hAnsi="仿宋_GB2312" w:eastAsia="仿宋_GB2312"/>
          <w:sz w:val="32"/>
        </w:rPr>
        <w:t>3、做好师资队伍建设和教材建设，开展教学研究，提高教学水平，确保教学质量。</w:t>
      </w:r>
    </w:p>
    <w:p>
      <w:pPr>
        <w:spacing w:line="580" w:lineRule="exact"/>
        <w:ind w:firstLine="640"/>
        <w:jc w:val="both"/>
      </w:pPr>
      <w:r>
        <w:rPr>
          <w:rFonts w:ascii="仿宋_GB2312" w:hAnsi="仿宋_GB2312" w:eastAsia="仿宋_GB2312"/>
          <w:sz w:val="32"/>
        </w:rPr>
        <w:t>4、制定党校内外网的规章制度并贯彻实施，做好党校内外网各项管理工作，不断完善办学和网站工作条件。</w:t>
      </w:r>
    </w:p>
    <w:p>
      <w:pPr>
        <w:spacing w:line="580" w:lineRule="exact"/>
        <w:ind w:firstLine="640"/>
        <w:jc w:val="both"/>
      </w:pPr>
      <w:r>
        <w:rPr>
          <w:rFonts w:ascii="仿宋_GB2312" w:hAnsi="仿宋_GB2312" w:eastAsia="仿宋_GB2312"/>
          <w:sz w:val="32"/>
        </w:rPr>
        <w:t>5、培训轮训各级党员领导干部及后备干部，培养理论干部。</w:t>
      </w:r>
    </w:p>
    <w:p>
      <w:pPr>
        <w:spacing w:line="580" w:lineRule="exact"/>
        <w:ind w:firstLine="640"/>
        <w:jc w:val="both"/>
      </w:pPr>
      <w:r>
        <w:rPr>
          <w:rFonts w:ascii="仿宋_GB2312" w:hAnsi="仿宋_GB2312" w:eastAsia="仿宋_GB2312"/>
          <w:sz w:val="32"/>
        </w:rPr>
        <w:t>6、承办党委和政府举办的专题研讨班。</w:t>
      </w:r>
    </w:p>
    <w:p>
      <w:pPr>
        <w:spacing w:line="580" w:lineRule="exact"/>
        <w:ind w:firstLine="640"/>
        <w:jc w:val="both"/>
      </w:pPr>
      <w:r>
        <w:rPr>
          <w:rFonts w:ascii="仿宋_GB2312" w:hAnsi="仿宋_GB2312" w:eastAsia="仿宋_GB2312"/>
          <w:sz w:val="32"/>
        </w:rPr>
        <w:t>7、围绕经济社会发展和党的建设的重大问题开展科学研究，承担党委和政府下达的调研任务。</w:t>
      </w:r>
    </w:p>
    <w:p>
      <w:pPr>
        <w:spacing w:line="580" w:lineRule="exact"/>
        <w:ind w:firstLine="640"/>
        <w:jc w:val="both"/>
      </w:pPr>
      <w:r>
        <w:rPr>
          <w:rFonts w:ascii="仿宋_GB2312" w:hAnsi="仿宋_GB2312" w:eastAsia="仿宋_GB2312"/>
          <w:sz w:val="32"/>
        </w:rPr>
        <w:t>8、开展马克思主义中国化最新成果的理论宣传和党的路线、方针、政策的宣传。</w:t>
      </w:r>
    </w:p>
    <w:p>
      <w:pPr>
        <w:spacing w:line="580" w:lineRule="exact"/>
        <w:ind w:firstLine="640"/>
        <w:jc w:val="both"/>
      </w:pPr>
      <w:r>
        <w:rPr>
          <w:rFonts w:ascii="仿宋_GB2312" w:hAnsi="仿宋_GB2312" w:eastAsia="仿宋_GB2312"/>
          <w:sz w:val="32"/>
        </w:rPr>
        <w:t>9、开展同校外教育、研究等机构和组织的合作与交流。</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中共昌吉回族自治州委员会党校无下属预算单位。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2025年度收入总计2,333.02万元，</w:t>
      </w:r>
      <w:r>
        <w:rPr>
          <w:rFonts w:ascii="仿宋_GB2312" w:hAnsi="仿宋_GB2312" w:eastAsia="仿宋_GB2312"/>
          <w:b w:val="0"/>
          <w:sz w:val="32"/>
        </w:rPr>
        <w:t>其中：本年收入合计2,066.82万元，使用非财政拨款结余（含专用结余）0.00万元，年初结转和结余266.20万元。</w:t>
      </w:r>
    </w:p>
    <w:p>
      <w:pPr>
        <w:spacing w:line="580" w:lineRule="exact"/>
        <w:ind w:firstLine="640"/>
        <w:jc w:val="both"/>
      </w:pPr>
      <w:r>
        <w:rPr>
          <w:rFonts w:ascii="仿宋_GB2312" w:hAnsi="仿宋_GB2312" w:eastAsia="仿宋_GB2312"/>
          <w:b/>
          <w:sz w:val="32"/>
        </w:rPr>
        <w:t>2025年度支出总计2,333.02万元，</w:t>
      </w:r>
      <w:r>
        <w:rPr>
          <w:rFonts w:ascii="仿宋_GB2312" w:hAnsi="仿宋_GB2312" w:eastAsia="仿宋_GB2312"/>
          <w:b w:val="0"/>
          <w:sz w:val="32"/>
        </w:rPr>
        <w:t>其中：本年支出合计2,045.64万元，结余分配0.00万元，年末结转和结余287.38万元。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减少267.71万元，下降10.29%，主要原因是：本年度专题班培训班次、人次较上年减少，其他收入减少。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本年收入2,066.82万元，</w:t>
      </w:r>
      <w:r>
        <w:rPr>
          <w:rFonts w:ascii="仿宋_GB2312" w:hAnsi="仿宋_GB2312" w:eastAsia="仿宋_GB2312"/>
          <w:b w:val="0"/>
          <w:sz w:val="32"/>
        </w:rPr>
        <w:t>其中：财政拨款收入1,717.93万元，占83.12%；上级补助收入0.00万元，占0.00%；事业收入0.00万元，占0.00%；经营收入0.00万元，占0.00%；附属单位上缴收入0.00万元，占0.00%；其他收入348.89万元，占16.88%。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本年支出2,045.64万元，</w:t>
      </w:r>
      <w:r>
        <w:rPr>
          <w:rFonts w:ascii="仿宋_GB2312" w:hAnsi="仿宋_GB2312" w:eastAsia="仿宋_GB2312"/>
          <w:b w:val="0"/>
          <w:sz w:val="32"/>
        </w:rPr>
        <w:t>其中：基本支出1,141.97万元，占55.82%；项目支出903.68万元，占44.18%；上缴上级支出0.00万元，占0.00%；经营支出0.00万元，占0.00%；对附属单位补助支出0.00万元，占0.00%。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2025年度财政拨款收入总计1,717.93万元，</w:t>
      </w:r>
      <w:r>
        <w:rPr>
          <w:rFonts w:ascii="仿宋_GB2312" w:hAnsi="仿宋_GB2312" w:eastAsia="仿宋_GB2312"/>
          <w:b w:val="0"/>
          <w:sz w:val="32"/>
        </w:rPr>
        <w:t>其中：年初财政拨款结转和结余0.00万元，本年财政拨款收入1,717.93万元。</w:t>
      </w:r>
      <w:r>
        <w:rPr>
          <w:rFonts w:ascii="仿宋_GB2312" w:hAnsi="仿宋_GB2312" w:eastAsia="仿宋_GB2312"/>
          <w:b/>
          <w:sz w:val="32"/>
        </w:rPr>
        <w:t>财政拨款支出总计1,717.93万元，</w:t>
      </w:r>
      <w:r>
        <w:rPr>
          <w:rFonts w:ascii="仿宋_GB2312" w:hAnsi="仿宋_GB2312" w:eastAsia="仿宋_GB2312"/>
          <w:b w:val="0"/>
          <w:sz w:val="32"/>
        </w:rPr>
        <w:t>其中：年末财政拨款结转和结余0.00万元，本年财政拨款支出1,717.93万元。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增加11.51万元，增长0.67%，主要原因是：本年在职人员工资调增，相关人员经费增加。本年增加退休人员基础绩效奖，退休费支出增加。</w:t>
      </w:r>
      <w:r>
        <w:rPr>
          <w:rFonts w:ascii="仿宋_GB2312" w:hAnsi="仿宋_GB2312" w:eastAsia="仿宋_GB2312"/>
          <w:b/>
          <w:sz w:val="32"/>
        </w:rPr>
        <w:t>与年初预算相比，</w:t>
      </w:r>
      <w:r>
        <w:rPr>
          <w:rFonts w:ascii="仿宋_GB2312" w:hAnsi="仿宋_GB2312" w:eastAsia="仿宋_GB2312"/>
          <w:b w:val="0"/>
          <w:sz w:val="32"/>
        </w:rPr>
        <w:t>年初预算数1,480.20万元，决算数1,717.93万元，预决算差异率16.06%，主要原因是：年中追加为民办实事经费，哲学社会科学理论研究项目，年度考核奖等项目，导致预决算存在差异。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干部教育培训等重点支出，体现在有关支出科目中。</w:t>
      </w:r>
    </w:p>
    <w:p>
      <w:pPr>
        <w:spacing w:line="580" w:lineRule="exact"/>
        <w:ind w:firstLine="640"/>
        <w:jc w:val="both"/>
      </w:pPr>
      <w:r>
        <w:rPr>
          <w:rFonts w:ascii="仿宋_GB2312" w:hAnsi="仿宋_GB2312" w:eastAsia="仿宋_GB2312"/>
          <w:b w:val="0"/>
          <w:sz w:val="32"/>
        </w:rPr>
        <w:t>按照支出功能分类，教育支出（类）进修及培训（款）干部教育（项）的支出占本年财政拨款支出总额的比重最高，2025年度决算数为1,337.19万元，占比77.84%，主要用于人员工资福利，日常公用经费，干部培训经费，物业管理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2025年度一般公共预算财政拨款支出1,717.93万元，</w:t>
      </w:r>
      <w:r>
        <w:rPr>
          <w:rFonts w:ascii="仿宋_GB2312" w:hAnsi="仿宋_GB2312" w:eastAsia="仿宋_GB2312"/>
          <w:b w:val="0"/>
          <w:sz w:val="32"/>
        </w:rPr>
        <w:t>占本年支出合计的83.98%。</w:t>
      </w:r>
      <w:r>
        <w:rPr>
          <w:rFonts w:ascii="仿宋_GB2312" w:hAnsi="仿宋_GB2312" w:eastAsia="仿宋_GB2312"/>
          <w:b/>
          <w:sz w:val="32"/>
        </w:rPr>
        <w:t>与上年相比，</w:t>
      </w:r>
      <w:r>
        <w:rPr>
          <w:rFonts w:ascii="仿宋_GB2312" w:hAnsi="仿宋_GB2312" w:eastAsia="仿宋_GB2312"/>
          <w:b w:val="0"/>
          <w:sz w:val="32"/>
        </w:rPr>
        <w:t>增加11.51万元，增长0.67%，主要原因是：本年在职人员工资调增，相关人员经费增加。本年增加退休人员基础绩效奖，退休费支出增加。</w:t>
      </w:r>
      <w:r>
        <w:rPr>
          <w:rFonts w:ascii="仿宋_GB2312" w:hAnsi="仿宋_GB2312" w:eastAsia="仿宋_GB2312"/>
          <w:b/>
          <w:sz w:val="32"/>
        </w:rPr>
        <w:t>与年初预算相比，</w:t>
      </w:r>
      <w:r>
        <w:rPr>
          <w:rFonts w:ascii="仿宋_GB2312" w:hAnsi="仿宋_GB2312" w:eastAsia="仿宋_GB2312"/>
          <w:b w:val="0"/>
          <w:sz w:val="32"/>
        </w:rPr>
        <w:t>年初预算数1,480.20万元，决算数1,717.93万元，预决算差异率16.06%，主要原因是：年中追加为民办实事经费，哲学社会科学理论研究项目，年度考核奖等项目，导致预决算存在差异。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1.教育支出（类）1,337.19万元，占77.84%。</w:t>
      </w:r>
    </w:p>
    <w:p>
      <w:pPr>
        <w:spacing w:line="580" w:lineRule="exact"/>
        <w:ind w:firstLine="640"/>
        <w:jc w:val="both"/>
      </w:pPr>
      <w:r>
        <w:rPr>
          <w:rFonts w:ascii="仿宋_GB2312" w:hAnsi="仿宋_GB2312" w:eastAsia="仿宋_GB2312"/>
          <w:b w:val="0"/>
          <w:sz w:val="32"/>
        </w:rPr>
        <w:t>2.社会保障和就业支出（类）203.35万元，占11.84%。</w:t>
      </w:r>
    </w:p>
    <w:p>
      <w:pPr>
        <w:spacing w:line="580" w:lineRule="exact"/>
        <w:ind w:firstLine="640"/>
        <w:jc w:val="both"/>
      </w:pPr>
      <w:r>
        <w:rPr>
          <w:rFonts w:ascii="仿宋_GB2312" w:hAnsi="仿宋_GB2312" w:eastAsia="仿宋_GB2312"/>
          <w:b w:val="0"/>
          <w:sz w:val="32"/>
        </w:rPr>
        <w:t>3.卫生健康支出（类）38.00万元，占2.21%。</w:t>
      </w:r>
    </w:p>
    <w:p>
      <w:pPr>
        <w:spacing w:line="580" w:lineRule="exact"/>
        <w:ind w:firstLine="640"/>
        <w:jc w:val="both"/>
      </w:pPr>
      <w:r>
        <w:rPr>
          <w:rFonts w:ascii="仿宋_GB2312" w:hAnsi="仿宋_GB2312" w:eastAsia="仿宋_GB2312"/>
          <w:b w:val="0"/>
          <w:sz w:val="32"/>
        </w:rPr>
        <w:t>4.城乡社区支出（类）41.40万元，占2.41%。</w:t>
      </w:r>
    </w:p>
    <w:p>
      <w:pPr>
        <w:spacing w:line="580" w:lineRule="exact"/>
        <w:ind w:firstLine="640"/>
        <w:jc w:val="both"/>
      </w:pPr>
      <w:r>
        <w:rPr>
          <w:rFonts w:ascii="仿宋_GB2312" w:hAnsi="仿宋_GB2312" w:eastAsia="仿宋_GB2312"/>
          <w:b w:val="0"/>
          <w:sz w:val="32"/>
        </w:rPr>
        <w:t>5.资源勘探工业信息等支出（类）4.38万元，占0.25%。</w:t>
      </w:r>
    </w:p>
    <w:p>
      <w:pPr>
        <w:spacing w:line="580" w:lineRule="exact"/>
        <w:ind w:firstLine="640"/>
        <w:jc w:val="both"/>
      </w:pPr>
      <w:r>
        <w:rPr>
          <w:rFonts w:ascii="仿宋_GB2312" w:hAnsi="仿宋_GB2312" w:eastAsia="仿宋_GB2312"/>
          <w:b w:val="0"/>
          <w:sz w:val="32"/>
        </w:rPr>
        <w:t>6.住房保障支出（类）74.99万元，占4.37%。</w:t>
      </w:r>
    </w:p>
    <w:p>
      <w:pPr>
        <w:spacing w:line="580" w:lineRule="exact"/>
        <w:ind w:firstLine="640"/>
        <w:jc w:val="both"/>
      </w:pPr>
      <w:r>
        <w:rPr>
          <w:rFonts w:ascii="仿宋_GB2312" w:hAnsi="仿宋_GB2312" w:eastAsia="仿宋_GB2312"/>
          <w:b w:val="0"/>
          <w:sz w:val="32"/>
        </w:rPr>
        <w:t>7.其他支出（类）18.63万元，占1.08%。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进修及培训（款）干部教育（项）：支出决算数为1,337.19万元，比上年决算减少96.90万元，下降6.76%，主要原因是：本年功能科目调整，部分人员经费由干部教育科目调整至其他城乡社区支出科目支出，机关事业单位职业年金缴费部分经费由干部教育科目调整至机关事业单位职业年金缴费支出科目列支，导致经费支出较上年减少。</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2.社会保障和就业支出（类）行政事业单位养老支出（款）行政单位离退休（项）：支出决算数为44.28万元，比上年决算增加12.12万元，增长37.69%，主要原因是：本年增加退休人员基础绩效奖，退休费支出增加。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92.46万元，比上年决算增加2.22万元，增长2.46%，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66.60万元，比上年决算增加66.60万元，增长100.00%，主要原因是：功能科目调整，机关事业单位职业年金缴费部分经费由干部教育科目调整至机关事业单位职业年金缴费支出科目列支，导致经费较上年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9.49万元，比上年决算减少3.03万元，下降24.20%，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25.19万元，比上年决算减少18.10万元，下降41.81%，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2.89万元，比上年决算增加0.07万元，增长2.48%，主要原因是：本年在职人员工资基数调增，公务员医疗补助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0.43万元，比上年决算减少0.12万元，下降21.82%，主要原因是：本年在职人员调入调出，人员职级不同，缴费基数不同，导致工伤保险支出较上年减少。</w:t>
      </w:r>
    </w:p>
    <w:p>
      <w:pPr>
        <w:spacing w:line="580" w:lineRule="exact"/>
        <w:ind w:firstLine="640"/>
        <w:jc w:val="both"/>
      </w:pPr>
      <w:r>
        <w:rPr>
          <w:rFonts w:ascii="仿宋_GB2312" w:hAnsi="仿宋_GB2312" w:eastAsia="仿宋_GB2312"/>
          <w:b w:val="0"/>
          <w:sz w:val="32"/>
        </w:rPr>
        <w:t>9.城乡社区支出（类）其他城乡社区支出（款）其他城乡社区支出（项）：支出决算数为41.40万元，比上年决算增加41.40万元，增长100.00%，主要原因是：本年功能科目调整，部分人员经费由干部教育科目调整至其他城乡社区支出科目支出，导致经费较上年增加。</w:t>
      </w:r>
    </w:p>
    <w:p>
      <w:pPr>
        <w:spacing w:line="580" w:lineRule="exact"/>
        <w:ind w:firstLine="640"/>
        <w:jc w:val="both"/>
      </w:pPr>
      <w:r>
        <w:rPr>
          <w:rFonts w:ascii="仿宋_GB2312" w:hAnsi="仿宋_GB2312" w:eastAsia="仿宋_GB2312"/>
          <w:b w:val="0"/>
          <w:sz w:val="32"/>
        </w:rPr>
        <w:t>10.资源勘探工业信息等支出（类）制造业（款）通信设备、计算机及其他电子设备制造业（项）：支出决算数为4.38万元，比上年决算增加4.38万元，增长100.00%，主要原因是：本年新增专项业务经费，导致经费支出增加。</w:t>
      </w:r>
    </w:p>
    <w:p>
      <w:pPr>
        <w:spacing w:line="580" w:lineRule="exact"/>
        <w:ind w:firstLine="640"/>
        <w:jc w:val="both"/>
      </w:pPr>
      <w:r>
        <w:rPr>
          <w:rFonts w:ascii="仿宋_GB2312" w:hAnsi="仿宋_GB2312" w:eastAsia="仿宋_GB2312"/>
          <w:b w:val="0"/>
          <w:sz w:val="32"/>
        </w:rPr>
        <w:t>11.住房保障支出（类）住房改革支出（款）住房公积金（项）：支出决算数为74.99万元，比上年决算增加2.88万元，增长3.99%，主要原因是：本年在职人员工资基数调增，公积金缴费基数上涨，相应支出增加。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12.其他支出（类）其他支出（款）其他支出（项）：支出决算数为18.63万元，比上年决算减少0.01万元，下降0.05%，主要原因是：本年度为民办实事项目经费较上年减少，导致经费支出减少。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2025年度一般公共预算财政拨款基本支出1,141.97万元，其中：</w:t>
      </w:r>
      <w:r>
        <w:rPr>
          <w:rFonts w:ascii="仿宋_GB2312" w:hAnsi="仿宋_GB2312" w:eastAsia="仿宋_GB2312"/>
          <w:b/>
          <w:sz w:val="32"/>
        </w:rPr>
        <w:t>人员经费1,038.16万元，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公用经费103.80万元，</w:t>
      </w:r>
      <w:r>
        <w:rPr>
          <w:rFonts w:ascii="仿宋_GB2312" w:hAnsi="仿宋_GB2312" w:eastAsia="仿宋_GB2312"/>
          <w:b w:val="0"/>
          <w:sz w:val="32"/>
        </w:rPr>
        <w:t>包括：办公费、水费、邮电费、取暖费、差旅费、培训费、公务接待费、劳务费、工会经费、福利费、公务用车运行维护费、其他交通费用、其他商品和服务支出。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2025年度财政拨款“三公”经费支出5.97万元，</w:t>
      </w:r>
      <w:r>
        <w:rPr>
          <w:rFonts w:ascii="仿宋_GB2312" w:hAnsi="仿宋_GB2312" w:eastAsia="仿宋_GB2312"/>
          <w:b w:val="0"/>
          <w:sz w:val="32"/>
        </w:rPr>
        <w:t>比上年增加0.12万元，增长2.05%，主要原因是：本年因业务需求，增加公务接待工作，导致公务接待费较上年增加。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公务用车购置及运行维护费支出5.84万元，占97.82%，比上年减少0.01万元，下降0.17%，主要原因是：严格落实中央八项规定精神，厉行节约，减少公务用车运行维护费。</w:t>
      </w:r>
      <w:r>
        <w:rPr>
          <w:rFonts w:ascii="仿宋_GB2312" w:hAnsi="仿宋_GB2312" w:eastAsia="仿宋_GB2312"/>
          <w:b w:val="0"/>
          <w:sz w:val="32"/>
        </w:rPr>
        <w:t>公务接待费支出0.13万元，占2.18%，比上年增加0.13万元，增长100.00%，主要原因是：本年因业务需求，增加公务接待工作，导致公务接待费较上年增加。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5.84万元，其中：公务用车购置费0.00万元，公务用车运行维护费5.84万元。公务用车运行维护费开支内容包括车辆加油费、维修费、保险费、审车费、过路费等。公务用车购置数0辆，公务用车保有量3辆。国有资产占用情况中固定资产车辆3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公务接待费0.13万元，开支内容包括因工作需要，接待工作小组考察学习产生的就餐费。单位全年安排的国内公务接待1批次，9人次。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7.64万元，决算数5.97万元，预决算差异率-21.86%，主要原因是：严格落实中央八项规定精神，厉行节约，减少经费支出。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5.84万元，决算数5.84万元，预决算差异率0.00%，主要原因是：严格按照预算执行，预决算无差异。公务接待费全年预算数1.80万元，决算数0.13万元，预决算差异率-92.78%，主要原因是：严格控制公务接待活动，认真执行经费开支标准，减少公务接待运行成本。</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2025年度中共昌吉回族自治州委员会党校（事业单位）公用经费支出103.80万元，比上年增加2.23万元，增长2.20%，主要原因是：本年更新、维护补充办公用品，导致公用经费较上年增加。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2025年度政府采购支出总额163.40万元，其中：政府采购货物支出52.75万元、政府采购工程支出35.10万元、政府采购服务支出75.55万元。</w:t>
      </w:r>
    </w:p>
    <w:p>
      <w:pPr>
        <w:spacing w:line="580" w:lineRule="exact"/>
        <w:ind w:firstLine="640"/>
        <w:jc w:val="both"/>
      </w:pPr>
      <w:r>
        <w:rPr>
          <w:rFonts w:ascii="仿宋_GB2312" w:hAnsi="仿宋_GB2312" w:eastAsia="仿宋_GB2312"/>
          <w:b w:val="0"/>
          <w:sz w:val="32"/>
        </w:rPr>
        <w:t>授予中小企业合同金额163.40万元，占政府采购支出总额的100.00%，其中：授予小微企业合同金额163.40万元，占政府采购支出总额的100.00%。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43,101.90平方米，价值17,390.52万元。车辆3辆，价值47.55万元，其中：副部（省）级及以上领导用车0辆、主要负责人用车0辆、机要通信用车0辆、应急保障用车0辆、执法执勤用车0辆、特种专业技术用车0辆、离退休干部服务用车0辆、其他用车3辆，其他用车主要是：一般公务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2,333.02万元，实际执行总额2,045.64万元；预算绩效评价项目6个，全年预算数884.17万元，全年执行数884.17万元。预算绩效管理取得的成效：一是监管有力，制度建设完全，相关制度严格执行，经费到位及时。项目资金按计划使用，严格按照预算管理规定开支；二是为规范公共财政补助资金发放项目的管理工作，建立决策科学、发放合理、运作规范的政府管理体制，纪委、财政参与项目建设及项目资金管理使用督查，不定时对项目实施监督检查。以户为单位，确保专款专用。发现的问题及原因：预算执行率与总体执行率存在一定偏差及部分指标完成率偏低。下一步改进措施：一是加强与内设科室的沟通，吃透工作理念，在部门整体正常运转的过程中，强化风险意识，尽可能的降低外部因素对资金使用效率产生的影响，并且细化工作任务和细则，加强监督管理；二是细化资金使用办法，按月按季度按年度做好规划，保障资金的使用率和执行率。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1,480.20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1,916.02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1,696.75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2,080.20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2,333.02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2,045.64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87.68%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8.77</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深入学习贯彻习近平新时代中国特色社会主义思想，贯彻落实党的二十大、二十届一中全会精神，认真贯彻落实中央及区、州党委各类会议精神及决策部署要求，按照《中国共产党党校工作条例》规定，坚持“质量立校、科研兴校、人才强校、从严治校”总方针，紧紧围绕党校姓党根本原则，围绕区、州党校系统办学质量评估指标体系任务，持续巩固和完善巡查整改问题的整改落实，推动党校工作规范化、科学化、制度化，全面提升党校教学质量和办学水平。2025年我校按照组织部调训计划，计划组织开展十期主体班培训，并通过开展丰富多彩的教学活动，进一步提升受训学员的理论素养和水平；按照党校工作条例的规定，计划开展县市宣讲40次，提升理论宣讲力度；完成15个课题，提升课题水平的广度和宽度，为决策咨政奠定良好的基础。根据干部教学培训工作条例第38条的规定，计划组织教师培训13人次，进一步提升教师队伍的综合素质、理论水平和素养。</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2333.02万元，全年执行数为2045.64万元，总预算执行率为87.68%。2025年我单位完成以下工作内容：在州党委的正确领导下，认真学习贯彻落实党的二十大、二十届三中全会精神、习近平新时代中国特色社会主义思想，围绕“党校姓党”，坚守“为党育才、为党献策”的初心使命，全体党校人踔厉奋发，砥砺前行。今年截至目前举办各类班次85期，比去年同期多10期，共计培训学员5655人次，其中：主体班15期882人，计划内专题班48期3061人次，计划外班次22期1712人次，圆满完成培训任务，持续巩固和完善巡查整改问题的整改落实，推动党校工作规范化、科学化、制度化，全面提升党校教学质量和办学水平。</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主体班培训调训任务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中国共产党党校（行政学院）工作条例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在县市或州直部门进行专题宣讲</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中国共产党党校（行政学院）工作条例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开展教学活动及现场教学活动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&gt;=38次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中国共产党党校（行政学院）工作条例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外派教师进行培训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干部培训教育工作条例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完成课题数量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2025年昌吉州党校教学科研学员管理工作计划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2025年度“庭州名师”专项行动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计划投入3万元，预计开展2次调研活动，完成调研报告2个，开展2次教学专题，按时完成本年度工作任务，调研保障达到100%，有效提升昌吉州干部队伍建设，使调研人员满意度达到95%以上，圆满完成本年度任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2次调研活动，完成调研报告2个，开展2次教学专题，按时完成本年度工作任务，调研保障达到100%，在教学过程中讲授专题课，教学效果良好，起到了积极宣传作用，为有效提升昌吉州干部队伍建设做出了一定的贡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开展调研次数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开展教学专题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撰写调研报告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加强昌吉州干部队伍建设效果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指标存在偏差的原因是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通过实地调研昌吉州所有历史文化遗址，收集涉及昌吉州历史文化资源的相关资料，完成调研报告及专题教学任务。本年度预计开展2次调研活动，完成调研报告2个及专题课2个，完成调研资料的完整度达到100%，及时支付项目资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2次调研活动，完成调研报告2个，开展2次教学专题，按时完成本年度工作任务，调研保障达到100%，在教学过程中讲授专题课，教学效果良好，起到了积极宣传作用，有效提升铸牢中华民族共同体意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开展调研次数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教学专题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资料费及其他费用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提升铸牢中华民族共同体意识效果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基层党员教育站点培训经费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实施专题班干部培训，开展为期5天，70人次的基层党员干部培训，45人实战实训师资库教师能力培训提升班，397人对党忠诚培训班，200人昌吉州机关单位及街道社区党员对党忠诚班。通过该项目的实施，提升受训学员的理论水平并提升管理水平。通过自治区好课程的录制，进一步提升党的理论政策宣传力度。在项目实施过程中充分利用财政资金，提高资金的时效性，提升资金使用效率，实现受训学员满意度水平达到95%，保障完成年度培训任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59.91万元，资金执行率100%。本项目实际完成10个班次，共计712人次的专题班培训，并完成好课程视频拍摄3个。通过该项目的实施，提升受训学员的理论水平并提升管理水平；自治区好课程的录制，进一步提升党的理论政策宣传力度。在项目实施过程中充分利用财政资金，提高资金的时效性，提升资金使用效率，圆满完成本年度培训任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组织培训班期数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培训参加人次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&gt;=712人次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=712人次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1068人次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录制自治区好课程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专题班食宿费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&lt;=56.23万元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专题班其他费用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自治区好课程录制费用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提升受训学员的理论水平，提高干部学员业务能力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提升党的理论政策宣传力度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已完成，指标存在偏差的原因是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干部培训经费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244.15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244.15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244.15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244.15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目标：本年度预期组织15期培训班次，培训605人次，组织开展12人次的师资培训，完成课题37个，充分保障培训。截至2025年12月10日前完成培训任务一定程度上提升受训学员的理论水平并提升业务能力，在培训过程中充分利用财政资金，提高资金的时效性，提升资金使用效率，保障完成年度培训任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244.25万元，资金执行率100%。本项目实际开展培训班次15个，培训882人次，培训保障率均达到预期，完成本年度12人次的师资培训，充分使用资金完成课题调研37个。通过该项目的实施，提升了受训学员的理论水平和业务能力，圆满的完成了本年度培训任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组织培训班期数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培训参加人次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&gt;=605人次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=882人次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145.79%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605人次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的原因是因2024年主体班培训15个班次605人，不含公务员初任培训班。2025年全州干部教育培训计划下发后，公务员初任培训班320人在主体班次培训中，导致2025年主体班次培训人数增加。主体班的班次设置、选调人数均参照全州全州干部教育培训计划实施，故与实际完成值产生偏差；下一年度改进措施：总结本次项目的成功经验，在编制下一年度绩效目标时，积极与调训部门组织部沟通，确保指标的有效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师资业务培训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完成科研课题研究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主体班培训费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师资培训费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科研教学开支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疆外异地现场教学费用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提升受训学员的理论水平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提高干部学员业务能力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327.58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327.58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327.58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327.58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保障单位正常运转，该项资金主要用于两部分，一部分为弥补公用经费不足，保障办公人员数量，改善办公条件和环境，确保工作正常开展；另一部分用于开展各个单位组织的专题班培训，更好的完成州党委组织部的培训计划和内容，提升领导干部水平和素质，使满意度达到95%以上。本年度保障正常运转49人，组织开展50个专题班班次，培训保障率达到100%，截至2025年12月10日前完成该项目，该项目保障单位正常运转，并提升领导干部水平和素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327.58万元，预算执行率为100%，本年度完成40个专题班的培训工作，培训保障率达到预期，保障了单位49人的正常运转，并按要求时间节点完成工作任务。通过该项目的实施，保障了单位正常运转，通过培训，提高了领导干部的水平和素质，圆满的完成了本年度工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保障工作人员数量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开展专题班培训次数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20%，指标存在偏差的原因2025年计划内专题班次实际培训50期，其中10期单独算到基层党组织培训班次下。故与实际完成值产生偏差；下一年度改进措施：总结本次项目的成功经验，在编制下一年度绩效目标时，积极与调训部门组织部沟通，确保指标切实有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专题班培训费用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&lt;=292.51万元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=292.51万元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校园文化建设及教室改造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&lt;=4.95万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提升领导干部水平和素质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指标存在偏差的原因是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水电物业维保等费用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中共昌吉回族自治州委员会党校</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248.53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248.53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单位职能：为保证完成州党委调训任务，改善培训环境和条件，在物业方面提供安保、园林绿化、消防维保、培训及会务保障、设施设备日常维修保养，学员宿舍楼方面园林托管。项目目标：项目资金主要用于：水电暖、托管、物业维保费用等。本年度预期完成校园绿化面积23300万平方米，校园管理面积43671平方米，日常工作保障率达到100%，预期2025年12月10日前完成工作任务。在向教职工及受训学员提供服务期间保证卫生质量，提高党校校园绿化覆盖能力，保障培训工作的正常开展，创造良好的培训及工作环境。在社会效益方面，吸纳社会有劳动力的有职业需求人员，在一定程度上缓解就业压力。本年度充分利用财政资金，提高资金的时效性，提升资金使用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248.53万元，资金执行率100%。本项目完成对校园绿化面积23300万平方米，校园管理面积43671平方米的物业管理，日常工作保障率达到100%并于2025年12月10日前完成工作任务。在向教职工及受训学员提供服务期间保证卫生质量，加强物业管理，提高党校校园绿化覆盖能力，保障工作的正常开展，创造良好的培训及工作环境。在社会效益方面，吸纳社会有劳动力的有职业需求人员，在一定程度上缓解就业压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校园绿化管理面积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&gt;=23300平方米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=23300平方米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23300平方米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校园管理面积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&gt;=43671平方米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=43761平方米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43671平方米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日常工作保障率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&lt;=165.38万元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其他维保费用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&lt;=59.49万元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水电费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提升培训环境及工作环境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提高党校绿化覆盖能力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指标存在偏差的原因是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本年本单位其他项目2个，全年预算数19.37万元，全年执行数19.37万元。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