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新疆昌吉回族自治州呼图壁河流域管理处</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呼图壁河流域管理处负责流域规划管理、防洪和水资源统一调度；负责职责范围内的河段、河道、堤防、岸线及重要水利工程的运行管理；组织开展流域内水利建设项目的技术审查等工作；协助开展防洪抗旱工作；流域内水费、堤防维护、河道采砂管理；流域内水政管理；负责协调流域内水资源开发利用与保护，防洪安全与河道岸线利用，河道治理与水能资源开发。自治州呼图壁河流域管理处在自治州水利局党组的领导下开展工作，主要职责是。</w:t>
      </w:r>
    </w:p>
    <w:p>
      <w:pPr>
        <w:spacing w:line="580" w:lineRule="exact"/>
        <w:ind w:firstLine="640"/>
        <w:jc w:val="both"/>
      </w:pPr>
      <w:r>
        <w:rPr>
          <w:rFonts w:ascii="仿宋_GB2312" w:hAnsi="仿宋_GB2312" w:eastAsia="仿宋_GB2312"/>
          <w:sz w:val="32"/>
        </w:rPr>
        <w:t>1、贯彻执行党和国家、自治区关于流域管理的方针政策、法律法规。</w:t>
      </w:r>
    </w:p>
    <w:p>
      <w:pPr>
        <w:spacing w:line="580" w:lineRule="exact"/>
        <w:ind w:firstLine="640"/>
        <w:jc w:val="both"/>
      </w:pPr>
      <w:r>
        <w:rPr>
          <w:rFonts w:ascii="仿宋_GB2312" w:hAnsi="仿宋_GB2312" w:eastAsia="仿宋_GB2312"/>
          <w:sz w:val="32"/>
        </w:rPr>
        <w:t>2、负责流域规划管理、防洪和水资源统一调度。</w:t>
      </w:r>
    </w:p>
    <w:p>
      <w:pPr>
        <w:spacing w:line="580" w:lineRule="exact"/>
        <w:ind w:firstLine="640"/>
        <w:jc w:val="both"/>
      </w:pPr>
      <w:r>
        <w:rPr>
          <w:rFonts w:ascii="仿宋_GB2312" w:hAnsi="仿宋_GB2312" w:eastAsia="仿宋_GB2312"/>
          <w:sz w:val="32"/>
        </w:rPr>
        <w:t>3、负责职责范围内的河段、河道、堤防、岸线及重要水利工程的运行管理；四承担流域内水利建设项目技术审查等工作。</w:t>
      </w:r>
    </w:p>
    <w:p>
      <w:pPr>
        <w:spacing w:line="580" w:lineRule="exact"/>
        <w:ind w:firstLine="640"/>
        <w:jc w:val="both"/>
      </w:pPr>
      <w:r>
        <w:rPr>
          <w:rFonts w:ascii="仿宋_GB2312" w:hAnsi="仿宋_GB2312" w:eastAsia="仿宋_GB2312"/>
          <w:sz w:val="32"/>
        </w:rPr>
        <w:t>4、承担流域内水利建设项目技术审查等工作。</w:t>
      </w:r>
    </w:p>
    <w:p>
      <w:pPr>
        <w:spacing w:line="580" w:lineRule="exact"/>
        <w:ind w:firstLine="640"/>
        <w:jc w:val="both"/>
      </w:pPr>
      <w:r>
        <w:rPr>
          <w:rFonts w:ascii="仿宋_GB2312" w:hAnsi="仿宋_GB2312" w:eastAsia="仿宋_GB2312"/>
          <w:sz w:val="32"/>
        </w:rPr>
        <w:t>5、协助开展防汛抗旱工作。</w:t>
      </w:r>
    </w:p>
    <w:p>
      <w:pPr>
        <w:spacing w:line="580" w:lineRule="exact"/>
        <w:ind w:firstLine="640"/>
        <w:jc w:val="both"/>
      </w:pPr>
      <w:r>
        <w:rPr>
          <w:rFonts w:ascii="仿宋_GB2312" w:hAnsi="仿宋_GB2312" w:eastAsia="仿宋_GB2312"/>
          <w:sz w:val="32"/>
        </w:rPr>
        <w:t>6、负责流域内水费、水资源费、堤防维修费管理。</w:t>
      </w:r>
    </w:p>
    <w:p>
      <w:pPr>
        <w:spacing w:line="580" w:lineRule="exact"/>
        <w:ind w:firstLine="640"/>
        <w:jc w:val="both"/>
      </w:pPr>
      <w:r>
        <w:rPr>
          <w:rFonts w:ascii="仿宋_GB2312" w:hAnsi="仿宋_GB2312" w:eastAsia="仿宋_GB2312"/>
          <w:sz w:val="32"/>
        </w:rPr>
        <w:t>7、负责流域内水政监察、水行执法和取水许可工作。</w:t>
      </w:r>
    </w:p>
    <w:p>
      <w:pPr>
        <w:spacing w:line="580" w:lineRule="exact"/>
        <w:ind w:firstLine="640"/>
        <w:jc w:val="both"/>
      </w:pPr>
      <w:r>
        <w:rPr>
          <w:rFonts w:ascii="仿宋_GB2312" w:hAnsi="仿宋_GB2312" w:eastAsia="仿宋_GB2312"/>
          <w:sz w:val="32"/>
        </w:rPr>
        <w:t>8、负责协调流域内水资源开发利用与保护、防洪安全与河岸线利用、河道治理与水能资源开发工作。</w:t>
      </w:r>
    </w:p>
    <w:p>
      <w:pPr>
        <w:spacing w:line="580" w:lineRule="exact"/>
        <w:ind w:firstLine="640"/>
        <w:jc w:val="both"/>
      </w:pPr>
      <w:r>
        <w:rPr>
          <w:rFonts w:ascii="仿宋_GB2312" w:hAnsi="仿宋_GB2312" w:eastAsia="仿宋_GB2312"/>
          <w:sz w:val="32"/>
        </w:rPr>
        <w:t>9、呼图壁石齐水库建设管理处负责石门水库、齐古水库运行期间的监督管理和协调服务工作；承担呼图壁河（湖）长制办公室日常工作；完成自治州水利局交办的其他任务。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新疆昌吉回族自治州呼图壁河流域管理处无下属预算单位。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2025年度收入总计8,932.48万元，</w:t>
      </w:r>
      <w:r>
        <w:rPr>
          <w:rFonts w:ascii="仿宋_GB2312" w:hAnsi="仿宋_GB2312" w:eastAsia="仿宋_GB2312"/>
          <w:b w:val="0"/>
          <w:sz w:val="32"/>
        </w:rPr>
        <w:t>其中：本年收入合计8,932.48万元，使用非财政拨款结余（含专用结余）0.00万元，年初结转和结余0.00万元。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2025年度支出总计8,932.48万元，</w:t>
      </w:r>
      <w:r>
        <w:rPr>
          <w:rFonts w:ascii="仿宋_GB2312" w:hAnsi="仿宋_GB2312" w:eastAsia="仿宋_GB2312"/>
          <w:b w:val="0"/>
          <w:sz w:val="32"/>
        </w:rPr>
        <w:t>其中：本年支出合计8,932.48万元，结余分配0.00万元，年末结转和结余0.00万元。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1,709.57万元，增长23.67%，主要原因是：本年增加新疆·呼图壁县呼图壁河二闸至北疆铁路大桥河道防洪治理工程设计；新疆·呼图壁县呼图壁河二闸至北疆铁路大桥段河道防洪治理工程；水库、渠首安全监测改造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本年收入8,932.48万元，</w:t>
      </w:r>
      <w:r>
        <w:rPr>
          <w:rFonts w:ascii="仿宋_GB2312" w:hAnsi="仿宋_GB2312" w:eastAsia="仿宋_GB2312"/>
          <w:b w:val="0"/>
          <w:sz w:val="32"/>
        </w:rPr>
        <w:t>其中：财政拨款收入2,617.16万元，占29.30%；上级补助收入0.00万元，占0.00%；事业收入0.00万元，占0.00%；经营收入6,315.32万元，占70.70%；附属单位上缴收入0.00万元，占0.00%；其他收入0.00万元，占0.00%。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本年支出8,932.48万元，</w:t>
      </w:r>
      <w:r>
        <w:rPr>
          <w:rFonts w:ascii="仿宋_GB2312" w:hAnsi="仿宋_GB2312" w:eastAsia="仿宋_GB2312"/>
          <w:b w:val="0"/>
          <w:sz w:val="32"/>
        </w:rPr>
        <w:t>其中：基本支出2,586.38万元，占28.95%；项目支出30.78万元，占0.34%；上缴上级支出0.00万元，占0.00%；经营支出6,315.32万元，占70.70%；对附属单位补助支出0.00万元，占0.00%。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2025年度财政拨款收入总计2,617.16万元，</w:t>
      </w:r>
      <w:r>
        <w:rPr>
          <w:rFonts w:ascii="仿宋_GB2312" w:hAnsi="仿宋_GB2312" w:eastAsia="仿宋_GB2312"/>
          <w:b w:val="0"/>
          <w:sz w:val="32"/>
        </w:rPr>
        <w:t>其中：年初财政拨款结转和结余0.00万元，本年财政拨款收入2,617.16万元。</w:t>
      </w:r>
      <w:r>
        <w:rPr>
          <w:rFonts w:ascii="仿宋_GB2312" w:hAnsi="仿宋_GB2312" w:eastAsia="仿宋_GB2312"/>
          <w:b/>
          <w:sz w:val="32"/>
        </w:rPr>
        <w:t>财政拨款支出总计2,617.16万元，</w:t>
      </w:r>
      <w:r>
        <w:rPr>
          <w:rFonts w:ascii="仿宋_GB2312" w:hAnsi="仿宋_GB2312" w:eastAsia="仿宋_GB2312"/>
          <w:b w:val="0"/>
          <w:sz w:val="32"/>
        </w:rPr>
        <w:t>其中：年末财政拨款结转和结余0.00万元，本年财政拨款支出2,617.16万元。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增加52.51万元，增长2.05%，主要原因是：本年在职人员社保中医疗补助和大额医疗基数调增，人员经费增加。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2,190.27万元，决算数2,617.16万元，预决算差异率19.49%，主要原因是：年中追加2025年驻村工作自治区补助经费、2025年第二批中央基建投资预算；年中追加2024年度考核奖、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水利工程的运行管理、流域规划管理、开展防洪抗旱工作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水利（款）水利工程运行与维护（项）的支出占本年财政拨款支出总额的比重最高，2025年度决算数为1,784.51万元，占比68.18%，主要用于工程项目经费、机构运行保障经费、职工工资。</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2025年度一般公共预算财政拨款支出2,617.16万元，</w:t>
      </w:r>
      <w:r>
        <w:rPr>
          <w:rFonts w:ascii="仿宋_GB2312" w:hAnsi="仿宋_GB2312" w:eastAsia="仿宋_GB2312"/>
          <w:b w:val="0"/>
          <w:sz w:val="32"/>
        </w:rPr>
        <w:t>占本年支出合计的29.30%。</w:t>
      </w:r>
      <w:r>
        <w:rPr>
          <w:rFonts w:ascii="仿宋_GB2312" w:hAnsi="仿宋_GB2312" w:eastAsia="仿宋_GB2312"/>
          <w:b/>
          <w:sz w:val="32"/>
        </w:rPr>
        <w:t>与上年相比，</w:t>
      </w:r>
      <w:r>
        <w:rPr>
          <w:rFonts w:ascii="仿宋_GB2312" w:hAnsi="仿宋_GB2312" w:eastAsia="仿宋_GB2312"/>
          <w:b w:val="0"/>
          <w:sz w:val="32"/>
        </w:rPr>
        <w:t>增加52.51万元，增长2.05%，主要原因是：本年在职人员社保中医疗补助和大额医疗基数调增，人员经费增加。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2,190.27万元，决算数2,617.16万元，预决算差异率19.49%，主要原因是：年中追加2025年驻村工作自治区补助经费、2025年第二批中央基建投资预算；年中追加2024年度考核奖、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1.社会保障和就业支出（类）472.94万元，占18.07%。</w:t>
      </w:r>
    </w:p>
    <w:p>
      <w:pPr>
        <w:spacing w:line="580" w:lineRule="exact"/>
        <w:ind w:firstLine="640"/>
        <w:jc w:val="both"/>
      </w:pPr>
      <w:r>
        <w:rPr>
          <w:rFonts w:ascii="仿宋_GB2312" w:hAnsi="仿宋_GB2312" w:eastAsia="仿宋_GB2312"/>
          <w:b w:val="0"/>
          <w:sz w:val="32"/>
        </w:rPr>
        <w:t>2.卫生健康支出（类）128.02万元，占4.89%。</w:t>
      </w:r>
    </w:p>
    <w:p>
      <w:pPr>
        <w:spacing w:line="580" w:lineRule="exact"/>
        <w:ind w:firstLine="640"/>
        <w:jc w:val="both"/>
      </w:pPr>
      <w:r>
        <w:rPr>
          <w:rFonts w:ascii="仿宋_GB2312" w:hAnsi="仿宋_GB2312" w:eastAsia="仿宋_GB2312"/>
          <w:b w:val="0"/>
          <w:sz w:val="32"/>
        </w:rPr>
        <w:t>3.农林水支出（类）1,784.51万元，占68.18%。</w:t>
      </w:r>
    </w:p>
    <w:p>
      <w:pPr>
        <w:spacing w:line="580" w:lineRule="exact"/>
        <w:ind w:firstLine="640"/>
        <w:jc w:val="both"/>
      </w:pPr>
      <w:r>
        <w:rPr>
          <w:rFonts w:ascii="仿宋_GB2312" w:hAnsi="仿宋_GB2312" w:eastAsia="仿宋_GB2312"/>
          <w:b w:val="0"/>
          <w:sz w:val="32"/>
        </w:rPr>
        <w:t>4.资源勘探工业信息等支出（类）5.78万元，占0.22%。</w:t>
      </w:r>
    </w:p>
    <w:p>
      <w:pPr>
        <w:spacing w:line="580" w:lineRule="exact"/>
        <w:ind w:firstLine="640"/>
        <w:jc w:val="both"/>
      </w:pPr>
      <w:r>
        <w:rPr>
          <w:rFonts w:ascii="仿宋_GB2312" w:hAnsi="仿宋_GB2312" w:eastAsia="仿宋_GB2312"/>
          <w:b w:val="0"/>
          <w:sz w:val="32"/>
        </w:rPr>
        <w:t>5.住房保障支出（类）200.91万元，占7.68%。</w:t>
      </w:r>
    </w:p>
    <w:p>
      <w:pPr>
        <w:spacing w:line="580" w:lineRule="exact"/>
        <w:ind w:firstLine="640"/>
        <w:jc w:val="both"/>
      </w:pPr>
      <w:r>
        <w:rPr>
          <w:rFonts w:ascii="仿宋_GB2312" w:hAnsi="仿宋_GB2312" w:eastAsia="仿宋_GB2312"/>
          <w:b w:val="0"/>
          <w:sz w:val="32"/>
        </w:rPr>
        <w:t>6.其他支出（类）25.00万元，占0.96%。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115.46万元，比上年决算增加31.64万元，增长37.75%，主要原因是：本年退休人员增加，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238.33万元，比上年决算增加20.91万元，增长9.62%，主要原因是：本年在职人员增加，养老保险缴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119.16万元，比上年决算增加10.45万元，增长9.61%，主要原因是：本年新增退休人员，职业年金缴费支出增加。</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4.卫生健康支出（类）行政事业单位医疗（款）事业单位医疗（项）：支出决算数为119.16万元，比上年决算增加9.58万元，增长8.74%，主要原因是：本年在职人员工资基数调增，医疗缴费基数上涨，相应支出增加。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5.卫生健康支出（类）行政事业单位医疗（款）公务员医疗补助（项）：支出决算数为7.30万元，比上年决算增加0.49万元，增长7.20%，主要原因是：本年在职人员增加，公务员医疗补助较上年增加。</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1.56万元，比上年决算增加0.04万元，增长2.63%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7.农林水支出（类）农业农村（款）农业生态资源保护（项）：支出决算数为0.00万元，比上年决算减少25.00万元，下降100.00%，主要原因是：2025年财政减少拨付增殖放流项目经费。</w:t>
      </w:r>
    </w:p>
    <w:p>
      <w:pPr>
        <w:spacing w:line="580" w:lineRule="exact"/>
        <w:ind w:firstLine="640"/>
        <w:jc w:val="both"/>
      </w:pPr>
      <w:r>
        <w:rPr>
          <w:rFonts w:ascii="仿宋_GB2312" w:hAnsi="仿宋_GB2312" w:eastAsia="仿宋_GB2312"/>
          <w:b w:val="0"/>
          <w:sz w:val="32"/>
        </w:rPr>
        <w:t>8.农林水支出（类）水利（款）水利工程运行与维护（项）：支出决算数为1,784.51万元，比上年决算减少16.02万元，下降0.89%，主要原因是：2025年财政减少新疆人才发展基金2024年度第一轮支持资金。</w:t>
      </w:r>
    </w:p>
    <w:p>
      <w:pPr>
        <w:spacing w:line="580" w:lineRule="exact"/>
        <w:ind w:firstLine="640"/>
        <w:jc w:val="both"/>
      </w:pPr>
      <w:r>
        <w:rPr>
          <w:rFonts w:ascii="仿宋_GB2312" w:hAnsi="仿宋_GB2312" w:eastAsia="仿宋_GB2312"/>
          <w:b w:val="0"/>
          <w:sz w:val="32"/>
        </w:rPr>
        <w:t>9.资源勘探工业信息等支出（类）制造业（款）通信设备、计算机及其他电子设备制造业（项）：支出决算数为5.78万元，比上年决算增加5.78万元，增长100.00%，主要原因是：2025年财政增加第二批中央基建投资预算。</w:t>
      </w:r>
    </w:p>
    <w:p>
      <w:pPr>
        <w:spacing w:line="580" w:lineRule="exact"/>
        <w:ind w:firstLine="640"/>
        <w:jc w:val="both"/>
      </w:pPr>
      <w:r>
        <w:rPr>
          <w:rFonts w:ascii="仿宋_GB2312" w:hAnsi="仿宋_GB2312" w:eastAsia="仿宋_GB2312"/>
          <w:b w:val="0"/>
          <w:sz w:val="32"/>
        </w:rPr>
        <w:t>10.住房保障支出（类）住房改革支出（款）住房公积金（项）：支出决算数为200.91万元，比上年决算增加14.65万元，增长7.87%，主要原因是：本年在职人员增加，住房公积金支出较上年增加。</w:t>
      </w:r>
    </w:p>
    <w:p>
      <w:pPr>
        <w:spacing w:line="580" w:lineRule="exact"/>
        <w:ind w:firstLine="640"/>
        <w:jc w:val="both"/>
      </w:pPr>
      <w:r>
        <w:rPr>
          <w:rFonts w:ascii="仿宋_GB2312" w:hAnsi="仿宋_GB2312" w:eastAsia="仿宋_GB2312"/>
          <w:b w:val="0"/>
          <w:sz w:val="32"/>
        </w:rPr>
        <w:t>11.其他支出（类）其他支出（款）其他支出（项）：支出决算数为25.00万元，比上年决算增加0.00万元，增长0.00%，主要原因是：为民办实事经费与上年相比无变化。</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2025年度一般公共预算财政拨款基本支出2,586.38万元，其中：</w:t>
      </w:r>
      <w:r>
        <w:rPr>
          <w:rFonts w:ascii="仿宋_GB2312" w:hAnsi="仿宋_GB2312" w:eastAsia="仿宋_GB2312"/>
          <w:b/>
          <w:sz w:val="32"/>
        </w:rPr>
        <w:t>人员经费2,577.41万元，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pPr>
        <w:spacing w:line="580" w:lineRule="exact"/>
        <w:ind w:firstLine="640"/>
        <w:jc w:val="both"/>
      </w:pPr>
      <w:r>
        <w:rPr>
          <w:rFonts w:ascii="仿宋_GB2312" w:hAnsi="仿宋_GB2312" w:eastAsia="仿宋_GB2312"/>
          <w:b/>
          <w:sz w:val="32"/>
        </w:rPr>
        <w:t>公用经费8.97万元，</w:t>
      </w:r>
      <w:r>
        <w:rPr>
          <w:rFonts w:ascii="仿宋_GB2312" w:hAnsi="仿宋_GB2312" w:eastAsia="仿宋_GB2312"/>
          <w:b w:val="0"/>
          <w:sz w:val="32"/>
        </w:rPr>
        <w:t>包括：其他商品和服务支出。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9辆，与公务用车保有量差异原因是：单位业务用车，车辆费用未使用财政拨款公务用车运行维护费支付，由单位自有经费保障。</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2025年度新疆昌吉回族自治州呼图壁河流域管理处（事业单位）公用经费支出8.97万元，比上年增加0.34万元，增长3.94%，主要原因是：本年退休干部职工增加，活动经费增加。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2025年度政府采购支出总额1,030.27万元，其中：政府采购货物支出267.91万元、政府采购工程支出289.67万元、政府采购服务支出472.69万元。</w:t>
      </w:r>
    </w:p>
    <w:p>
      <w:pPr>
        <w:spacing w:line="580" w:lineRule="exact"/>
        <w:ind w:firstLine="640"/>
        <w:jc w:val="both"/>
      </w:pPr>
      <w:r>
        <w:rPr>
          <w:rFonts w:ascii="仿宋_GB2312" w:hAnsi="仿宋_GB2312" w:eastAsia="仿宋_GB2312"/>
          <w:b w:val="0"/>
          <w:sz w:val="32"/>
        </w:rPr>
        <w:t>授予中小企业合同金额875.02万元，占政府采购支出总额的84.93%，其中：授予小微企业合同金额875.02万元，占政府采购支出总额的84.93%。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26,156.87平方米，价值2,128.40万元。车辆9辆，价值155.10万元，其中：副部（省）级及以上领导用车0辆、主要负责人用车0辆、机要通信用车0辆、应急保障用车3辆、执法执勤用车1辆、特种专业技术用车0辆、离退休干部服务用车0辆、其他用车5辆，其他用车主要是：单位业务用车。单价100万元（含）以上设备（不含车辆）9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8,932.48万元，实际执行总额8,932.48万元；预算绩效评价项目9个，全年预算数4,408.53万元，全年执行数4,285.26万元。预算绩效管理取得的成效：一是完成全年度水费收缴，优化资源配置，提高了资金使用的效率和效果。二是按总量控制调节水量，青年渠首引水量不得超过3.425亿立方米，保证水库能够正常泄洪，准确控制水位，并提高农业灌溉效率；三是完成州级河长巡河和日常河道管理及巡察，开展安全生产会议和安全业务培训，及时发现并处理安全隐患，保障了水利工程实施运行安全平稳和群众的生命财产安全；四是完成石门水库、齐古水库、大海子水库、水闸和干渠维修养护工作，确保水利工作顺利进行。发现的问题及原因：一是我处员工对预算绩效管理工作的认识不足，预算绩效职责不清，工作安排不到位，有的科室认为绩效目标、监控和自评全部是财务人员的事情，在开展绩效评估管理工作当中，资金使用科室对绩效填报工作重视度不够；二是在绩效目标填报的过程中，绩效目标设立不够科学、合理，导致后续的监控和评价无法推进。三是在绩效评价的过程中，过度侧重于业绩指标，导致评价内容不够全面，相关绩效评价工作持续时间较长，相关负责人未进行阶段性记录，评价结果不够准确。下一步改进措施：一是组织全员预算绩效管理专项培训，明确财务部门与资金使用科室的具体职责边界，将绩效目标填报质量、自评按时完成率纳入资金使用科室及相关负责人的年度绩效考核指标，与评优、奖惩直接挂钩，强化责任意识。二是建立“目标申报-财务初审-跨部门评审”三级审核机制，由财务、业务骨干及相关领域专家组成评审小组，重点审核目标是否与科室职能、年度工作重点匹配，是否具备“可量化、可考核、可实现”的特性，对不达标目标要求重新修订。三是采用“定量数据+定性评价+满意度调查”相结合的方式，确保评价内容全面。推行“月度记录+季度小结”的过程管理机制，定期记录绩效目标进展情况，作为评价依据。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2,190.27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2,617.16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2,617.16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518.74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6,315.32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6,315.32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2,709.01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8,932.48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8,932.48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党的二十大精神、习近平总书记关于治水的重要论述，习近平总书记关于“三农”工作重要论述，以及新时代党的治疆方略，我单位计划开展以下工作：一是坚决保障人民生命财产安全，提升水旱灾害防御能力，强化监测预警，科学制定保供保灌调度方案，系统调配水资源，全力保障灌溉用水需求，要做好2025年春季雪情分析、水情预报和来水预测工作，春汛及主汛期前召开会商研判会，提前对洪旱形式进行分析，保障平稳度汛，并及时对山洪预警和各雨水情监测站点维修养护，保障设备完好率和数据精准性。二是严格按比例调配水资源，实时制定科学合理的蓄水计划、水量分配方案，确保灌区比例平衡，流域上下游、左右岸均衡受益，保障齐古水库、青年渠首、芨芨坝断面生态水量，严格控制青年渠首引水量。三是坚决筑牢生态安全屏障，提升水生态环境保护能力，持续强化河湖长制，压紧压实各级河湖长责任，及时制定州级河长巡河方案。四是坚持生命至上理念，驰而不息抓好水利安全生产，认真贯彻落实习近平总书记关于安全生产重要指示批示精神及区州党委安全生产工作部署，层层签订安全生产责任书，逐项分解落实安全责任，树立红线意识和底线思维，安排进行安全大检查和防洪演练。通过2025年的各项工作，有效保障呼图壁河流域规划管理、防洪和水资源统一调度；加强河段、河道、堤防、岸线及重要水利工程的运行管理；确保防洪抗旱工作有效开展；更加高效地协调流域内水资源。</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我处全年预算资金8932.48万元，执行数为8932.48万元，执行率为100%。2025年我处保障了呼图壁河下游灌溉用水需求，具体体现在齐古水库断面生态水量达到10331.45万立方米，青年渠首生态水量达到1710.73万立方米，芨芨坝生态水量达到2103.04万立方米，青年渠首引水量完成3.41亿立方米；加强了河道、岸线及重要水利工程的运行和管理，完成州长巡河2次；充分落实安全生产责任，安排安全大检查8次，防洪演练4次。通过以上工作的开展，提升呼图壁河水寒灾害防御能力，更加高效地协调流域内的水资源。</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完成州级河长巡河次数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呼图壁河流域管理处2025年工作部署，关于进一步明确河湖巡查频次的通知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齐古水库断面生态水量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&gt;=6522万立方米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呼图壁河流域管理处2025年工作部署，关于印发《全面开展自治区河湖和已建水利水电工程生态流量确定与保障工作计划》的通知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=10331.45万立方米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青年渠首断面生态水量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&gt;=1541万立方米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呼图壁河流域管理处2025年工作部署，关于印发《全面开展自治区河湖和已建水利水电工程生态流量确定与保障工作计划》的通知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=1710.73万立方米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芨芨坝断面生态水量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&gt;=1542万立方米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呼图壁河流域管理处2025年工作部署，关于印发《全面开展自治区河湖和已建水利水电工程生态流量确定与保障工作计划》的通知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=2103.04万立方米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青年渠首引水量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&lt;=3.42亿立方米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呼图壁河流域管理处2025年工作部署，关于印发《全面开展自治区河湖和已建水利水电工程生态流量确定与保障工作计划》的通知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=3.41亿立方米</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全年开展安全生产大检查次数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呼图壁河流域管理处2025年工作部署，关于印发《自治区管行业必须管安全、管业务必须管安全、管生产经营必须管安全实施细则》的通知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开展防洪演练次数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呼图壁河流域管理处2025年工作部署，关于印发《自治区管行业必须管安全、管业务必须管安全、管生产经营必须管安全实施细则》的通知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《新疆呼图壁河生态水量（流量）目标制定与保障方案》《呼图壁河流域四库联调方案设计》</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编制《呼图壁河流域四库联调方案》和《新疆呼图壁河生态水量（流量）目标制定与保障方案》，方案编制通过验收率100%，方案编制完成时间为2025年12月5日前，通过该项目的实施，有效保障流域生态系统稳定性，使项目主管单位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27.76万元，资金执行率93.03%，编制方案2本，聘请第三方编制方案单位数量2个，已通过单位内部审核，《新疆呼图壁河生态水量（流量）目标制定与保障方案》已通过林草局、自然资源局的审核，《呼图壁河流域四库联调方案设计》待水利厅审核，通过该项目的实施为后续相关项目的开展提供依据，有效保障流域内生态系统的稳定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方案规划编制数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聘请第三方编制方案单位数量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方案编制验收通过率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偏差原因：两本方案编制已完成，《呼图壁河流域四库联调方案设计》报送至州水利局，等待水利局下发最终批复，《新疆呼图壁河生态水量（流量）目标制定与保障方案》正在报送审自治区水利厅下发最终批复，下一年度改进措施：在年初设定指标时综合考虑评审和批复的时间。</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方案编制完成时间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《呼图壁河流域四库联调方案》编制成本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《新疆呼图壁河生态水量（流量）目标制定与保障方案》编制成本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此项指标已完成，存在偏差，偏差率为10.45%，偏差原因：方案编制已完成，正在报送审自治区水利厅下发最终批复，下一年度改进措施：及时监控第三方编制进度。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流域生态系统稳定性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保障生态稳定性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项目主管单位满意度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96.26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大海子水库大坝安全鉴定隐患整改工程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闸门更换数量1孔，大海子水库安全鉴定隐患整改数量2项，闸门安装验收合格率达到100%，工程建设费用不超过74.84万元，工程建立费用2.2万元，有效提高水库安全运行能力，主管部门满意度达到90%，通过该项目的实施提升大海子水库运行安全，使其持续发挥防洪、灌溉、畜牧等效益，并以此为契机培养高水平、高素质、高能力的水库水闸标准化管理人员，力争打造昌吉州水库水闸标准化样板单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77.04万元，资金执行率100%，本项目实际完成闸门更换数量1孔，大海子水库安全鉴定隐患整改数量2项；通过该项目的实施提升大海子水库运行安全，使其持续发挥防洪、灌溉、畜牧等效益，并以此为契机培养高水平、高素质、高能力的水库水闸标准化管理人员，力争打造昌吉州水库水闸标准化样板单位。</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闸门更换数量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&gt;=1孔</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1孔</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大海子水库安全鉴定隐患整改数量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闸门安装验收合格率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闸门更换完成时间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工程建设费用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&lt;=74.84万元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14.69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该指标存在偏差，偏差率为-2.06%，偏差原因分析：建材市场采购成本较以前年度略有上升，改进措施：下一年度充分进行市场询价，更加精准设定指标。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工程监理费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该指标存在偏差，偏差率为70%，偏差原因分析：年初设置监理费指标时未进行全面的市场询价，导致偏差较大，改进措施：下一年度充分进行市场询价，更加精准设定指标。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提高水库安全运行能力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该指标存在偏差，偏差率为-11.11%，偏差原因分析：年初设置指标时较为保守，改进措施：提前与主管部门进行沟通，设置指标更加精确合理。</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94.69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安全生产及应急抢险经费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实施：1、辖区防护栏建设，总长度达到3000米。2、水利工程设施设备应急抢修和需对排查出的安全隐患开展消缺工作。3、防汛抢险应急物资储备，拟购置救生艇3艘，在三个基层单位配置移动码头三个，此外还需购买水库消防用应急柴油发电机一台。4、开展防洪演练工作。5、签订水文、气象数据共享协议。通过该项目的实施，减少溺水事故发生率，提升水利工程设施设备正常运转率，提升灌区农田灌溉供水保证率，提升防洪度汛应急处置能力，确保流域人民群众生命财产和粮食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176.47万元，资金执行率100%，本项目实际完成：1、辖区防护栏建设，总长度达到3000米。2、水利工程设施设备应急抢修和需对排查出的安全隐患开展消缺工作1次。3、防汛抢险应急物资储备，置救生艇1艘，在三个基层单位配置移动码头一个。4、签订水文、气象数据共享协议服务2个。通过该项目的实施，减少溺水事故发生率，提升水利工程设施设备正常运转率，提升灌区农田灌溉供水保证率，提升防洪度汛应急处置能力，确保流域人民群众生命财产和粮食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新建安全防护栏长度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&gt;=3000米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=3675米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 22.5%，偏差原因为：在2025年围栏米数申报的过程中，测量的米数不是很精准，而且考虑到水库、干渠离县城距离较远，围栏建设成本较高，在实际的招标过程中，对需要修建的围栏米数进行了重新的计算，重新核算了成本。下一个年度改进措施：提前对水库、干渠需要修建围栏的部位进行实地勘察，做好围栏米数的统计，确保填报米数与后期实际米数相对应。</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服务合同签订数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开展应急抢修工程次数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 400%，偏差原因为：2025年汛期极端天气增多，水库、干渠、设备设施等突发故障、破损险情较往年增多，为保障工程运行安全，开展应急抢险次数增加。下一个年度改进措施：提前对水库、干渠工程进行安全生产检查，提前对工程存在隐患进行统计，确保填报次数与后期维修次数相对应。</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应急抢险工程处置及时性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开展防护栏建设费用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购买防汛应急物资费用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流域电力、工程应急抢修费用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&lt;=101.73万元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签订服务协议费用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提高应急处置能力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基层闸站工作人员满意度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新疆·呼图壁县呼图壁河二闸至北疆铁路大桥段河道防洪治理工程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2,378.27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2,378.27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2,283.88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2,378.27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2,378.27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2,283.88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治理河道长度5.643km，建设护岸总长度9.632km，使工程质量合格率达到100%，2025年12月10日之前完成工程建设任务，工程部分静态投资费用2211.39万元，征地、水土保持等费用166.88万元，有效提升呼图壁河流域防洪能力，使主管科室满意度达到90%。通过该项目的实施能提高呼河的防洪能力、调蓄能力及供水能力，及时、快速、有效，防止险情发展，最大程度减少水利工程设施设备的财产损失，保证工程的安全、平稳运行。</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2283.88万元，资金执行率96.03%，该项目验收合格率达到100%，实际完成河道疏浚长度1.8千米，新建护岸总长度9千米，通过该项目的实施提升呼图壁河流域安全运行能力，使建设单位满意度到100%。全面提升呼图壁河流域内河道防洪能力，保护了流域内人民生命安全和耕地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河道疏浚长度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&gt;=1.8km</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=1.8km</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新建护岸总长度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&gt;=9km</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=9km</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工程任务完成时间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实体工程费用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&lt;=2228.27万元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 4.00%，偏差原因为：年初预算编制考虑不周全，申报绩效目标时未确定具体报价金额，造成实际费用与计划预算出现偏差。下一个年度改进措施：提前开展市场询价工作，精准确定预算价格后再编制年度预算。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6.34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 3.75%，偏差原因为：年初预算编制考虑不周全，申报绩效目标时未确定具体报价金额，造成实际费用与计划预算出现偏差。下一个年度改进措施：提前开展市场询价工作，精准确定预算价格后再编制年度预算。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提升呼图壁河流域防洪能力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主管科室满意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 - 11.11%，偏差原因为：年初指标设置不合理，未提前与各科室沟通对接，造成实际完成情况与预期指标出现偏差。下一个年度改进措施：指标设置前主动与各科室充分沟通，结合实际情况科学设定指标。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595.30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595.30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通过政府采购平台，进行商品和劳务的采购，保障我单位118人正常的工作秩序，及时合规采购办公用品，保障单位正常运转，调动职工工作积极性，提高业务开展效率，提升公共服务能力。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595.3万元，资金支付率95.9%，本项目实际保障我单位120人正常的工作秩序，及时通过政府采购平台采购办公用品和劳务服务，并按照相关流程进行资金支付，确保支付的及时性，通过本项目的实施，保障了我单位的正常运转，提高了单位职工的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此项指标已完成，存在偏差，偏差率为-1.69%，偏差原因：我单位年中在职人员增加2人，下一年度改进措施：更加精确预测在职人员人数。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由于本年度我单位实行厉行节约，反对浪费，各科室的办公用品和打印机耗材减少，导致办公费减少。</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此项指标已完成，存在偏差，偏差率为12.78%，偏差原因：优化了现有委托业务服务范围，取消了非核心环节，减低委托业务服务的总体费用，下一年度改进措施：在进行预算时多进行市场询价。</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此项指标已完成，存在偏差，偏差率为8.02%，偏差原因：主要用于工程机械租赁，工程效率提升，租赁工时减少，下一年度改进措施：精确核算工程量和工时，使预算更加精确。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&lt;=79.52万元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优化了单位内部人员的配置年减少对劳务人员的聘用，降低劳务费支出。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物业维护费（水、电、暖、物业管理费）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&lt;=112.98万元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通过更滑节能设备，优化空调与照明系统，降低了水、电、暖等能耗支出。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&lt;=318.27万元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=302.67万元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449.35万元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通过单位对内部流程的梳理，简化了工作流程，减少了差旅费、租赁费等方面的支出，导致其他运行费用减少。</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林带管护项目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绿化面积1700亩，服务验收合格率达到100%，服务时长为2025年10月31日前。通过该项目实施，减少林木的病虫害，维持植物资源多样性、生态环境恢复改善，保证林木管护服务片区群众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28.69万元，资金执行率95.63%，本项目实际完成绿化服务面积1707亩，绿化成活率达到99%，设施完好率达到95%。通过本项目的实施，有效减少了林木病虫害，维持植物资源多样性，使片区群众对林木管护服务工作满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绿化服务面积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&gt;=1700亩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=1707亩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100.41%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1707亩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2024年10月30日完成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委托第三方控制成本费用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绿化管网维修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此项指标已完成，存在偏差，偏差率为32.1%，偏差原因为：年初对于管道维修的预算设置不精准，下一年度改进措施：在设置预算金额前先进行询价，缩小预算与实际的差异。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减少林木病虫害，维持植物资源多样性。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林木管护服务片区群众满意度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此项指标已完成，存在偏差，偏差率为-11.11%，偏差原因为：年初指标设置过于保守，下一年度改进措施：在设置指标前，加强与片区工作人员的沟通，更加合理的进行设置。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水利信息化运行保障服务项目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实施信息化服务、维护及备品备件采购项目，对流域内各水库、水闸、渠道、河道、堤防、安保等信息化设备及设施进行改造升级和正常运行维护，对数字孪生平台及智慧水利等建设任务进行专业的委托设通过该项目的实施可实时掌握流域及工程情况，实现呼图壁河流域上游来水预警，水量精准计量，有效提升我单位信息化运维保障水平，保障各种监测数据和视频画面的在线率、稳定率、使用率等，全面推进呼图壁河流域管理处高质量发展，为水库、水闸提供安全运行和后期数字孪生呼图壁河流域提供基础保障。计划完成设施设备采购数不小于3个，设备验收合格率达到100%，政府采购率达到100%，在2025年11月30日前设备验收完成，委托业务费不超过20万元，其他费用不超过21.6万元，有效保障水利设施安全运行，使用人员满意度不低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目前2025年12月31日，本项目支出41.6万元，资金执行率99%，本项目实际完成监控点位安装10处，机柜搬迁2处，设备采购42种，大型设备3个；通过本项目的实施，加强了流域及工程的实时掌控能力，以及呼图壁河流域上游来水预警机制的时效落地，提升了单位信息化与运维保障水平和各类检测数据和视频画面的在线率、稳定率与使用率，促进了呼图壁河流域高质量发展的全面推进与流域信息化管理体系的完善优化。</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设施设备采购数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因市场波动，价格下调，导致出现偏差。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因市场波动，价格下调，导致出现偏差。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保障水利设施安全运行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指标目标值设置不合理，加强了与使用人员的沟通交流，并及时解决问题，建立了良好的沟通关系，并集中精力对产品及服务进行了优化升级，使人员满意度高出预期值。下一年改进措施：详细计划填报预算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水库、水闸标准化创建</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631.11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631.11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水闸隐患整改工程量2项，青年渠首泄洪冲砂闸平台维修工程量1项，青年渠首泄洪冲砂闸启闭机梁工程40.43万元，齐古水库消防工程0.45万元，水库水闸标准化工程516.96万元。完工项目验收合格率达到100%，通过该项目提升呼图壁河流域安全运行能力，使建设单位满意度到90%。通过该项目的实施全面提升呼图壁河流域内齐古水库、大海子水库、青年渠首水闸运行安全和效益持续发挥。</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557.84万元，完工项目验收合格率达到100%，本项目实际完成水闸隐患整改工程量2项，青年渠首泄洪冲砂闸平台维修工程量1项，通过该项目提升呼图壁河流域安全运行能力，使建设单位满意度到90%。通过该项目的实施全面提升呼图壁河流域内齐古水库、大海子水库、青年渠首水闸运行安全和效益持续发挥。</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水闸隐患整改工程量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青年渠首泄洪冲砂闸平台维修工程量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完工项目验收合格率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项目按计划完工时间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青年渠首泄洪冲砂闸启闭机梁隐患整治工程成本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齐古水库消防工程费用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水库水闸标准维修工程项目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&lt;=516.96万元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=516.96万元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提升呼图壁河流域安全运行能力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 - 11.00%，偏差原因为：年初设置满意度指标时，未与建设单位沟通对接，造成指标目标值设置不合理，实际完成情况与目标出现偏差。下一个年度改进措施：指标设置前提前与建设单位交流沟通，根据实际情况合理设定满意度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灌区、水库水闸标准化建设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昌吉回族自治州呼图壁河流域管理处</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新疆昌吉回族自治州呼图壁河流域管理处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748.97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748.97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青年干渠渠道改造工程改造长度达到2.0km，工程数量5个，完工项目验收合格率达到100%，青年干渠改造工程332.77万元，水库水闸标准化维修工程110.78万元，水文化馆建设项目43.11万元，值班室及大门改造建设，基层闸站亮化工程10.04万元。显著通过该项目的实施提升呼图壁河流域安全运行能力，使建设单位满意度到90%。全面提升呼图壁河流域内齐古水库、大海子水库、青年渠首水闸运行安全和效益持续发挥。</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496.7万元，完工项目验收合格率达到100%，实际完成青年干渠渠道改造工程改造长度2千米，完成工程数量5项，通过该项目提升呼图壁河流域安全运行能力，使建设单位满意度到90%。通过该项目的实施全面提升呼图壁河流域内齐古水库、大海子水库、青年渠首水闸、各基层闸站运行安全和效益持续发挥。</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青年干渠渠道改造工程改造长度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&gt;=2km</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=2.55km</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 - 27.50%，偏差原因为：年初设置指标时，实地考察结果有出入，造成指标目标值设置不合理，实际完成情况与目标出现偏差。下一个年度改进措施：指标设置前加强实地考察力度，结合实际情况科学合理设定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完成工程数量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完工项目验收合格率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项目按计划完工时间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青年干渠渠道改造工程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&lt;=332.77万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=332.77万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水库水闸标准化维修工程项目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&lt;=110.78万元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呼图壁河水文化观建设项目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值班室及大门改造建设、基层闸站亮化项目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提升呼图壁河流域安全运行能力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 - 11.00%，偏差原因为：年初设置满意度指标时，未与建设单位沟通对接，造成指标目标值设置不合理，实际完成情况与目标出现偏差。下一个年度改进措施：指标设置前加强与建设单位的沟通对接，结合实际情况科学合理设定满意度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本年本单位其他项目2个，全年预算数37.80万元，全年执行数37.80万元。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