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奇台县人民法院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昌吉州奇台县人民法院是国家审判机关，对奇台县人民代表大会及其常务委员会负责并报告工作，接受昌吉回族自治州中级人民法院对审判工作的监督和业务指导。主要职责是。</w:t>
      </w:r>
    </w:p>
    <w:p>
      <w:pPr>
        <w:spacing w:line="580" w:lineRule="exact"/>
        <w:ind w:firstLine="640"/>
        <w:jc w:val="both"/>
      </w:pPr>
      <w:r>
        <w:rPr>
          <w:rFonts w:ascii="仿宋_GB2312" w:hAnsi="仿宋_GB2312" w:eastAsia="仿宋_GB2312"/>
          <w:sz w:val="32"/>
        </w:rPr>
        <w:t>（1）依法审判法律规定由昌吉州奇台县人民法院管辖、上级人民法院指定管辖的刑事、民事、行政等一审案件。</w:t>
      </w:r>
    </w:p>
    <w:p>
      <w:pPr>
        <w:spacing w:line="580" w:lineRule="exact"/>
        <w:ind w:firstLine="640"/>
        <w:jc w:val="both"/>
      </w:pPr>
      <w:r>
        <w:rPr>
          <w:rFonts w:ascii="仿宋_GB2312" w:hAnsi="仿宋_GB2312" w:eastAsia="仿宋_GB2312"/>
          <w:sz w:val="32"/>
        </w:rPr>
        <w:t>（2）审理上级人民法院指令再审的案件。</w:t>
      </w:r>
    </w:p>
    <w:p>
      <w:pPr>
        <w:spacing w:line="580" w:lineRule="exact"/>
        <w:ind w:firstLine="640"/>
        <w:jc w:val="both"/>
      </w:pPr>
      <w:r>
        <w:rPr>
          <w:rFonts w:ascii="仿宋_GB2312" w:hAnsi="仿宋_GB2312" w:eastAsia="仿宋_GB2312"/>
          <w:sz w:val="32"/>
        </w:rPr>
        <w:t>（3）审理人民检察院按照审判监督程序对本院已经生效的一审判决、裁定提出抗诉，昌吉回族自治州中级人民法院指令再审的案件。</w:t>
      </w:r>
    </w:p>
    <w:p>
      <w:pPr>
        <w:spacing w:line="580" w:lineRule="exact"/>
        <w:ind w:firstLine="640"/>
        <w:jc w:val="both"/>
      </w:pPr>
      <w:r>
        <w:rPr>
          <w:rFonts w:ascii="仿宋_GB2312" w:hAnsi="仿宋_GB2312" w:eastAsia="仿宋_GB2312"/>
          <w:sz w:val="32"/>
        </w:rPr>
        <w:t>（4）依法行使司法执行权和司法决定权。</w:t>
      </w:r>
    </w:p>
    <w:p>
      <w:pPr>
        <w:spacing w:line="580" w:lineRule="exact"/>
        <w:ind w:firstLine="640"/>
        <w:jc w:val="both"/>
      </w:pPr>
      <w:r>
        <w:rPr>
          <w:rFonts w:ascii="仿宋_GB2312" w:hAnsi="仿宋_GB2312" w:eastAsia="仿宋_GB2312"/>
          <w:sz w:val="32"/>
        </w:rPr>
        <w:t>（5）对地方性法规、规章等草案提出意见，研究拟订昌吉州奇台县人民法院工作规章制度；针对案件审理中发现的为题提出司法建议。</w:t>
      </w:r>
    </w:p>
    <w:p>
      <w:pPr>
        <w:spacing w:line="580" w:lineRule="exact"/>
        <w:ind w:firstLine="640"/>
        <w:jc w:val="both"/>
      </w:pPr>
      <w:r>
        <w:rPr>
          <w:rFonts w:ascii="仿宋_GB2312" w:hAnsi="仿宋_GB2312" w:eastAsia="仿宋_GB2312"/>
          <w:sz w:val="32"/>
        </w:rPr>
        <w:t>（6）依法办理司法协助事项，办理外地法院的委托事项。</w:t>
      </w:r>
    </w:p>
    <w:p>
      <w:pPr>
        <w:spacing w:line="580" w:lineRule="exact"/>
        <w:ind w:firstLine="640"/>
        <w:jc w:val="both"/>
      </w:pPr>
      <w:r>
        <w:rPr>
          <w:rFonts w:ascii="仿宋_GB2312" w:hAnsi="仿宋_GB2312" w:eastAsia="仿宋_GB2312"/>
          <w:sz w:val="32"/>
        </w:rPr>
        <w:t>（7）在审判工作和司法活动中宣传法制，教育公民自觉遵守宪法、法律。</w:t>
      </w:r>
    </w:p>
    <w:p>
      <w:pPr>
        <w:spacing w:line="580" w:lineRule="exact"/>
        <w:ind w:firstLine="640"/>
        <w:jc w:val="both"/>
      </w:pPr>
      <w:r>
        <w:rPr>
          <w:rFonts w:ascii="仿宋_GB2312" w:hAnsi="仿宋_GB2312" w:eastAsia="仿宋_GB2312"/>
          <w:sz w:val="32"/>
        </w:rPr>
        <w:t>（8）承办其他应当由昌吉州奇台县人民法院负责的工作。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奇台县人民法院无下属预算单位。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2025年度收入总计3,178.91万元，</w:t>
      </w:r>
      <w:r>
        <w:rPr>
          <w:rFonts w:ascii="仿宋_GB2312" w:hAnsi="仿宋_GB2312" w:eastAsia="仿宋_GB2312"/>
          <w:b w:val="0"/>
          <w:sz w:val="32"/>
        </w:rPr>
        <w:t>其中：本年收入合计3,104.85万元，使用非财政拨款结余（含专用结余）0.00万元，年初结转和结余74.07万元。</w:t>
      </w:r>
    </w:p>
    <w:p>
      <w:pPr>
        <w:spacing w:line="580" w:lineRule="exact"/>
        <w:ind w:firstLine="640"/>
        <w:jc w:val="both"/>
      </w:pPr>
      <w:r>
        <w:rPr>
          <w:rFonts w:ascii="仿宋_GB2312" w:hAnsi="仿宋_GB2312" w:eastAsia="仿宋_GB2312"/>
          <w:b/>
          <w:sz w:val="32"/>
        </w:rPr>
        <w:t>2025年度支出总计3,178.91万元，</w:t>
      </w:r>
      <w:r>
        <w:rPr>
          <w:rFonts w:ascii="仿宋_GB2312" w:hAnsi="仿宋_GB2312" w:eastAsia="仿宋_GB2312"/>
          <w:b w:val="0"/>
          <w:sz w:val="32"/>
        </w:rPr>
        <w:t>其中：本年支出合计3,121.26万元，结余分配0.00万元，年末结转和结余57.66万元。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增加523.18万元，增长19.70%，主要原因是：本年中央政法纪检监察转移支付资金项目、日常公用经费保其他刚性支出里劳务费资金、机关运行补助项目较上年增加。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本年收入3,104.85万元，</w:t>
      </w:r>
      <w:r>
        <w:rPr>
          <w:rFonts w:ascii="仿宋_GB2312" w:hAnsi="仿宋_GB2312" w:eastAsia="仿宋_GB2312"/>
          <w:b w:val="0"/>
          <w:sz w:val="32"/>
        </w:rPr>
        <w:t>其中：财政拨款收入2,978.54万元，占95.93%；上级补助收入0.00万元，占0.00%；事业收入0.00万元，占0.00%；经营收入0.00万元，占0.00%；附属单位上缴收入0.00万元，占0.00%；其他收入126.31万元，占4.07%。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本年支出3,121.26万元，</w:t>
      </w:r>
      <w:r>
        <w:rPr>
          <w:rFonts w:ascii="仿宋_GB2312" w:hAnsi="仿宋_GB2312" w:eastAsia="仿宋_GB2312"/>
          <w:b w:val="0"/>
          <w:sz w:val="32"/>
        </w:rPr>
        <w:t>其中：基本支出2,471.34万元，占79.18%；项目支出649.91万元，占20.82%；上缴上级支出0.00万元，占0.00%；经营支出0.00万元，占0.00%；对附属单位补助支出0.00万元，占0.00%。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2025年度财政拨款收入总计2,978.54万元，</w:t>
      </w:r>
      <w:r>
        <w:rPr>
          <w:rFonts w:ascii="仿宋_GB2312" w:hAnsi="仿宋_GB2312" w:eastAsia="仿宋_GB2312"/>
          <w:b w:val="0"/>
          <w:sz w:val="32"/>
        </w:rPr>
        <w:t>其中：年初财政拨款结转和结余0.00万元，本年财政拨款收入2,978.54万元。</w:t>
      </w:r>
      <w:r>
        <w:rPr>
          <w:rFonts w:ascii="仿宋_GB2312" w:hAnsi="仿宋_GB2312" w:eastAsia="仿宋_GB2312"/>
          <w:b/>
          <w:sz w:val="32"/>
        </w:rPr>
        <w:t>财政拨款支出总计2,978.54万元，</w:t>
      </w:r>
      <w:r>
        <w:rPr>
          <w:rFonts w:ascii="仿宋_GB2312" w:hAnsi="仿宋_GB2312" w:eastAsia="仿宋_GB2312"/>
          <w:b w:val="0"/>
          <w:sz w:val="32"/>
        </w:rPr>
        <w:t>其中：年末财政拨款结转和结余0.00万元，本年财政拨款支出2,978.54万元。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增加442.99万元，增长17.47%，主要原因是：本年在职人员工资调资，相关人员经费增加，中央政法纪检监察转移支付资金项目、日常公用经费保其他刚性支出里劳务费资金较上年增加。</w:t>
      </w:r>
      <w:r>
        <w:rPr>
          <w:rFonts w:ascii="仿宋_GB2312" w:hAnsi="仿宋_GB2312" w:eastAsia="仿宋_GB2312"/>
          <w:b/>
          <w:sz w:val="32"/>
        </w:rPr>
        <w:t>与年初预算相比，</w:t>
      </w:r>
      <w:r>
        <w:rPr>
          <w:rFonts w:ascii="仿宋_GB2312" w:hAnsi="仿宋_GB2312" w:eastAsia="仿宋_GB2312"/>
          <w:b w:val="0"/>
          <w:sz w:val="32"/>
        </w:rPr>
        <w:t>年初预算数2,713.79万元，决算数2,978.54万元，预决算差异率9.76%，主要原因是：年中追加第二批中央政法纪检监察转移支付资金项目资金，导致预决算产生差异。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审判执行办案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按照支出功能分类，公共安全支出（类）法院（款）行政运行（项）的支出占本年财政拨款支出总额的比重最高，2025年度决算数为1,976.21万元，占比66.35%，主要用于人员工资福利、日常公用经费。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2025年度一般公共预算财政拨款支出2,978.54万元，</w:t>
      </w:r>
      <w:r>
        <w:rPr>
          <w:rFonts w:ascii="仿宋_GB2312" w:hAnsi="仿宋_GB2312" w:eastAsia="仿宋_GB2312"/>
          <w:b w:val="0"/>
          <w:sz w:val="32"/>
        </w:rPr>
        <w:t>占本年支出合计的95.43%。</w:t>
      </w:r>
      <w:r>
        <w:rPr>
          <w:rFonts w:ascii="仿宋_GB2312" w:hAnsi="仿宋_GB2312" w:eastAsia="仿宋_GB2312"/>
          <w:b/>
          <w:sz w:val="32"/>
        </w:rPr>
        <w:t>与上年相比，</w:t>
      </w:r>
      <w:r>
        <w:rPr>
          <w:rFonts w:ascii="仿宋_GB2312" w:hAnsi="仿宋_GB2312" w:eastAsia="仿宋_GB2312"/>
          <w:b w:val="0"/>
          <w:sz w:val="32"/>
        </w:rPr>
        <w:t>增加442.99万元，增长17.47%，主要原因是：本年中央政法纪检监察转移支付资金项目、日常公用经费保其他刚性支出里劳务费资金较上年增加。</w:t>
      </w:r>
      <w:r>
        <w:rPr>
          <w:rFonts w:ascii="仿宋_GB2312" w:hAnsi="仿宋_GB2312" w:eastAsia="仿宋_GB2312"/>
          <w:b/>
          <w:sz w:val="32"/>
        </w:rPr>
        <w:t>与年初预算相比，</w:t>
      </w:r>
      <w:r>
        <w:rPr>
          <w:rFonts w:ascii="仿宋_GB2312" w:hAnsi="仿宋_GB2312" w:eastAsia="仿宋_GB2312"/>
          <w:b w:val="0"/>
          <w:sz w:val="32"/>
        </w:rPr>
        <w:t>年初预算数2,713.79万元，决算数2,978.54万元，预决算差异率9.76%，主要原因是：年中追加2025年第二批中央政法纪检监察转移支付资金项目，导致预决算存在差异。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1.公共安全支出（类）2,473.41万元，占83.04%。</w:t>
      </w:r>
    </w:p>
    <w:p>
      <w:pPr>
        <w:spacing w:line="580" w:lineRule="exact"/>
        <w:ind w:firstLine="640"/>
        <w:jc w:val="both"/>
      </w:pPr>
      <w:r>
        <w:rPr>
          <w:rFonts w:ascii="仿宋_GB2312" w:hAnsi="仿宋_GB2312" w:eastAsia="仿宋_GB2312"/>
          <w:b w:val="0"/>
          <w:sz w:val="32"/>
        </w:rPr>
        <w:t>2.社会保障和就业支出（类）246.36万元，占8.27%。</w:t>
      </w:r>
    </w:p>
    <w:p>
      <w:pPr>
        <w:spacing w:line="580" w:lineRule="exact"/>
        <w:ind w:firstLine="640"/>
        <w:jc w:val="both"/>
      </w:pPr>
      <w:r>
        <w:rPr>
          <w:rFonts w:ascii="仿宋_GB2312" w:hAnsi="仿宋_GB2312" w:eastAsia="仿宋_GB2312"/>
          <w:b w:val="0"/>
          <w:sz w:val="32"/>
        </w:rPr>
        <w:t>3.卫生健康支出（类）121.35万元，占4.07%。</w:t>
      </w:r>
    </w:p>
    <w:p>
      <w:pPr>
        <w:spacing w:line="580" w:lineRule="exact"/>
        <w:ind w:firstLine="640"/>
        <w:jc w:val="both"/>
      </w:pPr>
      <w:r>
        <w:rPr>
          <w:rFonts w:ascii="仿宋_GB2312" w:hAnsi="仿宋_GB2312" w:eastAsia="仿宋_GB2312"/>
          <w:b w:val="0"/>
          <w:sz w:val="32"/>
        </w:rPr>
        <w:t>4.住房保障支出（类）127.42万元，占4.28%。</w:t>
      </w:r>
    </w:p>
    <w:p>
      <w:pPr>
        <w:spacing w:line="580" w:lineRule="exact"/>
        <w:ind w:firstLine="640"/>
        <w:jc w:val="both"/>
      </w:pPr>
      <w:r>
        <w:rPr>
          <w:rFonts w:ascii="仿宋_GB2312" w:hAnsi="仿宋_GB2312" w:eastAsia="仿宋_GB2312"/>
          <w:b w:val="0"/>
          <w:sz w:val="32"/>
        </w:rPr>
        <w:t>5.其他支出（类）10.00万元，占0.34%。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信访事务（款）信访业务（项）：支出决算数为0.00万元，比上年决算减少15.00万元，下降100.00%，主要原因是：本年减少化解信访业务司法救助金项目资金，导致相关经费较上年有所下降。</w:t>
      </w:r>
    </w:p>
    <w:p>
      <w:pPr>
        <w:spacing w:line="580" w:lineRule="exact"/>
        <w:ind w:firstLine="640"/>
        <w:jc w:val="both"/>
      </w:pPr>
      <w:r>
        <w:rPr>
          <w:rFonts w:ascii="仿宋_GB2312" w:hAnsi="仿宋_GB2312" w:eastAsia="仿宋_GB2312"/>
          <w:b w:val="0"/>
          <w:sz w:val="32"/>
        </w:rPr>
        <w:t>2.公共安全支出（类）法院（款）行政运行（项）：支出决算数为1,976.21万元，比上年决算增加324.90万元，增长19.68%，主要原因是：本年在职人员工资调增，导致相关人员经费较上年有所增加，单独保障日常公用经费保其他刚性支出里劳务费资金，导致行政运行经费较上年有所增加。</w:t>
      </w:r>
    </w:p>
    <w:p>
      <w:pPr>
        <w:spacing w:line="580" w:lineRule="exact"/>
        <w:ind w:firstLine="640"/>
        <w:jc w:val="both"/>
      </w:pPr>
      <w:r>
        <w:rPr>
          <w:rFonts w:ascii="仿宋_GB2312" w:hAnsi="仿宋_GB2312" w:eastAsia="仿宋_GB2312"/>
          <w:b w:val="0"/>
          <w:sz w:val="32"/>
        </w:rPr>
        <w:t>3.公共安全支出（类）法院（款）“两庭”建设（项）：支出决算数为0.00万元，比上年决算减少32.22万元，下降100.00%，主要原因是：本年减少老奇台法庭维修项目资金，导致相关经费较上年有所下降。</w:t>
      </w:r>
    </w:p>
    <w:p>
      <w:pPr>
        <w:spacing w:line="580" w:lineRule="exact"/>
        <w:ind w:firstLine="640"/>
        <w:jc w:val="both"/>
      </w:pPr>
      <w:r>
        <w:rPr>
          <w:rFonts w:ascii="仿宋_GB2312" w:hAnsi="仿宋_GB2312" w:eastAsia="仿宋_GB2312"/>
          <w:b w:val="0"/>
          <w:sz w:val="32"/>
        </w:rPr>
        <w:t>4.公共安全支出（类）法院（款）其他法院支出（项）：支出决算数为467.19万元，比上年决算增加66.76万元，增长16.67%，主要原因是：本年2025年中央转移支付资金项目资金增加，导致其他法院支出经费较上年有所增加。</w:t>
      </w:r>
    </w:p>
    <w:p>
      <w:pPr>
        <w:spacing w:line="580" w:lineRule="exact"/>
        <w:ind w:firstLine="640"/>
        <w:jc w:val="both"/>
      </w:pPr>
      <w:r>
        <w:rPr>
          <w:rFonts w:ascii="仿宋_GB2312" w:hAnsi="仿宋_GB2312" w:eastAsia="仿宋_GB2312"/>
          <w:b w:val="0"/>
          <w:sz w:val="32"/>
        </w:rPr>
        <w:t>5.公共安全支出（类）其他公共安全支出（款）其他公共安全支出（项）：支出决算数为30.00万元，比上年决算增加30.00万元，增长100.00%，主要原因是：本年2025年中央转移支付资金项目生活补助资金增加，导致其他公共安全支出经费较上年有所增加。</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6.社会保障和就业支出（类）行政事业单位养老支出（款）行政单位离退休（项）：支出决算数为27.65万元，比上年决算增加7.13万元，增长34.75%，主要原因是：本年增加退休人员基础绩效奖，退休费支出增加。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145.94万元，比上年决算增加8.61万元，增长6.27%，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72.76万元，比上年决算增加3.30万元，增长4.75%，主要原因是：本年新增退休人员，职业年金缴费支出增加。</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9.卫生健康支出（类）行政事业单位医疗（款）行政单位医疗（项）：支出决算数为94.48万元，比上年决算增加28.03万元，增长42.18%，主要原因是：本年在职人员工资基数调增，医疗缴费基数上涨，相应支出增加。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25.96万元，比上年决算增加21.73万元，增长513.71%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0.91万元，比上年决算增加0.42万元，增长85.71%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12.住房保障支出（类）住房改革支出（款）住房公积金（项）：支出决算数为127.42万元，比上年决算增加6.30万元，增长5.20%，主要原因是：本年在职人员工资基数调增，公积金缴费基数上涨，相应支出增加。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13.其他支出（类）其他支出（款）其他支出（项）：支出决算数为10.00万元，比上年决算减少7.00万元，下降41.18%，主要原因是：本年减少结转为民办实事驻村工作经费项目，导致相关经费较上年有所下降。</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2025年度一般公共预算财政拨款基本支出2,471.34万元，其中：</w:t>
      </w:r>
      <w:r>
        <w:rPr>
          <w:rFonts w:ascii="仿宋_GB2312" w:hAnsi="仿宋_GB2312" w:eastAsia="仿宋_GB2312"/>
          <w:b/>
          <w:sz w:val="32"/>
        </w:rPr>
        <w:t>人员经费2,135.61万元，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公用经费335.73万元，</w:t>
      </w:r>
      <w:r>
        <w:rPr>
          <w:rFonts w:ascii="仿宋_GB2312" w:hAnsi="仿宋_GB2312" w:eastAsia="仿宋_GB2312"/>
          <w:b w:val="0"/>
          <w:sz w:val="32"/>
        </w:rPr>
        <w:t>包括：办公费、印刷费、水费、电费、取暖费、物业管理费、差旅费、维修（护）费、培训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2025年度财政拨款“三公”经费支出13.60万元，</w:t>
      </w:r>
      <w:r>
        <w:rPr>
          <w:rFonts w:ascii="仿宋_GB2312" w:hAnsi="仿宋_GB2312" w:eastAsia="仿宋_GB2312"/>
          <w:b w:val="0"/>
          <w:sz w:val="32"/>
        </w:rPr>
        <w:t>比上年增加8.00万元，增长142.86%，主要原因是：本单位因业务需求，用车次数增加，燃油费增加，同时公务用车日渐老化，维修维护成本增加，导致公务用车运行维护费较上年增加。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13.30万元，占97.79%，比上年增加8.00万元，增长150.94%，主要原因是：本单位因业务需求，用车次数增加，燃油费增加，同时公务用车日渐老化，维修维护成本增加，导致公务用车运行维护费较上年增加。</w:t>
      </w:r>
      <w:r>
        <w:rPr>
          <w:rFonts w:ascii="仿宋_GB2312" w:hAnsi="仿宋_GB2312" w:eastAsia="仿宋_GB2312"/>
          <w:b w:val="0"/>
          <w:sz w:val="32"/>
        </w:rPr>
        <w:t>公务接待费支出0.30万元，占2.21%，比上年增加0.00万元，增长0.00%，主要原因是：本单位公务接待费与上年一致无变化。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13.30万元，其中：公务用车购置费0.00万元，公务用车运行维护费13.30万元。公务用车运行维护费开支内容包括车辆加油费、维修费、保险费、审车费、过路费等。公务用车购置数0辆，公务用车保有量15辆。国有资产占用情况中固定资产车辆15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公务接待费0.30万元，开支内容包括因接待上级领导检查产生的就餐费。单位全年安排的国内公务接待3批次，30人次。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13.60万元，决算数13.60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13.30万元，决算数13.30万元，预决算差异率0.00%，主要原因是：严格按照预算执行，预决算无差异。公务接待费全年预算数0.30万元，决算数0.30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2025年度奇台县人民法院（行政单位和参照公务员法管理事业单位）机关运行经费支出335.73万元，比上年增加152.78万元，增长83.51%，主要原因是：本年业务量增加，办公费、劳务费等公用经费增加。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2025年度政府采购支出总额58.59万元，其中：政府采购货物支出36.88万元、政府采购工程支出3.87万元、政府采购服务支出17.84万元。</w:t>
      </w:r>
    </w:p>
    <w:p>
      <w:pPr>
        <w:spacing w:line="580" w:lineRule="exact"/>
        <w:ind w:firstLine="640"/>
        <w:jc w:val="both"/>
      </w:pPr>
      <w:r>
        <w:rPr>
          <w:rFonts w:ascii="仿宋_GB2312" w:hAnsi="仿宋_GB2312" w:eastAsia="仿宋_GB2312"/>
          <w:b w:val="0"/>
          <w:sz w:val="32"/>
        </w:rPr>
        <w:t>授予中小企业合同金额8.25万元，占政府采购支出总额的14.08%，其中：授予小微企业合同金额5.11万元，占政府采购支出总额的8.72%。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6,100.00平方米，价值1,473.59万元。车辆15辆，价值253.41万元，其中：副部（省）级及以上领导用车0辆、主要负责人用车0辆、机要通信用车0辆、应急保障用车0辆、执法执勤用车12辆、特种专业技术用车2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3,178.91万元，实际执行总额3,121.25万元；预算绩效评价项目2个，全年预算数109.67万元，全年执行数109.67万元。预算绩效管理取得的成效：一是学合理编制预算，要做好编制前的调查研究和分析工作，进一步提高预算的准确性和科学性，减少预算编制的随意性。在对预算年度的经济状况进行全面科学分析的基础上，按照“量入为出、收支平衡、统筹兼顾，确保重点”的原则，合理安排预算收支，将预算资金尽量落实到具体项目，争取做到每个支出项目都能在预算中有所反映，使预算充分反映以政府为主体的资金收支活动全貌，保证预算的可执行性；二是加强单位内部机构的预算管理意识，严格按照预算编制的相关制度和要求进行预算编制，加强单位财务管理，健全单位财务管理制度体系，规范单位财务行为。发现的问题及原因：一是经办人员对绩效监控了解不够、掌握不多，业务不熟悉，缺乏绩效综合知识专业人员，导致该项工作总体质量不高，未能充分发挥绩效管理的导向作用，工作质量有待提高；二是业务与绩效监控相脱节，主要是对绩效监控认识不到位，没有考虑到绩效监控对业务工作的关键作用，需要各业务科室精确本年绩效目标，合理支出预算资金。下一步改进措施：一是大力强化宣传，加强绩效管理政策学习，提高思想认识，提高绩效监控认同感，从实际入手，进行深刻剖析，分析实施绩效监控的重要性和意义，激发各业务科室对实施绩效管理的积极性，根据各科室的工作要点职能分工，把绩效工作细化，与考核任务挂钩，以提升单位人员对绩效工作的重视程度，提高管理工作的参与率，提升各部门间的协同性；二是加强绩效管理工作培训，请专业人员培训绩效业务，不断提高业务水平，完善机构设置，有专人负责此项工作，做实绩效管理工作。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奇台县人民法院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507.19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507.19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2,242.53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2,471.34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2,471.34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2,823.46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3,178.91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3,121.25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院根据全区法院工作会议要求，积极贯彻落实昌吉州中院提出的《关于进一步推进两级法院案件繁简分流工作办法》工作要求，坚持优化司法资源配置、提高审判质效为目标，深入推进全领域、全流程、全覆盖的繁简分流改革，我院创新“四分三步”全域繁简分流工作，推进案件轻重分离、快慢分道，实现简案快办、普案快审、繁案精审、类案专审目标，有效提升质量、效率和公信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3178.91万元，全年执行数为3121.25万元，总预算执行率为98.19%。2025年我单位完成以下工作内容：本年审限期内结案率99.41%，案件结收比103%，上诉率6.94%，执行到位率36.02%，执行完毕率28.09%。按照法定规定时间审理指定管辖的刑事、民事、行政等一审案件以及法院执行工作、审判工作时效指标；达到审结案件数量与受理案件数量良性发展态势的预期目标，通过以上工作的实施，维护了社会公平和正义的社会效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审限期内结案率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全区法院审判执行质效考核评价体系（基层法院）</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案件结收比</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全区法院审判执行质效考核评价体系（基层法院）</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执行到位率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全区法院审判执行质效考核评价体系（基层法院）</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执行完毕率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全区法院审判执行质效考核评价体系（基层法院）</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上诉率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全区法院审判执行质效考核评价体系（基层法院）</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数字化审委会设备购置项目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奇台县人民法院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审判委员会议提供从会前准备、会议研讨、会后归档全流程的科技支撑，结合大数据分析、人工智能、知识图谱等技术，形成全流程智能化、无纸化的审委会新模式，全面实现审委会工作的智能化、规范化、高效化、标准化，采购室内LED屏1台，无纸化办公设备20台，设备验收合格率达到100%，设备在10月30日之前采购完成，设备购置总成本69.67万元，使用人员满意度达到95%以上，提高工作效率进而维护社会公平正义。</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69.67万元，资金执行率100%，本项目实际完成采购LED屏1台，采购无纸化办公设备21台；通过本项目的实施，提高审判委员会议效率及议事议案质量，促进了我院审判体系和审判能力现代化工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采购LED屏数量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采购无纸化办公设备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此项指标已完成，存在偏差，偏差率为5%，偏差原因为： 我院设定该指标时秉持审慎原则，充分结合审委会日常无纸化办公需求、设备配置标准等因素，设定20台的合理目标，重点保障设备足额配备、满足基本办公需求，未充分预估数字化办公推进过程中新增的使用需求及设备配置优化需要，故实际采购数量高于目标值；下一年度改进措施：总结本次设备采购实施经验，梳理采购流程、需求测算等有效举措，结合审委会数字化办公实际需求，科学测算设备配备数量，合理上调采购目标，进一步规范设备采购流程，提升数字化办公保障水平，助力审委会高效有序开展工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10月30日之前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12月31日之前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室内LED屏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国产无纸化办公系统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控制设备及配套设备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3.62%，偏差原因为：满意度指标设置不合理，没有充分考虑全年各庭室实际使用设备的频率；下一年度改进措施：科学合理编制预算，提高绩效目标编制的质量，要做好预算编制前的工作，进一步提高预算的准确性和科学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奇台县人民法院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了保障法院工作顺利开展，依法审判指定管辖的刑事、民事、行政等一审案件，提高办案水平，进一步加强人文关怀，将关心关爱干警身心健康的各项举措落到实处，保障干警人员数量达到22人，保障办公人员费用不超过14万元，对办公大楼及各派出法庭维修保障不超过6万元，零星维修数量至少5次，购置设备数量达到7台，成本不超过4万元，其他运行费用16万元，进而保障各项工作顺利开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40万元，资金执行率100%，本项目实际完成零星维修4次，购置设备数量10台，保障干警数量22人。通过本项目的实施，改善了办案基础设施和办案条件，使干警更好地开展好业务工作，有效保障我单位业务活动正常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零星维修数量次数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偏差原因为：我单位由于年初指标设置不精确，截至8月31日我单位实际完成零星维修2次，零星维修已基本完成，故产生偏差；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142.86%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42.86%，偏差原因为：预算指标设置不合理，没有充分考虑全年各庭室实际需要的设备数量；下一年度改进措施：科学合理编制预算，提高绩效目标编制的质量，要做好预算编制前的工作，进一步提高预算的准确性和科学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维修项目费用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保障办公人员劳务费用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购置设备费用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13.28084万元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本年本单位其他项目3个，全年预算数542.26万元，全年执行数542.26万元。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