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木垒哈萨克自治县人民法院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木垒哈萨克自治县人民法院（以下简称：木垒县人民法院）是国家的审判机关，对自治县人民代表大会及其常务委员会负责并报告工作。接受上级人民法院对审判工作的监督和业务指导，其主要职责是。</w:t>
      </w:r>
    </w:p>
    <w:p>
      <w:pPr>
        <w:spacing w:line="580" w:lineRule="exact"/>
        <w:ind w:firstLine="640"/>
        <w:jc w:val="both"/>
      </w:pPr>
      <w:r>
        <w:rPr>
          <w:rFonts w:ascii="仿宋_GB2312" w:hAnsi="仿宋_GB2312" w:eastAsia="仿宋_GB2312"/>
          <w:sz w:val="32"/>
        </w:rPr>
        <w:t>1、依法审判法律规定由本院管辖、州中级人民法院指定管辖或者认为应当由自己管辖的刑事、民事、行政等第一审案件。</w:t>
      </w:r>
    </w:p>
    <w:p>
      <w:pPr>
        <w:spacing w:line="580" w:lineRule="exact"/>
        <w:ind w:firstLine="640"/>
        <w:jc w:val="both"/>
      </w:pPr>
      <w:r>
        <w:rPr>
          <w:rFonts w:ascii="仿宋_GB2312" w:hAnsi="仿宋_GB2312" w:eastAsia="仿宋_GB2312"/>
          <w:sz w:val="32"/>
        </w:rPr>
        <w:t>2、审理上级人民法院指令再审的各类案件；受理不服本院判决的各类申诉和再审申请的案件。</w:t>
      </w:r>
    </w:p>
    <w:p>
      <w:pPr>
        <w:spacing w:line="580" w:lineRule="exact"/>
        <w:ind w:firstLine="640"/>
        <w:jc w:val="both"/>
      </w:pPr>
      <w:r>
        <w:rPr>
          <w:rFonts w:ascii="仿宋_GB2312" w:hAnsi="仿宋_GB2312" w:eastAsia="仿宋_GB2312"/>
          <w:sz w:val="32"/>
        </w:rPr>
        <w:t>3、依法审判由检察院按照审判监督程序提出的抗诉案件。</w:t>
      </w:r>
    </w:p>
    <w:p>
      <w:pPr>
        <w:spacing w:line="580" w:lineRule="exact"/>
        <w:ind w:firstLine="640"/>
        <w:jc w:val="both"/>
      </w:pPr>
      <w:r>
        <w:rPr>
          <w:rFonts w:ascii="仿宋_GB2312" w:hAnsi="仿宋_GB2312" w:eastAsia="仿宋_GB2312"/>
          <w:sz w:val="32"/>
        </w:rPr>
        <w:t>4、对地方性法规、规章等草案提出意见，研究拟定本院工作规章制度；针对案件审理中发现的问题提出司法建议。</w:t>
      </w:r>
    </w:p>
    <w:p>
      <w:pPr>
        <w:spacing w:line="580" w:lineRule="exact"/>
        <w:ind w:firstLine="640"/>
        <w:jc w:val="both"/>
      </w:pPr>
      <w:r>
        <w:rPr>
          <w:rFonts w:ascii="仿宋_GB2312" w:hAnsi="仿宋_GB2312" w:eastAsia="仿宋_GB2312"/>
          <w:sz w:val="32"/>
        </w:rPr>
        <w:t>5、依法办理外地法院的委托事项，负责本院档案管理工作。</w:t>
      </w:r>
    </w:p>
    <w:p>
      <w:pPr>
        <w:spacing w:line="580" w:lineRule="exact"/>
        <w:ind w:firstLine="640"/>
        <w:jc w:val="both"/>
      </w:pPr>
      <w:r>
        <w:rPr>
          <w:rFonts w:ascii="仿宋_GB2312" w:hAnsi="仿宋_GB2312" w:eastAsia="仿宋_GB2312"/>
          <w:sz w:val="32"/>
        </w:rPr>
        <w:t>6、对本院的法官和其他工作人员进行思想政治教育、组织专业培训；协助县委做好本院领导干部的培养、选拔、管理工作；按照权限管理法官和其他工作人员；协助县政府机构编制木垒县人民法院管理本院的机构设置及人员编制工作。</w:t>
      </w:r>
    </w:p>
    <w:p>
      <w:pPr>
        <w:spacing w:line="580" w:lineRule="exact"/>
        <w:ind w:firstLine="640"/>
        <w:jc w:val="both"/>
      </w:pPr>
      <w:r>
        <w:rPr>
          <w:rFonts w:ascii="仿宋_GB2312" w:hAnsi="仿宋_GB2312" w:eastAsia="仿宋_GB2312"/>
          <w:sz w:val="32"/>
        </w:rPr>
        <w:t>7、做好本院的监察工作。</w:t>
      </w:r>
    </w:p>
    <w:p>
      <w:pPr>
        <w:spacing w:line="580" w:lineRule="exact"/>
        <w:ind w:firstLine="640"/>
        <w:jc w:val="both"/>
      </w:pPr>
      <w:r>
        <w:rPr>
          <w:rFonts w:ascii="仿宋_GB2312" w:hAnsi="仿宋_GB2312" w:eastAsia="仿宋_GB2312"/>
          <w:sz w:val="32"/>
        </w:rPr>
        <w:t>8、在审判工作中宣传法制、教育公民自觉遵守宪法律。</w:t>
      </w:r>
    </w:p>
    <w:p>
      <w:pPr>
        <w:spacing w:line="580" w:lineRule="exact"/>
        <w:ind w:firstLine="640"/>
        <w:jc w:val="both"/>
      </w:pPr>
      <w:r>
        <w:rPr>
          <w:rFonts w:ascii="仿宋_GB2312" w:hAnsi="仿宋_GB2312" w:eastAsia="仿宋_GB2312"/>
          <w:sz w:val="32"/>
        </w:rPr>
        <w:t>9、管理本院的有关经费和物资装备。</w:t>
      </w:r>
    </w:p>
    <w:p>
      <w:pPr>
        <w:spacing w:line="580" w:lineRule="exact"/>
        <w:ind w:firstLine="640"/>
        <w:jc w:val="both"/>
      </w:pPr>
      <w:r>
        <w:rPr>
          <w:rFonts w:ascii="仿宋_GB2312" w:hAnsi="仿宋_GB2312" w:eastAsia="仿宋_GB2312"/>
          <w:sz w:val="32"/>
        </w:rPr>
        <w:t>10、承办其他应由本院负责的工作。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木垒哈萨克自治县人民法院无下属预算单位。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2025年度收入总计2,158.30万元，</w:t>
      </w:r>
      <w:r>
        <w:rPr>
          <w:rFonts w:ascii="仿宋_GB2312" w:hAnsi="仿宋_GB2312" w:eastAsia="仿宋_GB2312"/>
          <w:b w:val="0"/>
          <w:sz w:val="32"/>
        </w:rPr>
        <w:t>其中：本年收入合计2,158.30万元，使用非财政拨款结余（含专用结余）0.00万元，年初结转和结余0.00万元。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2025年度支出总计2,158.30万元，</w:t>
      </w:r>
      <w:r>
        <w:rPr>
          <w:rFonts w:ascii="仿宋_GB2312" w:hAnsi="仿宋_GB2312" w:eastAsia="仿宋_GB2312"/>
          <w:b w:val="0"/>
          <w:sz w:val="32"/>
        </w:rPr>
        <w:t>其中：本年支出合计2,158.30万元，结余分配0.00万元，年末结转和结余0.00万元。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增加180.44万元，增长9.12%，主要原因是：在职人员工资调增、社保、公积金基数调增，人员经费增加。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本年收入2,158.30万元，</w:t>
      </w:r>
      <w:r>
        <w:rPr>
          <w:rFonts w:ascii="仿宋_GB2312" w:hAnsi="仿宋_GB2312" w:eastAsia="仿宋_GB2312"/>
          <w:b w:val="0"/>
          <w:sz w:val="32"/>
        </w:rPr>
        <w:t>其中：财政拨款收入2,132.15万元，占98.79%；上级补助收入0.00万元，占0.00%；事业收入0.00万元，占0.00%；经营收入0.00万元，占0.00%；附属单位上缴收入0.00万元，占0.00%；其他收入26.15万元，占1.21%。</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本年支出2,158.30万元，</w:t>
      </w:r>
      <w:r>
        <w:rPr>
          <w:rFonts w:ascii="仿宋_GB2312" w:hAnsi="仿宋_GB2312" w:eastAsia="仿宋_GB2312"/>
          <w:b w:val="0"/>
          <w:sz w:val="32"/>
        </w:rPr>
        <w:t>其中：基本支出1,795.57万元，占83.19%；项目支出362.73万元，占16.81%；上缴上级支出0.00万元，占0.00%；经营支出0.00万元，占0.00%；对附属单位补助支出0.00万元，占0.00%。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2025年度财政拨款收入总计2,132.15万元，</w:t>
      </w:r>
      <w:r>
        <w:rPr>
          <w:rFonts w:ascii="仿宋_GB2312" w:hAnsi="仿宋_GB2312" w:eastAsia="仿宋_GB2312"/>
          <w:b w:val="0"/>
          <w:sz w:val="32"/>
        </w:rPr>
        <w:t>其中：年初财政拨款结转和结余0.00万元，本年财政拨款收入2,132.15万元。</w:t>
      </w:r>
      <w:r>
        <w:rPr>
          <w:rFonts w:ascii="仿宋_GB2312" w:hAnsi="仿宋_GB2312" w:eastAsia="仿宋_GB2312"/>
          <w:b/>
          <w:sz w:val="32"/>
        </w:rPr>
        <w:t>财政拨款支出总计2,132.15万元，</w:t>
      </w:r>
      <w:r>
        <w:rPr>
          <w:rFonts w:ascii="仿宋_GB2312" w:hAnsi="仿宋_GB2312" w:eastAsia="仿宋_GB2312"/>
          <w:b w:val="0"/>
          <w:sz w:val="32"/>
        </w:rPr>
        <w:t>其中：年末财政拨款结转和结余0.00万元，本年财政拨款支出2,132.15万元。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增加174.29万元，增长8.90%，主要原因是：本年在职人员工资调增，社保、公积金基数调增，人员经费增加。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年初预算数1,995.17万元，决算数2,132.15万元，预决算差异率6.87%，主要原因是：年中追加第二批中央纪检监察转移支付资金，导致预决算存在差异。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中央纪检监察转移支付资金项目经费，压缩机关运行经费中三公经费支出等重点支出，体现在有关支出科目中。</w:t>
      </w:r>
    </w:p>
    <w:p>
      <w:pPr>
        <w:spacing w:line="580" w:lineRule="exact"/>
        <w:ind w:firstLine="640"/>
        <w:jc w:val="both"/>
      </w:pPr>
      <w:r>
        <w:rPr>
          <w:rFonts w:ascii="仿宋_GB2312" w:hAnsi="仿宋_GB2312" w:eastAsia="仿宋_GB2312"/>
          <w:b w:val="0"/>
          <w:sz w:val="32"/>
        </w:rPr>
        <w:t>按照支出功能分类，公共安全支出（类）法院（款）行政运行（项）的支出占本年财政拨款支出总额的比重最高，2025年度决算数为1,428.04万元，占比66.98%，主要用于人员工资福利支出、公用经费支出。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2025年度一般公共预算财政拨款支出2,132.15万元，</w:t>
      </w:r>
      <w:r>
        <w:rPr>
          <w:rFonts w:ascii="仿宋_GB2312" w:hAnsi="仿宋_GB2312" w:eastAsia="仿宋_GB2312"/>
          <w:b w:val="0"/>
          <w:sz w:val="32"/>
        </w:rPr>
        <w:t>占本年支出合计的98.79%。</w:t>
      </w:r>
      <w:r>
        <w:rPr>
          <w:rFonts w:ascii="仿宋_GB2312" w:hAnsi="仿宋_GB2312" w:eastAsia="仿宋_GB2312"/>
          <w:b/>
          <w:sz w:val="32"/>
        </w:rPr>
        <w:t>与上年相比，</w:t>
      </w:r>
      <w:r>
        <w:rPr>
          <w:rFonts w:ascii="仿宋_GB2312" w:hAnsi="仿宋_GB2312" w:eastAsia="仿宋_GB2312"/>
          <w:b w:val="0"/>
          <w:sz w:val="32"/>
        </w:rPr>
        <w:t>增加174.29万元，增长8.90%，主要原因是：本年在职人员工资调增，社保、公积金基数调增，人员经费增加。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年初预算数1,995.17万元，决算数2,132.15万元，预决算差异率6.87%，主要原因是：年中追加第二批中央纪检监察转移支付资金，导致预决算存在差异。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1.公共安全支出（类）1,759.62万元，占82.53%。</w:t>
      </w:r>
    </w:p>
    <w:p>
      <w:pPr>
        <w:spacing w:line="580" w:lineRule="exact"/>
        <w:ind w:firstLine="640"/>
        <w:jc w:val="both"/>
      </w:pPr>
      <w:r>
        <w:rPr>
          <w:rFonts w:ascii="仿宋_GB2312" w:hAnsi="仿宋_GB2312" w:eastAsia="仿宋_GB2312"/>
          <w:b w:val="0"/>
          <w:sz w:val="32"/>
        </w:rPr>
        <w:t>2.社会保障和就业支出（类）189.28万元，占8.88%。</w:t>
      </w:r>
    </w:p>
    <w:p>
      <w:pPr>
        <w:spacing w:line="580" w:lineRule="exact"/>
        <w:ind w:firstLine="640"/>
        <w:jc w:val="both"/>
      </w:pPr>
      <w:r>
        <w:rPr>
          <w:rFonts w:ascii="仿宋_GB2312" w:hAnsi="仿宋_GB2312" w:eastAsia="仿宋_GB2312"/>
          <w:b w:val="0"/>
          <w:sz w:val="32"/>
        </w:rPr>
        <w:t>3.卫生健康支出（类）86.79万元，占4.07%。</w:t>
      </w:r>
    </w:p>
    <w:p>
      <w:pPr>
        <w:spacing w:line="580" w:lineRule="exact"/>
        <w:ind w:firstLine="640"/>
        <w:jc w:val="both"/>
      </w:pPr>
      <w:r>
        <w:rPr>
          <w:rFonts w:ascii="仿宋_GB2312" w:hAnsi="仿宋_GB2312" w:eastAsia="仿宋_GB2312"/>
          <w:b w:val="0"/>
          <w:sz w:val="32"/>
        </w:rPr>
        <w:t>4.住房保障支出（类）91.47万元，占4.29%。</w:t>
      </w:r>
    </w:p>
    <w:p>
      <w:pPr>
        <w:spacing w:line="580" w:lineRule="exact"/>
        <w:ind w:firstLine="640"/>
        <w:jc w:val="both"/>
      </w:pPr>
      <w:r>
        <w:rPr>
          <w:rFonts w:ascii="仿宋_GB2312" w:hAnsi="仿宋_GB2312" w:eastAsia="仿宋_GB2312"/>
          <w:b w:val="0"/>
          <w:sz w:val="32"/>
        </w:rPr>
        <w:t>5.其他支出（类）5.00万元，占0.23%。</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公共安全支出（类）法院（款）行政运行（项）：支出决算数为1,428.04万元，比上年决算增加207.96万元，增长17.04%，主要原因是：本年在职人员工资调增，导致相关人员经费较上年有所增加。本年新增死亡人员，死亡抚恤金支出增加。</w:t>
      </w:r>
    </w:p>
    <w:p>
      <w:pPr>
        <w:spacing w:line="580" w:lineRule="exact"/>
        <w:ind w:firstLine="640"/>
        <w:jc w:val="both"/>
      </w:pPr>
      <w:r>
        <w:rPr>
          <w:rFonts w:ascii="仿宋_GB2312" w:hAnsi="仿宋_GB2312" w:eastAsia="仿宋_GB2312"/>
          <w:b w:val="0"/>
          <w:sz w:val="32"/>
        </w:rPr>
        <w:t>2.公共安全支出（类）法院（款）其他法院支出（项）：支出决算数为329.58万元，比上年决算减少86.68万元，下降20.82%，主要原因是：本年中央纪检监察转移支付资金较上年减少。</w:t>
      </w:r>
    </w:p>
    <w:p>
      <w:pPr>
        <w:spacing w:line="580" w:lineRule="exact"/>
        <w:ind w:firstLine="640"/>
        <w:jc w:val="both"/>
      </w:pPr>
      <w:r>
        <w:rPr>
          <w:rFonts w:ascii="仿宋_GB2312" w:hAnsi="仿宋_GB2312" w:eastAsia="仿宋_GB2312"/>
          <w:b w:val="0"/>
          <w:sz w:val="32"/>
        </w:rPr>
        <w:t>3.公共安全支出（类）其他公共安全支出（款）其他公共安全支出（项）：支出决算数为2.00万元，比上年决算增加2.00万元，增长100.00%，主要原因是：本年度司法救助款资金较上年增加。</w:t>
      </w:r>
    </w:p>
    <w:p>
      <w:pPr>
        <w:spacing w:line="580" w:lineRule="exact"/>
        <w:ind w:firstLine="640"/>
        <w:jc w:val="both"/>
      </w:pPr>
      <w:r>
        <w:rPr>
          <w:rFonts w:ascii="仿宋_GB2312" w:hAnsi="仿宋_GB2312" w:eastAsia="仿宋_GB2312"/>
          <w:b w:val="0"/>
          <w:sz w:val="32"/>
        </w:rPr>
        <w:t>4.社会保障和就业支出（类）行政事业单位养老支出（款）行政单位离退休（项）：支出决算数为26.41万元，比上年决算增加7.35万元，增长38.56%，主要原因是：本年退休人员增加，退休费支出增加。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106.34万元，比上年决算增加2.90万元，增长2.80%，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56.53万元，比上年决算增加4.81万元，增长9.30%，主要原因是：本年新增退休人员，职业年金缴费支出增加。</w:t>
      </w:r>
    </w:p>
    <w:p>
      <w:pPr>
        <w:spacing w:line="580" w:lineRule="exact"/>
        <w:ind w:firstLine="640"/>
        <w:jc w:val="both"/>
      </w:pPr>
      <w:r>
        <w:rPr>
          <w:rFonts w:ascii="仿宋_GB2312" w:hAnsi="仿宋_GB2312" w:eastAsia="仿宋_GB2312"/>
          <w:b w:val="0"/>
          <w:sz w:val="32"/>
        </w:rPr>
        <w:t>7.卫生健康支出（类）行政事业单位医疗（款）行政单位医疗（项）：支出决算数为65.80万元，比上年决算增加13.78万元，增长26.49%，主要原因是：本年在职人员工资基数调增，医疗缴费基数上涨，相应支出增加。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公务员医疗补助（项）：支出决算数为20.33万元，比上年决算增加17.27万元，增长564.38%，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卫生健康支出（类）行政事业单位医疗（款）其他行政事业单位医疗支出（项）：支出决算数为0.66万元，比上年决算增加0.17万元，增长34.69%，主要原因是：本年在职人员工资基数调增，大病医疗保险基数上涨，相应支出增加。</w:t>
      </w:r>
    </w:p>
    <w:p>
      <w:pPr>
        <w:spacing w:line="580" w:lineRule="exact"/>
        <w:ind w:firstLine="640"/>
        <w:jc w:val="both"/>
      </w:pPr>
      <w:r>
        <w:rPr>
          <w:rFonts w:ascii="仿宋_GB2312" w:hAnsi="仿宋_GB2312" w:eastAsia="仿宋_GB2312"/>
          <w:b w:val="0"/>
          <w:sz w:val="32"/>
        </w:rPr>
        <w:t>10.住房保障支出（类）住房改革支出（款）住房公积金（项）：支出决算数为91.47万元，比上年决算增加5.73万元，增长6.68%，主要原因是：本年在职人员工资基数调增，公积金缴费基数上涨，相应支出增加。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11.其他支出（类）其他支出（款）其他支出（项）：支出决算数为5.00万元，比上年决算减少1.00万元，下降16.67%，主要原因是：本年工作队经费项目减少，导致相应支出减少。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2025年度一般公共预算财政拨款基本支出1,795.57万元，其中：</w:t>
      </w:r>
      <w:r>
        <w:rPr>
          <w:rFonts w:ascii="仿宋_GB2312" w:hAnsi="仿宋_GB2312" w:eastAsia="仿宋_GB2312"/>
          <w:b/>
          <w:sz w:val="32"/>
        </w:rPr>
        <w:t>人员经费1,509.91万元，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抚恤金、生活补助、奖励金。</w:t>
      </w:r>
    </w:p>
    <w:p>
      <w:pPr>
        <w:spacing w:line="580" w:lineRule="exact"/>
        <w:ind w:firstLine="640"/>
        <w:jc w:val="both"/>
      </w:pPr>
      <w:r>
        <w:rPr>
          <w:rFonts w:ascii="仿宋_GB2312" w:hAnsi="仿宋_GB2312" w:eastAsia="仿宋_GB2312"/>
          <w:b/>
          <w:sz w:val="32"/>
        </w:rPr>
        <w:t>公用经费285.66万元，</w:t>
      </w:r>
      <w:r>
        <w:rPr>
          <w:rFonts w:ascii="仿宋_GB2312" w:hAnsi="仿宋_GB2312" w:eastAsia="仿宋_GB2312"/>
          <w:b w:val="0"/>
          <w:sz w:val="32"/>
        </w:rPr>
        <w:t>包括：办公费、印刷费、水费、电费、邮电费、取暖费、物业管理费、差旅费、维修（护）费、培训费、公务接待费、劳务费、委托业务费、工会经费、福利费、公务用车运行维护费、其他商品和服务支出。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2025年度财政拨款“三公”经费支出21.32万元，</w:t>
      </w:r>
      <w:r>
        <w:rPr>
          <w:rFonts w:ascii="仿宋_GB2312" w:hAnsi="仿宋_GB2312" w:eastAsia="仿宋_GB2312"/>
          <w:b w:val="0"/>
          <w:sz w:val="32"/>
        </w:rPr>
        <w:t>比上年增加0.02万元，增长0.09%，主要原因是：本年度接待人次较上年增加，导致公务接待费较上年增加。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公务用车购置及运行维护费支出21.00万元，占98.50%，比上年增加0.00万元，增长0.00%，主要原因是：本单位公务用车购置及运行维护费与上年一致无变化。</w:t>
      </w:r>
      <w:r>
        <w:rPr>
          <w:rFonts w:ascii="仿宋_GB2312" w:hAnsi="仿宋_GB2312" w:eastAsia="仿宋_GB2312"/>
          <w:b w:val="0"/>
          <w:sz w:val="32"/>
        </w:rPr>
        <w:t>公务接待费支出0.32万元，占1.50%，比上年增加0.02万元，增长6.67%，主要原因是：本年度接待人次较上年增加，导致公务接待费较上年增加。</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21.00万元，其中：公务用车购置费0.00万元，公务用车运行维护费21.00万元。公务用车运行维护费开支内容包括车辆加油费、维修费、保险费、审车费、过路费等。公务用车购置数0辆，公务用车保有量12辆。国有资产占用情况中固定资产车辆12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公务接待费0.32万元，开支内容包括上级来我院检查、指导工作产生的就餐费用。单位全年安排的国内公务接待7批次，60人次。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21.32万元，决算数21.32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21.00万元，决算数21.00万元，预决算差异率0.00%，主要原因是：严格按照预算执行，预决算无差异。公务接待费全年预算数0.32万元，决算数0.32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木垒哈萨克自治县人民法院（行政单位和参照公务员法管理事业单位）机关运行经费支出285.66万元，比上年增加142.49万元，增长99.53%，主要原因是：本年机关运行经费增加聘用临时工劳务费经费，导致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2025年度政府采购支出总额74.63万元，其中：政府采购货物支出59.32万元、政府采购工程支出0.00万元、政府采购服务支出15.32万元。</w:t>
      </w:r>
    </w:p>
    <w:p>
      <w:pPr>
        <w:spacing w:line="580" w:lineRule="exact"/>
        <w:ind w:firstLine="640"/>
        <w:jc w:val="both"/>
      </w:pPr>
      <w:r>
        <w:rPr>
          <w:rFonts w:ascii="仿宋_GB2312" w:hAnsi="仿宋_GB2312" w:eastAsia="仿宋_GB2312"/>
          <w:b w:val="0"/>
          <w:sz w:val="32"/>
        </w:rPr>
        <w:t>授予中小企业合同金额74.63万元，占政府采购支出总额的100.00%，其中：授予小微企业合同金额74.63万元，占政府采购支出总额的100.00%。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8,004.63平方米，价值2,403.70万元。车辆12辆，价值275.58万元，其中：副部（省）级及以上领导用车0辆、主要负责人用车0辆、机要通信用车0辆、应急保障用车0辆、执法执勤用车9辆、特种专业技术用车3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2,158.30万元，实际执行总额2,158.30万元；预算绩效评价项目1个，全年预算数26.12万元，全年执行数26.12万元。预算绩效管理取得的成效：一是压实项目全过程管理责任，明确各环节岗位职责，细化项目实施流程，常态化开展工作调度，定期梳理项目推进节点、工作任务，保障项目整体有序落地实施。二是规范资金日常管控，严格遵照财政资金管理规定执行款项拨付审核流程，严把资金使用合规关口，做到专款专用、账目清晰，杜绝资金挤占、挪用等情况。三是紧盯绩效日常管控，提前对照绩效指标梳理工作内容，阶段性对照目标自查完成情况，及时查漏补缺，保障各项绩效任务按期落实，确保项目满分达标。发现的问题及原因：一是项目预算绩效目标设定不够科学精准，前期调研论证不够充分，绩效指标设定与项目实际实施内容、真实支出需求贴合度不高，造成项目预算绩效设定和实际项目资金支出存在一定偏差。二是在资金申请工作中要积极主动联系财政部门确保资金及时落实到位，进一步按照国家有关财务规章制度规定加强资金使用管理，确保资金用到实处，工作有序的开展，加强自身建设，提高服务能力。下一步改进措施：一是完善单位内控岗位职责清单，健全过程预算绩效管理机制，做实项目前期论证和预算测算，精准设定绩效目标，严格把控项目资金支出审核把关，合理统筹调配资金使用，切实提高资金配置效率和使用效益，实现财政资金效益最大化。二是加强财务管理，严格财务审核。加强单位财务管理，健全单位财务管理制度体系，规范单位财务行为。在费用报账支付时，按照预算规定的费用项目和用途进行资金使用审核、列报支付、财务核算，杜绝超支现象的发生。具体附整体支出绩效自评表、项目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木垒哈萨克自治县人民法院</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336.58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336.58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1,704.17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1,795.57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1,795.57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2,035.17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2,158.30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2,158.30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院将坚持以习近平新时代中国特色社会主义思想为指导，全面贯彻落实党的二十大精神，以习近平法治思想为指引，深刻把握中国式现代化对司法审判的新任务、新要求，忠实履行宪法法律赋予的职责，充分发挥审判执行工作职能，全面提升审判执行工作质效，保障法院审判执行工作顺利开展，坚持服务大局、司法为民、公正司法、保障维护案件审判执行的公平正义，依法审判刑事、民商事、执行等各类案件，全面维护人民群众合法权益，提高人民满意度，为建设社会主义现代化幸福美好强国提供坚强有力司法服务保障。1、履行审判执行工作智能，依法受理、审、执案件，努力让人民群众在每一个司法案件中感受到公平正义，保障法院以审判执行中心工作顺利开展；2、提升法院装备，提高法院刑事案件、民商事案件、行政案件等案件审判公平正义，坚持司法为民，公正司法，保护人民群众合法权益；3提高法院信息化整体应用水平，推进智慧法院项目实施，确保全区在高院部署的信息化项目稳步推进；</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②2025 年我单位全年预算数为2,158.30万元，全年执行数为2,158.30万元，总预算执行率为 100% 。2025年我单位完成以下工作内容：1、履行审判执行工作智能，依法受理、审、执案件，努力让人民群众在每一个司法案件中感受到公平正义，保障法院以审判执行中心工作顺利开展；2、提升法院装备，提高法院刑事案件、民商事案件、行政案件等案件审判公平正义，坚持司法为民，公正司法，保护人民群众合法权益；3提高法院信息化整体应用水平，推进智慧法院项目实施，确保全区在高院部署的信息化项目稳步推进；
达到全面提升审判执行工作质效，保障法院审判执行工作顺利开展，坚持服务大局、司法为民、公正司法、保障维护案件审判执行的公平正义，依法审判刑事、民商事、执行等各类案件，全面维护人民群众合法权益，提高人民满意度，为建设社会主义现代化幸福美好强国提供坚强有力司法服务保障。</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受理案件数量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&gt;=3500件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昌吉州中级人民法院质效指标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6746件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平均结案时间</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&lt;=60天</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昌吉州中级人民法院质效指标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39天</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审限期内结案率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昌吉州中级人民法院质效指标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99.29%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调解率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昌吉州中级人民法院质效指标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67.42%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执行完毕率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昌吉州中级人民法院质效指标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41.29%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上诉率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昌吉州中级人民法院质效指标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执行到位率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昌吉州中级人民法院质效指标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46.65%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新疆维吾尔自治区昌吉回族自治州中级人民法院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木垒哈萨克自治县人民法院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26.12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我院实际工作需求，机关运行补助40万元计划用于保障保障西吉尔法庭正常运转支出，依法审理民事案件、依法审理刑事案件，开展各类司法活动，让更多群众了解党的政策，提高办案水平，单位大楼及西吉尔法庭各项维护维修保障不少于5次，审判案件收案数不少于3500件，审判案件结案率超过90%，公用经费及时支付，单位大楼的及西吉尔法庭维修保障不超过20万元，工会经费不超过10万元，其他费用的支付不超过10万元。维护社会稳定与长治久安，案结事了，服务对象总体满意度</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26.12万元，资金执行率100%，项目实施完成保障保障西吉尔法庭正常运转支出，依法审理民事案件、依法审理刑事案件，开展各类司法活动，让更多群众了解党的政策，提高办案水平，单位大楼及西吉尔法庭各项维护维修保障5次，审判案件收案数7112件，审判案件结案率超过99.29%，通过项目实施，维护社会稳定与长治久安，案结事了，服务对象总体满意度。</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大楼及法庭维修维护次数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审判案件收案数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&gt;=7000件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=7112件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14.76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4683件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此项指标已完成，存在偏差，偏差率为-1.6%，偏差原因为：年初依据上年收案数量设定目标，导致指标设定偏低；下一年度改进措施：按照上年受理案数合理设置年初指标。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审判案件结案率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=99.29%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110.32%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此项指标已完成，存在偏差，偏差率为-10.32%，偏差原因为：年初依据上年结案数量设定目标，导致指标设定偏低；下一年度改进措施：按照上年结案数合理设置年初指标。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经费支出及时率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维修维护费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维修维护费本着节约成本的原则，略低于预算资金，导致产生偏差。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其他商品购置费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本着节约成本原则，本年度其他商品费用低于计划数，导致产生偏差。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工会经费补助支出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提高办案水平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101.76%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-1.76%，偏差原因为：年初依据上年满意度指标设定目标，导致指标设定偏低，同时本年度结案率较高，当事人满意度提高；下一年度改进措施：按照上年结案数合理设置年初指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98.73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本年本单位其他项目2个，全年预算数330万元，全年执行数305.16万元。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