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玛纳斯县人民检察院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深入贯彻习近平新时代中国特色社会主义思想，深入贯彻党的路线方针政策和决策部署，聚焦长治久安总目标，统一全院检察人员思想和行动，坚持党对检察工作的绝对领导，坚决维护习近平总书记的核心地位，坚决维护党中央权威和集中统一领导。</w:t>
      </w:r>
    </w:p>
    <w:p>
      <w:pPr>
        <w:spacing w:line="580" w:lineRule="exact"/>
        <w:ind w:firstLine="640"/>
        <w:jc w:val="both"/>
      </w:pPr>
      <w:r>
        <w:rPr>
          <w:rFonts w:ascii="仿宋_GB2312" w:hAnsi="仿宋_GB2312" w:eastAsia="仿宋_GB2312"/>
          <w:sz w:val="32"/>
        </w:rPr>
        <w:t>（二）依法向玛纳斯县人民代表大会及其常务委员会提出议案。</w:t>
      </w:r>
    </w:p>
    <w:p>
      <w:pPr>
        <w:spacing w:line="580" w:lineRule="exact"/>
        <w:ind w:firstLine="640"/>
        <w:jc w:val="both"/>
      </w:pPr>
      <w:r>
        <w:rPr>
          <w:rFonts w:ascii="仿宋_GB2312" w:hAnsi="仿宋_GB2312" w:eastAsia="仿宋_GB2312"/>
          <w:sz w:val="32"/>
        </w:rPr>
        <w:t>（三）贯彻落实检察工作方针、总体规划，完成检察工作任务。</w:t>
      </w:r>
    </w:p>
    <w:p>
      <w:pPr>
        <w:spacing w:line="580" w:lineRule="exact"/>
        <w:ind w:firstLine="640"/>
        <w:jc w:val="both"/>
      </w:pPr>
      <w:r>
        <w:rPr>
          <w:rFonts w:ascii="仿宋_GB2312" w:hAnsi="仿宋_GB2312" w:eastAsia="仿宋_GB2312"/>
          <w:sz w:val="32"/>
        </w:rPr>
        <w:t>（四）依法开展对刑事犯罪案件的审查批准逮捕、决定逮捕、审查起诉工作。</w:t>
      </w:r>
    </w:p>
    <w:p>
      <w:pPr>
        <w:spacing w:line="580" w:lineRule="exact"/>
        <w:ind w:firstLine="640"/>
        <w:jc w:val="both"/>
      </w:pPr>
      <w:r>
        <w:rPr>
          <w:rFonts w:ascii="仿宋_GB2312" w:hAnsi="仿宋_GB2312" w:eastAsia="仿宋_GB2312"/>
          <w:sz w:val="32"/>
        </w:rPr>
        <w:t>（五）负责应由玛纳斯县人民检察院承办的刑事、民事、行政诉讼活动及刑事、民事、行政判决和裁定等生效法律文书执行的法律监督工作。</w:t>
      </w:r>
    </w:p>
    <w:p>
      <w:pPr>
        <w:spacing w:line="580" w:lineRule="exact"/>
        <w:ind w:firstLine="640"/>
        <w:jc w:val="both"/>
      </w:pPr>
      <w:r>
        <w:rPr>
          <w:rFonts w:ascii="仿宋_GB2312" w:hAnsi="仿宋_GB2312" w:eastAsia="仿宋_GB2312"/>
          <w:sz w:val="32"/>
        </w:rPr>
        <w:t>（六）负责对玛纳斯县基层人民法院已发生法律效力、确有错误的判决和裁定，依法提请昌吉州人民检察院向昌吉州中级人民法院提出抗诉。</w:t>
      </w:r>
    </w:p>
    <w:p>
      <w:pPr>
        <w:spacing w:line="580" w:lineRule="exact"/>
        <w:ind w:firstLine="640"/>
        <w:jc w:val="both"/>
      </w:pPr>
      <w:r>
        <w:rPr>
          <w:rFonts w:ascii="仿宋_GB2312" w:hAnsi="仿宋_GB2312" w:eastAsia="仿宋_GB2312"/>
          <w:sz w:val="32"/>
        </w:rPr>
        <w:t>（七）负责应由玛纳斯县人民检察院承办的提起公益诉讼工作。</w:t>
      </w:r>
    </w:p>
    <w:p>
      <w:pPr>
        <w:spacing w:line="580" w:lineRule="exact"/>
        <w:ind w:firstLine="640"/>
        <w:jc w:val="both"/>
      </w:pPr>
      <w:r>
        <w:rPr>
          <w:rFonts w:ascii="仿宋_GB2312" w:hAnsi="仿宋_GB2312" w:eastAsia="仿宋_GB2312"/>
          <w:sz w:val="32"/>
        </w:rPr>
        <w:t>（八）负责应由玛纳斯县人民检察院承办的对安置教育机构、看守所、社区矫正机构等执法活动的法律监督工作。</w:t>
      </w:r>
    </w:p>
    <w:p>
      <w:pPr>
        <w:spacing w:line="580" w:lineRule="exact"/>
        <w:ind w:firstLine="640"/>
        <w:jc w:val="both"/>
      </w:pPr>
      <w:r>
        <w:rPr>
          <w:rFonts w:ascii="仿宋_GB2312" w:hAnsi="仿宋_GB2312" w:eastAsia="仿宋_GB2312"/>
          <w:sz w:val="32"/>
        </w:rPr>
        <w:t>（九）受理向玛纳斯县人民检察院的控告申诉，开展控告申诉检察工作。</w:t>
      </w:r>
    </w:p>
    <w:p>
      <w:pPr>
        <w:spacing w:line="580" w:lineRule="exact"/>
        <w:ind w:firstLine="640"/>
        <w:jc w:val="both"/>
      </w:pPr>
      <w:r>
        <w:rPr>
          <w:rFonts w:ascii="仿宋_GB2312" w:hAnsi="仿宋_GB2312" w:eastAsia="仿宋_GB2312"/>
          <w:sz w:val="32"/>
        </w:rPr>
        <w:t>（十）开展检察应用和理论研究工作。</w:t>
      </w:r>
    </w:p>
    <w:p>
      <w:pPr>
        <w:spacing w:line="580" w:lineRule="exact"/>
        <w:ind w:firstLine="640"/>
        <w:jc w:val="both"/>
      </w:pPr>
      <w:r>
        <w:rPr>
          <w:rFonts w:ascii="仿宋_GB2312" w:hAnsi="仿宋_GB2312" w:eastAsia="仿宋_GB2312"/>
          <w:sz w:val="32"/>
        </w:rPr>
        <w:t>（十一）负责本院队伍建设和思想政治工作。依法管理检察官及其他检察人员的工作，开展检察机关教育培训工作。</w:t>
      </w:r>
    </w:p>
    <w:p>
      <w:pPr>
        <w:spacing w:line="580" w:lineRule="exact"/>
        <w:ind w:firstLine="640"/>
        <w:jc w:val="both"/>
      </w:pPr>
      <w:r>
        <w:rPr>
          <w:rFonts w:ascii="仿宋_GB2312" w:hAnsi="仿宋_GB2312" w:eastAsia="仿宋_GB2312"/>
          <w:sz w:val="32"/>
        </w:rPr>
        <w:t>（十二）开展本院检务督察工作。</w:t>
      </w:r>
    </w:p>
    <w:p>
      <w:pPr>
        <w:spacing w:line="580" w:lineRule="exact"/>
        <w:ind w:firstLine="640"/>
        <w:jc w:val="both"/>
      </w:pPr>
      <w:r>
        <w:rPr>
          <w:rFonts w:ascii="仿宋_GB2312" w:hAnsi="仿宋_GB2312" w:eastAsia="仿宋_GB2312"/>
          <w:sz w:val="32"/>
        </w:rPr>
        <w:t>（十三）开展检察机关的财务装备工作，检察技术信息工作。</w:t>
      </w:r>
    </w:p>
    <w:p>
      <w:pPr>
        <w:spacing w:line="580" w:lineRule="exact"/>
        <w:ind w:firstLine="640"/>
        <w:jc w:val="both"/>
      </w:pPr>
      <w:r>
        <w:rPr>
          <w:rFonts w:ascii="仿宋_GB2312" w:hAnsi="仿宋_GB2312" w:eastAsia="仿宋_GB2312"/>
          <w:sz w:val="32"/>
        </w:rPr>
        <w:t>（十四）负责其他应当由玛纳斯县人民检察院承办的事项。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玛纳斯县人民检察院无下属预算单位。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2025年度收入总计1,454.66万元，</w:t>
      </w:r>
      <w:r>
        <w:rPr>
          <w:rFonts w:ascii="仿宋_GB2312" w:hAnsi="仿宋_GB2312" w:eastAsia="仿宋_GB2312"/>
          <w:b w:val="0"/>
          <w:sz w:val="32"/>
        </w:rPr>
        <w:t>其中：本年收入合计1,321.32万元，使用非财政拨款结余（含专用结余）0.00万元，年初结转和结余133.33万元。</w:t>
      </w:r>
    </w:p>
    <w:p>
      <w:pPr>
        <w:spacing w:line="580" w:lineRule="exact"/>
        <w:ind w:firstLine="640"/>
        <w:jc w:val="both"/>
      </w:pPr>
      <w:r>
        <w:rPr>
          <w:rFonts w:ascii="仿宋_GB2312" w:hAnsi="仿宋_GB2312" w:eastAsia="仿宋_GB2312"/>
          <w:b/>
          <w:sz w:val="32"/>
        </w:rPr>
        <w:t>2025年度支出总计1,454.66万元，</w:t>
      </w:r>
      <w:r>
        <w:rPr>
          <w:rFonts w:ascii="仿宋_GB2312" w:hAnsi="仿宋_GB2312" w:eastAsia="仿宋_GB2312"/>
          <w:b w:val="0"/>
          <w:sz w:val="32"/>
        </w:rPr>
        <w:t>其中：本年支出合计1,303.36万元，结余分配0.00万元，年末结转和结余151.30万元。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增加93.93万元，增长6.90%，主要原因是：本年增加办公大楼外墙维修改造项目，项目资金增加。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本年收入1,321.32万元，</w:t>
      </w:r>
      <w:r>
        <w:rPr>
          <w:rFonts w:ascii="仿宋_GB2312" w:hAnsi="仿宋_GB2312" w:eastAsia="仿宋_GB2312"/>
          <w:b w:val="0"/>
          <w:sz w:val="32"/>
        </w:rPr>
        <w:t>其中：财政拨款收入1,256.23万元，占95.07%；上级补助收入0.00万元，占0.00%；事业收入0.00万元，占0.00%；经营收入0.00万元，占0.00%；附属单位上缴收入0.00万元，占0.00%；其他收入65.10万元，占4.93%。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本年支出1,303.36万元，</w:t>
      </w:r>
      <w:r>
        <w:rPr>
          <w:rFonts w:ascii="仿宋_GB2312" w:hAnsi="仿宋_GB2312" w:eastAsia="仿宋_GB2312"/>
          <w:b w:val="0"/>
          <w:sz w:val="32"/>
        </w:rPr>
        <w:t>其中：基本支出980.82万元，占75.25%；项目支出322.54万元，占24.75%；上缴上级支出0.00万元，占0.00%；经营支出0.00万元，占0.00%；对附属单位补助支出0.00万元，占0.00%。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2025年度财政拨款收入总计1,256.23万元，</w:t>
      </w:r>
      <w:r>
        <w:rPr>
          <w:rFonts w:ascii="仿宋_GB2312" w:hAnsi="仿宋_GB2312" w:eastAsia="仿宋_GB2312"/>
          <w:b w:val="0"/>
          <w:sz w:val="32"/>
        </w:rPr>
        <w:t>其中：年初财政拨款结转和结余0.00万元，本年财政拨款收入1,256.23万元。</w:t>
      </w:r>
      <w:r>
        <w:rPr>
          <w:rFonts w:ascii="仿宋_GB2312" w:hAnsi="仿宋_GB2312" w:eastAsia="仿宋_GB2312"/>
          <w:b/>
          <w:sz w:val="32"/>
        </w:rPr>
        <w:t>财政拨款支出总计1,256.23万元，</w:t>
      </w:r>
      <w:r>
        <w:rPr>
          <w:rFonts w:ascii="仿宋_GB2312" w:hAnsi="仿宋_GB2312" w:eastAsia="仿宋_GB2312"/>
          <w:b w:val="0"/>
          <w:sz w:val="32"/>
        </w:rPr>
        <w:t>其中：年末财政拨款结转和结余0.00万元，本年财政拨款支出1,256.23万元。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增加93.09万元，增长8.00%，主要原因是：本年增加办公大楼外墙维修改造项目，项目资金增加。</w:t>
      </w:r>
      <w:r>
        <w:rPr>
          <w:rFonts w:ascii="仿宋_GB2312" w:hAnsi="仿宋_GB2312" w:eastAsia="仿宋_GB2312"/>
          <w:b/>
          <w:sz w:val="32"/>
        </w:rPr>
        <w:t>与年初预算相比，</w:t>
      </w:r>
      <w:r>
        <w:rPr>
          <w:rFonts w:ascii="仿宋_GB2312" w:hAnsi="仿宋_GB2312" w:eastAsia="仿宋_GB2312"/>
          <w:b w:val="0"/>
          <w:sz w:val="32"/>
        </w:rPr>
        <w:t>年初预算数1,045.38万元，决算数1,256.23万元，预决算差异率20.17%，主要原因是：年中追加办公大楼维修改造项目经费，导致预决算存在差异。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按照支出功能分类，公共安全支出（类）检察（款）行政运行（项）的支出占本年财政拨款支出总额的比重最高，2025年度决算数为766.96万元，占比61.05%，主要用于人员经费、日常运行经费方面的支出。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2025年度一般公共预算财政拨款支出1,256.23万元，</w:t>
      </w:r>
      <w:r>
        <w:rPr>
          <w:rFonts w:ascii="仿宋_GB2312" w:hAnsi="仿宋_GB2312" w:eastAsia="仿宋_GB2312"/>
          <w:b w:val="0"/>
          <w:sz w:val="32"/>
        </w:rPr>
        <w:t>占本年支出合计的96.38%。</w:t>
      </w:r>
      <w:r>
        <w:rPr>
          <w:rFonts w:ascii="仿宋_GB2312" w:hAnsi="仿宋_GB2312" w:eastAsia="仿宋_GB2312"/>
          <w:b/>
          <w:sz w:val="32"/>
        </w:rPr>
        <w:t>与上年相比，</w:t>
      </w:r>
      <w:r>
        <w:rPr>
          <w:rFonts w:ascii="仿宋_GB2312" w:hAnsi="仿宋_GB2312" w:eastAsia="仿宋_GB2312"/>
          <w:b w:val="0"/>
          <w:sz w:val="32"/>
        </w:rPr>
        <w:t>增加93.09万元，增长8.00%，主要原因是：本年增加办公大楼外墙维修改造项目，项目资金增加。</w:t>
      </w:r>
      <w:r>
        <w:rPr>
          <w:rFonts w:ascii="仿宋_GB2312" w:hAnsi="仿宋_GB2312" w:eastAsia="仿宋_GB2312"/>
          <w:b/>
          <w:sz w:val="32"/>
        </w:rPr>
        <w:t>与年初预算相比，</w:t>
      </w:r>
      <w:r>
        <w:rPr>
          <w:rFonts w:ascii="仿宋_GB2312" w:hAnsi="仿宋_GB2312" w:eastAsia="仿宋_GB2312"/>
          <w:b w:val="0"/>
          <w:sz w:val="32"/>
        </w:rPr>
        <w:t>年初预算数1,045.38万元，决算数1,256.23万元，预决算差异率20.17%，主要原因是：年中追加办公大楼维修改造项目经费，导致预决算存在差异。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1.公共安全支出（类）1,034.87万元，占82.38%。</w:t>
      </w:r>
    </w:p>
    <w:p>
      <w:pPr>
        <w:spacing w:line="580" w:lineRule="exact"/>
        <w:ind w:firstLine="640"/>
        <w:jc w:val="both"/>
      </w:pPr>
      <w:r>
        <w:rPr>
          <w:rFonts w:ascii="仿宋_GB2312" w:hAnsi="仿宋_GB2312" w:eastAsia="仿宋_GB2312"/>
          <w:b w:val="0"/>
          <w:sz w:val="32"/>
        </w:rPr>
        <w:t>2.社会保障和就业支出（类）109.06万元，占8.68%。</w:t>
      </w:r>
    </w:p>
    <w:p>
      <w:pPr>
        <w:spacing w:line="580" w:lineRule="exact"/>
        <w:ind w:firstLine="640"/>
        <w:jc w:val="both"/>
      </w:pPr>
      <w:r>
        <w:rPr>
          <w:rFonts w:ascii="仿宋_GB2312" w:hAnsi="仿宋_GB2312" w:eastAsia="仿宋_GB2312"/>
          <w:b w:val="0"/>
          <w:sz w:val="32"/>
        </w:rPr>
        <w:t>3.卫生健康支出（类）52.62万元，占4.19%。</w:t>
      </w:r>
    </w:p>
    <w:p>
      <w:pPr>
        <w:spacing w:line="580" w:lineRule="exact"/>
        <w:ind w:firstLine="640"/>
        <w:jc w:val="both"/>
      </w:pPr>
      <w:r>
        <w:rPr>
          <w:rFonts w:ascii="仿宋_GB2312" w:hAnsi="仿宋_GB2312" w:eastAsia="仿宋_GB2312"/>
          <w:b w:val="0"/>
          <w:sz w:val="32"/>
        </w:rPr>
        <w:t>4.住房保障支出（类）49.45万元，占3.94%。</w:t>
      </w:r>
    </w:p>
    <w:p>
      <w:pPr>
        <w:spacing w:line="580" w:lineRule="exact"/>
        <w:ind w:firstLine="640"/>
        <w:jc w:val="both"/>
      </w:pPr>
      <w:r>
        <w:rPr>
          <w:rFonts w:ascii="仿宋_GB2312" w:hAnsi="仿宋_GB2312" w:eastAsia="仿宋_GB2312"/>
          <w:b w:val="0"/>
          <w:sz w:val="32"/>
        </w:rPr>
        <w:t>5.其他支出（类）10.23万元，占0.81%。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1.公共安全支出（类）检察（款）行政运行（项）：支出决算数为766.96万元，比上年决算增加89.53万元，增长13.22%，主要原因是：本年在职人员工资调增，导致相关人员经费较上年有所增加。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2.公共安全支出（类）检察（款）一般行政管理事务（项）：支出决算数为86.85万元，比上年决算增加86.85万元，增长100.00%，主要原因是：本年增加办公大楼外墙维修改造项目，项目资金增加。</w:t>
      </w:r>
    </w:p>
    <w:p>
      <w:pPr>
        <w:spacing w:line="580" w:lineRule="exact"/>
        <w:ind w:firstLine="640"/>
        <w:jc w:val="both"/>
      </w:pPr>
      <w:r>
        <w:rPr>
          <w:rFonts w:ascii="仿宋_GB2312" w:hAnsi="仿宋_GB2312" w:eastAsia="仿宋_GB2312"/>
          <w:b w:val="0"/>
          <w:sz w:val="32"/>
        </w:rPr>
        <w:t>3.公共安全支出（类）检察（款）其他检察支出（项）：支出决算数为173.66万元，比上年决算减少116.34万元，下降40.12%，主要原因是：本年中央转移支付资金减少。</w:t>
      </w:r>
    </w:p>
    <w:p>
      <w:pPr>
        <w:spacing w:line="580" w:lineRule="exact"/>
        <w:ind w:firstLine="640"/>
        <w:jc w:val="both"/>
      </w:pPr>
      <w:r>
        <w:rPr>
          <w:rFonts w:ascii="仿宋_GB2312" w:hAnsi="仿宋_GB2312" w:eastAsia="仿宋_GB2312"/>
          <w:b w:val="0"/>
          <w:sz w:val="32"/>
        </w:rPr>
        <w:t>4.公共安全支出（类）其他公共安全支出（款）其他公共安全支出（项）：支出决算数为7.40万元，比上年决算增加7.40万元，增长100.00%，主要原因是：本年科目调整，司法救助金上年在其他检察支出科目中列支，本年调整至其他公共安全支出科目列支，本科目支出数增加。</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17.85万元，比上年决算增加5.58万元，增长45.48%，主要原因是：本年退休人员增加，发放退休人员基础绩效，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60.81万元，比上年决算增加0.42万元，增长0.70%，主要原因是：本年在职人员工资基数调增，社保缴费基数上涨，相应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30.40万元，比上年决算减少1.81万元，下降5.62%，主要原因是：本年退休人员较上年减少，职业年金缴费较上年减少。</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8.卫生健康支出（类）行政事业单位医疗（款）行政单位医疗（项）：支出决算数为36.75万元，比上年决算增加6.56万元，增长21.73%，主要原因是：本年在职人员工资基数调增，医疗缴费基数上涨，相应支出增加。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15.48万元，比上年决算增加13.59万元，增长719.05%，主要原因是：本年在职人员工资基数调增，医疗缴费基数上涨，公务员医疗补助缴费比例增长，相应支出增加。</w:t>
      </w:r>
    </w:p>
    <w:p>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0.39万元，比上年决算增加0.08万元，增长25.81%，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11.住房保障支出（类）住房改革支出（款）住房公积金（项）：支出决算数为49.45万元，比上年决算增加0.93万元，增长1.92%，主要原因是：本年在职人员工资基数调增，住房公积金基数上涨，相应支出增加。</w:t>
      </w:r>
    </w:p>
    <w:p>
      <w:pPr>
        <w:spacing w:line="580" w:lineRule="exact"/>
        <w:ind w:firstLine="640"/>
        <w:jc w:val="both"/>
      </w:pPr>
      <w:r>
        <w:rPr>
          <w:rFonts w:ascii="仿宋_GB2312" w:hAnsi="仿宋_GB2312" w:eastAsia="仿宋_GB2312"/>
          <w:b w:val="0"/>
          <w:sz w:val="32"/>
        </w:rPr>
        <w:t>12.其他支出（类）其他支出（款）其他支出（项）：支出决算数为10.23万元，比上年决算增加0.30万元，增长3.02%，主要原因是：本年工作队为专项经费支出增加。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2025年度一般公共预算财政拨款基本支出980.82万元，其中：</w:t>
      </w:r>
      <w:r>
        <w:rPr>
          <w:rFonts w:ascii="仿宋_GB2312" w:hAnsi="仿宋_GB2312" w:eastAsia="仿宋_GB2312"/>
          <w:b/>
          <w:sz w:val="32"/>
        </w:rPr>
        <w:t>人员经费830.05万元，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公用经费150.77万元，</w:t>
      </w:r>
      <w:r>
        <w:rPr>
          <w:rFonts w:ascii="仿宋_GB2312" w:hAnsi="仿宋_GB2312" w:eastAsia="仿宋_GB2312"/>
          <w:b w:val="0"/>
          <w:sz w:val="32"/>
        </w:rPr>
        <w:t>包括：办公费、手续费、水费、电费、取暖费、物业管理费、差旅费、维修（护）费、租赁费、公务接待费、劳务费、委托业务费、工会经费、福利费、公务用车运行维护费、其他商品和服务支出。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2025年度财政拨款“三公”经费支出26.95万元，</w:t>
      </w:r>
      <w:r>
        <w:rPr>
          <w:rFonts w:ascii="仿宋_GB2312" w:hAnsi="仿宋_GB2312" w:eastAsia="仿宋_GB2312"/>
          <w:b w:val="0"/>
          <w:sz w:val="32"/>
        </w:rPr>
        <w:t>比上年增加5.27万元，增长24.31%，主要原因是：本年新购入公务用车一辆，导致公务用车运行维护费较上年增加，三公经费增长。</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公务用车购置及运行维护费支出26.65万元，占98.89%，比上年增加5.65万元，增长26.90%，主要原因是：本年新购入公务用车，导致公务用车运行维护费较上年增加。</w:t>
      </w:r>
      <w:r>
        <w:rPr>
          <w:rFonts w:ascii="仿宋_GB2312" w:hAnsi="仿宋_GB2312" w:eastAsia="仿宋_GB2312"/>
          <w:b w:val="0"/>
          <w:sz w:val="32"/>
        </w:rPr>
        <w:t>公务接待费支出0.30万元，占1.11%，比上年减少0.38万元，下降55.88%，主要原因是：采取有效措施加强公务接待管理，严格控制公务接待活动，认真执行经费开支标准，公务接待费减少。</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26.65万元，其中：公务用车购置费9.27万元，公务用车运行维护费17.38万元。公务用车运行维护费开支内容包括车辆燃料费、车辆维修费、车辆保险费、车辆过路费。公务用车购置数1辆，公务用车保有量8辆。国有资产占用情况中固定资产车辆9辆，与公务用车保有量差异原因是：差异车辆为单位业务用车，预算未安排公务用车运行维护费。</w:t>
      </w:r>
    </w:p>
    <w:p>
      <w:pPr>
        <w:spacing w:line="580" w:lineRule="exact"/>
        <w:ind w:firstLine="640"/>
        <w:jc w:val="both"/>
      </w:pPr>
      <w:r>
        <w:rPr>
          <w:rFonts w:ascii="仿宋_GB2312" w:hAnsi="仿宋_GB2312" w:eastAsia="仿宋_GB2312"/>
          <w:b w:val="0"/>
          <w:sz w:val="32"/>
        </w:rPr>
        <w:t>公务接待费0.30万元，开支内容包括本年州院、区院、援疆省市工作人员来我院调研、学习交流时产生的餐费。单位全年安排的国内公务接待5批次，66人次。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26.95万元，决算数26.95万元，预决算差异率0.00%，主要原因是：严格按照预算执行，预决算无差异。其中：因公出国（境）费用全年预算数0.00万元，决算数0.00万元，预决算差异率0.00%，主要原因是：本单位无因公出国（境）费用。公务用车购置费全年预算数9.27万元，决算数9.27万元，预决算差异率0.00%，主要原因是：严格按照预算执行，预决算无差异。公务用车运行维护费全年预算数17.38万元，决算数17.38万元，预决算差异率0.00%，主要原因是：严格按照预算执行，预决算无差异。公务接待费全年预算数0.30万元，决算数0.30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玛纳斯县人民检察院（行政单位和参照公务员法管理事业单位）机关运行经费支出150.77万元，比上年增加58.77万元，增长63.88%，主要原因是：本年更新、维护补充办公用品，导致劳务费等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2025年度政府采购支出总额70.17万元，其中：政府采购货物支出41.63万元、政府采购工程支出10.13万元、政府采购服务支出18.42万元。</w:t>
      </w:r>
    </w:p>
    <w:p>
      <w:pPr>
        <w:spacing w:line="580" w:lineRule="exact"/>
        <w:ind w:firstLine="640"/>
        <w:jc w:val="both"/>
      </w:pPr>
      <w:r>
        <w:rPr>
          <w:rFonts w:ascii="仿宋_GB2312" w:hAnsi="仿宋_GB2312" w:eastAsia="仿宋_GB2312"/>
          <w:b w:val="0"/>
          <w:sz w:val="32"/>
        </w:rPr>
        <w:t>授予中小企业合同金额25.86万元，占政府采购支出总额的36.85%，其中：授予小微企业合同金额25.76万元，占政府采购支出总额的36.71%。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4,971.75平方米，价值1,162.47万元。车辆9辆，价值173.81万元，其中：副部（省）级及以上领导用车0辆、主要负责人用车0辆、机要通信用车0辆、应急保障用车0辆、执法执勤用车7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1,454.66万元，实际执行总额1,303.36万元；预算绩效评价项目2个，全年预算数133.98万元，全年执行数133.98万元。预算绩效管理取得的成效：一是有效的完成了年初设置的各项指标；二是对本年度开展的各项目进展状态进行更加全面的评价有助于为今后同类项目的开展提高更多样的数据分析。发现的问题及原因：检察院绩效年初目标设置有待进一步优化，在结合年度工作重点、司法办案实际需求及队伍建设发展态势方面不够充分，对办案质效、服务大局等核心指标的预估较为审慎，未能充分发挥绩效目标的导向、激励和约束效能，在激发干警工作积极性、全面反映检察工作实绩方面仍有提升空间，可能对检察职能的充分发挥产生一定影响。下一步改进措施：1、扎实推进档案规范化建设，提升档案管理水平一是进一步完善项目评价资料。项目启动时同步做好档案的归纳与整理，及时整理、收集、汇总，健全档案资料。二是严格落实自治区关于绩效管理工作档案资料归档的相关要求，强化收集力度，确保归档资料的完整齐全；2、高度重视，加强领导高度重视，加强领导，精心组织。项目绩效领导小组对绩效评价工作进行指导、监督、检查，确保项目绩效评价反映项目完成真实情况。严格执行项目绩效评价工作要求，切实提高项目绩效报告的客观性和公正性。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玛纳斯县人民检察院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884.38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1,070.17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1,070.17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1,092.51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1,303.36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是以更高站位捍卫党的领导。坚持党对检察工作的绝对领导，严格执行重大事项请示报告制度，持续深入学习贯彻党的创新理论，切实将学习成效转化为推动检察工作高质量发展的实干实绩。全面加强从严治党、从严治检，常态化开展党纪学习教育，坚持讲政治与讲法治相结合，确保检察履职、监督办案政治效果、法律效果、社会效果有机统一。
二是以更实举措服务发展大局。全面贯彻总体国家安全观，扎实推进反恐维稳法治化常态化，推动“四大检察”融合发展、一体履职，以高水平安全保障高质量发展。聚焦法治化营商环境建设，立足实际，提供优质高效的司法服务和法治保障。充分发挥检察建议作用，以“我管”促“都管”加强特殊群体司法保护，促进诉源治理、社会治理。
三是以更大力度维护公平正义。系统抓实检察业务管理、案件管理、质量管理，努力让人民群众在每一个司法案件中感受到公平正义。加强与公安、法院、信访等部门的沟通联系，拓宽案件线索来源渠道，强化检察建议回复采纳的跟踪督促，提升监督质效。强化数字监督能力，培养复合型数字检察办案人才，学习借鉴上级检察院推广的大数据法律监督模型，提高使用率和适用面。
四是以更严标准锻造检察铁军。深入推进人才强检战略，注重培养政治素质高、业务能力强的业务骨干，常态化开展实战实训。全面准确落实司法责任制，抓好司法责任追究和检察官惩戒。坚持严的基调不动摇，持续深化纠治“四风”和司法突出问题，严格执行防止干预司法“三个规定”。下大气力推动检察机关自身改革，推动创先争优，提升检察工作整体水平，让求真务实、担当实干成为检察人员的鲜明履职特征。</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1454.66万元，全年执行数为1303.36万元，总预算执行率为89.60%。2025年我单位完成以下工作内容：1.检察机关办案586件；2.司法救助案件3件；3.案件办结率90%；4.司法救助案件办结率100%。通过以上工作的实施，加强了法律监督工作，推动了检察工作高质量发展精神，优化了“四大检察”“十大业务”法律监督格局，以高质量发展为主题，以完善检察机关法律监督体系、提升法律监督能力为主线，加强了基层组织、基础工作、基本能力建设，深化了司法体制改革，更好地服务了经济社会高质量发展、推动了检察工作自身高质量发展，为全面建设社会主义现代化国家提供有力司法保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检察机关办案数量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&gt;=350件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关于印发2025年新疆检察案件工作要点的通知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=586件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2025年新疆检察机关控告申诉检察工作要点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案件办结率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关于印发2025年新疆检察案件工作要点的通知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司法救助案件办结率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2025年新疆检察机关控告申诉检察工作要点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2025年州直单位办公用房维修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玛纳斯县人民检察院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玛纳斯县人民检察院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检察院2025年州直单位办公用房维修项目91万元，主要用于维修办公楼外墙石材墙面拆除安装451.87平方米、楼梯外墙15.8平方米、外墙保温1867.57平方米，密封胶水填缝6245.52平方米，保障1个办公用房维修项目，保障我院对办公用房外墙保温维修改造验收合格率达到100%，保障维修办公用房外墙保温费用不超过91万元。该项目的实施有效改善了办公环境和场所有效提升干警的业务能力，提升我院的服务水平，干警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86.85万元，资金执行率100%，本项目实际维修改造办公用房项目1个，办公楼外墙石材墙面拆除安装451.87平方米、楼梯外墙15.8平方米、外墙保温1867.57平方米，密封胶水填缝6245.52平方米。通过本项目的实施，有效减少能源消耗，降低取暖和制冷成本，为我院节约经费；有利于创造更加稳定、舒适的工作环境，有助于提高检察人员的工作积极性和专注度；减少了外墙受到温度变化、风雨侵蚀等影响，降低了外墙开裂、渗透等问题的发生概率，确保了办公大楼的安全稳定运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办公用房维修面积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&gt;=1867.57平方米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=1985.57平方米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办公楼维修改造成本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外墙增加保温层成本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&lt;=58.37万元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改善办公环境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干警满意度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玛纳斯县人民检察院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玛纳斯县人民检察院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了营造优美的会议环境，实施会议室维修改造项目，计划投资47.13万元，改善会议环境，维修改造项目验收合格率不低于95%，保障44人办公运行支出17.13万元，计划全年购买办公用品及耗材政府采购率达到98%；改造项目的实施有效改善了会议室环境，满足检察工作需求； 后勤保障质量提升，提高法律监督质量。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47.13万元，资金执行率100%，本项目实际保障办公人员33人办公运行支出17.13万元，全年购买办公用品及耗材政府采购率达到98%；会议室改造面积200平方，维修项目数量3项，改造项目的实施有效改善了会议室环境，满足检察工作需求；后勤保障质量提升，提高法律监督质量。通过本项目的实施，保障了我院单位机关正常运行，优化基层院的工作环境和设施条件，加强了对干警的尊重和关怀，有效提升了干警的业务能力，提高了工作效率，促进了持续提高为人民群众提供有效的公共法律服务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会议室改造面积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&gt;=200平方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=200平方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5.26%，偏差原因为：本年所有实施的维修项目均验收完毕，无拖延完工时间现象，下一年度改进措施：提高预算编制准确性，确保后续各类项目严格按照预算进行支出；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2.04%，偏差原因为：本年所有办公用品均完成应采尽采，政府采购率达到100%，年初设定指标不合理，下一年度改进措施：在采购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经费支出及时率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本年本单位其他项目2个，全年预算数186.06万元，全年执行数186.06万元。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