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玛纳斯县人民法院</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玛纳斯县人民法院是国家的审判机关，在县委和中级人民法院的指导下，依法独立行使审判权，对县人民代表大会及其常委会负责并报告工作。</w:t>
      </w:r>
    </w:p>
    <w:p>
      <w:pPr>
        <w:spacing w:line="580" w:lineRule="exact"/>
        <w:ind w:firstLine="640"/>
        <w:jc w:val="both"/>
      </w:pPr>
      <w:r>
        <w:rPr>
          <w:rFonts w:ascii="仿宋_GB2312" w:hAnsi="仿宋_GB2312" w:eastAsia="仿宋_GB2312"/>
          <w:sz w:val="32"/>
        </w:rPr>
        <w:t>（1）依法审理法律规定由基层人民法院管辖、中级人民法院指定管辖或者认为应当由本法院审理的刑事、民事、行政等一审案件。</w:t>
      </w:r>
    </w:p>
    <w:p>
      <w:pPr>
        <w:spacing w:line="580" w:lineRule="exact"/>
        <w:ind w:firstLine="640"/>
        <w:jc w:val="both"/>
      </w:pPr>
      <w:r>
        <w:rPr>
          <w:rFonts w:ascii="仿宋_GB2312" w:hAnsi="仿宋_GB2312" w:eastAsia="仿宋_GB2312"/>
          <w:sz w:val="32"/>
        </w:rPr>
        <w:t>（2）依法审理中级人民法院指定再审的案件和县人民检察院抗诉的案件。受理当事人不服本院发生法律效力的判决、裁定并提起申诉的刑事、行政诉讼案件。</w:t>
      </w:r>
    </w:p>
    <w:p>
      <w:pPr>
        <w:spacing w:line="580" w:lineRule="exact"/>
        <w:ind w:firstLine="640"/>
        <w:jc w:val="both"/>
      </w:pPr>
      <w:r>
        <w:rPr>
          <w:rFonts w:ascii="仿宋_GB2312" w:hAnsi="仿宋_GB2312" w:eastAsia="仿宋_GB2312"/>
          <w:sz w:val="32"/>
        </w:rPr>
        <w:t>（3）依法行使执行权和司法决定权。</w:t>
      </w:r>
    </w:p>
    <w:p>
      <w:pPr>
        <w:spacing w:line="580" w:lineRule="exact"/>
        <w:ind w:firstLine="640"/>
        <w:jc w:val="both"/>
      </w:pPr>
      <w:r>
        <w:rPr>
          <w:rFonts w:ascii="仿宋_GB2312" w:hAnsi="仿宋_GB2312" w:eastAsia="仿宋_GB2312"/>
          <w:sz w:val="32"/>
        </w:rPr>
        <w:t>（4）对法律规定、规章等草案提出意见，对案件审理中发现的问题提出司法建议。</w:t>
      </w:r>
    </w:p>
    <w:p>
      <w:pPr>
        <w:spacing w:line="580" w:lineRule="exact"/>
        <w:ind w:firstLine="640"/>
        <w:jc w:val="both"/>
      </w:pPr>
      <w:r>
        <w:rPr>
          <w:rFonts w:ascii="仿宋_GB2312" w:hAnsi="仿宋_GB2312" w:eastAsia="仿宋_GB2312"/>
          <w:sz w:val="32"/>
        </w:rPr>
        <w:t>（5）指导基层法庭工作。</w:t>
      </w:r>
    </w:p>
    <w:p>
      <w:pPr>
        <w:spacing w:line="580" w:lineRule="exact"/>
        <w:ind w:firstLine="640"/>
        <w:jc w:val="both"/>
      </w:pPr>
      <w:r>
        <w:rPr>
          <w:rFonts w:ascii="仿宋_GB2312" w:hAnsi="仿宋_GB2312" w:eastAsia="仿宋_GB2312"/>
          <w:sz w:val="32"/>
        </w:rPr>
        <w:t>（6）负责全院的思想政治、教育培训工作和干部管理工作。</w:t>
      </w:r>
    </w:p>
    <w:p>
      <w:pPr>
        <w:spacing w:line="580" w:lineRule="exact"/>
        <w:ind w:firstLine="640"/>
        <w:jc w:val="both"/>
      </w:pPr>
      <w:r>
        <w:rPr>
          <w:rFonts w:ascii="仿宋_GB2312" w:hAnsi="仿宋_GB2312" w:eastAsia="仿宋_GB2312"/>
          <w:sz w:val="32"/>
        </w:rPr>
        <w:t>（7）负责全院财务、专项投资的计划管理及分配。</w:t>
      </w:r>
    </w:p>
    <w:p>
      <w:pPr>
        <w:spacing w:line="580" w:lineRule="exact"/>
        <w:ind w:firstLine="640"/>
        <w:jc w:val="both"/>
      </w:pPr>
      <w:r>
        <w:rPr>
          <w:rFonts w:ascii="仿宋_GB2312" w:hAnsi="仿宋_GB2312" w:eastAsia="仿宋_GB2312"/>
          <w:sz w:val="32"/>
        </w:rPr>
        <w:t>（8）负责全院的监察工作。</w:t>
      </w:r>
    </w:p>
    <w:p>
      <w:pPr>
        <w:spacing w:line="580" w:lineRule="exact"/>
        <w:ind w:firstLine="640"/>
        <w:jc w:val="both"/>
      </w:pPr>
      <w:r>
        <w:rPr>
          <w:rFonts w:ascii="仿宋_GB2312" w:hAnsi="仿宋_GB2312" w:eastAsia="仿宋_GB2312"/>
          <w:sz w:val="32"/>
        </w:rPr>
        <w:t>（9）管理人民法院司法警察工作。</w:t>
      </w:r>
    </w:p>
    <w:p>
      <w:pPr>
        <w:spacing w:line="580" w:lineRule="exact"/>
        <w:ind w:firstLine="640"/>
        <w:jc w:val="both"/>
      </w:pPr>
      <w:r>
        <w:rPr>
          <w:rFonts w:ascii="仿宋_GB2312" w:hAnsi="仿宋_GB2312" w:eastAsia="仿宋_GB2312"/>
          <w:sz w:val="32"/>
        </w:rPr>
        <w:t>（10）做好本院行政、后勤事业管理和服务工作。</w:t>
      </w:r>
    </w:p>
    <w:p>
      <w:pPr>
        <w:spacing w:line="580" w:lineRule="exact"/>
        <w:ind w:firstLine="640"/>
        <w:jc w:val="both"/>
      </w:pPr>
      <w:r>
        <w:rPr>
          <w:rFonts w:ascii="仿宋_GB2312" w:hAnsi="仿宋_GB2312" w:eastAsia="仿宋_GB2312"/>
          <w:sz w:val="32"/>
        </w:rPr>
        <w:t>（11）宣传法制，教育公民忠于社会主义祖国，自觉遵守宪法、法律和社会公德。</w:t>
      </w:r>
    </w:p>
    <w:p>
      <w:pPr>
        <w:spacing w:line="580" w:lineRule="exact"/>
        <w:ind w:firstLine="640"/>
        <w:jc w:val="both"/>
      </w:pPr>
      <w:r>
        <w:rPr>
          <w:rFonts w:ascii="仿宋_GB2312" w:hAnsi="仿宋_GB2312" w:eastAsia="仿宋_GB2312"/>
          <w:sz w:val="32"/>
        </w:rPr>
        <w:t>（12）积极参与社会治安综合治理。</w:t>
      </w:r>
    </w:p>
    <w:p>
      <w:pPr>
        <w:spacing w:line="580" w:lineRule="exact"/>
        <w:ind w:firstLine="640"/>
        <w:jc w:val="both"/>
      </w:pPr>
      <w:r>
        <w:rPr>
          <w:rFonts w:ascii="仿宋_GB2312" w:hAnsi="仿宋_GB2312" w:eastAsia="仿宋_GB2312"/>
          <w:sz w:val="32"/>
        </w:rPr>
        <w:t>（13）承办其它应由基层人民法院负责的工作。</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玛纳斯县人民法院无下属预算单位。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2025年度收入总计2,956.74万元，</w:t>
      </w:r>
      <w:r>
        <w:rPr>
          <w:rFonts w:ascii="仿宋_GB2312" w:hAnsi="仿宋_GB2312" w:eastAsia="仿宋_GB2312"/>
          <w:b w:val="0"/>
          <w:sz w:val="32"/>
        </w:rPr>
        <w:t>其中：本年收入合计2,847.02万元，使用非财政拨款结余（含专用结余）0.00万元，年初结转和结余109.72万元。</w:t>
      </w:r>
    </w:p>
    <w:p>
      <w:pPr>
        <w:spacing w:line="580" w:lineRule="exact"/>
        <w:ind w:firstLine="640"/>
        <w:jc w:val="both"/>
      </w:pPr>
      <w:r>
        <w:rPr>
          <w:rFonts w:ascii="仿宋_GB2312" w:hAnsi="仿宋_GB2312" w:eastAsia="仿宋_GB2312"/>
          <w:b/>
          <w:sz w:val="32"/>
        </w:rPr>
        <w:t>2025年度支出总计2,956.74万元，</w:t>
      </w:r>
      <w:r>
        <w:rPr>
          <w:rFonts w:ascii="仿宋_GB2312" w:hAnsi="仿宋_GB2312" w:eastAsia="仿宋_GB2312"/>
          <w:b w:val="0"/>
          <w:sz w:val="32"/>
        </w:rPr>
        <w:t>其中：本年支出合计2,870.87万元，结余分配0.00万元，年末结转和结余85.88万元。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增加168.43万元，增长6.04%，主要原因是：本年在职人员工资调增，社保、公积金基数调增，人员经费增加。本年增加司法救助项目资金，导致经费支出增加。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本年收入2,847.02万元，</w:t>
      </w:r>
      <w:r>
        <w:rPr>
          <w:rFonts w:ascii="仿宋_GB2312" w:hAnsi="仿宋_GB2312" w:eastAsia="仿宋_GB2312"/>
          <w:b w:val="0"/>
          <w:sz w:val="32"/>
        </w:rPr>
        <w:t>其中：财政拨款收入2,805.66万元，占98.55%；上级补助收入0.00万元，占0.00%；事业收入0.00万元，占0.00%；经营收入0.00万元，占0.00%；附属单位上缴收入0.00万元，占0.00%；其他收入41.36万元，占1.45%。</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本年支出2,870.87万元，</w:t>
      </w:r>
      <w:r>
        <w:rPr>
          <w:rFonts w:ascii="仿宋_GB2312" w:hAnsi="仿宋_GB2312" w:eastAsia="仿宋_GB2312"/>
          <w:b w:val="0"/>
          <w:sz w:val="32"/>
        </w:rPr>
        <w:t>其中：基本支出2,357.48万元，占82.12%；项目支出513.39万元，占17.88%；上缴上级支出0.00万元，占0.00%；经营支出0.00万元，占0.00%；对附属单位补助支出0.00万元，占0.00%。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2025年度财政拨款收入总计2,805.66万元，</w:t>
      </w:r>
      <w:r>
        <w:rPr>
          <w:rFonts w:ascii="仿宋_GB2312" w:hAnsi="仿宋_GB2312" w:eastAsia="仿宋_GB2312"/>
          <w:b w:val="0"/>
          <w:sz w:val="32"/>
        </w:rPr>
        <w:t>其中：年初财政拨款结转和结余0.00万元，本年财政拨款收入2,805.66万元。</w:t>
      </w:r>
      <w:r>
        <w:rPr>
          <w:rFonts w:ascii="仿宋_GB2312" w:hAnsi="仿宋_GB2312" w:eastAsia="仿宋_GB2312"/>
          <w:b/>
          <w:sz w:val="32"/>
        </w:rPr>
        <w:t>财政拨款支出总计2,805.66万元，</w:t>
      </w:r>
      <w:r>
        <w:rPr>
          <w:rFonts w:ascii="仿宋_GB2312" w:hAnsi="仿宋_GB2312" w:eastAsia="仿宋_GB2312"/>
          <w:b w:val="0"/>
          <w:sz w:val="32"/>
        </w:rPr>
        <w:t>其中：年末财政拨款结转和结余0.00万元，本年财政拨款支出2,805.66万元。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增加288.12万元，增长11.44%，主要原因是：本年在职人员工资调增，社保、公积金基数调增，人员经费增加。本年增加司法救助项目资金，导致经费支出增加。</w:t>
      </w:r>
      <w:r>
        <w:rPr>
          <w:rFonts w:ascii="仿宋_GB2312" w:hAnsi="仿宋_GB2312" w:eastAsia="仿宋_GB2312"/>
          <w:b/>
          <w:sz w:val="32"/>
        </w:rPr>
        <w:t>与年初预算相比，</w:t>
      </w:r>
      <w:r>
        <w:rPr>
          <w:rFonts w:ascii="仿宋_GB2312" w:hAnsi="仿宋_GB2312" w:eastAsia="仿宋_GB2312"/>
          <w:b w:val="0"/>
          <w:sz w:val="32"/>
        </w:rPr>
        <w:t>年初预算数2,482.71万元，决算数2,805.66万元，预决算差异率13.01%，主要原因是：年中追加人员经费及人员工资、社保、公积金基数调增部分资金，导致预决算存在差异。年中追加中央政法转移支付项目，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公共服务等重点支出，体现在有关支出科目中。</w:t>
      </w:r>
    </w:p>
    <w:p>
      <w:pPr>
        <w:spacing w:line="580" w:lineRule="exact"/>
        <w:ind w:firstLine="640"/>
        <w:jc w:val="both"/>
      </w:pPr>
      <w:r>
        <w:rPr>
          <w:rFonts w:ascii="仿宋_GB2312" w:hAnsi="仿宋_GB2312" w:eastAsia="仿宋_GB2312"/>
          <w:b w:val="0"/>
          <w:sz w:val="32"/>
        </w:rPr>
        <w:t>按照支出功能分类，公共安全支出（类）法院（款）行政运行（项）的支出占本年财政拨款支出总额的比重最高，2025年度决算数为1,867.94万元，占比66.58%，主要用于人员工资福利、日常公用经费支出。</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2025年度一般公共预算财政拨款支出2,805.66万元，</w:t>
      </w:r>
      <w:r>
        <w:rPr>
          <w:rFonts w:ascii="仿宋_GB2312" w:hAnsi="仿宋_GB2312" w:eastAsia="仿宋_GB2312"/>
          <w:b w:val="0"/>
          <w:sz w:val="32"/>
        </w:rPr>
        <w:t>占本年支出合计的97.73%。</w:t>
      </w:r>
      <w:r>
        <w:rPr>
          <w:rFonts w:ascii="仿宋_GB2312" w:hAnsi="仿宋_GB2312" w:eastAsia="仿宋_GB2312"/>
          <w:b/>
          <w:sz w:val="32"/>
        </w:rPr>
        <w:t>与上年相比，</w:t>
      </w:r>
      <w:r>
        <w:rPr>
          <w:rFonts w:ascii="仿宋_GB2312" w:hAnsi="仿宋_GB2312" w:eastAsia="仿宋_GB2312"/>
          <w:b w:val="0"/>
          <w:sz w:val="32"/>
        </w:rPr>
        <w:t>增加288.12万元，增长11.44%，主要原因是：本年在职人员工资调增，社保、公积金基数调增，人员经费增加。本年增加司法救助项目资金，导致经费支出增加。</w:t>
      </w:r>
      <w:r>
        <w:rPr>
          <w:rFonts w:ascii="仿宋_GB2312" w:hAnsi="仿宋_GB2312" w:eastAsia="仿宋_GB2312"/>
          <w:b/>
          <w:sz w:val="32"/>
        </w:rPr>
        <w:t>与年初预算相比，</w:t>
      </w:r>
      <w:r>
        <w:rPr>
          <w:rFonts w:ascii="仿宋_GB2312" w:hAnsi="仿宋_GB2312" w:eastAsia="仿宋_GB2312"/>
          <w:b w:val="0"/>
          <w:sz w:val="32"/>
        </w:rPr>
        <w:t>年初预算数2,482.71万元，决算数2,805.66万元，预决算差异率13.01%，主要原因是：年中追加人员经费及人员工资、社保、公积金基数调增部分资金，导致预决算存在差异。年中追加增加司法救助项目资金，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1.公共安全支出（类）2,293.63万元，占81.75%。</w:t>
      </w:r>
    </w:p>
    <w:p>
      <w:pPr>
        <w:spacing w:line="580" w:lineRule="exact"/>
        <w:ind w:firstLine="640"/>
        <w:jc w:val="both"/>
      </w:pPr>
      <w:r>
        <w:rPr>
          <w:rFonts w:ascii="仿宋_GB2312" w:hAnsi="仿宋_GB2312" w:eastAsia="仿宋_GB2312"/>
          <w:b w:val="0"/>
          <w:sz w:val="32"/>
        </w:rPr>
        <w:t>2.社会保障和就业支出（类）250.14万元，占8.92%。</w:t>
      </w:r>
    </w:p>
    <w:p>
      <w:pPr>
        <w:spacing w:line="580" w:lineRule="exact"/>
        <w:ind w:firstLine="640"/>
        <w:jc w:val="both"/>
      </w:pPr>
      <w:r>
        <w:rPr>
          <w:rFonts w:ascii="仿宋_GB2312" w:hAnsi="仿宋_GB2312" w:eastAsia="仿宋_GB2312"/>
          <w:b w:val="0"/>
          <w:sz w:val="32"/>
        </w:rPr>
        <w:t>3.卫生健康支出（类）119.90万元，占4.27%。</w:t>
      </w:r>
    </w:p>
    <w:p>
      <w:pPr>
        <w:spacing w:line="580" w:lineRule="exact"/>
        <w:ind w:firstLine="640"/>
        <w:jc w:val="both"/>
      </w:pPr>
      <w:r>
        <w:rPr>
          <w:rFonts w:ascii="仿宋_GB2312" w:hAnsi="仿宋_GB2312" w:eastAsia="仿宋_GB2312"/>
          <w:b w:val="0"/>
          <w:sz w:val="32"/>
        </w:rPr>
        <w:t>4.住房保障支出（类）116.76万元，占4.16%。</w:t>
      </w:r>
    </w:p>
    <w:p>
      <w:pPr>
        <w:spacing w:line="580" w:lineRule="exact"/>
        <w:ind w:firstLine="640"/>
        <w:jc w:val="both"/>
      </w:pPr>
      <w:r>
        <w:rPr>
          <w:rFonts w:ascii="仿宋_GB2312" w:hAnsi="仿宋_GB2312" w:eastAsia="仿宋_GB2312"/>
          <w:b w:val="0"/>
          <w:sz w:val="32"/>
        </w:rPr>
        <w:t>5.其他支出（类）25.23万元，占0.90%。</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1.一般公共服务支出（类）信访事务（款）信访业务（项）：支出决算数为0.00万元，比上年决算减少2.15万元，下降100.00%，主要原因是：本年减少信访业务案件支出。</w:t>
      </w:r>
    </w:p>
    <w:p>
      <w:pPr>
        <w:spacing w:line="580" w:lineRule="exact"/>
        <w:ind w:firstLine="640"/>
        <w:jc w:val="both"/>
      </w:pPr>
      <w:r>
        <w:rPr>
          <w:rFonts w:ascii="仿宋_GB2312" w:hAnsi="仿宋_GB2312" w:eastAsia="仿宋_GB2312"/>
          <w:b w:val="0"/>
          <w:sz w:val="32"/>
        </w:rPr>
        <w:t>2.公共安全支出（类）法院（款）行政运行（项）：支出决算数为1,867.94万元，比上年决算增加284.03万元，增长17.93%，主要原因是：本年新增在职人员，人员经费增加，导致经费较上年有所增加。</w:t>
      </w:r>
    </w:p>
    <w:p>
      <w:pPr>
        <w:spacing w:line="580" w:lineRule="exact"/>
        <w:ind w:firstLine="640"/>
        <w:jc w:val="both"/>
      </w:pPr>
      <w:r>
        <w:rPr>
          <w:rFonts w:ascii="仿宋_GB2312" w:hAnsi="仿宋_GB2312" w:eastAsia="仿宋_GB2312"/>
          <w:b w:val="0"/>
          <w:sz w:val="32"/>
        </w:rPr>
        <w:t>3.公共安全支出（类）法院（款）一般行政管理事务（项）：支出决算数为0.00万元，比上年决算减少34.63万元，下降100.00%，主要原因是：本年减少机关运行补助项目资金。</w:t>
      </w:r>
    </w:p>
    <w:p>
      <w:pPr>
        <w:spacing w:line="580" w:lineRule="exact"/>
        <w:ind w:firstLine="640"/>
        <w:jc w:val="both"/>
      </w:pPr>
      <w:r>
        <w:rPr>
          <w:rFonts w:ascii="仿宋_GB2312" w:hAnsi="仿宋_GB2312" w:eastAsia="仿宋_GB2312"/>
          <w:b w:val="0"/>
          <w:sz w:val="32"/>
        </w:rPr>
        <w:t>4.公共安全支出（类）法院（款）其他法院支出（项）：支出决算数为410.16万元，比上年决算减少46.09万元，下降10.10%，主要原因是：本年减少中央政法转移支付项目资金。</w:t>
      </w:r>
    </w:p>
    <w:p>
      <w:pPr>
        <w:spacing w:line="580" w:lineRule="exact"/>
        <w:ind w:firstLine="640"/>
        <w:jc w:val="both"/>
      </w:pPr>
      <w:r>
        <w:rPr>
          <w:rFonts w:ascii="仿宋_GB2312" w:hAnsi="仿宋_GB2312" w:eastAsia="仿宋_GB2312"/>
          <w:b w:val="0"/>
          <w:sz w:val="32"/>
        </w:rPr>
        <w:t>5.公共安全支出（类）其他公共安全支出（款）其他公共安全支出（项）：支出决算数为15.53万元，比上年决算增加15.53万元，增长100.00%，主要原因是：本年增加司法救助项目资金。</w:t>
      </w:r>
    </w:p>
    <w:p>
      <w:pPr>
        <w:spacing w:line="580" w:lineRule="exact"/>
        <w:ind w:firstLine="640"/>
        <w:jc w:val="both"/>
      </w:pPr>
      <w:r>
        <w:rPr>
          <w:rFonts w:ascii="仿宋_GB2312" w:hAnsi="仿宋_GB2312" w:eastAsia="仿宋_GB2312"/>
          <w:b w:val="0"/>
          <w:sz w:val="32"/>
        </w:rPr>
        <w:t>6.社会保障和就业支出（类）行政事业单位养老支出（款）行政单位离退休（项）：支出决算数为36.93万元，比上年决算增加10.38万元，增长39.10%，主要原因是：本年退休人员增加，退休费支出增加。本年增加退休人员基础绩效奖，退休费支出增加。</w:t>
      </w:r>
    </w:p>
    <w:p>
      <w:pPr>
        <w:spacing w:line="580" w:lineRule="exact"/>
        <w:ind w:firstLine="640"/>
        <w:jc w:val="both"/>
      </w:pPr>
      <w:r>
        <w:rPr>
          <w:rFonts w:ascii="仿宋_GB2312" w:hAnsi="仿宋_GB2312" w:eastAsia="仿宋_GB2312"/>
          <w:b w:val="0"/>
          <w:sz w:val="32"/>
        </w:rPr>
        <w:t>7.社会保障和就业支出（类）行政事业单位养老支出（款）机关事业单位基本养老保险缴费支出（项）：支出决算数为141.77万元，比上年决算增加5.16万元，增长3.78%，主要原因是：本年在职人员增加，养老保险缴费较上年增加。</w:t>
      </w:r>
    </w:p>
    <w:p>
      <w:pPr>
        <w:spacing w:line="580" w:lineRule="exact"/>
        <w:ind w:firstLine="640"/>
        <w:jc w:val="both"/>
      </w:pPr>
      <w:r>
        <w:rPr>
          <w:rFonts w:ascii="仿宋_GB2312" w:hAnsi="仿宋_GB2312" w:eastAsia="仿宋_GB2312"/>
          <w:b w:val="0"/>
          <w:sz w:val="32"/>
        </w:rPr>
        <w:t>8.社会保障和就业支出（类）行政事业单位养老支出（款）机关事业单位职业年金缴费支出（项）：支出决算数为71.44万元，比上年决算增加3.49万元，增长5.14%，主要原因是：本年在职人员工资基数调增，职业年金缴费支出增加。</w:t>
      </w:r>
    </w:p>
    <w:p>
      <w:pPr>
        <w:spacing w:line="580" w:lineRule="exact"/>
        <w:ind w:firstLine="640"/>
        <w:jc w:val="both"/>
      </w:pPr>
      <w:r>
        <w:rPr>
          <w:rFonts w:ascii="仿宋_GB2312" w:hAnsi="仿宋_GB2312" w:eastAsia="仿宋_GB2312"/>
          <w:b w:val="0"/>
          <w:sz w:val="32"/>
        </w:rPr>
        <w:t>9.卫生健康支出（类）行政事业单位医疗（款）行政单位医疗（项）：支出决算数为83.65万元，比上年决算增加15.42万元，增长22.60%，主要原因是：本年在职人员增加，行政单位医疗支出较上年增加。</w:t>
      </w:r>
    </w:p>
    <w:p>
      <w:pPr>
        <w:spacing w:line="580" w:lineRule="exact"/>
        <w:ind w:firstLine="640"/>
        <w:jc w:val="both"/>
      </w:pPr>
      <w:r>
        <w:rPr>
          <w:rFonts w:ascii="仿宋_GB2312" w:hAnsi="仿宋_GB2312" w:eastAsia="仿宋_GB2312"/>
          <w:b w:val="0"/>
          <w:sz w:val="32"/>
        </w:rPr>
        <w:t>10.卫生健康支出（类）行政事业单位医疗（款）公务员医疗补助（项）：支出决算数为35.37万元，比上年决算增加31.12万元，增长732.24%，主要原因是：本年在职人员增加，公务员医疗补助较上年增加。</w:t>
      </w:r>
    </w:p>
    <w:p>
      <w:pPr>
        <w:spacing w:line="580" w:lineRule="exact"/>
        <w:ind w:firstLine="640"/>
        <w:jc w:val="both"/>
      </w:pPr>
      <w:r>
        <w:rPr>
          <w:rFonts w:ascii="仿宋_GB2312" w:hAnsi="仿宋_GB2312" w:eastAsia="仿宋_GB2312"/>
          <w:b w:val="0"/>
          <w:sz w:val="32"/>
        </w:rPr>
        <w:t>11.卫生健康支出（类）行政事业单位医疗（款）其他行政事业单位医疗支出（项）：支出决算数为0.88万元，比上年决算增加0.42万元，增长91.30%，主要原因是：本年在职人员增加，大病医疗保险支出较上年增加。</w:t>
      </w:r>
    </w:p>
    <w:p>
      <w:pPr>
        <w:spacing w:line="580" w:lineRule="exact"/>
        <w:ind w:firstLine="640"/>
        <w:jc w:val="both"/>
      </w:pPr>
      <w:r>
        <w:rPr>
          <w:rFonts w:ascii="仿宋_GB2312" w:hAnsi="仿宋_GB2312" w:eastAsia="仿宋_GB2312"/>
          <w:b w:val="0"/>
          <w:sz w:val="32"/>
        </w:rPr>
        <w:t>12.住房保障支出（类）住房改革支出（款）住房公积金（项）：支出决算数为116.76万元，比上年决算增加4.89万元，增长4.37%，主要原因是：本年在职人员增加，住房公积金支出较上年增加。</w:t>
      </w:r>
    </w:p>
    <w:p>
      <w:pPr>
        <w:spacing w:line="580" w:lineRule="exact"/>
        <w:ind w:firstLine="640"/>
        <w:jc w:val="both"/>
      </w:pPr>
      <w:r>
        <w:rPr>
          <w:rFonts w:ascii="仿宋_GB2312" w:hAnsi="仿宋_GB2312" w:eastAsia="仿宋_GB2312"/>
          <w:b w:val="0"/>
          <w:sz w:val="32"/>
        </w:rPr>
        <w:t>13.其他支出（类）其他支出（款）其他支出（项）：支出决算数为25.23万元，比上年决算增加0.54万元，增长2.19%，主要原因是：本年为民办实事工作经费增加。</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2025年度一般公共预算财政拨款基本支出2,357.48万元，其中：</w:t>
      </w:r>
      <w:r>
        <w:rPr>
          <w:rFonts w:ascii="仿宋_GB2312" w:hAnsi="仿宋_GB2312" w:eastAsia="仿宋_GB2312"/>
          <w:b/>
          <w:sz w:val="32"/>
        </w:rPr>
        <w:t>人员经费2,021.39万元，</w:t>
      </w:r>
      <w:r>
        <w:rPr>
          <w:rFonts w:ascii="仿宋_GB2312" w:hAnsi="仿宋_GB2312" w:eastAsia="仿宋_GB2312"/>
          <w:b w:val="0"/>
          <w:sz w:val="32"/>
        </w:rPr>
        <w:t>包括：基本工资、津贴补贴、奖金、机关事业单位基本养老保险缴费、职业年金缴费、职工基本医疗保险缴费、公务员医疗补助缴费、其他社会保障缴费、住房公积金、其他工资福利支出、退休费、奖励金。</w:t>
      </w:r>
    </w:p>
    <w:p>
      <w:pPr>
        <w:spacing w:line="580" w:lineRule="exact"/>
        <w:ind w:firstLine="640"/>
        <w:jc w:val="both"/>
      </w:pPr>
      <w:r>
        <w:rPr>
          <w:rFonts w:ascii="仿宋_GB2312" w:hAnsi="仿宋_GB2312" w:eastAsia="仿宋_GB2312"/>
          <w:b/>
          <w:sz w:val="32"/>
        </w:rPr>
        <w:t>公用经费336.09万元，</w:t>
      </w:r>
      <w:r>
        <w:rPr>
          <w:rFonts w:ascii="仿宋_GB2312" w:hAnsi="仿宋_GB2312" w:eastAsia="仿宋_GB2312"/>
          <w:b w:val="0"/>
          <w:sz w:val="32"/>
        </w:rPr>
        <w:t>包括：办公费、印刷费、手续费、水费、电费、取暖费、差旅费、维修（护）费、租赁费、公务接待费、专用材料费、专用燃料费、劳务费、工会经费、福利费、公务用车运行维护费、其他商品和服务支出。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2025年度财政拨款“三公”经费支出35.99万元，</w:t>
      </w:r>
      <w:r>
        <w:rPr>
          <w:rFonts w:ascii="仿宋_GB2312" w:hAnsi="仿宋_GB2312" w:eastAsia="仿宋_GB2312"/>
          <w:b w:val="0"/>
          <w:sz w:val="32"/>
        </w:rPr>
        <w:t>比上年增加0.39万元，增长1.10%，主要原因是：本年因业务需求，接待人次较上年增加，导致公务接待费较上年增加。</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公务用车购置及运行维护费支出35.00万元，占97.25%，比上年增加0.00万元，增长0.00%，主要原因是：本单位公务用车购置及运行维护费与上年一致无变化。</w:t>
      </w:r>
      <w:r>
        <w:rPr>
          <w:rFonts w:ascii="仿宋_GB2312" w:hAnsi="仿宋_GB2312" w:eastAsia="仿宋_GB2312"/>
          <w:b w:val="0"/>
          <w:sz w:val="32"/>
        </w:rPr>
        <w:t>公务接待费支出0.99万元，占2.75%，比上年增加0.39万元，增长65.00%，主要原因是：本年因业务需求，接待人次较上年增加，导致公务接待费较上年增加。</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35.00万元，其中：公务用车购置费0.00万元，公务用车运行维护费35.00万元。公务用车运行维护费开支内容包括车辆加油费、维修费、保险费、审车费、过路费等。公务用车购置数0辆，公务用车保有量19辆。国有资产占用情况中固定资产车辆19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公务接待费0.99万元，开支内容包括对口援疆调研交流、上级法院开庭为庭审保障产生的接待餐费。单位全年安排的国内公务接待6批次，317人次。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35.99万元，决算数35.99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35.00万元，决算数35.00万元，预决算差异率0.00%，主要原因是：严格按照预算执行，预决算无差异。公务接待费全年预算数0.99万元，决算数0.99万元，预决算差异率0.00%，主要原因是：严格按照预算执行，预决算无差异。</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2025年度玛纳斯县人民法院（行政单位和参照公务员法管理事业单位）机关运行经费支出336.09万元，比上年增加130.86万元，增长63.76%，主要原因是：本年增加取暖费、劳务费，导致机关运行经费支出较上年增加。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2025年度政府采购支出总额63.27万元，其中：政府采购货物支出42.10万元、政府采购工程支出6.14万元、政府采购服务支出15.02万元。</w:t>
      </w:r>
    </w:p>
    <w:p>
      <w:pPr>
        <w:spacing w:line="580" w:lineRule="exact"/>
        <w:ind w:firstLine="640"/>
        <w:jc w:val="both"/>
      </w:pPr>
      <w:r>
        <w:rPr>
          <w:rFonts w:ascii="仿宋_GB2312" w:hAnsi="仿宋_GB2312" w:eastAsia="仿宋_GB2312"/>
          <w:b w:val="0"/>
          <w:sz w:val="32"/>
        </w:rPr>
        <w:t>授予中小企业合同金额63.27万元，占政府采购支出总额的100.00%，其中：授予小微企业合同金额63.27万元，占政府采购支出总额的100.00%。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16,583.25平方米，价值4,871.72万元。车辆19辆，价值276.68万元，其中：副部（省）级及以上领导用车0辆、主要负责人用车0辆、机要通信用车0辆、应急保障用车0辆、执法执勤用车13辆、特种专业技术用车4辆、离退休干部服务用车0辆、其他用车2辆，其他用车主要是：一般公务用车。单价100万元（含）以上设备（不含车辆）1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2,956.74万元，实际执行总额2,870.87万元；预算绩效评价项目2个，全年预算数65.21万元，全年执行数65.21万元。预算绩效管理取得的成效：一是在法定审限内结案，增加案件审判的透明度，促进社会公平正义；二是保障了审判法庭各类设备，当事人对案件审判工作满意度提升，保护人民群众合法权益，促进经济社会健康发展，维护社会公平正义。发现的问题及原因：一是案件数量逐年增长，疑难复杂案件不断增多，化解矛盾纠纷的难度不断加大，审判工作出现一些困难；二是部分审判设备老化，不能适应现有工作需求，影响工作效率。下一步改进措施：一是优化审判资源配置，强化能力建设，激发队伍内生动力；二是加快设备更新，保障审判工作顺利开展。具体附整体支出绩效自评表、项目支出绩效自评表。</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玛纳斯县人民法院</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387.00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445.69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445.69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2,095.71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2,359.97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2,359.97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111.74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151.08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65.21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2,594.45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2,956.74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2,870.87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97.1%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9.71</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玛纳斯县人民法院2025年按照2024版《人民法院审判管理指标体系》及我院绩效考核办法要求，结合工作实际，2025年受理审判案件不少于5160件，受理首执案件不少于1680件。通过完成基本的办案任务履行审判执行工作职能，依法受理、审、执案件，努力让人民群众在每一个司法案件中感受到公平正义，保障法院依审判执行中心工作顺利开展；提升法院装备，提高法院刑事案件，民商事案件，行政案件等案件审判公平正义，坚持司法为民，公正司法，保护人民群众合法权益。</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2956.74万元，全年执行数为2870.87万元，总预算执行率为97.10%。2025年我单位完成以下工作内容：1.受理各类案件9049件，审执结8787件；2.民商事案件调解率达到56.77%；3.法定审限期内结案率达到91.87%；4.执行结案率达到88.21%；5.平均审理时间指数90%。通过以上工作的实施，以雷霆之势破解执行难题，切实保障胜诉当事人合法权益。</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受理案件数量</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&gt;=7000件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人民法院审判质量管理体系</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=9049件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审结案件数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&gt;=6700件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人民法院审判质量管理体系</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=8787件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民商事案件调解案件率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人民法院审判质量管理体系</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=56.77%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14.19</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法定审限内结案率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人民法院审判质量管理体系</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=91.87%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执行结案率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玛纳斯县人民法院2025年审判管理工作计划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=88.21%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平均审理时间指数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人民法院审判质量管理体系</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北五岔法庭建设项目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玛纳斯县人民法院</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玛纳斯县人民法院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66.02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18.49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18.49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66.02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18.49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18.49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枫桥式法庭”创建要求，北五岔法庭在使用面积、功能布局与最高人民法院《人民法院法庭建设标准》的要求相差，已不能满足新时代人民法庭职能作用的发挥。此项目是在北五岔镇新建三层总建筑面积1000平方米及配套附属设施的人民法庭，保障北五岔镇人民法庭案件审判工作能够顺利开展，工作环境得到优化改善，后勤保障能力提升，保障业务办案及正常办公顺利进行。今年将项目尾款付完，该项目就全部完工。</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18.49万元，资金执行率100%，法院法庭建设项目2025年完成法庭室内装饰审计费、法庭室内装饰费、天然气锅炉安装费、天然气锅炉审计费及法庭监理费的支付项目1个，保障项目各环节合规落地。通过本项目实际完成了法庭硬件设施的全面升级与标准化建设，打造了庄重规范、功能完备的司法办案空间；通过本项目的实施，加装了安全高效的天然气锅炉供暖系统，完善了法庭基础配套保障体系，让司法服务更具温度；提升了法庭基础设施建设的规范化、专业化水平，筑牢了司法审判工作的硬件根基，也提升了司法办案的便捷性与群众诉讼体验；促进了基层司法阵地建设提质增效，为高效开展审判执行、多元化解矛盾纠纷提供了坚实保障，更促进了司法服务与基层社会治理的深度融合，以优质司法硬件支撑彰显司法权威、传递司法温度。</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支付项目尾款数量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尾款支付完成时间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2025年10月30日前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2025年10月30日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项目资金最终在11月底完成支付，因前期工作做的不及时影响后期付款。</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北五岔法庭尾款</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=18.49万元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=18.49万元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防范财政风险，提升政府公信力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有效防范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纠纷发生率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受益企业满意度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业绩值围绕北五岔法庭建设相关要求设定，实际完成情况符合并超出预期，偏差率11.11%；偏差原因：我院在设定北五岔法庭建设目标时，结合司法工作实际需求，聚焦法庭建设核心任务，推进过程中根据实际情况优化建设细节，确保法庭建设符合规范、满足使用需求，因此实际成效超出预期；下一年度改进措施：总结本次法庭建设经验，结合北五岔法庭实际使用需求，科学规划建设目标，规范建设流程，提升服务保障能力，充分发挥法庭职能，更好地开展司法服务工作。</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机关运行补助（自有资金）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玛纳斯县人民法院</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玛纳斯县人民法院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45.72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46.72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46.72</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45.72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46.72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46.72</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为保证基层人民法院履行职能的经费需要，项目总投资46.72万元，该项目用于物业服务费用于聘请保洁人员、委托业务费用于聘请保安人员以及购置办公设备。保障案件审判工作能够顺利开展，保障业务办案及正常办公顺利进行。综合办公室日常工作中，以该项目绩效的实施为重点工作，将关注项目的各个环节，在5月及8月的监控中达到要求，积极配合实施人员，做好全过程的工作。</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46.72万元，资金执行率100%，本项目实际完成购买物业管理服务1批，内容为聘请保安、保洁人员共4人，购置办公设备11批次，安排主题党日活动1次，购置党建书籍1批，并且保障了机关日常维修维护等；通过本项目的实施，加强了基层司法办案全流程的物资与服务保障能力，切实补齐了设备短缺、信息化运维、提供了整洁干净安全的办公环境，提升了审判执行工作的规范化、高效化水平，促进了司法资源优化配置和司法公正高效权威的落实落地，为法院以法履职、维护社会公平正义筑牢了坚实的物质基础。</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购买物业管理服务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行业标准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经费支出及时率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物业管理费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&lt;=11.12万元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=11.12万元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委托业务费成本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&lt;=24.60万元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办公设备购置成本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党建活动经费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保障部门单位运转正常，提高工作效率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本年本单位其他项目2个，全年预算数389.5万元，全年执行数389.5万元。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