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吉木萨尔县人民法院</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吉木萨尔县人民法院是党领导下国家的审判机关，对县人民代表大会及其常委会负责并报告工作，接受上级人民法院的监督和业务指导，其主要职责是。</w:t>
      </w:r>
    </w:p>
    <w:p>
      <w:pPr>
        <w:spacing w:line="580" w:lineRule="exact"/>
        <w:ind w:firstLine="640"/>
        <w:jc w:val="both"/>
      </w:pPr>
      <w:r>
        <w:rPr>
          <w:rFonts w:ascii="仿宋_GB2312" w:hAnsi="仿宋_GB2312" w:eastAsia="仿宋_GB2312"/>
          <w:sz w:val="32"/>
        </w:rPr>
        <w:t>（一）审判法律规定由县人民法院管辖的刑事、民事、行政案件。</w:t>
      </w:r>
    </w:p>
    <w:p>
      <w:pPr>
        <w:spacing w:line="580" w:lineRule="exact"/>
        <w:ind w:firstLine="640"/>
        <w:jc w:val="both"/>
      </w:pPr>
      <w:r>
        <w:rPr>
          <w:rFonts w:ascii="仿宋_GB2312" w:hAnsi="仿宋_GB2312" w:eastAsia="仿宋_GB2312"/>
          <w:sz w:val="32"/>
        </w:rPr>
        <w:t>（二）审理由上级人民法院指定管辖的刑事、民事、行政案件。</w:t>
      </w:r>
    </w:p>
    <w:p>
      <w:pPr>
        <w:spacing w:line="580" w:lineRule="exact"/>
        <w:ind w:firstLine="640"/>
        <w:jc w:val="both"/>
      </w:pPr>
      <w:r>
        <w:rPr>
          <w:rFonts w:ascii="仿宋_GB2312" w:hAnsi="仿宋_GB2312" w:eastAsia="仿宋_GB2312"/>
          <w:sz w:val="32"/>
        </w:rPr>
        <w:t>（三）审理由上级人民法院交办的再审案件。</w:t>
      </w:r>
    </w:p>
    <w:p>
      <w:pPr>
        <w:spacing w:line="580" w:lineRule="exact"/>
        <w:ind w:firstLine="640"/>
        <w:jc w:val="both"/>
      </w:pPr>
      <w:r>
        <w:rPr>
          <w:rFonts w:ascii="仿宋_GB2312" w:hAnsi="仿宋_GB2312" w:eastAsia="仿宋_GB2312"/>
          <w:sz w:val="32"/>
        </w:rPr>
        <w:t>（四）依法行使司法执行权和司法决定权。</w:t>
      </w:r>
    </w:p>
    <w:p>
      <w:pPr>
        <w:spacing w:line="580" w:lineRule="exact"/>
        <w:ind w:firstLine="640"/>
        <w:jc w:val="both"/>
      </w:pPr>
      <w:r>
        <w:rPr>
          <w:rFonts w:ascii="仿宋_GB2312" w:hAnsi="仿宋_GB2312" w:eastAsia="仿宋_GB2312"/>
          <w:sz w:val="32"/>
        </w:rPr>
        <w:t>（五）在审判工作中宣传法制、教育公民自觉遵守宪法、法律。</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吉木萨尔县人民法院无下属预算单位。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2025年度收入总计2,743.04万元，</w:t>
      </w:r>
      <w:r>
        <w:rPr>
          <w:rFonts w:ascii="仿宋_GB2312" w:hAnsi="仿宋_GB2312" w:eastAsia="仿宋_GB2312"/>
          <w:b w:val="0"/>
          <w:sz w:val="32"/>
        </w:rPr>
        <w:t>其中：本年收入合计2,690.95万元，使用非财政拨款结余（含专用结余）0.00万元，年初结转和结余52.10万元。</w:t>
      </w:r>
    </w:p>
    <w:p>
      <w:pPr>
        <w:spacing w:line="580" w:lineRule="exact"/>
        <w:ind w:firstLine="640"/>
        <w:jc w:val="both"/>
      </w:pPr>
      <w:r>
        <w:rPr>
          <w:rFonts w:ascii="仿宋_GB2312" w:hAnsi="仿宋_GB2312" w:eastAsia="仿宋_GB2312"/>
          <w:b/>
          <w:sz w:val="32"/>
        </w:rPr>
        <w:t>2025年度支出总计2,743.04万元，</w:t>
      </w:r>
      <w:r>
        <w:rPr>
          <w:rFonts w:ascii="仿宋_GB2312" w:hAnsi="仿宋_GB2312" w:eastAsia="仿宋_GB2312"/>
          <w:b w:val="0"/>
          <w:sz w:val="32"/>
        </w:rPr>
        <w:t>其中：本年支出合计2,692.38万元，结余分配0.00万元，年末结转和结余50.67万元。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增加520.41万元，增长23.41%，主要原因是：本年增加了办公大楼维修费、办案费用等。</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本年收入2,690.95万元，</w:t>
      </w:r>
      <w:r>
        <w:rPr>
          <w:rFonts w:ascii="仿宋_GB2312" w:hAnsi="仿宋_GB2312" w:eastAsia="仿宋_GB2312"/>
          <w:b w:val="0"/>
          <w:sz w:val="32"/>
        </w:rPr>
        <w:t>其中：财政拨款收入2,629.98万元，占97.73%；上级补助收入0.00万元，占0.00%；事业收入0.00万元，占0.00%；经营收入0.00万元，占0.00%；附属单位上缴收入0.00万元，占0.00%；其他收入60.97万元，占2.27%。</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本年支出2,692.38万元，</w:t>
      </w:r>
      <w:r>
        <w:rPr>
          <w:rFonts w:ascii="仿宋_GB2312" w:hAnsi="仿宋_GB2312" w:eastAsia="仿宋_GB2312"/>
          <w:b w:val="0"/>
          <w:sz w:val="32"/>
        </w:rPr>
        <w:t>其中：基本支出2,025.00万元，占75.21%；项目支出667.38万元，占24.79%；上缴上级支出0.00万元，占0.00%；经营支出0.00万元，占0.00%；对附属单位补助支出0.00万元，占0.00%。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2025年度财政拨款收入总计2,629.98万元，</w:t>
      </w:r>
      <w:r>
        <w:rPr>
          <w:rFonts w:ascii="仿宋_GB2312" w:hAnsi="仿宋_GB2312" w:eastAsia="仿宋_GB2312"/>
          <w:b w:val="0"/>
          <w:sz w:val="32"/>
        </w:rPr>
        <w:t>其中：年初财政拨款结转和结余0.00万元，本年财政拨款收入2,629.98万元。</w:t>
      </w:r>
      <w:r>
        <w:rPr>
          <w:rFonts w:ascii="仿宋_GB2312" w:hAnsi="仿宋_GB2312" w:eastAsia="仿宋_GB2312"/>
          <w:b/>
          <w:sz w:val="32"/>
        </w:rPr>
        <w:t>财政拨款支出总计2,629.98万元，</w:t>
      </w:r>
      <w:r>
        <w:rPr>
          <w:rFonts w:ascii="仿宋_GB2312" w:hAnsi="仿宋_GB2312" w:eastAsia="仿宋_GB2312"/>
          <w:b w:val="0"/>
          <w:sz w:val="32"/>
        </w:rPr>
        <w:t>其中：年末财政拨款结转和结余0.00万元，本年财政拨款支出2,629.98万元。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增加506.63万元，增长23.86%，主要原因是：本年增加了办公大楼维修费、办案费用等。</w:t>
      </w:r>
      <w:r>
        <w:rPr>
          <w:rFonts w:ascii="仿宋_GB2312" w:hAnsi="仿宋_GB2312" w:eastAsia="仿宋_GB2312"/>
          <w:b/>
          <w:sz w:val="32"/>
        </w:rPr>
        <w:t>与年初预算相比，</w:t>
      </w:r>
      <w:r>
        <w:rPr>
          <w:rFonts w:ascii="仿宋_GB2312" w:hAnsi="仿宋_GB2312" w:eastAsia="仿宋_GB2312"/>
          <w:b w:val="0"/>
          <w:sz w:val="32"/>
        </w:rPr>
        <w:t>年初预算数2,294.43万元，决算数2,629.98万元，预决算差异率14.62%，主要原因是：年中追加人员经费及人员工资、社保、公积金基数调增部分资金，导致预决算存在差异。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审判业务等重点支出，体现在有关支出科目中。</w:t>
      </w:r>
    </w:p>
    <w:p>
      <w:pPr>
        <w:spacing w:line="580" w:lineRule="exact"/>
        <w:ind w:firstLine="640"/>
        <w:jc w:val="both"/>
      </w:pPr>
      <w:r>
        <w:rPr>
          <w:rFonts w:ascii="仿宋_GB2312" w:hAnsi="仿宋_GB2312" w:eastAsia="仿宋_GB2312"/>
          <w:b w:val="0"/>
          <w:sz w:val="32"/>
        </w:rPr>
        <w:t>按照支出功能分类，公共安全支出（类）法院（款）行政运行（项）的支出占本年财政拨款支出总额的比重最高，2025年度决算数为1,607.42万元，占比61.12%，主要用于人员工资福利支出、办公水电暖物业、日常运维等基础运转开支。</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2025年度一般公共预算财政拨款支出2,629.98万元，</w:t>
      </w:r>
      <w:r>
        <w:rPr>
          <w:rFonts w:ascii="仿宋_GB2312" w:hAnsi="仿宋_GB2312" w:eastAsia="仿宋_GB2312"/>
          <w:b w:val="0"/>
          <w:sz w:val="32"/>
        </w:rPr>
        <w:t>占本年支出合计的97.68%。</w:t>
      </w:r>
      <w:r>
        <w:rPr>
          <w:rFonts w:ascii="仿宋_GB2312" w:hAnsi="仿宋_GB2312" w:eastAsia="仿宋_GB2312"/>
          <w:b/>
          <w:sz w:val="32"/>
        </w:rPr>
        <w:t>与上年相比，</w:t>
      </w:r>
      <w:r>
        <w:rPr>
          <w:rFonts w:ascii="仿宋_GB2312" w:hAnsi="仿宋_GB2312" w:eastAsia="仿宋_GB2312"/>
          <w:b w:val="0"/>
          <w:sz w:val="32"/>
        </w:rPr>
        <w:t>增加506.63万元，增长23.86%，主要原因是：本年增加了办公大楼维修费、办案费用等。</w:t>
      </w:r>
      <w:r>
        <w:rPr>
          <w:rFonts w:ascii="仿宋_GB2312" w:hAnsi="仿宋_GB2312" w:eastAsia="仿宋_GB2312"/>
          <w:b/>
          <w:sz w:val="32"/>
        </w:rPr>
        <w:t>与年初预算相比，</w:t>
      </w:r>
      <w:r>
        <w:rPr>
          <w:rFonts w:ascii="仿宋_GB2312" w:hAnsi="仿宋_GB2312" w:eastAsia="仿宋_GB2312"/>
          <w:b w:val="0"/>
          <w:sz w:val="32"/>
        </w:rPr>
        <w:t>年初预算数2,294.43万元，决算数2,629.98万元，预决算差异率14.62%，主要原因是：年中追加人员经费及人员工资、社保、公积金基数调增部分资金，导致预决算存在差异。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1.一般公共服务支出（类）28.18万元，占1.07%。</w:t>
      </w:r>
    </w:p>
    <w:p>
      <w:pPr>
        <w:spacing w:line="580" w:lineRule="exact"/>
        <w:ind w:firstLine="640"/>
        <w:jc w:val="both"/>
      </w:pPr>
      <w:r>
        <w:rPr>
          <w:rFonts w:ascii="仿宋_GB2312" w:hAnsi="仿宋_GB2312" w:eastAsia="仿宋_GB2312"/>
          <w:b w:val="0"/>
          <w:sz w:val="32"/>
        </w:rPr>
        <w:t>2.公共安全支出（类）2,174.22万元，占82.67%。</w:t>
      </w:r>
    </w:p>
    <w:p>
      <w:pPr>
        <w:spacing w:line="580" w:lineRule="exact"/>
        <w:ind w:firstLine="640"/>
        <w:jc w:val="both"/>
      </w:pPr>
      <w:r>
        <w:rPr>
          <w:rFonts w:ascii="仿宋_GB2312" w:hAnsi="仿宋_GB2312" w:eastAsia="仿宋_GB2312"/>
          <w:b w:val="0"/>
          <w:sz w:val="32"/>
        </w:rPr>
        <w:t>3.社会保障和就业支出（类）213.51万元，占8.12%。</w:t>
      </w:r>
    </w:p>
    <w:p>
      <w:pPr>
        <w:spacing w:line="580" w:lineRule="exact"/>
        <w:ind w:firstLine="640"/>
        <w:jc w:val="both"/>
      </w:pPr>
      <w:r>
        <w:rPr>
          <w:rFonts w:ascii="仿宋_GB2312" w:hAnsi="仿宋_GB2312" w:eastAsia="仿宋_GB2312"/>
          <w:b w:val="0"/>
          <w:sz w:val="32"/>
        </w:rPr>
        <w:t>4.卫生健康支出（类）98.60万元，占3.75%。</w:t>
      </w:r>
    </w:p>
    <w:p>
      <w:pPr>
        <w:spacing w:line="580" w:lineRule="exact"/>
        <w:ind w:firstLine="640"/>
        <w:jc w:val="both"/>
      </w:pPr>
      <w:r>
        <w:rPr>
          <w:rFonts w:ascii="仿宋_GB2312" w:hAnsi="仿宋_GB2312" w:eastAsia="仿宋_GB2312"/>
          <w:b w:val="0"/>
          <w:sz w:val="32"/>
        </w:rPr>
        <w:t>5.住房保障支出（类）105.46万元，占4.01%。</w:t>
      </w:r>
    </w:p>
    <w:p>
      <w:pPr>
        <w:spacing w:line="580" w:lineRule="exact"/>
        <w:ind w:firstLine="640"/>
        <w:jc w:val="both"/>
      </w:pPr>
      <w:r>
        <w:rPr>
          <w:rFonts w:ascii="仿宋_GB2312" w:hAnsi="仿宋_GB2312" w:eastAsia="仿宋_GB2312"/>
          <w:b w:val="0"/>
          <w:sz w:val="32"/>
        </w:rPr>
        <w:t>6.其他支出（类）10.00万元，占0.38%。</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1.一般公共服务支出（类）信访事务（款）信访业务（项）：支出决算数为0.00万元，比上年决算减少0.50万元，下降100.00%，主要原因是：本年减少信访专项资金。</w:t>
      </w:r>
    </w:p>
    <w:p>
      <w:pPr>
        <w:spacing w:line="580" w:lineRule="exact"/>
        <w:ind w:firstLine="640"/>
        <w:jc w:val="both"/>
      </w:pPr>
      <w:r>
        <w:rPr>
          <w:rFonts w:ascii="仿宋_GB2312" w:hAnsi="仿宋_GB2312" w:eastAsia="仿宋_GB2312"/>
          <w:b w:val="0"/>
          <w:sz w:val="32"/>
        </w:rPr>
        <w:t>2.一般公共服务支出（类）其他一般公共服务支出（款）国家赔偿费用支出（项）：支出决算数为28.18万元，比上年决算增加28.18万元，增长100.00%，主要原因是：本年增加国家赔偿费用。</w:t>
      </w:r>
    </w:p>
    <w:p>
      <w:pPr>
        <w:spacing w:line="580" w:lineRule="exact"/>
        <w:ind w:firstLine="640"/>
        <w:jc w:val="both"/>
      </w:pPr>
      <w:r>
        <w:rPr>
          <w:rFonts w:ascii="仿宋_GB2312" w:hAnsi="仿宋_GB2312" w:eastAsia="仿宋_GB2312"/>
          <w:b w:val="0"/>
          <w:sz w:val="32"/>
        </w:rPr>
        <w:t>3.公共安全支出（类）法院（款）行政运行（项）：支出决算数为1,607.42万元，比上年决算增加216.40万元，增长15.56%，主要原因是：本年在职人员工资调增，导致相关人员经费较上年有所增加。</w:t>
      </w:r>
    </w:p>
    <w:p>
      <w:pPr>
        <w:spacing w:line="580" w:lineRule="exact"/>
        <w:ind w:firstLine="640"/>
        <w:jc w:val="both"/>
      </w:pPr>
      <w:r>
        <w:rPr>
          <w:rFonts w:ascii="仿宋_GB2312" w:hAnsi="仿宋_GB2312" w:eastAsia="仿宋_GB2312"/>
          <w:b w:val="0"/>
          <w:sz w:val="32"/>
        </w:rPr>
        <w:t>4.公共安全支出（类）法院（款）一般行政管理事务（项）：支出决算数为111.04万元，比上年决算增加65.75万元，增长145.18%，主要原因是：增加了办公大楼维修费。</w:t>
      </w:r>
    </w:p>
    <w:p>
      <w:pPr>
        <w:spacing w:line="580" w:lineRule="exact"/>
        <w:ind w:firstLine="640"/>
        <w:jc w:val="both"/>
      </w:pPr>
      <w:r>
        <w:rPr>
          <w:rFonts w:ascii="仿宋_GB2312" w:hAnsi="仿宋_GB2312" w:eastAsia="仿宋_GB2312"/>
          <w:b w:val="0"/>
          <w:sz w:val="32"/>
        </w:rPr>
        <w:t>5.公共安全支出（类）法院（款）其他法院支出（项）：支出决算数为430.76万元，比上年决算增加118.50万元，增长37.95%，主要原因是：增加了办案专项经费。</w:t>
      </w:r>
    </w:p>
    <w:p>
      <w:pPr>
        <w:spacing w:line="580" w:lineRule="exact"/>
        <w:ind w:firstLine="640"/>
        <w:jc w:val="both"/>
      </w:pPr>
      <w:r>
        <w:rPr>
          <w:rFonts w:ascii="仿宋_GB2312" w:hAnsi="仿宋_GB2312" w:eastAsia="仿宋_GB2312"/>
          <w:b w:val="0"/>
          <w:sz w:val="32"/>
        </w:rPr>
        <w:t>6.公共安全支出（类）其他公共安全支出（款）其他公共安全支出（项）：支出决算数为25.00万元，比上年决算增加25.00万元，增长100.00%，主要原因是：增加了信访救助资金。</w:t>
      </w:r>
    </w:p>
    <w:p>
      <w:pPr>
        <w:spacing w:line="580" w:lineRule="exact"/>
        <w:ind w:firstLine="640"/>
        <w:jc w:val="both"/>
      </w:pPr>
      <w:r>
        <w:rPr>
          <w:rFonts w:ascii="仿宋_GB2312" w:hAnsi="仿宋_GB2312" w:eastAsia="仿宋_GB2312"/>
          <w:b w:val="0"/>
          <w:sz w:val="32"/>
        </w:rPr>
        <w:t>7.社会保障和就业支出（类）行政事业单位养老支出（款）行政单位离退休（项）：支出决算数为27.56万元，比上年决算增加10.39万元，增长60.51%，主要原因是：本年增加退休人员基础绩效奖，退休费支出增加。</w:t>
      </w:r>
    </w:p>
    <w:p>
      <w:pPr>
        <w:spacing w:line="580" w:lineRule="exact"/>
        <w:ind w:firstLine="640"/>
        <w:jc w:val="both"/>
      </w:pPr>
      <w:r>
        <w:rPr>
          <w:rFonts w:ascii="仿宋_GB2312" w:hAnsi="仿宋_GB2312" w:eastAsia="仿宋_GB2312"/>
          <w:b w:val="0"/>
          <w:sz w:val="32"/>
        </w:rPr>
        <w:t>8.社会保障和就业支出（类）行政事业单位养老支出（款）机关事业单位基本养老保险缴费支出（项）：支出决算数为123.98万元，比上年决算增加2.19万元，增长1.80%，主要原因是：本年在职人员工资基数调增，养老缴费基数增加，相应支出增加。</w:t>
      </w:r>
    </w:p>
    <w:p>
      <w:pPr>
        <w:spacing w:line="580" w:lineRule="exact"/>
        <w:ind w:firstLine="640"/>
        <w:jc w:val="both"/>
      </w:pPr>
      <w:r>
        <w:rPr>
          <w:rFonts w:ascii="仿宋_GB2312" w:hAnsi="仿宋_GB2312" w:eastAsia="仿宋_GB2312"/>
          <w:b w:val="0"/>
          <w:sz w:val="32"/>
        </w:rPr>
        <w:t>9.社会保障和就业支出（类）行政事业单位养老支出（款）机关事业单位职业年金缴费支出（项）：支出决算数为61.97万元，比上年决算增加1.08万元，增长1.77%，主要原因是：本年新增退休人员，职业年金缴费支出增加。</w:t>
      </w:r>
    </w:p>
    <w:p>
      <w:pPr>
        <w:spacing w:line="580" w:lineRule="exact"/>
        <w:ind w:firstLine="640"/>
        <w:jc w:val="both"/>
      </w:pPr>
      <w:r>
        <w:rPr>
          <w:rFonts w:ascii="仿宋_GB2312" w:hAnsi="仿宋_GB2312" w:eastAsia="仿宋_GB2312"/>
          <w:b w:val="0"/>
          <w:sz w:val="32"/>
        </w:rPr>
        <w:t>10.卫生健康支出（类）行政事业单位医疗（款）行政单位医疗（项）：支出决算数为75.46万元，比上年决算增加13.73万元，增长22.24%，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11.卫生健康支出（类）行政事业单位医疗（款）公务员医疗补助（项）：支出决算数为22.36万元，比上年决算增加18.50万元，增长479.27%，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12.卫生健康支出（类）行政事业单位医疗（款）其他行政事业单位医疗支出（项）：支出决算数为0.78万元，比上年决算增加0.35万元，增长81.40%，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13.住房保障支出（类）住房改革支出（款）住房公积金（项）：支出决算数为105.46万元，比上年决算增加8.12万元，增长8.34%，主要原因是：本年在职人员工资基数调增，住房公积金支出相应增加。</w:t>
      </w:r>
    </w:p>
    <w:p>
      <w:pPr>
        <w:spacing w:line="580" w:lineRule="exact"/>
        <w:ind w:firstLine="640"/>
        <w:jc w:val="both"/>
      </w:pPr>
      <w:r>
        <w:rPr>
          <w:rFonts w:ascii="仿宋_GB2312" w:hAnsi="仿宋_GB2312" w:eastAsia="仿宋_GB2312"/>
          <w:b w:val="0"/>
          <w:sz w:val="32"/>
        </w:rPr>
        <w:t>14.其他支出（类）其他支出（款）其他支出（项）：支出决算数为10.00万元，比上年决算减少1.07万元，下降9.67%，主要原因是：本年为民办实事经费支出较上年减少。</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2025年度一般公共预算财政拨款基本支出2,025.00万元，其中：</w:t>
      </w:r>
      <w:r>
        <w:rPr>
          <w:rFonts w:ascii="仿宋_GB2312" w:hAnsi="仿宋_GB2312" w:eastAsia="仿宋_GB2312"/>
          <w:b/>
          <w:sz w:val="32"/>
        </w:rPr>
        <w:t>人员经费1,708.82万元，</w:t>
      </w:r>
      <w:r>
        <w:rPr>
          <w:rFonts w:ascii="仿宋_GB2312" w:hAnsi="仿宋_GB2312" w:eastAsia="仿宋_GB2312"/>
          <w:b w:val="0"/>
          <w:sz w:val="32"/>
        </w:rPr>
        <w:t>包括：基本工资、津贴补贴、奖金、机关事业单位基本养老保险缴费、职业年金缴费、职工基本医疗保险缴费、公务员医疗补助缴费、其他社会保障缴费、住房公积金、其他工资福利支出、退休费、生活补助、奖励金。</w:t>
      </w:r>
    </w:p>
    <w:p>
      <w:pPr>
        <w:spacing w:line="580" w:lineRule="exact"/>
        <w:ind w:firstLine="640"/>
        <w:jc w:val="both"/>
      </w:pPr>
      <w:r>
        <w:rPr>
          <w:rFonts w:ascii="仿宋_GB2312" w:hAnsi="仿宋_GB2312" w:eastAsia="仿宋_GB2312"/>
          <w:b/>
          <w:sz w:val="32"/>
        </w:rPr>
        <w:t>公用经费316.18万元，</w:t>
      </w:r>
      <w:r>
        <w:rPr>
          <w:rFonts w:ascii="仿宋_GB2312" w:hAnsi="仿宋_GB2312" w:eastAsia="仿宋_GB2312"/>
          <w:b w:val="0"/>
          <w:sz w:val="32"/>
        </w:rPr>
        <w:t>包括：办公费、水费、电费、取暖费、物业管理费、维修（护）费、租赁费、公务接待费、劳务费、委托业务费、工会经费、福利费、公务用车运行维护费、其他商品和服务支出。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2025年度财政拨款“三公”经费支出35.11万元，</w:t>
      </w:r>
      <w:r>
        <w:rPr>
          <w:rFonts w:ascii="仿宋_GB2312" w:hAnsi="仿宋_GB2312" w:eastAsia="仿宋_GB2312"/>
          <w:b w:val="0"/>
          <w:sz w:val="32"/>
        </w:rPr>
        <w:t>比上年减少0.03万元，下降0.09%，主要原因是：本年因业务需求，减少公务接待工作，导致公务接待费较上年减少。</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公务用车购置及运行维护费支出34.84万元，占99.23%，比上年增加0.00万元，增长0.00%，主要原因是：本单位公务用车购置及运行维护费与上年一致无变化。</w:t>
      </w:r>
      <w:r>
        <w:rPr>
          <w:rFonts w:ascii="仿宋_GB2312" w:hAnsi="仿宋_GB2312" w:eastAsia="仿宋_GB2312"/>
          <w:b w:val="0"/>
          <w:sz w:val="32"/>
        </w:rPr>
        <w:t>公务接待费支出0.27万元，占0.77%，比上年减少0.03万元，下降10.00%，主要原因是：本年因业务需求，减少公务接待工作，导致公务接待费较上年减少。</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34.84万元，其中：公务用车购置费0.00万元，公务用车运行维护费34.84万元。公务用车运行维护费开支内容包括本单位公务用车购置及运行维护费与上年一致无变化。公务用车购置数0辆，公务用车保有量17辆。国有资产占用情况中固定资产车辆17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公务接待费0.27万元，开支内容包括本年因业务需求，减少公务接待工作，导致公务接待费较上年减少。单位全年安排的国内公务接待3批次，42人次。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35.11万元，决算数35.11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34.84万元，决算数34.84万元，预决算差异率0.00%，主要原因是：严格按照预算执行，预决算无差异。公务接待费全年预算数0.27万元，决算数0.27万元，预决算差异率0.00%，主要原因是：严格按照预算执行，预决算无差异。</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2025年度吉木萨尔县人民法院（行政单位和参照公务员法管理事业单位）机关运行经费支出316.18万元，比上年增加142.90万元，增长82.47%，主要原因是：本年增加劳务费等机关运行经费支出。</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2025年度政府采购支出总额183.35万元，其中：政府采购货物支出10.99万元、政府采购工程支出155.72万元、政府采购服务支出16.63万元。</w:t>
      </w:r>
    </w:p>
    <w:p>
      <w:pPr>
        <w:spacing w:line="580" w:lineRule="exact"/>
        <w:ind w:firstLine="640"/>
        <w:jc w:val="both"/>
      </w:pPr>
      <w:r>
        <w:rPr>
          <w:rFonts w:ascii="仿宋_GB2312" w:hAnsi="仿宋_GB2312" w:eastAsia="仿宋_GB2312"/>
          <w:b w:val="0"/>
          <w:sz w:val="32"/>
        </w:rPr>
        <w:t>授予中小企业合同金额155.76万元，占政府采购支出总额的84.95%，其中：授予小微企业合同金额4.99万元，占政府采购支出总额的2.72%。</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8,492.86平方米，价值1,971.34万元。车辆17辆，价值282.19万元，其中：副部（省）级及以上领导用车0辆、主要负责人用车0辆、机要通信用车0辆、应急保障用车0辆、执法执勤用车12辆、特种专业技术用车4辆、离退休干部服务用车0辆、其他用车1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2,743.04万元，实际执行总额2,692.37万元；预算绩效评价项目2个，全年预算数213.40万元，全年执行数211.26万元。预算绩效管理取得的成效：单位确定了单位绩效工作组织架构。办公室负责牵头建立绩效小组，研究制定各项绩效管理制度，组织协调绩效日常工作，认真执行项目绩效管理制度，落实相关工作要求。建立了部门预算管理办法、财务收支管理办法、固定资产管理办法、办公用品采购保管领用管理办法、采购管理办法、合同业务管理办法、会计业务管理办法等。本单位预算编制坚持量入为出、保障重点，对项目支出按照轻重缓急程度实行分类排序，统筹安排部门预算。本单位安排项目预算时将项目支出进行细化，细化成单价、数量，单价以行业标准、市场数据以及历史数据作为编制依据进行核算，数量以实际需求等资料为依据进行测算。人员经费预算和公用经费预算均按照定额标准编制，预算与部门活动相匹配。我单位牢固树立全面绩效管理理念，将预算绩效管理融入预算各类项目资金，将绩效理念融入预算各个层级，将绩效方法融入预算各项流程，严格按照政策要求编制部门整体支出绩效目标和项目支出绩效目标，实现预算编制有目标，确保了资金分配与绩效目标的一致性，实现预算绩效全覆盖。我单位项目实施紧扣各个环节，逐步推进，及时与职能部门跟踪项目进展，加强项目督办，充分调动职能部门的积极性，整体绩效完成情况较好。发现的问题及原因：一是单位内控职责不够细化，项目预算的绩效设定与实际的项目支出存在些许差距，争取在今后工作中准确把握项目资金支出，达到资金的最大效益；二是在资金申请工作中要积极主动联系财政部门确保资金及时落实到位，进一步按照国家有关财务规章制度规定加强资金使用管理，确保资金用到实处，工作有序的开展，加强自身建设，提高服务能力。下一步改进措施：一是加强学习，进一步明确如何参照考核体系，科学合理设定绩效目标，充分发挥预算绩效管理工作效用。二是财务上会计核算要更加详细，为本单位各项工作的开展总结评估提供有效数据资料支撑，为各项业务工作更好的开展提供帮助。三是从源头上强化对专项资金预算管理，实行专项资金预算管理，结合单位实际按轻重缓急统筹安排编制预算，提高预算编制科学性和合理性，优化资金结构。具体附整体支出绩效自评表、项目支出绩效自评表。</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吉木萨尔县人民法院</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409.15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465.76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465.76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1,885.28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2,164.21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2,164.21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47.40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113.07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62.40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2,341.83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2,743.04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2,692.37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9.82</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吉木萨尔县人民法院将始终坚持以习近平新时代中国特色社会主义思想为指导，深学笃行习近平法治思想，全面贯彻党的二十届三中全会精神，认真落实区州党委和县委决策部署，紧紧围绕“努力让人民群众在每一个司法案件中感受到公平正义。坚持以习近平新时代中国特色社会主义思想为指导，完整准确全面贯彻新时代党的治疆方略，在县委的坚强领导下，以更广的视野、更远的眼光、充分运用政治智慧、法治智慧、审判智慧为全力建设推进中国式现代化新疆实践的典范地州，服务吉木萨尔县经济高质量发展，再展风采、再建新功。昌吉市市人民法院将坚持以习近平新时代中国特色社会主义思想为指导，全面贯彻党的二十届二中、三中全会精神，认真落实区州市党委决策部署，按照上级法院“五个走在前列”的期待要求，以群众满意为重要标尺，持续提升审判质效、优化服务效能、推进多元解纷、强化司法作风，以扎实成效回馈社会期盼。坚定信念，以更高的政治站位推动政治思想建院。紧扣中心，以更新的司法理念服务保障发展大局。厉行法治，以更强的使命担当捍卫社会公平正义。同时，法院积极作为，其中法定审限内结案率、法定审限内案件执行执结率、受理案件数量、审结案件数量成效显著，有力维护了法律权威和当事人的合法权益。</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我单位全年预算数为2,743.10万元，全年执行数为2,692.37万元，总预算执行率为98.15%。2025年我单位完成以下工作内容：1法定审限内结案率达到92.56%；2.法定审限内案件执行执结率98.67%；3.受理案件1万件；4.审结案件数量0.91万件。通过以上工作的实施，保障我院办公人员正常办公，达到维护社会稳定的效果。</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法定审限内结案率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《人民法院审判质量管理指标体系》《吉木萨尔县人民法院2025年工作计划》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=92.56%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法定审限内案件执行执结率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《人民法院审判质量管理指标体系》《吉木萨尔县人民法院2025年工作计划》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=98.67%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受理案件数量</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&gt;0.99万件</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《人民法院审判质量管理指标体系》《吉木萨尔县人民法院2025年工作计划》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=1万件</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审结案件数量</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&gt;0.93万件</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《人民法院审判质量管理指标体系》《吉木萨尔县人民法院2025年工作计划》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=0.93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办公用房维修项目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昌吉回族自治州中级人民法院</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吉木萨尔县人民法院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163.86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98.71%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9.68</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163.86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吉木萨尔县人民法院项目旨在解决本院安全隐患和电路系统不合规的问题。保障电路系统合规、干警的正常办公和人民群众的安全。此项目拟维修改造办公楼面积面积5220.83平方米，为了我院办公人员安全，项目完成时限为2025年12月10日前，通过此项目降低安全隐患，使干警满意度达到90%以上。</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截至2026年6月30日，本项目支出资金163.86万元，资金执行率98.71%，本项目实际完成维护改造项目1个，维修改造法庭面积550平方米。通过本项目的实施，保障我院办公人员安全，降低安全隐患。</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维修改造项目数量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维修面积</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=5220.83平方米</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=5220.83平方米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2026年5月23日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项目原计划2025年12月10日前完工，因前期现场勘查、项目采购招标流程周期较长，施工进场时间延后，实际竣工时间为 2026 年 5 月 23 日，未按期完成；下一年度改进措施：同类维修项目提前启动现场摸排，前置招标采购工作，细化施工时间节点管控，保障项目按期竣工交付。</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办公楼维修成本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&lt;=78.94万元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=78.94万元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电路系统改造</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&lt;=87.06万元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=84.92万元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97.54%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10.32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电路系统改造预算目标≤87.06 万元，实际支出 84.92 万元，偏差率 2.46%，项目施工过程中优化施工方案，部分材料通过比价采购节约少量资金，实际成本略低于预算上限；下一年度改进措施：项目预算编制阶段细化工程量清单，精准测算材料、人工费用，持续落实采购比价机制，进一步提升预算编制精准度。</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降低安全隐患</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有效降低</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干警满意度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目标值≥90%，实际干警满意度 100%，完成率超出预期，主要是项目改造后电路安全隐患消除，办公环境改善，干警评价较高；下一年度改进措施：项目实施前后开展调研，收集干警需求，持续做好工程质量管控，巩固项目实施成效。</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89.00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机关运行补助经费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昌吉回族自治州中级人民法院</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吉木萨尔县人民法院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47.40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47.40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47.40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47.40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47.40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47.40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吉木萨尔县人民法院物业特点和项目需要，在做好日常物业服务工作的基础上，时刻做好安保服务的准备并强力保障昌吉市人民法院物业的正常办公，故设立机关运行项目，此项目拟保障办公人员118人，安保服务发放月数等于12个月，通过此项目，保障部门单位运转正常，提高工作效率。</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截至2025年12月31日，本项目支出资金47.4万元，资金执行率100%，本项目实际完成保障办公人员118人，安保服务发放月数等于12个月，通过此项目，保障部门单位运转正常，提高工作效率。</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安保服务发放月数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=12个月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=12个月</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保障办公人员数量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&gt;=118人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=118人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经费支付及时率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安保服务保障成本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&lt;=19.18万元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=19.18万元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设备及办公耗材采购成本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&lt;=16.45万元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=16.45万元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广告宣传成本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日常维修成本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&lt;=3.77万元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=3.77万元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电费成本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差旅费成本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保障部门单位运转正常，提高工作效率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达到预期指标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本年本单位其他项目2个，全年预算数471.15万元，全年执行数465.76万元。</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