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阜康市人民法院</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（1）贯彻落实党中央和各级党委及上级法院制定的有关审判工作的路线、方针、政策，向当地人民代表及常务委员会负责并报告工作，接受当地人大及常委会的监督，接受上级人民法院的监督与业务指导。</w:t>
      </w:r>
    </w:p>
    <w:p>
      <w:pPr>
        <w:spacing w:line="580" w:lineRule="exact"/>
        <w:ind w:firstLine="640"/>
        <w:jc w:val="both"/>
      </w:pPr>
      <w:r>
        <w:rPr>
          <w:rFonts w:ascii="仿宋_GB2312" w:hAnsi="仿宋_GB2312" w:eastAsia="仿宋_GB2312"/>
          <w:sz w:val="32"/>
        </w:rPr>
        <w:t>（2）按照管辖范围审理刑事、民事、经济、行政和第一审案件及减刑、假释案件。</w:t>
      </w:r>
    </w:p>
    <w:p>
      <w:pPr>
        <w:spacing w:line="580" w:lineRule="exact"/>
        <w:ind w:firstLine="640"/>
        <w:jc w:val="both"/>
      </w:pPr>
      <w:r>
        <w:rPr>
          <w:rFonts w:ascii="仿宋_GB2312" w:hAnsi="仿宋_GB2312" w:eastAsia="仿宋_GB2312"/>
          <w:sz w:val="32"/>
        </w:rPr>
        <w:t>（3）依法审理依照审判监督程序提起的再审和上级法院指定再审的案件。</w:t>
      </w:r>
    </w:p>
    <w:p>
      <w:pPr>
        <w:spacing w:line="580" w:lineRule="exact"/>
        <w:ind w:firstLine="640"/>
        <w:jc w:val="both"/>
      </w:pPr>
      <w:r>
        <w:rPr>
          <w:rFonts w:ascii="仿宋_GB2312" w:hAnsi="仿宋_GB2312" w:eastAsia="仿宋_GB2312"/>
          <w:sz w:val="32"/>
        </w:rPr>
        <w:t>（4）依法执行已生效的判决和裁定。</w:t>
      </w:r>
    </w:p>
    <w:p>
      <w:pPr>
        <w:spacing w:line="580" w:lineRule="exact"/>
        <w:ind w:firstLine="640"/>
        <w:jc w:val="both"/>
      </w:pPr>
      <w:r>
        <w:rPr>
          <w:rFonts w:ascii="仿宋_GB2312" w:hAnsi="仿宋_GB2312" w:eastAsia="仿宋_GB2312"/>
          <w:sz w:val="32"/>
        </w:rPr>
        <w:t>（5）指导人民调解委员会的工作。</w:t>
      </w:r>
    </w:p>
    <w:p>
      <w:pPr>
        <w:spacing w:line="580" w:lineRule="exact"/>
        <w:ind w:firstLine="640"/>
        <w:jc w:val="both"/>
      </w:pPr>
      <w:r>
        <w:rPr>
          <w:rFonts w:ascii="仿宋_GB2312" w:hAnsi="仿宋_GB2312" w:eastAsia="仿宋_GB2312"/>
          <w:sz w:val="32"/>
        </w:rPr>
        <w:t>（6）对审判工作中具体应用法律进行调查研究，提出司法建议。</w:t>
      </w:r>
    </w:p>
    <w:p>
      <w:pPr>
        <w:spacing w:line="580" w:lineRule="exact"/>
        <w:ind w:firstLine="640"/>
        <w:jc w:val="both"/>
      </w:pPr>
      <w:r>
        <w:rPr>
          <w:rFonts w:ascii="仿宋_GB2312" w:hAnsi="仿宋_GB2312" w:eastAsia="仿宋_GB2312"/>
          <w:sz w:val="32"/>
        </w:rPr>
        <w:t>（7）负责法官思想政治工作和教育培训工作，抓好法官队伍建设。</w:t>
      </w:r>
    </w:p>
    <w:p>
      <w:pPr>
        <w:spacing w:line="580" w:lineRule="exact"/>
        <w:ind w:firstLine="640"/>
        <w:jc w:val="both"/>
      </w:pPr>
      <w:r>
        <w:rPr>
          <w:rFonts w:ascii="仿宋_GB2312" w:hAnsi="仿宋_GB2312" w:eastAsia="仿宋_GB2312"/>
          <w:sz w:val="32"/>
        </w:rPr>
        <w:t>（8）负责其他应由基层人民法院办理的事项。</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阜康市人民法院无下属预算单位。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2025年度收入总计2,577.59万元，</w:t>
      </w:r>
      <w:r>
        <w:rPr>
          <w:rFonts w:ascii="仿宋_GB2312" w:hAnsi="仿宋_GB2312" w:eastAsia="仿宋_GB2312"/>
          <w:b w:val="0"/>
          <w:sz w:val="32"/>
        </w:rPr>
        <w:t>其中：本年收入合计2,537.34万元，使用非财政拨款结余（含专用结余）0.00万元，年初结转和结余40.26万元。</w:t>
      </w:r>
    </w:p>
    <w:p>
      <w:pPr>
        <w:spacing w:line="580" w:lineRule="exact"/>
        <w:ind w:firstLine="640"/>
        <w:jc w:val="both"/>
      </w:pPr>
      <w:r>
        <w:rPr>
          <w:rFonts w:ascii="仿宋_GB2312" w:hAnsi="仿宋_GB2312" w:eastAsia="仿宋_GB2312"/>
          <w:b/>
          <w:sz w:val="32"/>
        </w:rPr>
        <w:t>2025年度支出总计2,577.59万元，</w:t>
      </w:r>
      <w:r>
        <w:rPr>
          <w:rFonts w:ascii="仿宋_GB2312" w:hAnsi="仿宋_GB2312" w:eastAsia="仿宋_GB2312"/>
          <w:b w:val="0"/>
          <w:sz w:val="32"/>
        </w:rPr>
        <w:t>其中：本年支出合计2,577.59万元，结余分配0.00万元，年末结转和结余0.00万元。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增加98.94万元，增长3.99%，主要原因是：本年在职人员工资调增，社保、公积金基数调增，人员经费增加。</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本年收入2,537.34万元，</w:t>
      </w:r>
      <w:r>
        <w:rPr>
          <w:rFonts w:ascii="仿宋_GB2312" w:hAnsi="仿宋_GB2312" w:eastAsia="仿宋_GB2312"/>
          <w:b w:val="0"/>
          <w:sz w:val="32"/>
        </w:rPr>
        <w:t>其中：财政拨款收入2,517.97万元，占99.24%；上级补助收入0.00万元，占0.00%；事业收入0.00万元，占0.00%；经营收入0.00万元，占0.00%；附属单位上缴收入0.00万元，占0.00%；其他收入19.37万元，占0.76%。</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本年支出2,577.59万元，</w:t>
      </w:r>
      <w:r>
        <w:rPr>
          <w:rFonts w:ascii="仿宋_GB2312" w:hAnsi="仿宋_GB2312" w:eastAsia="仿宋_GB2312"/>
          <w:b w:val="0"/>
          <w:sz w:val="32"/>
        </w:rPr>
        <w:t>其中：基本支出2,186.21万元，占84.82%；项目支出391.38万元，占15.18%；上缴上级支出0.00万元，占0.00%；经营支出0.00万元，占0.00%；对附属单位补助支出0.00万元，占0.00%。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2025年度财政拨款收入总计2,517.97万元，</w:t>
      </w:r>
      <w:r>
        <w:rPr>
          <w:rFonts w:ascii="仿宋_GB2312" w:hAnsi="仿宋_GB2312" w:eastAsia="仿宋_GB2312"/>
          <w:b w:val="0"/>
          <w:sz w:val="32"/>
        </w:rPr>
        <w:t>其中：年初财政拨款结转和结余0.00万元，本年财政拨款收入2,517.97万元。</w:t>
      </w:r>
      <w:r>
        <w:rPr>
          <w:rFonts w:ascii="仿宋_GB2312" w:hAnsi="仿宋_GB2312" w:eastAsia="仿宋_GB2312"/>
          <w:b/>
          <w:sz w:val="32"/>
        </w:rPr>
        <w:t>财政拨款支出总计2,517.97万元，</w:t>
      </w:r>
      <w:r>
        <w:rPr>
          <w:rFonts w:ascii="仿宋_GB2312" w:hAnsi="仿宋_GB2312" w:eastAsia="仿宋_GB2312"/>
          <w:b w:val="0"/>
          <w:sz w:val="32"/>
        </w:rPr>
        <w:t>其中：年末财政拨款结转和结余0.00万元，本年财政拨款支出2,517.97万元。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增加109.57万元，增长4.55%，主要原因是：本年在职人员工资调增，社保、公积金基数调增，人员经费增加。本年公用经费资金较上年增加。</w:t>
      </w:r>
      <w:r>
        <w:rPr>
          <w:rFonts w:ascii="仿宋_GB2312" w:hAnsi="仿宋_GB2312" w:eastAsia="仿宋_GB2312"/>
          <w:b/>
          <w:sz w:val="32"/>
        </w:rPr>
        <w:t>与年初预算相比，</w:t>
      </w:r>
      <w:r>
        <w:rPr>
          <w:rFonts w:ascii="仿宋_GB2312" w:hAnsi="仿宋_GB2312" w:eastAsia="仿宋_GB2312"/>
          <w:b w:val="0"/>
          <w:sz w:val="32"/>
        </w:rPr>
        <w:t>年初预算数2,354.87万元，决算数2,517.97万元，预决算差异率6.93%，主要原因是：本年在职人员增加，年中追加人员经费及人员工资、社保、公积金基数调增部分资金，导致预决算存在差异。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公共服务等重点支出，体现在有关支出科目中。</w:t>
      </w:r>
    </w:p>
    <w:p>
      <w:pPr>
        <w:spacing w:line="580" w:lineRule="exact"/>
        <w:ind w:firstLine="640"/>
        <w:jc w:val="both"/>
      </w:pPr>
      <w:r>
        <w:rPr>
          <w:rFonts w:ascii="仿宋_GB2312" w:hAnsi="仿宋_GB2312" w:eastAsia="仿宋_GB2312"/>
          <w:b w:val="0"/>
          <w:sz w:val="32"/>
        </w:rPr>
        <w:t>按照支出功能分类，公共安全支出（类）法院（款）行政运行（项）的支出占本年财政拨款支出总额的比重最高，2025年度决算数为1,719.40万元，占比68.29%，主要用于职工基本工资、津贴补贴、奖金及公用经费支出等。</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2025年度一般公共预算财政拨款支出2,517.97万元，</w:t>
      </w:r>
      <w:r>
        <w:rPr>
          <w:rFonts w:ascii="仿宋_GB2312" w:hAnsi="仿宋_GB2312" w:eastAsia="仿宋_GB2312"/>
          <w:b w:val="0"/>
          <w:sz w:val="32"/>
        </w:rPr>
        <w:t>占本年支出合计的97.69%。</w:t>
      </w:r>
      <w:r>
        <w:rPr>
          <w:rFonts w:ascii="仿宋_GB2312" w:hAnsi="仿宋_GB2312" w:eastAsia="仿宋_GB2312"/>
          <w:b/>
          <w:sz w:val="32"/>
        </w:rPr>
        <w:t>与上年相比，</w:t>
      </w:r>
      <w:r>
        <w:rPr>
          <w:rFonts w:ascii="仿宋_GB2312" w:hAnsi="仿宋_GB2312" w:eastAsia="仿宋_GB2312"/>
          <w:b w:val="0"/>
          <w:sz w:val="32"/>
        </w:rPr>
        <w:t>增加109.57万元，增长4.55%，主要原因是：本年在职人员工资调增，社保、公积金基数调增，人员经费增加。本年日常公用经费增加。</w:t>
      </w:r>
      <w:r>
        <w:rPr>
          <w:rFonts w:ascii="仿宋_GB2312" w:hAnsi="仿宋_GB2312" w:eastAsia="仿宋_GB2312"/>
          <w:b/>
          <w:sz w:val="32"/>
        </w:rPr>
        <w:t>与年初预算相比，</w:t>
      </w:r>
      <w:r>
        <w:rPr>
          <w:rFonts w:ascii="仿宋_GB2312" w:hAnsi="仿宋_GB2312" w:eastAsia="仿宋_GB2312"/>
          <w:b w:val="0"/>
          <w:sz w:val="32"/>
        </w:rPr>
        <w:t>年初预算数2,354.87万元，决算数2,517.97万元，预决算差异率6.93%，主要原因是：年中追加人员工资、社保、公积金基数调增部分资金，年中追加中央政法纪检监察转移支付资金项目导致预决算存在差异。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1.公共安全支出（类）2,051.15万元，占81.46%。</w:t>
      </w:r>
    </w:p>
    <w:p>
      <w:pPr>
        <w:spacing w:line="580" w:lineRule="exact"/>
        <w:ind w:firstLine="640"/>
        <w:jc w:val="both"/>
      </w:pPr>
      <w:r>
        <w:rPr>
          <w:rFonts w:ascii="仿宋_GB2312" w:hAnsi="仿宋_GB2312" w:eastAsia="仿宋_GB2312"/>
          <w:b w:val="0"/>
          <w:sz w:val="32"/>
        </w:rPr>
        <w:t>2.社会保障和就业支出（类）236.67万元，占9.40%。</w:t>
      </w:r>
    </w:p>
    <w:p>
      <w:pPr>
        <w:spacing w:line="580" w:lineRule="exact"/>
        <w:ind w:firstLine="640"/>
        <w:jc w:val="both"/>
      </w:pPr>
      <w:r>
        <w:rPr>
          <w:rFonts w:ascii="仿宋_GB2312" w:hAnsi="仿宋_GB2312" w:eastAsia="仿宋_GB2312"/>
          <w:b w:val="0"/>
          <w:sz w:val="32"/>
        </w:rPr>
        <w:t>3.卫生健康支出（类）113.86万元，占4.52%。</w:t>
      </w:r>
    </w:p>
    <w:p>
      <w:pPr>
        <w:spacing w:line="580" w:lineRule="exact"/>
        <w:ind w:firstLine="640"/>
        <w:jc w:val="both"/>
      </w:pPr>
      <w:r>
        <w:rPr>
          <w:rFonts w:ascii="仿宋_GB2312" w:hAnsi="仿宋_GB2312" w:eastAsia="仿宋_GB2312"/>
          <w:b w:val="0"/>
          <w:sz w:val="32"/>
        </w:rPr>
        <w:t>4.住房保障支出（类）116.28万元，占4.62%。</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1.公共安全支出（类）法院（款）行政运行（项）：支出决算数为1,719.40万元，比上年决算增加156.81万元，增长10.04%，主要原因是：本年在职人员工资调增，导致相关人员经费较上年有所增加。</w:t>
      </w:r>
    </w:p>
    <w:p>
      <w:pPr>
        <w:spacing w:line="580" w:lineRule="exact"/>
        <w:ind w:firstLine="640"/>
        <w:jc w:val="both"/>
      </w:pPr>
      <w:r>
        <w:rPr>
          <w:rFonts w:ascii="仿宋_GB2312" w:hAnsi="仿宋_GB2312" w:eastAsia="仿宋_GB2312"/>
          <w:b w:val="0"/>
          <w:sz w:val="32"/>
        </w:rPr>
        <w:t>2.公共安全支出（类）法院（款）其他法院支出（项）：支出决算数为331.00万元，比上年决算减少101.75万元，下降23.51%，主要原因是：本年中央政法纪检察转移支付资金、司法救助金较上年减少。</w:t>
      </w:r>
    </w:p>
    <w:p>
      <w:pPr>
        <w:spacing w:line="580" w:lineRule="exact"/>
        <w:ind w:firstLine="640"/>
        <w:jc w:val="both"/>
      </w:pPr>
      <w:r>
        <w:rPr>
          <w:rFonts w:ascii="仿宋_GB2312" w:hAnsi="仿宋_GB2312" w:eastAsia="仿宋_GB2312"/>
          <w:b w:val="0"/>
          <w:sz w:val="32"/>
        </w:rPr>
        <w:t>3.公共安全支出（类）其他公共安全支出（款）其他公共安全支出（项）：支出决算数为0.75万元，比上年决算增加0.75万元，增长100.00%，主要原因是：本年功能科目调整，生活补助经费上年度在主科目列支，本年调整至此科目列支，导致经费较上年增加。</w:t>
      </w:r>
    </w:p>
    <w:p>
      <w:pPr>
        <w:spacing w:line="580" w:lineRule="exact"/>
        <w:ind w:firstLine="640"/>
        <w:jc w:val="both"/>
      </w:pPr>
      <w:r>
        <w:rPr>
          <w:rFonts w:ascii="仿宋_GB2312" w:hAnsi="仿宋_GB2312" w:eastAsia="仿宋_GB2312"/>
          <w:b w:val="0"/>
          <w:sz w:val="32"/>
        </w:rPr>
        <w:t>4.社会保障和就业支出（类）行政事业单位养老支出（款）行政单位离退休（项）：支出决算数为31.89万元，比上年决算增加8.38万元，增长35.64%，主要原因是：本年增加退休人员基础绩效奖，退休费支出增加。</w:t>
      </w:r>
    </w:p>
    <w:p>
      <w:pPr>
        <w:spacing w:line="580" w:lineRule="exact"/>
        <w:ind w:firstLine="640"/>
        <w:jc w:val="both"/>
      </w:pPr>
      <w:r>
        <w:rPr>
          <w:rFonts w:ascii="仿宋_GB2312" w:hAnsi="仿宋_GB2312" w:eastAsia="仿宋_GB2312"/>
          <w:b w:val="0"/>
          <w:sz w:val="32"/>
        </w:rPr>
        <w:t>5.社会保障和就业支出（类）行政事业单位养老支出（款）机关事业单位基本养老保险缴费支出（项）：支出决算数为138.96万元，比上年决算增加11.15万元，增长8.72%，主要原因是：本年在职人员工资基数调增，养老缴费基数上涨，相应支出增加。</w:t>
      </w:r>
    </w:p>
    <w:p>
      <w:pPr>
        <w:spacing w:line="580" w:lineRule="exact"/>
        <w:ind w:firstLine="640"/>
        <w:jc w:val="both"/>
      </w:pPr>
      <w:r>
        <w:rPr>
          <w:rFonts w:ascii="仿宋_GB2312" w:hAnsi="仿宋_GB2312" w:eastAsia="仿宋_GB2312"/>
          <w:b w:val="0"/>
          <w:sz w:val="32"/>
        </w:rPr>
        <w:t>6.社会保障和就业支出（类）行政事业单位养老支出（款）机关事业单位职业年金缴费支出（项）：支出决算数为65.82万元，比上年决算减少3.35万元，下降4.84%，主要原因是：本年新增退休人员较上年减少，职业年金缴费较上年减少。</w:t>
      </w:r>
    </w:p>
    <w:p>
      <w:pPr>
        <w:spacing w:line="580" w:lineRule="exact"/>
        <w:ind w:firstLine="640"/>
        <w:jc w:val="both"/>
      </w:pPr>
      <w:r>
        <w:rPr>
          <w:rFonts w:ascii="仿宋_GB2312" w:hAnsi="仿宋_GB2312" w:eastAsia="仿宋_GB2312"/>
          <w:b w:val="0"/>
          <w:sz w:val="32"/>
        </w:rPr>
        <w:t>7.卫生健康支出（类）行政事业单位医疗（款）行政单位医疗（项）：支出决算数为82.71万元，比上年决算增加14.04万元，增长20.45%，主要原因是：本年在职人员工资基数调增，医疗缴费基数上涨，相应支出增加。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8.卫生健康支出（类）行政事业单位医疗（款）公务员医疗补助（项）：支出决算数为30.22万元，比上年决算增加25.94万元，增长606.07%，主要原因是：本年在职人员工资基数调增，医疗缴费基数上涨，缴费比例增加，相应支出增加。</w:t>
      </w:r>
    </w:p>
    <w:p>
      <w:pPr>
        <w:spacing w:line="580" w:lineRule="exact"/>
        <w:ind w:firstLine="640"/>
        <w:jc w:val="both"/>
      </w:pPr>
      <w:r>
        <w:rPr>
          <w:rFonts w:ascii="仿宋_GB2312" w:hAnsi="仿宋_GB2312" w:eastAsia="仿宋_GB2312"/>
          <w:b w:val="0"/>
          <w:sz w:val="32"/>
        </w:rPr>
        <w:t>9.卫生健康支出（类）行政事业单位医疗（款）其他行政事业单位医疗支出（项）：支出决算数为0.93万元，比上年决算增加0.24万元，增长34.78%，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10.住房保障支出（类）住房改革支出（款）住房公积金（项）：支出决算数为116.28万元，比上年决算增加1.62万元，增长1.41%，主要原因是：本年在职人员工资基数调增，公积金缴费基数上涨，相应支出增加。</w:t>
      </w:r>
    </w:p>
    <w:p>
      <w:pPr>
        <w:spacing w:line="580" w:lineRule="exact"/>
        <w:ind w:firstLine="640"/>
        <w:jc w:val="both"/>
      </w:pPr>
      <w:r>
        <w:rPr>
          <w:rFonts w:ascii="仿宋_GB2312" w:hAnsi="仿宋_GB2312" w:eastAsia="仿宋_GB2312"/>
          <w:b w:val="0"/>
          <w:sz w:val="32"/>
        </w:rPr>
        <w:t>11.其他支出（类）其他支出（款）其他支出（项）：支出决算数为0.00万元，比上年决算减少4.28万元，下降100.00%，主要原因是：本年无为民办实事经费及驻村工作队，不存在其他支出科目，导致经费较上年减少。</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2025年度一般公共预算财政拨款基本支出2,186.21万元，其中：</w:t>
      </w:r>
      <w:r>
        <w:rPr>
          <w:rFonts w:ascii="仿宋_GB2312" w:hAnsi="仿宋_GB2312" w:eastAsia="仿宋_GB2312"/>
          <w:b/>
          <w:sz w:val="32"/>
        </w:rPr>
        <w:t>人员经费1,924.32万元，</w:t>
      </w:r>
      <w:r>
        <w:rPr>
          <w:rFonts w:ascii="仿宋_GB2312" w:hAnsi="仿宋_GB2312" w:eastAsia="仿宋_GB2312"/>
          <w:b w:val="0"/>
          <w:sz w:val="32"/>
        </w:rPr>
        <w:t>包括：基本工资、津贴补贴、奖金、机关事业单位基本养老保险缴费、职业年金缴费、职工基本医疗保险缴费、公务员医疗补助缴费、其他社会保障缴费、住房公积金、其他工资福利支出、退休费、抚恤金、生活补助、奖励金。</w:t>
      </w:r>
    </w:p>
    <w:p>
      <w:pPr>
        <w:spacing w:line="580" w:lineRule="exact"/>
        <w:ind w:firstLine="640"/>
        <w:jc w:val="both"/>
      </w:pPr>
      <w:r>
        <w:rPr>
          <w:rFonts w:ascii="仿宋_GB2312" w:hAnsi="仿宋_GB2312" w:eastAsia="仿宋_GB2312"/>
          <w:b/>
          <w:sz w:val="32"/>
        </w:rPr>
        <w:t>公用经费261.89万元，</w:t>
      </w:r>
      <w:r>
        <w:rPr>
          <w:rFonts w:ascii="仿宋_GB2312" w:hAnsi="仿宋_GB2312" w:eastAsia="仿宋_GB2312"/>
          <w:b w:val="0"/>
          <w:sz w:val="32"/>
        </w:rPr>
        <w:t>包括：办公费、水费、电费、邮电费、取暖费、物业管理费、维修（护）费、租赁费、公务接待费、劳务费、工会经费、福利费、公务用车运行维护费、其他商品和服务支出。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2025年度财政拨款“三公”经费支出20.80万元，</w:t>
      </w:r>
      <w:r>
        <w:rPr>
          <w:rFonts w:ascii="仿宋_GB2312" w:hAnsi="仿宋_GB2312" w:eastAsia="仿宋_GB2312"/>
          <w:b w:val="0"/>
          <w:sz w:val="32"/>
        </w:rPr>
        <w:t>比上年减少0.25万元，下降1.19%，主要原因是：采取有效措施加强公务接待管理，严格控制公务接待活动，认真执行经费开支标准，减少公务接待运行成本费用。</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公务用车购置及运行维护费支出20.16万元，占96.92%，比上年增加0.11万元，增长0.55%，主要原因是：本年因业务需求，用车次数增加，燃油费增加，导致公务用车运行维护费较上年增加。</w:t>
      </w:r>
      <w:r>
        <w:rPr>
          <w:rFonts w:ascii="仿宋_GB2312" w:hAnsi="仿宋_GB2312" w:eastAsia="仿宋_GB2312"/>
          <w:b w:val="0"/>
          <w:sz w:val="32"/>
        </w:rPr>
        <w:t>公务接待费支出0.64万元，占3.08%，比上年减少0.36万元，下降36.00%，主要原因是：采取有效措施加强公务接待管理，严格控制公务接待活动，认真执行经费开支标准，减少公务接待运行成本费用。</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20.16万元，其中：公务用车购置费0.00万元，公务用车运行维护费20.16万元。公务用车运行维护费开支内容包括车辆加油费、维修费、保险费、审车费。公务用车购置数0辆，公务用车保有量15辆。国有资产占用情况中固定资产车辆15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公务接待费0.64万元，开支内容包括因单位工作安排及援疆交流活动，接待上级领导检查、工作小组考察学习产生的就餐费。单位全年安排的国内公务接待2批次，70人次。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21.16万元，决算数20.80万元，预决算差异率-1.70%，主要原因是：严格落实中央八项规定精神，厉行节约，减少经费支出。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20.16万元，决算数20.16万元，预决算差异率0.00%，主要原因是：严格按照预算执行，预决算无差异。公务接待费全年预算数1.00万元，决算数0.64万元，预决算差异率-36.00%，主要原因是：严格控制公务接待活动，认真执行经费开支标准，减少公务接待运行成本费用。</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阜康市人民法院（行政单位和参照公务员法管理事业单位）机关运行经费支出261.89万元，比上年增加54.84万元，增长26.49%，主要原因是：本年增加物业管理费、维修维护费、劳务费，导致机关运行经费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2025年度政府采购支出总额175.33万元，其中：政府采购货物支出124.38万元、政府采购工程支出0.00万元、政府采购服务支出50.95万元。</w:t>
      </w:r>
    </w:p>
    <w:p>
      <w:pPr>
        <w:spacing w:line="580" w:lineRule="exact"/>
        <w:ind w:firstLine="640"/>
        <w:jc w:val="both"/>
      </w:pPr>
      <w:r>
        <w:rPr>
          <w:rFonts w:ascii="仿宋_GB2312" w:hAnsi="仿宋_GB2312" w:eastAsia="仿宋_GB2312"/>
          <w:b w:val="0"/>
          <w:sz w:val="32"/>
        </w:rPr>
        <w:t>授予中小企业合同金额18.49万元，占政府采购支出总额的10.55%，其中：授予小微企业合同金额18.49万元，占政府采购支出总额的10.55%。</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14,539.23平方米，价值4,637.40万元。车辆15辆，价值292.17万元，其中：副部（省）级及以上领导用车0辆、主要负责人用车0辆、机要通信用车0辆、应急保障用车0辆、执法执勤用车10辆、特种专业技术用车4辆、离退休干部服务用车0辆、其他用车1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2,577.59万元，实际执行总额2,577.59万元；预算绩效评价项目1个，全年预算数63.00万元，全年执行数59.63万元。预算绩效管理取得的成效：一是单位确定了单位绩效工作组织架构。办公室负责牵头建立绩效小组，研究制定各项绩效管理制度，组织协调绩效日常工作，认真执行项目绩效管理制度，落实相关工作要求。建立了部门预算管理办法、财务收支管理办法、固定资产管理办法、办公用品采购保管领用管理办法、采购管理办法、合同业务管理办法、会计业务管理办法等；二是2025年本单位预算编制坚持量入为出、保障重点的原则，对项目支出按照轻重缓急程度实行分类排序，统筹安排部门预算。2025年本单位安排项目预算时将项目支出进行细化，以实际需求等资料为依据进行测算。人员经费预算和公用经费预算均按照定额标准编制，预算与部门活动相匹配；三是2025年我单位牢固树立全面绩效管理理念，将预算绩效管理融入预算各类项目资金，将绩效理念融入预算各个层级，将绩效方法融入预算各项流程，严格按照政策要求编制部门整体支出绩效目标和项目支出绩效目标，切实现预算编制有目标，确保了资金分配与绩效目标的一致性，实现预算绩效全覆盖。发现的问题及原因：一是单位内控职责不够细化，项目预算的绩效设定与实际的项目支出存在些许差距，争取在今后工作中准确把握项目资金支出，达到资金的最大效益；二是在资金申请工作中要积极主动联系财政部门确保资金及时落实到位，进一步按照国家有关财务规章制度规定加强资金使用管理，确保资金用到实处，工作有序的开展，加强自身建设，提高服务能力。下一步改进措施：一是加强统筹协调，提高各科室对预算绩效管理工作的认识度和重视度；加强培训力度，用通俗易懂的方式指导绩效目标的设定，确保预算绩效目标管理工作有效推进；二是细化预算编制工作，认真做好预算的编制。进一步加强单位内部机构的预算管理意识，严格按照预算编制的相关制度和要求进行预算编制；三是加强财务管理，严格财务审核。加强单位财务管理，健全单位财务管理制度体系，规范单位财务行为。在费用报账支付时，按照预算规定的费用项目和用途进行资金使用审核、列报支付、财务核算，杜绝超支现象的发生。具体附整体支出绩效自评表、项目支出绩效自评表。</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阜康市人民法院</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341.30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331.75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331.75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2,013.57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2,186.21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2,186.21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63.00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59.63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59.63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2,417.87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2,577.59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2,577.59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院坚持以习近平新时代中国特色社会主义思想为指导，深学笃行习近平法治思想，围绕“公正与效率”工作主题，持续优化法治化营商环境，根据人民法院审判质量管理指标体系文件要求，我院今年不断推进多元化解，以更强担当服务保障高质量发展，加大调解力度，依法受理审、执案件，努力让人民群众在每一个司法案件中感受到公平正义，减少上诉率，本年将加大结案力度，大大减少长期未结案件。</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2577.59万元，全年执行数2577.59万元，总预算执行率100%。2025年我单位完成以下工作内容：1、审限内结案率98.63%；2、调解率62.5%；3、上诉率7.98%；4、首执案件终本率本年达到21.34%；5、超12个月未结案件比0%。通过以上工作的实施，较好的解决了社会纠纷，更好地为人民群众服务。</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审限内结案率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人民法院审判质量管理指标体系</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=98.63%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调解率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人民法院审判质量管理指标体系</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=62.5%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上诉率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人民法院审判质量管理指标体系</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=7.98%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首执案件终本率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人民法院审判质量管理指标体系</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=21.34%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超12个月未结案件比</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&lt;=0.23%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人民法院审判质量管理指标体系</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机关运行补助经费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昌吉州中级人民法院</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阜康市人民法院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59.63</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94.65%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8.66</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59.63</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计划完成2个修缮项目，竣工验收合格率达到100%，预计在2025年12月10号之前完成项目的实施，资金使用情况如下：修缮成本34.54万元，维修维护费7.5万元，购置信息化安全检查装备10.67万元，劳务费10.29万元。通过以上项目的实施保障部门单位运转正常，提升法院安全系数。</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59.63万元，资金执行率94.65%，本项目实际完成2个修缮项目，竣工验收合格率达到100%。通过项目的实施补齐法庭基础设施短板，消除安全隐患、保障法庭建筑合规安全运行，保障部门单位运转正常，提升法院安全系数。</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修缮工程项目</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竣工验收合格率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工程项目完成时间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修缮成本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&lt;=34.54万元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=33.23万元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3.79%，偏差原因为：项目优化调整，对修缮项目方案进行合理优化，降低费用支出；下一年度改进措施：：将根据上年度使用资金进行资金预算，确保资金合理安排，提高资金使用效率。</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维修维护费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&lt;=7.50万元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=6.12万元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18.4%，偏差原因为本年我院办公区域及设施设备整体情况良好，未发现需要大规模维修维护的问题，部分轻微损耗或故障问题已使用财政拨款资金支付且财政资金较为充足，因此本年度机关运行补助经费中维修维护费未使用完毕；下一年度改进措施：将根据上年度使用资金进行资金预算，确保资金合理安排，提高资金使用效率。</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购置信息化安全检查装备成本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&lt;=10.67万元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=10.67万元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劳务费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&lt;=10.29万元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=9.61万元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此项指标未完成，存在偏差，偏差率为6.61%，偏差原因为年初没有制定合理的绩效目标，导致资金结余。下一年度改进措施：将根据上年度使用资金进行资金预算，确保资金合理安排，提高资金使用效率。</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保障部门单位运转正常，提升安全系数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98.66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本年本单位其他项目2个，全年预算数331.75万元，全年执行数331.75万元。</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